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42DF" w14:textId="77777777" w:rsidR="008E6616" w:rsidRPr="009A0492" w:rsidRDefault="008E6616" w:rsidP="00BB3AD0">
      <w:pPr>
        <w:pStyle w:val="Nzev"/>
        <w:outlineLvl w:val="0"/>
        <w:rPr>
          <w:rFonts w:asciiTheme="minorHAnsi" w:hAnsiTheme="minorHAnsi" w:cstheme="minorHAnsi"/>
          <w:szCs w:val="22"/>
        </w:rPr>
      </w:pPr>
      <w:r w:rsidRPr="009A0492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B8A45A1" wp14:editId="0B8A45A2">
            <wp:simplePos x="0" y="0"/>
            <wp:positionH relativeFrom="margin">
              <wp:posOffset>2555240</wp:posOffset>
            </wp:positionH>
            <wp:positionV relativeFrom="paragraph">
              <wp:posOffset>142875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A42E0" w14:textId="77777777" w:rsidR="008E6616" w:rsidRDefault="008E6616" w:rsidP="00BB3AD0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0B8A42E1" w14:textId="77777777" w:rsidR="00B949D5" w:rsidRPr="009A0492" w:rsidRDefault="00B949D5" w:rsidP="00BB3AD0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0B8A42E2" w14:textId="77777777" w:rsidR="008E6616" w:rsidRPr="008E6616" w:rsidRDefault="008E6616" w:rsidP="00BB3AD0">
      <w:pPr>
        <w:pStyle w:val="Nzev"/>
        <w:outlineLvl w:val="0"/>
        <w:rPr>
          <w:rFonts w:asciiTheme="minorHAnsi" w:hAnsiTheme="minorHAnsi" w:cstheme="minorHAnsi"/>
          <w:sz w:val="28"/>
          <w:szCs w:val="28"/>
        </w:rPr>
      </w:pPr>
      <w:r w:rsidRPr="008E6616">
        <w:rPr>
          <w:rFonts w:asciiTheme="minorHAnsi" w:hAnsiTheme="minorHAnsi" w:cstheme="minorHAnsi"/>
          <w:sz w:val="28"/>
          <w:szCs w:val="28"/>
        </w:rPr>
        <w:t>Kontrolní závěr z kontrolní akce</w:t>
      </w:r>
    </w:p>
    <w:p w14:paraId="0B8A42E3" w14:textId="77777777" w:rsidR="008E6616" w:rsidRPr="009A0492" w:rsidRDefault="008E6616" w:rsidP="00BB3AD0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0B8A42E4" w14:textId="26A5CC8F" w:rsidR="008E6616" w:rsidRPr="008E6616" w:rsidRDefault="00C165F8" w:rsidP="00BB3AD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21/13</w:t>
      </w:r>
    </w:p>
    <w:p w14:paraId="0B8A42E5" w14:textId="77777777" w:rsidR="008E6616" w:rsidRPr="009A0492" w:rsidRDefault="008E6616" w:rsidP="00BB3AD0">
      <w:pPr>
        <w:pStyle w:val="Nzev"/>
        <w:outlineLvl w:val="0"/>
        <w:rPr>
          <w:rFonts w:asciiTheme="minorHAnsi" w:hAnsiTheme="minorHAnsi" w:cstheme="minorHAnsi"/>
          <w:szCs w:val="22"/>
        </w:rPr>
      </w:pPr>
    </w:p>
    <w:p w14:paraId="0B8A42E8" w14:textId="1E415EDD" w:rsidR="009A0492" w:rsidRDefault="00C165F8" w:rsidP="00B74EBF">
      <w:pPr>
        <w:tabs>
          <w:tab w:val="left" w:pos="7988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65F8">
        <w:rPr>
          <w:rFonts w:cstheme="minorHAnsi"/>
          <w:b/>
          <w:sz w:val="28"/>
          <w:szCs w:val="28"/>
        </w:rPr>
        <w:t xml:space="preserve">Majetek a peněžní prostředky státu, s nimiž má právo hospodařit </w:t>
      </w:r>
      <w:r w:rsidR="00D36EDB">
        <w:rPr>
          <w:rFonts w:cstheme="minorHAnsi"/>
          <w:b/>
          <w:sz w:val="28"/>
          <w:szCs w:val="28"/>
        </w:rPr>
        <w:br/>
      </w:r>
      <w:r w:rsidRPr="00C165F8">
        <w:rPr>
          <w:rFonts w:cstheme="minorHAnsi"/>
          <w:b/>
          <w:sz w:val="28"/>
          <w:szCs w:val="28"/>
        </w:rPr>
        <w:t xml:space="preserve">ČPP Transgas, </w:t>
      </w:r>
      <w:proofErr w:type="spellStart"/>
      <w:r w:rsidRPr="00C165F8">
        <w:rPr>
          <w:rFonts w:cstheme="minorHAnsi"/>
          <w:b/>
          <w:sz w:val="28"/>
          <w:szCs w:val="28"/>
        </w:rPr>
        <w:t>s.p</w:t>
      </w:r>
      <w:proofErr w:type="spellEnd"/>
      <w:r w:rsidRPr="00C165F8">
        <w:rPr>
          <w:rFonts w:cstheme="minorHAnsi"/>
          <w:b/>
          <w:sz w:val="28"/>
          <w:szCs w:val="28"/>
        </w:rPr>
        <w:t>.</w:t>
      </w:r>
    </w:p>
    <w:p w14:paraId="59F76D23" w14:textId="77777777" w:rsidR="00C165F8" w:rsidRPr="008E6616" w:rsidRDefault="00C165F8" w:rsidP="00BB3AD0">
      <w:pPr>
        <w:tabs>
          <w:tab w:val="left" w:pos="7988"/>
        </w:tabs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8A42E9" w14:textId="4893A949" w:rsidR="008E6616" w:rsidRPr="008A1F80" w:rsidRDefault="008E661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Kontrolní akce byla zařazena do plánu kontrolní činnosti Nejvyššího kontrolního úřa</w:t>
      </w:r>
      <w:r w:rsidR="00C14910">
        <w:rPr>
          <w:rFonts w:ascii="Calibri" w:hAnsi="Calibri" w:cs="Calibri"/>
          <w:sz w:val="24"/>
          <w:szCs w:val="24"/>
        </w:rPr>
        <w:t>du (dále také „NKÚ“) na rok 202</w:t>
      </w:r>
      <w:r w:rsidR="00C165F8">
        <w:rPr>
          <w:rFonts w:ascii="Calibri" w:hAnsi="Calibri" w:cs="Calibri"/>
          <w:sz w:val="24"/>
          <w:szCs w:val="24"/>
        </w:rPr>
        <w:t>1</w:t>
      </w:r>
      <w:r w:rsidRPr="008A1F80">
        <w:rPr>
          <w:rFonts w:ascii="Calibri" w:hAnsi="Calibri" w:cs="Calibri"/>
          <w:sz w:val="24"/>
          <w:szCs w:val="24"/>
        </w:rPr>
        <w:t xml:space="preserve"> pod číslem </w:t>
      </w:r>
      <w:r w:rsidR="00C14910">
        <w:rPr>
          <w:rFonts w:ascii="Calibri" w:hAnsi="Calibri" w:cs="Calibri"/>
          <w:sz w:val="24"/>
          <w:szCs w:val="24"/>
        </w:rPr>
        <w:t>2</w:t>
      </w:r>
      <w:r w:rsidR="00C165F8">
        <w:rPr>
          <w:rFonts w:ascii="Calibri" w:hAnsi="Calibri" w:cs="Calibri"/>
          <w:sz w:val="24"/>
          <w:szCs w:val="24"/>
        </w:rPr>
        <w:t>1</w:t>
      </w:r>
      <w:r w:rsidR="00C14910">
        <w:rPr>
          <w:rFonts w:ascii="Calibri" w:hAnsi="Calibri" w:cs="Calibri"/>
          <w:sz w:val="24"/>
          <w:szCs w:val="24"/>
        </w:rPr>
        <w:t>/</w:t>
      </w:r>
      <w:r w:rsidR="00C165F8">
        <w:rPr>
          <w:rFonts w:ascii="Calibri" w:hAnsi="Calibri" w:cs="Calibri"/>
          <w:sz w:val="24"/>
          <w:szCs w:val="24"/>
        </w:rPr>
        <w:t>13</w:t>
      </w:r>
      <w:r w:rsidR="00C14910">
        <w:rPr>
          <w:rFonts w:ascii="Calibri" w:hAnsi="Calibri" w:cs="Calibri"/>
          <w:sz w:val="24"/>
          <w:szCs w:val="24"/>
        </w:rPr>
        <w:t>. Kontrolní akci řídil a kontrolní závěr vypracoval člen</w:t>
      </w:r>
      <w:r w:rsidRPr="008A1F80">
        <w:rPr>
          <w:rFonts w:ascii="Calibri" w:hAnsi="Calibri" w:cs="Calibri"/>
          <w:sz w:val="24"/>
          <w:szCs w:val="24"/>
        </w:rPr>
        <w:t xml:space="preserve"> NKÚ Ing. </w:t>
      </w:r>
      <w:r w:rsidR="00C14910">
        <w:rPr>
          <w:rFonts w:ascii="Calibri" w:hAnsi="Calibri" w:cs="Calibri"/>
          <w:sz w:val="24"/>
          <w:szCs w:val="24"/>
        </w:rPr>
        <w:t>Pavel Hrnčíř.</w:t>
      </w:r>
    </w:p>
    <w:p w14:paraId="0B8A42EA" w14:textId="77777777" w:rsidR="008E6616" w:rsidRPr="008E6616" w:rsidRDefault="008E661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8A42EB" w14:textId="5012D84A" w:rsidR="008E6616" w:rsidRDefault="008E661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Cílem kontroly</w:t>
      </w:r>
      <w:r w:rsidR="00C165F8">
        <w:rPr>
          <w:rFonts w:ascii="Calibri" w:hAnsi="Calibri" w:cs="Calibri"/>
          <w:sz w:val="24"/>
          <w:szCs w:val="24"/>
        </w:rPr>
        <w:t xml:space="preserve"> bylo p</w:t>
      </w:r>
      <w:r w:rsidR="00C165F8" w:rsidRPr="00C165F8">
        <w:rPr>
          <w:rFonts w:ascii="Calibri" w:hAnsi="Calibri" w:cs="Calibri"/>
          <w:sz w:val="24"/>
          <w:szCs w:val="24"/>
        </w:rPr>
        <w:t>rověřit, zda státní podnik ČPP Transgas hospodaří s majetkem a</w:t>
      </w:r>
      <w:r w:rsidR="00A24AAD">
        <w:rPr>
          <w:rFonts w:ascii="Calibri" w:hAnsi="Calibri" w:cs="Calibri"/>
          <w:sz w:val="24"/>
          <w:szCs w:val="24"/>
        </w:rPr>
        <w:t> </w:t>
      </w:r>
      <w:r w:rsidR="00C165F8" w:rsidRPr="00C165F8">
        <w:rPr>
          <w:rFonts w:ascii="Calibri" w:hAnsi="Calibri" w:cs="Calibri"/>
          <w:sz w:val="24"/>
          <w:szCs w:val="24"/>
        </w:rPr>
        <w:t>peněžními prostředk</w:t>
      </w:r>
      <w:r w:rsidR="009D2566">
        <w:rPr>
          <w:rFonts w:ascii="Calibri" w:hAnsi="Calibri" w:cs="Calibri"/>
          <w:sz w:val="24"/>
          <w:szCs w:val="24"/>
        </w:rPr>
        <w:t>y</w:t>
      </w:r>
      <w:r w:rsidR="00C165F8" w:rsidRPr="00C165F8">
        <w:rPr>
          <w:rFonts w:ascii="Calibri" w:hAnsi="Calibri" w:cs="Calibri"/>
          <w:sz w:val="24"/>
          <w:szCs w:val="24"/>
        </w:rPr>
        <w:t xml:space="preserve"> státu účelně, hospodárně, efektivně a v souladu s právními předpisy a</w:t>
      </w:r>
      <w:r w:rsidR="00A24AAD">
        <w:rPr>
          <w:rFonts w:ascii="Calibri" w:hAnsi="Calibri" w:cs="Calibri"/>
          <w:sz w:val="24"/>
          <w:szCs w:val="24"/>
        </w:rPr>
        <w:t> </w:t>
      </w:r>
      <w:r w:rsidR="00C165F8" w:rsidRPr="00C165F8">
        <w:rPr>
          <w:rFonts w:ascii="Calibri" w:hAnsi="Calibri" w:cs="Calibri"/>
          <w:sz w:val="24"/>
          <w:szCs w:val="24"/>
        </w:rPr>
        <w:t>zda činí účinné kroky k vypořádání a využití majetku zbylého po privatizaci, a současně ověřit, zda Ministerstvo průmyslu a obchodu plní funkci zakladatele v souladu s právními předpisy.</w:t>
      </w:r>
    </w:p>
    <w:p w14:paraId="0B8A42EC" w14:textId="13952DBE" w:rsidR="00583F64" w:rsidRDefault="00583F64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8A42EF" w14:textId="77777777" w:rsidR="008E6616" w:rsidRPr="008A1F80" w:rsidRDefault="008E6616" w:rsidP="003D6A4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Kontrolované osoby:</w:t>
      </w:r>
    </w:p>
    <w:p w14:paraId="5BA4C5E4" w14:textId="4CE1004D" w:rsidR="00C165F8" w:rsidRDefault="00C165F8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ČPP Transgas, </w:t>
      </w:r>
      <w:proofErr w:type="spellStart"/>
      <w:r>
        <w:rPr>
          <w:rFonts w:ascii="Calibri" w:hAnsi="Calibri" w:cs="Calibri"/>
          <w:sz w:val="24"/>
          <w:szCs w:val="24"/>
        </w:rPr>
        <w:t>s.p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="001D1BE1">
        <w:rPr>
          <w:rFonts w:ascii="Calibri" w:hAnsi="Calibri" w:cs="Calibri"/>
          <w:sz w:val="24"/>
          <w:szCs w:val="24"/>
        </w:rPr>
        <w:t>, Praha</w:t>
      </w:r>
      <w:r>
        <w:rPr>
          <w:rFonts w:ascii="Calibri" w:hAnsi="Calibri" w:cs="Calibri"/>
          <w:sz w:val="24"/>
          <w:szCs w:val="24"/>
        </w:rPr>
        <w:t xml:space="preserve"> (dále také „Transgas“)</w:t>
      </w:r>
      <w:r w:rsidR="00D36EDB">
        <w:rPr>
          <w:rFonts w:ascii="Calibri" w:hAnsi="Calibri" w:cs="Calibri"/>
          <w:sz w:val="24"/>
          <w:szCs w:val="24"/>
        </w:rPr>
        <w:t>;</w:t>
      </w:r>
    </w:p>
    <w:p w14:paraId="0B8A42F0" w14:textId="3A44D236" w:rsidR="008E6616" w:rsidRPr="008A1F80" w:rsidRDefault="008E6616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Ministerstvo průmyslu a obchodu</w:t>
      </w:r>
      <w:r w:rsidR="00E73AF1">
        <w:rPr>
          <w:rFonts w:ascii="Calibri" w:hAnsi="Calibri" w:cs="Calibri"/>
          <w:sz w:val="24"/>
          <w:szCs w:val="24"/>
        </w:rPr>
        <w:t xml:space="preserve"> (dále také „MPO“)</w:t>
      </w:r>
      <w:r w:rsidR="00D36EDB">
        <w:rPr>
          <w:rFonts w:ascii="Calibri" w:hAnsi="Calibri" w:cs="Calibri"/>
          <w:sz w:val="24"/>
          <w:szCs w:val="24"/>
        </w:rPr>
        <w:t>.</w:t>
      </w:r>
    </w:p>
    <w:p w14:paraId="7803557E" w14:textId="32F3C8AC" w:rsidR="005C4E17" w:rsidRDefault="005C4E17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6638BD" w14:textId="6BE17545" w:rsidR="005C4E17" w:rsidRDefault="005C4E17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Kontrolováno bylo období od roku 201</w:t>
      </w:r>
      <w:r w:rsidR="00C165F8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do roku 202</w:t>
      </w:r>
      <w:r w:rsidR="00C165F8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, v případě věcných souvislostí i období předcházející.</w:t>
      </w:r>
    </w:p>
    <w:p w14:paraId="03209084" w14:textId="1354D77F" w:rsidR="005C4E17" w:rsidRDefault="005C4E17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8DBD7D0" w14:textId="1055E4AE" w:rsidR="005C4E17" w:rsidRDefault="005C4E17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Kontrola </w:t>
      </w:r>
      <w:r w:rsidR="000E1B93">
        <w:rPr>
          <w:rFonts w:ascii="Calibri" w:hAnsi="Calibri" w:cs="Calibri"/>
          <w:sz w:val="24"/>
          <w:szCs w:val="24"/>
        </w:rPr>
        <w:t xml:space="preserve">byla </w:t>
      </w:r>
      <w:r>
        <w:rPr>
          <w:rFonts w:ascii="Calibri" w:hAnsi="Calibri" w:cs="Calibri"/>
          <w:sz w:val="24"/>
          <w:szCs w:val="24"/>
        </w:rPr>
        <w:t>u kontrolovaných osob</w:t>
      </w:r>
      <w:r w:rsidR="000E1B93">
        <w:rPr>
          <w:rFonts w:ascii="Calibri" w:hAnsi="Calibri" w:cs="Calibri"/>
          <w:sz w:val="24"/>
          <w:szCs w:val="24"/>
        </w:rPr>
        <w:t xml:space="preserve"> prováděna</w:t>
      </w:r>
      <w:r>
        <w:rPr>
          <w:rFonts w:ascii="Calibri" w:hAnsi="Calibri" w:cs="Calibri"/>
          <w:sz w:val="24"/>
          <w:szCs w:val="24"/>
        </w:rPr>
        <w:t xml:space="preserve"> v době od </w:t>
      </w:r>
      <w:r w:rsidR="00C165F8">
        <w:rPr>
          <w:rFonts w:ascii="Calibri" w:hAnsi="Calibri" w:cs="Calibri"/>
          <w:sz w:val="24"/>
          <w:szCs w:val="24"/>
        </w:rPr>
        <w:t>dubna</w:t>
      </w:r>
      <w:r>
        <w:rPr>
          <w:rFonts w:ascii="Calibri" w:hAnsi="Calibri" w:cs="Calibri"/>
          <w:sz w:val="24"/>
          <w:szCs w:val="24"/>
        </w:rPr>
        <w:t xml:space="preserve"> 202</w:t>
      </w:r>
      <w:r w:rsidR="00C165F8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 xml:space="preserve"> do </w:t>
      </w:r>
      <w:r w:rsidR="00C165F8">
        <w:rPr>
          <w:rFonts w:ascii="Calibri" w:hAnsi="Calibri" w:cs="Calibri"/>
          <w:sz w:val="24"/>
          <w:szCs w:val="24"/>
        </w:rPr>
        <w:t>září</w:t>
      </w:r>
      <w:r>
        <w:rPr>
          <w:rFonts w:ascii="Calibri" w:hAnsi="Calibri" w:cs="Calibri"/>
          <w:sz w:val="24"/>
          <w:szCs w:val="24"/>
        </w:rPr>
        <w:t xml:space="preserve"> 2021.</w:t>
      </w:r>
    </w:p>
    <w:p w14:paraId="4EEFA305" w14:textId="77777777" w:rsidR="005C4E17" w:rsidRPr="008E6616" w:rsidRDefault="005C4E17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8A42F5" w14:textId="69D72199" w:rsidR="008E6616" w:rsidRPr="00A40431" w:rsidRDefault="008E6616" w:rsidP="003D6A4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0431">
        <w:rPr>
          <w:rFonts w:ascii="Calibri" w:hAnsi="Calibri" w:cs="Calibri"/>
          <w:b/>
          <w:bCs/>
          <w:i/>
          <w:iCs/>
          <w:sz w:val="24"/>
          <w:szCs w:val="24"/>
        </w:rPr>
        <w:t xml:space="preserve">K o l e g i u m   N K Ú  </w:t>
      </w:r>
      <w:r w:rsidRPr="00A40431">
        <w:rPr>
          <w:rFonts w:ascii="Calibri" w:hAnsi="Calibri" w:cs="Calibri"/>
          <w:sz w:val="24"/>
          <w:szCs w:val="24"/>
        </w:rPr>
        <w:t xml:space="preserve"> </w:t>
      </w:r>
      <w:r w:rsidR="00044C5D" w:rsidRPr="00BE2CEF">
        <w:rPr>
          <w:rFonts w:cs="Calibri"/>
          <w:color w:val="000000"/>
          <w:sz w:val="24"/>
          <w:szCs w:val="24"/>
        </w:rPr>
        <w:t xml:space="preserve">na svém </w:t>
      </w:r>
      <w:r w:rsidR="001D1BE1">
        <w:rPr>
          <w:rFonts w:cs="Calibri"/>
          <w:color w:val="000000"/>
          <w:sz w:val="24"/>
          <w:szCs w:val="24"/>
        </w:rPr>
        <w:t xml:space="preserve">XIX. </w:t>
      </w:r>
      <w:r w:rsidR="00044C5D" w:rsidRPr="00BE2CEF">
        <w:rPr>
          <w:rFonts w:cs="Calibri"/>
          <w:color w:val="000000"/>
          <w:sz w:val="24"/>
          <w:szCs w:val="24"/>
        </w:rPr>
        <w:t>jednání, které se konalo dne</w:t>
      </w:r>
      <w:r w:rsidR="001D1BE1">
        <w:rPr>
          <w:rFonts w:cs="Calibri"/>
          <w:color w:val="000000"/>
          <w:sz w:val="24"/>
          <w:szCs w:val="24"/>
        </w:rPr>
        <w:t xml:space="preserve"> 13. prosince 2021</w:t>
      </w:r>
      <w:r w:rsidR="00D36EDB">
        <w:rPr>
          <w:rFonts w:cs="Calibri"/>
          <w:color w:val="000000"/>
          <w:sz w:val="24"/>
          <w:szCs w:val="24"/>
        </w:rPr>
        <w:t>,</w:t>
      </w:r>
    </w:p>
    <w:p w14:paraId="0B8A42F6" w14:textId="72847F59" w:rsidR="008E6616" w:rsidRPr="00A40431" w:rsidRDefault="008E6616" w:rsidP="003D6A4F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r w:rsidRPr="00A40431">
        <w:rPr>
          <w:rFonts w:ascii="Calibri" w:hAnsi="Calibri" w:cs="Calibri"/>
          <w:b/>
          <w:bCs/>
          <w:i/>
          <w:iCs/>
          <w:sz w:val="24"/>
        </w:rPr>
        <w:t xml:space="preserve">s c h v á l i l o  </w:t>
      </w:r>
      <w:r w:rsidR="002F122F" w:rsidRPr="00A40431">
        <w:rPr>
          <w:rFonts w:ascii="Calibri" w:hAnsi="Calibri" w:cs="Calibri"/>
          <w:sz w:val="24"/>
        </w:rPr>
        <w:t xml:space="preserve"> </w:t>
      </w:r>
      <w:r w:rsidR="00044C5D" w:rsidRPr="00BE2CEF">
        <w:rPr>
          <w:rFonts w:asciiTheme="minorHAnsi" w:hAnsiTheme="minorHAnsi" w:cs="Calibri"/>
          <w:color w:val="000000"/>
          <w:sz w:val="24"/>
        </w:rPr>
        <w:t xml:space="preserve">usnesením č. </w:t>
      </w:r>
      <w:r w:rsidR="00B903E3">
        <w:rPr>
          <w:rFonts w:asciiTheme="minorHAnsi" w:hAnsiTheme="minorHAnsi" w:cs="Calibri"/>
          <w:color w:val="000000"/>
          <w:sz w:val="24"/>
        </w:rPr>
        <w:t>7</w:t>
      </w:r>
      <w:r w:rsidR="001D1BE1">
        <w:rPr>
          <w:rFonts w:asciiTheme="minorHAnsi" w:hAnsiTheme="minorHAnsi" w:cs="Calibri"/>
          <w:color w:val="000000"/>
          <w:sz w:val="24"/>
        </w:rPr>
        <w:t>/XIX/2021</w:t>
      </w:r>
    </w:p>
    <w:p w14:paraId="0B8A42F7" w14:textId="6F42F393" w:rsidR="00FF0146" w:rsidRDefault="008E6616" w:rsidP="003D6A4F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r w:rsidRPr="00A40431">
        <w:rPr>
          <w:rFonts w:ascii="Calibri" w:hAnsi="Calibri" w:cs="Calibri"/>
          <w:b/>
          <w:bCs/>
          <w:i/>
          <w:iCs/>
          <w:sz w:val="24"/>
        </w:rPr>
        <w:t>k o n t r o l n í   z á v ě r</w:t>
      </w:r>
      <w:r w:rsidRPr="00A40431">
        <w:rPr>
          <w:rFonts w:ascii="Calibri" w:hAnsi="Calibri" w:cs="Calibri"/>
          <w:sz w:val="24"/>
        </w:rPr>
        <w:t xml:space="preserve">   </w:t>
      </w:r>
      <w:r w:rsidR="00044C5D" w:rsidRPr="00BE2CEF">
        <w:rPr>
          <w:rFonts w:asciiTheme="minorHAnsi" w:hAnsiTheme="minorHAnsi" w:cs="Calibri"/>
          <w:color w:val="000000"/>
          <w:sz w:val="24"/>
        </w:rPr>
        <w:t>v tomto znění:</w:t>
      </w:r>
    </w:p>
    <w:p w14:paraId="0B8A42F8" w14:textId="77777777" w:rsidR="00D7630D" w:rsidRDefault="00D7630D" w:rsidP="00BB3AD0">
      <w:pPr>
        <w:pStyle w:val="NormlnKZ"/>
        <w:spacing w:after="0"/>
        <w:ind w:firstLine="0"/>
        <w:rPr>
          <w:rFonts w:ascii="Calibri" w:hAnsi="Calibri" w:cs="Calibri"/>
          <w:sz w:val="24"/>
        </w:rPr>
      </w:pPr>
    </w:p>
    <w:p w14:paraId="0B8A42F9" w14:textId="77777777" w:rsidR="003C20A4" w:rsidRDefault="003C20A4" w:rsidP="00BB3AD0">
      <w:pPr>
        <w:pStyle w:val="NormlnKZ"/>
        <w:spacing w:after="0"/>
        <w:ind w:firstLine="0"/>
        <w:rPr>
          <w:rFonts w:ascii="Calibri" w:hAnsi="Calibri" w:cs="Calibri"/>
          <w:sz w:val="24"/>
        </w:rPr>
      </w:pPr>
    </w:p>
    <w:p w14:paraId="0B8A42FA" w14:textId="77777777" w:rsidR="003C20A4" w:rsidRDefault="003C20A4" w:rsidP="00BB3AD0">
      <w:pPr>
        <w:pStyle w:val="NormlnKZ"/>
        <w:spacing w:after="0"/>
        <w:ind w:firstLine="0"/>
        <w:rPr>
          <w:rFonts w:ascii="Calibri" w:hAnsi="Calibri" w:cs="Calibri"/>
          <w:sz w:val="24"/>
        </w:rPr>
        <w:sectPr w:rsidR="003C20A4" w:rsidSect="003D6A4F">
          <w:footerReference w:type="default" r:id="rId12"/>
          <w:footerReference w:type="first" r:id="rId13"/>
          <w:pgSz w:w="11906" w:h="16838"/>
          <w:pgMar w:top="1560" w:right="1417" w:bottom="1276" w:left="1417" w:header="708" w:footer="708" w:gutter="0"/>
          <w:cols w:space="708"/>
          <w:titlePg/>
          <w:docGrid w:linePitch="360"/>
        </w:sectPr>
      </w:pPr>
    </w:p>
    <w:p w14:paraId="20421A87" w14:textId="7636381B" w:rsidR="00970893" w:rsidRPr="00F46E3E" w:rsidRDefault="00F41A98" w:rsidP="00F41A98">
      <w:pPr>
        <w:jc w:val="center"/>
        <w:rPr>
          <w:b/>
          <w:sz w:val="40"/>
          <w:lang w:eastAsia="cs-CZ"/>
        </w:rPr>
      </w:pPr>
      <w:bookmarkStart w:id="0" w:name="_Hlk85636686"/>
      <w:r w:rsidRPr="00F46E3E">
        <w:rPr>
          <w:b/>
          <w:noProof/>
          <w:sz w:val="40"/>
          <w:lang w:eastAsia="cs-CZ"/>
        </w:rPr>
        <w:lastRenderedPageBreak/>
        <w:t xml:space="preserve">ČPP </w:t>
      </w:r>
      <w:r w:rsidR="00861B12" w:rsidRPr="00F46E3E">
        <w:rPr>
          <w:b/>
          <w:noProof/>
          <w:sz w:val="40"/>
          <w:lang w:eastAsia="cs-CZ"/>
        </w:rPr>
        <w:t>Transgas</w:t>
      </w:r>
      <w:r w:rsidRPr="00F46E3E">
        <w:rPr>
          <w:b/>
          <w:noProof/>
          <w:sz w:val="40"/>
          <w:lang w:eastAsia="cs-CZ"/>
        </w:rPr>
        <w:t>, s.p.</w:t>
      </w:r>
    </w:p>
    <w:p w14:paraId="62668A42" w14:textId="0ADBF317" w:rsidR="00970893" w:rsidRDefault="002255A2" w:rsidP="00604193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330980B0" wp14:editId="6A73AD31">
            <wp:extent cx="5760719" cy="547744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fografika 21_13 (2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547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A843" w14:textId="0F638C10" w:rsidR="003D6A4F" w:rsidRDefault="003D6A4F">
      <w:pPr>
        <w:rPr>
          <w:lang w:eastAsia="cs-CZ"/>
        </w:rPr>
      </w:pPr>
      <w:r>
        <w:rPr>
          <w:lang w:eastAsia="cs-CZ"/>
        </w:rPr>
        <w:br w:type="page"/>
      </w:r>
    </w:p>
    <w:p w14:paraId="0B8A4322" w14:textId="3C0834FC" w:rsidR="001E1138" w:rsidRPr="007D3809" w:rsidRDefault="001E1138" w:rsidP="003D6A4F">
      <w:pPr>
        <w:pStyle w:val="Nadpis1"/>
        <w:numPr>
          <w:ilvl w:val="0"/>
          <w:numId w:val="0"/>
        </w:numPr>
        <w:spacing w:before="0"/>
        <w:ind w:left="357" w:hanging="357"/>
        <w:rPr>
          <w:sz w:val="28"/>
          <w:szCs w:val="28"/>
        </w:rPr>
      </w:pPr>
      <w:r w:rsidRPr="007D3809">
        <w:rPr>
          <w:sz w:val="28"/>
          <w:szCs w:val="28"/>
        </w:rPr>
        <w:lastRenderedPageBreak/>
        <w:t>I. Shrnutí a vyhodnocení</w:t>
      </w:r>
    </w:p>
    <w:p w14:paraId="24215EE5" w14:textId="1494DEBB" w:rsidR="00626081" w:rsidRPr="00626081" w:rsidRDefault="00626081" w:rsidP="003D6A4F">
      <w:pPr>
        <w:spacing w:after="120" w:line="240" w:lineRule="auto"/>
        <w:jc w:val="both"/>
        <w:rPr>
          <w:rFonts w:cstheme="minorHAnsi"/>
          <w:sz w:val="24"/>
        </w:rPr>
      </w:pPr>
      <w:r w:rsidRPr="00626081">
        <w:rPr>
          <w:rFonts w:cstheme="minorHAnsi"/>
          <w:sz w:val="24"/>
        </w:rPr>
        <w:t>Cílem kontroly bylo prověřit, zda státní podnik ČPP Transgas hospodaří s majetkem a</w:t>
      </w:r>
      <w:r w:rsidR="00A24AAD">
        <w:rPr>
          <w:rFonts w:cstheme="minorHAnsi"/>
          <w:sz w:val="24"/>
        </w:rPr>
        <w:t> </w:t>
      </w:r>
      <w:r w:rsidRPr="00626081">
        <w:rPr>
          <w:rFonts w:cstheme="minorHAnsi"/>
          <w:sz w:val="24"/>
        </w:rPr>
        <w:t>peněžními prostředk</w:t>
      </w:r>
      <w:r w:rsidR="00201977">
        <w:rPr>
          <w:rFonts w:cstheme="minorHAnsi"/>
          <w:sz w:val="24"/>
        </w:rPr>
        <w:t>y</w:t>
      </w:r>
      <w:r w:rsidRPr="00626081">
        <w:rPr>
          <w:rFonts w:cstheme="minorHAnsi"/>
          <w:sz w:val="24"/>
        </w:rPr>
        <w:t xml:space="preserve"> státu účelně, hospodárně, efektivně a v souladu s právními předpisy a</w:t>
      </w:r>
      <w:r w:rsidR="00A24AAD">
        <w:rPr>
          <w:rFonts w:cstheme="minorHAnsi"/>
          <w:sz w:val="24"/>
        </w:rPr>
        <w:t> </w:t>
      </w:r>
      <w:r w:rsidRPr="00626081">
        <w:rPr>
          <w:rFonts w:cstheme="minorHAnsi"/>
          <w:sz w:val="24"/>
        </w:rPr>
        <w:t>zda činí účinné kroky k vypořádání a využití majetku zbylého po privatizaci, a současně ověřit, zda Ministerstvo průmyslu a obchodu plní funkci zakladatele v souladu s právními předpisy</w:t>
      </w:r>
      <w:r w:rsidR="00AB712C">
        <w:rPr>
          <w:rFonts w:cstheme="minorHAnsi"/>
          <w:sz w:val="24"/>
        </w:rPr>
        <w:t>, zejména zákon</w:t>
      </w:r>
      <w:r w:rsidR="00201977">
        <w:rPr>
          <w:rFonts w:cstheme="minorHAnsi"/>
          <w:sz w:val="24"/>
        </w:rPr>
        <w:t>em</w:t>
      </w:r>
      <w:r w:rsidR="00AB712C">
        <w:rPr>
          <w:rFonts w:cstheme="minorHAnsi"/>
          <w:sz w:val="24"/>
        </w:rPr>
        <w:t xml:space="preserve"> č. 77/1997 Sb.</w:t>
      </w:r>
      <w:r w:rsidR="00D14BBC">
        <w:rPr>
          <w:rFonts w:cstheme="minorHAnsi"/>
          <w:sz w:val="24"/>
        </w:rPr>
        <w:t>,</w:t>
      </w:r>
      <w:r w:rsidR="00AB712C">
        <w:rPr>
          <w:rFonts w:cstheme="minorHAnsi"/>
          <w:sz w:val="24"/>
        </w:rPr>
        <w:t xml:space="preserve"> o státním podniku</w:t>
      </w:r>
      <w:r w:rsidR="00EB24E6">
        <w:rPr>
          <w:rFonts w:cstheme="minorHAnsi"/>
          <w:sz w:val="24"/>
        </w:rPr>
        <w:t>,</w:t>
      </w:r>
      <w:r w:rsidR="00AB712C">
        <w:rPr>
          <w:rFonts w:cstheme="minorHAnsi"/>
          <w:sz w:val="24"/>
        </w:rPr>
        <w:t xml:space="preserve"> a </w:t>
      </w:r>
      <w:r w:rsidR="00AB712C" w:rsidRPr="00B74EBF">
        <w:rPr>
          <w:rFonts w:cstheme="minorHAnsi"/>
          <w:i/>
          <w:sz w:val="24"/>
        </w:rPr>
        <w:t>Strategi</w:t>
      </w:r>
      <w:r w:rsidR="003F6B7A" w:rsidRPr="00B74EBF">
        <w:rPr>
          <w:rFonts w:cstheme="minorHAnsi"/>
          <w:i/>
          <w:sz w:val="24"/>
        </w:rPr>
        <w:t>í</w:t>
      </w:r>
      <w:r w:rsidR="00AB712C" w:rsidRPr="00B74EBF">
        <w:rPr>
          <w:rFonts w:cstheme="minorHAnsi"/>
          <w:i/>
          <w:sz w:val="24"/>
        </w:rPr>
        <w:t xml:space="preserve"> vlastnické politiky státu</w:t>
      </w:r>
      <w:r w:rsidR="00AB712C">
        <w:rPr>
          <w:rFonts w:cstheme="minorHAnsi"/>
          <w:sz w:val="24"/>
        </w:rPr>
        <w:t>.</w:t>
      </w:r>
    </w:p>
    <w:p w14:paraId="18EA2E1B" w14:textId="7CAFE03A" w:rsidR="00626081" w:rsidRPr="00DB6C75" w:rsidRDefault="00626081" w:rsidP="003D6A4F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DB6C75">
        <w:rPr>
          <w:rFonts w:cstheme="minorHAnsi"/>
          <w:b/>
          <w:sz w:val="24"/>
          <w:szCs w:val="24"/>
        </w:rPr>
        <w:t xml:space="preserve">Transgas je státní podnik, který </w:t>
      </w:r>
      <w:r w:rsidR="00A7320A">
        <w:rPr>
          <w:rFonts w:cstheme="minorHAnsi"/>
          <w:b/>
          <w:sz w:val="24"/>
          <w:szCs w:val="24"/>
        </w:rPr>
        <w:t xml:space="preserve">má právo hospodařit s </w:t>
      </w:r>
      <w:r w:rsidRPr="00DB6C75">
        <w:rPr>
          <w:rFonts w:cstheme="minorHAnsi"/>
          <w:b/>
          <w:sz w:val="24"/>
          <w:szCs w:val="24"/>
        </w:rPr>
        <w:t>nemovitý</w:t>
      </w:r>
      <w:r w:rsidR="00A7320A">
        <w:rPr>
          <w:rFonts w:cstheme="minorHAnsi"/>
          <w:b/>
          <w:sz w:val="24"/>
          <w:szCs w:val="24"/>
        </w:rPr>
        <w:t>m</w:t>
      </w:r>
      <w:r w:rsidRPr="00DB6C75">
        <w:rPr>
          <w:rFonts w:cstheme="minorHAnsi"/>
          <w:b/>
          <w:sz w:val="24"/>
          <w:szCs w:val="24"/>
        </w:rPr>
        <w:t xml:space="preserve"> majetk</w:t>
      </w:r>
      <w:r w:rsidR="00A7320A">
        <w:rPr>
          <w:rFonts w:cstheme="minorHAnsi"/>
          <w:b/>
          <w:sz w:val="24"/>
          <w:szCs w:val="24"/>
        </w:rPr>
        <w:t>em</w:t>
      </w:r>
      <w:r>
        <w:rPr>
          <w:rFonts w:cstheme="minorHAnsi"/>
          <w:b/>
          <w:sz w:val="24"/>
          <w:szCs w:val="24"/>
        </w:rPr>
        <w:t xml:space="preserve"> zbylý</w:t>
      </w:r>
      <w:r w:rsidR="00A7320A">
        <w:rPr>
          <w:rFonts w:cstheme="minorHAnsi"/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 xml:space="preserve"> po privatizaci jeho</w:t>
      </w:r>
      <w:r w:rsidRPr="00DB6C75">
        <w:rPr>
          <w:rFonts w:cstheme="minorHAnsi"/>
          <w:b/>
          <w:sz w:val="24"/>
          <w:szCs w:val="24"/>
        </w:rPr>
        <w:t xml:space="preserve"> právních předchůdc</w:t>
      </w:r>
      <w:r>
        <w:rPr>
          <w:rFonts w:cstheme="minorHAnsi"/>
          <w:b/>
          <w:sz w:val="24"/>
          <w:szCs w:val="24"/>
        </w:rPr>
        <w:t>ů</w:t>
      </w:r>
      <w:r w:rsidRPr="00DB6C75">
        <w:rPr>
          <w:rFonts w:cstheme="minorHAnsi"/>
          <w:b/>
          <w:sz w:val="24"/>
          <w:szCs w:val="24"/>
        </w:rPr>
        <w:t xml:space="preserve"> a majetk</w:t>
      </w:r>
      <w:r w:rsidR="003F6B7A">
        <w:rPr>
          <w:rFonts w:cstheme="minorHAnsi"/>
          <w:b/>
          <w:sz w:val="24"/>
          <w:szCs w:val="24"/>
        </w:rPr>
        <w:t>em</w:t>
      </w:r>
      <w:r w:rsidRPr="00DB6C7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zbylý</w:t>
      </w:r>
      <w:r w:rsidR="003F6B7A">
        <w:rPr>
          <w:rFonts w:cstheme="minorHAnsi"/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 xml:space="preserve"> z privatizace</w:t>
      </w:r>
      <w:r w:rsidRPr="00DB6C75">
        <w:rPr>
          <w:rFonts w:cstheme="minorHAnsi"/>
          <w:b/>
          <w:sz w:val="24"/>
          <w:szCs w:val="24"/>
        </w:rPr>
        <w:t xml:space="preserve"> jiných státních podniků, který na něj převedl</w:t>
      </w:r>
      <w:r w:rsidR="00CC5D38">
        <w:rPr>
          <w:rFonts w:cstheme="minorHAnsi"/>
          <w:b/>
          <w:sz w:val="24"/>
          <w:szCs w:val="24"/>
        </w:rPr>
        <w:t>o</w:t>
      </w:r>
      <w:r w:rsidR="00167623">
        <w:rPr>
          <w:rFonts w:cstheme="minorHAnsi"/>
          <w:b/>
          <w:sz w:val="24"/>
          <w:szCs w:val="24"/>
        </w:rPr>
        <w:t xml:space="preserve"> MPO</w:t>
      </w:r>
      <w:r w:rsidR="0098288C">
        <w:rPr>
          <w:rFonts w:cstheme="minorHAnsi"/>
          <w:b/>
          <w:sz w:val="24"/>
          <w:szCs w:val="24"/>
        </w:rPr>
        <w:t>.</w:t>
      </w:r>
      <w:r w:rsidRPr="00DB6C75">
        <w:rPr>
          <w:rFonts w:cstheme="minorHAnsi"/>
          <w:b/>
          <w:sz w:val="24"/>
          <w:szCs w:val="24"/>
        </w:rPr>
        <w:t xml:space="preserve"> Přestože účelem činnosti státního podniku má být plnění významných strategických, hospodářských, společenských, bezpečnostních nebo dalších zájmů státu</w:t>
      </w:r>
      <w:r>
        <w:rPr>
          <w:rStyle w:val="Znakapoznpodarou"/>
          <w:rFonts w:cstheme="minorHAnsi"/>
          <w:b/>
        </w:rPr>
        <w:footnoteReference w:id="2"/>
      </w:r>
      <w:r w:rsidRPr="00DB6C75">
        <w:rPr>
          <w:rFonts w:cstheme="minorHAnsi"/>
          <w:b/>
          <w:sz w:val="24"/>
          <w:szCs w:val="24"/>
        </w:rPr>
        <w:t>, Transgas provádí</w:t>
      </w:r>
      <w:r w:rsidR="006C380A">
        <w:rPr>
          <w:rFonts w:cstheme="minorHAnsi"/>
          <w:b/>
          <w:sz w:val="24"/>
          <w:szCs w:val="24"/>
        </w:rPr>
        <w:t xml:space="preserve"> </w:t>
      </w:r>
      <w:r w:rsidRPr="00DB6C75">
        <w:rPr>
          <w:rFonts w:cstheme="minorHAnsi"/>
          <w:b/>
          <w:sz w:val="24"/>
          <w:szCs w:val="24"/>
        </w:rPr>
        <w:t xml:space="preserve">zejména realitní činnost, případně plní dílčí úkoly, které mu </w:t>
      </w:r>
      <w:r w:rsidR="00CC5D38">
        <w:rPr>
          <w:rFonts w:cstheme="minorHAnsi"/>
          <w:b/>
          <w:sz w:val="24"/>
          <w:szCs w:val="24"/>
        </w:rPr>
        <w:t xml:space="preserve">MPO </w:t>
      </w:r>
      <w:r w:rsidRPr="00DB6C75">
        <w:rPr>
          <w:rFonts w:cstheme="minorHAnsi"/>
          <w:b/>
          <w:sz w:val="24"/>
          <w:szCs w:val="24"/>
        </w:rPr>
        <w:t>ukládá.</w:t>
      </w:r>
    </w:p>
    <w:p w14:paraId="6C1753DB" w14:textId="5392E801" w:rsidR="004E7818" w:rsidRDefault="004E7818" w:rsidP="003D6A4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Transgas vykazuje neoprávněně ve svém účetnictví </w:t>
      </w:r>
      <w:r w:rsidR="00186682">
        <w:rPr>
          <w:b/>
          <w:sz w:val="24"/>
          <w:szCs w:val="24"/>
        </w:rPr>
        <w:t>pohledávk</w:t>
      </w:r>
      <w:r w:rsidR="0094252E">
        <w:rPr>
          <w:b/>
          <w:sz w:val="24"/>
          <w:szCs w:val="24"/>
        </w:rPr>
        <w:t>u</w:t>
      </w:r>
      <w:r w:rsidR="001866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 tzv. </w:t>
      </w:r>
      <w:proofErr w:type="spellStart"/>
      <w:r w:rsidR="00EB24E6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>amburgských</w:t>
      </w:r>
      <w:proofErr w:type="spellEnd"/>
      <w:r>
        <w:rPr>
          <w:b/>
          <w:sz w:val="24"/>
          <w:szCs w:val="24"/>
        </w:rPr>
        <w:t xml:space="preserve"> dohod</w:t>
      </w:r>
      <w:r w:rsidR="00BF6BE7">
        <w:rPr>
          <w:rStyle w:val="Znakapoznpodarou"/>
          <w:b/>
          <w:sz w:val="24"/>
          <w:szCs w:val="24"/>
        </w:rPr>
        <w:footnoteReference w:id="3"/>
      </w:r>
      <w:r>
        <w:rPr>
          <w:b/>
          <w:sz w:val="24"/>
          <w:szCs w:val="24"/>
        </w:rPr>
        <w:t xml:space="preserve"> ve výši 4,6 mld. Kč, která činí 91 % aktiv podniku. </w:t>
      </w:r>
      <w:r w:rsidR="0078771F">
        <w:rPr>
          <w:b/>
          <w:sz w:val="24"/>
          <w:szCs w:val="24"/>
        </w:rPr>
        <w:t>P</w:t>
      </w:r>
      <w:r w:rsidR="00D07E4C">
        <w:rPr>
          <w:b/>
          <w:sz w:val="24"/>
          <w:szCs w:val="24"/>
        </w:rPr>
        <w:t>říslušnost</w:t>
      </w:r>
      <w:r w:rsidR="0078771F">
        <w:rPr>
          <w:b/>
          <w:sz w:val="24"/>
          <w:szCs w:val="24"/>
        </w:rPr>
        <w:t xml:space="preserve"> hospodařit s touto pohledávkou </w:t>
      </w:r>
      <w:r w:rsidR="007D1D55">
        <w:rPr>
          <w:b/>
          <w:sz w:val="24"/>
          <w:szCs w:val="24"/>
        </w:rPr>
        <w:t>náleží</w:t>
      </w:r>
      <w:r w:rsidR="0078771F">
        <w:rPr>
          <w:b/>
          <w:sz w:val="24"/>
          <w:szCs w:val="24"/>
        </w:rPr>
        <w:t xml:space="preserve"> Ministerstvu financí</w:t>
      </w:r>
      <w:r w:rsidR="00201977">
        <w:rPr>
          <w:b/>
          <w:sz w:val="24"/>
          <w:szCs w:val="24"/>
        </w:rPr>
        <w:t xml:space="preserve"> </w:t>
      </w:r>
      <w:r w:rsidR="00201977" w:rsidRPr="00A10FF7">
        <w:rPr>
          <w:rFonts w:ascii="Calibri" w:eastAsia="Calibri" w:hAnsi="Calibri" w:cs="Calibri"/>
          <w:b/>
          <w:sz w:val="24"/>
        </w:rPr>
        <w:t>podle § 4 zákona č. 2/1969 Sb.</w:t>
      </w:r>
      <w:r w:rsidR="007877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Tím </w:t>
      </w:r>
      <w:r w:rsidR="007573D4">
        <w:rPr>
          <w:b/>
          <w:sz w:val="24"/>
          <w:szCs w:val="24"/>
        </w:rPr>
        <w:t>odpadá</w:t>
      </w:r>
      <w:r>
        <w:rPr>
          <w:b/>
          <w:sz w:val="24"/>
          <w:szCs w:val="24"/>
        </w:rPr>
        <w:t xml:space="preserve"> jediný </w:t>
      </w:r>
      <w:r w:rsidR="00F556FD">
        <w:rPr>
          <w:b/>
          <w:sz w:val="24"/>
          <w:szCs w:val="24"/>
        </w:rPr>
        <w:t xml:space="preserve">významný </w:t>
      </w:r>
      <w:r>
        <w:rPr>
          <w:b/>
          <w:sz w:val="24"/>
          <w:szCs w:val="24"/>
        </w:rPr>
        <w:t xml:space="preserve">důvod existence </w:t>
      </w:r>
      <w:proofErr w:type="spellStart"/>
      <w:r>
        <w:rPr>
          <w:b/>
          <w:sz w:val="24"/>
          <w:szCs w:val="24"/>
        </w:rPr>
        <w:t>Transgasu</w:t>
      </w:r>
      <w:proofErr w:type="spellEnd"/>
      <w:r w:rsidR="00AC48F7">
        <w:rPr>
          <w:b/>
          <w:sz w:val="24"/>
          <w:szCs w:val="24"/>
        </w:rPr>
        <w:t>.</w:t>
      </w:r>
    </w:p>
    <w:p w14:paraId="33DC71DD" w14:textId="45DB4E92" w:rsidR="00626081" w:rsidRPr="00DB6C75" w:rsidRDefault="00626081" w:rsidP="003D6A4F">
      <w:pPr>
        <w:spacing w:after="120" w:line="240" w:lineRule="auto"/>
        <w:jc w:val="both"/>
        <w:rPr>
          <w:b/>
          <w:sz w:val="24"/>
          <w:szCs w:val="24"/>
        </w:rPr>
      </w:pPr>
      <w:r w:rsidRPr="00DB6C75">
        <w:rPr>
          <w:b/>
          <w:sz w:val="24"/>
          <w:szCs w:val="24"/>
        </w:rPr>
        <w:t xml:space="preserve">Náklady </w:t>
      </w:r>
      <w:proofErr w:type="spellStart"/>
      <w:r w:rsidRPr="00DB6C75">
        <w:rPr>
          <w:b/>
          <w:sz w:val="24"/>
          <w:szCs w:val="24"/>
        </w:rPr>
        <w:t>Transgasu</w:t>
      </w:r>
      <w:proofErr w:type="spellEnd"/>
      <w:r w:rsidRPr="00DB6C75">
        <w:rPr>
          <w:b/>
          <w:sz w:val="24"/>
          <w:szCs w:val="24"/>
        </w:rPr>
        <w:t xml:space="preserve"> jsou dlouhodobě výrazně vyšší než jeho výnosy. Přestože Transgas od roku 2016 hospodařil se ztrátou</w:t>
      </w:r>
      <w:r w:rsidR="00171F21">
        <w:rPr>
          <w:b/>
          <w:sz w:val="24"/>
          <w:szCs w:val="24"/>
        </w:rPr>
        <w:t xml:space="preserve">, která kumulativně ke konci </w:t>
      </w:r>
      <w:r w:rsidRPr="00DB6C75">
        <w:rPr>
          <w:b/>
          <w:sz w:val="24"/>
          <w:szCs w:val="24"/>
        </w:rPr>
        <w:t xml:space="preserve">roku 2020 </w:t>
      </w:r>
      <w:r w:rsidR="00EB24E6">
        <w:rPr>
          <w:b/>
          <w:sz w:val="24"/>
          <w:szCs w:val="24"/>
        </w:rPr>
        <w:t>dosáhla</w:t>
      </w:r>
      <w:r w:rsidRPr="00DB6C75">
        <w:rPr>
          <w:b/>
          <w:sz w:val="24"/>
          <w:szCs w:val="24"/>
        </w:rPr>
        <w:t xml:space="preserve"> 22,8</w:t>
      </w:r>
      <w:r w:rsidR="00EB24E6">
        <w:rPr>
          <w:b/>
          <w:sz w:val="24"/>
          <w:szCs w:val="24"/>
        </w:rPr>
        <w:t> </w:t>
      </w:r>
      <w:r w:rsidRPr="00DB6C75">
        <w:rPr>
          <w:b/>
          <w:sz w:val="24"/>
          <w:szCs w:val="24"/>
        </w:rPr>
        <w:t>mil.</w:t>
      </w:r>
      <w:r w:rsidR="00EB24E6">
        <w:rPr>
          <w:b/>
          <w:sz w:val="24"/>
          <w:szCs w:val="24"/>
        </w:rPr>
        <w:t> </w:t>
      </w:r>
      <w:r w:rsidRPr="00DB6C75">
        <w:rPr>
          <w:b/>
          <w:sz w:val="24"/>
          <w:szCs w:val="24"/>
        </w:rPr>
        <w:t xml:space="preserve">Kč, nehledal </w:t>
      </w:r>
      <w:r w:rsidR="00AC48F7">
        <w:rPr>
          <w:b/>
          <w:sz w:val="24"/>
          <w:szCs w:val="24"/>
        </w:rPr>
        <w:t xml:space="preserve">dostatečné </w:t>
      </w:r>
      <w:r w:rsidRPr="00DB6C75">
        <w:rPr>
          <w:b/>
          <w:sz w:val="24"/>
          <w:szCs w:val="24"/>
        </w:rPr>
        <w:t xml:space="preserve">úspory v oblasti </w:t>
      </w:r>
      <w:r>
        <w:rPr>
          <w:b/>
          <w:sz w:val="24"/>
          <w:szCs w:val="24"/>
        </w:rPr>
        <w:t>nákladů</w:t>
      </w:r>
      <w:r w:rsidRPr="00DB6C75">
        <w:rPr>
          <w:b/>
          <w:sz w:val="24"/>
          <w:szCs w:val="24"/>
        </w:rPr>
        <w:t>.</w:t>
      </w:r>
    </w:p>
    <w:p w14:paraId="44BA2B0D" w14:textId="405D459F" w:rsidR="00626081" w:rsidRDefault="00626081" w:rsidP="003D6A4F">
      <w:pPr>
        <w:spacing w:before="360" w:after="120" w:line="240" w:lineRule="auto"/>
        <w:jc w:val="both"/>
        <w:rPr>
          <w:sz w:val="24"/>
          <w:szCs w:val="23"/>
        </w:rPr>
      </w:pPr>
      <w:r w:rsidRPr="00513AD8">
        <w:rPr>
          <w:sz w:val="24"/>
          <w:szCs w:val="23"/>
        </w:rPr>
        <w:t>Výše uvedené celkové vyhodnocení vyplývá z následujících zjištění:</w:t>
      </w:r>
    </w:p>
    <w:p w14:paraId="35126113" w14:textId="72B8C777" w:rsidR="00626081" w:rsidRDefault="00626081" w:rsidP="003D6A4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bookmarkStart w:id="1" w:name="_Hlk85696274"/>
      <w:r>
        <w:rPr>
          <w:sz w:val="24"/>
        </w:rPr>
        <w:t>Transgas n</w:t>
      </w:r>
      <w:r w:rsidRPr="00BB5F88">
        <w:rPr>
          <w:sz w:val="24"/>
        </w:rPr>
        <w:t>evykonává žádnou činnost, která by naplňovala definici významných strategických, hospodářských, společenských nebo bezpečnostních zájmů státu</w:t>
      </w:r>
      <w:r w:rsidR="00266A03">
        <w:rPr>
          <w:sz w:val="24"/>
        </w:rPr>
        <w:t xml:space="preserve">, jak </w:t>
      </w:r>
      <w:r w:rsidR="00A91779">
        <w:rPr>
          <w:sz w:val="24"/>
        </w:rPr>
        <w:t>uvádí</w:t>
      </w:r>
      <w:r w:rsidR="00266A03">
        <w:rPr>
          <w:sz w:val="24"/>
        </w:rPr>
        <w:t xml:space="preserve"> zákon č. 77/1997 Sb</w:t>
      </w:r>
      <w:r w:rsidR="00171F21">
        <w:rPr>
          <w:sz w:val="24"/>
          <w:vertAlign w:val="superscript"/>
        </w:rPr>
        <w:t>1</w:t>
      </w:r>
      <w:r w:rsidR="00266A03">
        <w:rPr>
          <w:sz w:val="24"/>
        </w:rPr>
        <w:t>.</w:t>
      </w:r>
      <w:r w:rsidRPr="00EC3554">
        <w:rPr>
          <w:sz w:val="24"/>
        </w:rPr>
        <w:t xml:space="preserve"> </w:t>
      </w:r>
      <w:r>
        <w:rPr>
          <w:sz w:val="24"/>
        </w:rPr>
        <w:t xml:space="preserve">Transgas v kontrolovaném období spravoval, pronajímal nebo prodával nemovitosti, případně plnil dílčí úkoly, které mu </w:t>
      </w:r>
      <w:r w:rsidR="00CC5D38">
        <w:rPr>
          <w:sz w:val="24"/>
        </w:rPr>
        <w:t xml:space="preserve">MPO </w:t>
      </w:r>
      <w:r>
        <w:rPr>
          <w:sz w:val="24"/>
        </w:rPr>
        <w:t>uložilo.</w:t>
      </w:r>
    </w:p>
    <w:p w14:paraId="3FB81EEB" w14:textId="09621993" w:rsidR="009602AA" w:rsidRPr="009602AA" w:rsidRDefault="009602AA" w:rsidP="003D6A4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Transgas vede v účetnictví a vykazuje v rozvaze pohledávku z tzv. </w:t>
      </w:r>
      <w:proofErr w:type="spellStart"/>
      <w:r w:rsidR="00EB24E6">
        <w:rPr>
          <w:sz w:val="24"/>
        </w:rPr>
        <w:t>j</w:t>
      </w:r>
      <w:r>
        <w:rPr>
          <w:sz w:val="24"/>
        </w:rPr>
        <w:t>amburgských</w:t>
      </w:r>
      <w:proofErr w:type="spellEnd"/>
      <w:r>
        <w:rPr>
          <w:sz w:val="24"/>
        </w:rPr>
        <w:t xml:space="preserve"> dohod v hodnotě 4,56 mld. Kč, se kterou nemá </w:t>
      </w:r>
      <w:r w:rsidR="003F6B7A">
        <w:rPr>
          <w:sz w:val="24"/>
        </w:rPr>
        <w:t>právo</w:t>
      </w:r>
      <w:r>
        <w:rPr>
          <w:sz w:val="24"/>
        </w:rPr>
        <w:t xml:space="preserve"> hospodařit. Ve stejné výši vede neoprávněně závazek vůči Ministerstvu financí. Transgas tak vykazuje skutečnosti, které nejsou ve smyslu § 2 odst. 1 zákona č. 563/1991 Sb., o účetnictví</w:t>
      </w:r>
      <w:r w:rsidR="00EB24E6">
        <w:rPr>
          <w:sz w:val="24"/>
        </w:rPr>
        <w:t>,</w:t>
      </w:r>
      <w:r>
        <w:rPr>
          <w:sz w:val="24"/>
        </w:rPr>
        <w:t xml:space="preserve"> předmětem jeho účetnictví a tím nadhodnocuje svá aktiva a pasiva. Vzhledem k tomu, že objem 4,56</w:t>
      </w:r>
      <w:r w:rsidR="00A24AAD">
        <w:rPr>
          <w:sz w:val="24"/>
        </w:rPr>
        <w:t> </w:t>
      </w:r>
      <w:r>
        <w:rPr>
          <w:sz w:val="24"/>
        </w:rPr>
        <w:t>mld.</w:t>
      </w:r>
      <w:r w:rsidR="00A24AAD">
        <w:rPr>
          <w:sz w:val="24"/>
        </w:rPr>
        <w:t> </w:t>
      </w:r>
      <w:r>
        <w:rPr>
          <w:sz w:val="24"/>
        </w:rPr>
        <w:t xml:space="preserve">Kč představoval v letech 2017 až 2020 průměrně 91 % aktiv i pasiv, je nadhodnocení výrazné. Auditor </w:t>
      </w:r>
      <w:r w:rsidR="00AF2F91">
        <w:rPr>
          <w:sz w:val="24"/>
        </w:rPr>
        <w:t xml:space="preserve">neodhalil </w:t>
      </w:r>
      <w:r>
        <w:rPr>
          <w:sz w:val="24"/>
        </w:rPr>
        <w:t xml:space="preserve">neoprávněnost </w:t>
      </w:r>
      <w:r w:rsidR="00AF2F91">
        <w:rPr>
          <w:sz w:val="24"/>
        </w:rPr>
        <w:t xml:space="preserve">vedení </w:t>
      </w:r>
      <w:r>
        <w:rPr>
          <w:sz w:val="24"/>
        </w:rPr>
        <w:t>pohledávky</w:t>
      </w:r>
      <w:r w:rsidR="00AF2F91">
        <w:rPr>
          <w:sz w:val="24"/>
        </w:rPr>
        <w:t xml:space="preserve"> v účetnictví </w:t>
      </w:r>
      <w:proofErr w:type="spellStart"/>
      <w:r w:rsidR="00AF2F91">
        <w:rPr>
          <w:sz w:val="24"/>
        </w:rPr>
        <w:t>Transgasu</w:t>
      </w:r>
      <w:proofErr w:type="spellEnd"/>
      <w:r>
        <w:rPr>
          <w:sz w:val="24"/>
        </w:rPr>
        <w:t xml:space="preserve"> a ve výroku auditora </w:t>
      </w:r>
      <w:r w:rsidR="00F57F71">
        <w:rPr>
          <w:sz w:val="24"/>
        </w:rPr>
        <w:t>k účetní závěrce</w:t>
      </w:r>
      <w:r w:rsidR="00E51982">
        <w:rPr>
          <w:sz w:val="24"/>
        </w:rPr>
        <w:t xml:space="preserve"> v letech 201</w:t>
      </w:r>
      <w:r w:rsidR="005F1F0A">
        <w:rPr>
          <w:sz w:val="24"/>
        </w:rPr>
        <w:t>4</w:t>
      </w:r>
      <w:r w:rsidR="00E70C58">
        <w:rPr>
          <w:sz w:val="24"/>
        </w:rPr>
        <w:t xml:space="preserve"> až </w:t>
      </w:r>
      <w:r w:rsidR="005F1F0A">
        <w:rPr>
          <w:sz w:val="24"/>
        </w:rPr>
        <w:t>2020</w:t>
      </w:r>
      <w:r w:rsidR="00F57F71">
        <w:rPr>
          <w:sz w:val="24"/>
        </w:rPr>
        <w:t xml:space="preserve"> </w:t>
      </w:r>
      <w:r>
        <w:rPr>
          <w:sz w:val="24"/>
        </w:rPr>
        <w:t>neuvedl výhradu</w:t>
      </w:r>
      <w:r w:rsidR="00284FD3">
        <w:rPr>
          <w:sz w:val="24"/>
        </w:rPr>
        <w:t>.</w:t>
      </w:r>
    </w:p>
    <w:p w14:paraId="5CA2683E" w14:textId="0F10E5DB" w:rsidR="00626081" w:rsidRDefault="00626081" w:rsidP="003D6A4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C17D52">
        <w:rPr>
          <w:sz w:val="24"/>
        </w:rPr>
        <w:t xml:space="preserve">MPO považuje za jediný důvod existence </w:t>
      </w:r>
      <w:proofErr w:type="spellStart"/>
      <w:r w:rsidRPr="00C17D52">
        <w:rPr>
          <w:sz w:val="24"/>
        </w:rPr>
        <w:t>Transgasu</w:t>
      </w:r>
      <w:proofErr w:type="spellEnd"/>
      <w:r w:rsidRPr="00C17D52">
        <w:rPr>
          <w:sz w:val="24"/>
        </w:rPr>
        <w:t xml:space="preserve"> nevypořádan</w:t>
      </w:r>
      <w:r w:rsidR="0094252E">
        <w:rPr>
          <w:sz w:val="24"/>
        </w:rPr>
        <w:t>ou</w:t>
      </w:r>
      <w:r w:rsidRPr="00C17D52">
        <w:rPr>
          <w:sz w:val="24"/>
        </w:rPr>
        <w:t xml:space="preserve"> pohledávk</w:t>
      </w:r>
      <w:r w:rsidR="0094252E">
        <w:rPr>
          <w:sz w:val="24"/>
        </w:rPr>
        <w:t>u</w:t>
      </w:r>
      <w:r w:rsidRPr="00C17D52">
        <w:rPr>
          <w:sz w:val="24"/>
        </w:rPr>
        <w:t xml:space="preserve"> z tzv. </w:t>
      </w:r>
      <w:proofErr w:type="spellStart"/>
      <w:r w:rsidR="0012434E">
        <w:rPr>
          <w:sz w:val="24"/>
        </w:rPr>
        <w:t>j</w:t>
      </w:r>
      <w:r w:rsidRPr="00C17D52">
        <w:rPr>
          <w:sz w:val="24"/>
        </w:rPr>
        <w:t>amburgských</w:t>
      </w:r>
      <w:proofErr w:type="spellEnd"/>
      <w:r w:rsidRPr="00C17D52">
        <w:rPr>
          <w:sz w:val="24"/>
        </w:rPr>
        <w:t xml:space="preserve"> dohod veden</w:t>
      </w:r>
      <w:r w:rsidR="00171F21">
        <w:rPr>
          <w:sz w:val="24"/>
        </w:rPr>
        <w:t>ou</w:t>
      </w:r>
      <w:r w:rsidRPr="00C17D52">
        <w:rPr>
          <w:sz w:val="24"/>
        </w:rPr>
        <w:t xml:space="preserve"> v</w:t>
      </w:r>
      <w:r>
        <w:rPr>
          <w:sz w:val="24"/>
        </w:rPr>
        <w:t xml:space="preserve"> jeho </w:t>
      </w:r>
      <w:r w:rsidRPr="00C17D52">
        <w:rPr>
          <w:sz w:val="24"/>
        </w:rPr>
        <w:t>rozvaze, a proto ho v</w:t>
      </w:r>
      <w:r w:rsidR="00A91779">
        <w:rPr>
          <w:sz w:val="24"/>
        </w:rPr>
        <w:t xml:space="preserve">e vládou schváleném </w:t>
      </w:r>
      <w:r w:rsidRPr="00C17D52">
        <w:rPr>
          <w:sz w:val="24"/>
        </w:rPr>
        <w:t xml:space="preserve">dokumentu </w:t>
      </w:r>
      <w:r w:rsidRPr="00C17D52">
        <w:rPr>
          <w:i/>
          <w:sz w:val="24"/>
        </w:rPr>
        <w:t xml:space="preserve">Strategie vlastnické politiky státu </w:t>
      </w:r>
      <w:r w:rsidRPr="00C17D52">
        <w:rPr>
          <w:sz w:val="24"/>
        </w:rPr>
        <w:t>zařadil</w:t>
      </w:r>
      <w:r w:rsidR="00C7704C">
        <w:rPr>
          <w:sz w:val="24"/>
        </w:rPr>
        <w:t>o</w:t>
      </w:r>
      <w:r w:rsidRPr="00C17D52">
        <w:rPr>
          <w:sz w:val="24"/>
        </w:rPr>
        <w:t xml:space="preserve"> do kategorie „</w:t>
      </w:r>
      <w:r w:rsidRPr="00C17D52">
        <w:rPr>
          <w:i/>
          <w:sz w:val="24"/>
        </w:rPr>
        <w:t>nezbytný podnik pro činnost rezortu</w:t>
      </w:r>
      <w:r w:rsidRPr="00C17D52">
        <w:rPr>
          <w:sz w:val="24"/>
        </w:rPr>
        <w:t xml:space="preserve">“. </w:t>
      </w:r>
      <w:r w:rsidR="00727259">
        <w:rPr>
          <w:sz w:val="24"/>
        </w:rPr>
        <w:t>NKÚ vyhodnotil, že Transgas má být zařazen do kategorie</w:t>
      </w:r>
      <w:r w:rsidRPr="00C17D52">
        <w:rPr>
          <w:sz w:val="24"/>
        </w:rPr>
        <w:t xml:space="preserve"> zbytných státních podniků</w:t>
      </w:r>
      <w:r w:rsidR="00101FFB">
        <w:rPr>
          <w:sz w:val="24"/>
        </w:rPr>
        <w:t xml:space="preserve">. </w:t>
      </w:r>
      <w:r w:rsidR="00E02DC1">
        <w:rPr>
          <w:sz w:val="24"/>
        </w:rPr>
        <w:t xml:space="preserve">Podle </w:t>
      </w:r>
      <w:r w:rsidR="00E02DC1" w:rsidRPr="00B74EBF">
        <w:rPr>
          <w:i/>
          <w:sz w:val="24"/>
        </w:rPr>
        <w:t>Strategie vlastnické politiky státu</w:t>
      </w:r>
      <w:r w:rsidR="00E02DC1">
        <w:rPr>
          <w:sz w:val="24"/>
        </w:rPr>
        <w:t xml:space="preserve"> mají být zbytné státní podniky prodány nebo zlikvidovány.</w:t>
      </w:r>
      <w:r w:rsidR="00727259">
        <w:rPr>
          <w:sz w:val="24"/>
        </w:rPr>
        <w:t xml:space="preserve"> </w:t>
      </w:r>
      <w:r w:rsidR="00A91779">
        <w:rPr>
          <w:sz w:val="24"/>
        </w:rPr>
        <w:t>.</w:t>
      </w:r>
      <w:r w:rsidRPr="00C17D52">
        <w:rPr>
          <w:sz w:val="24"/>
        </w:rPr>
        <w:t xml:space="preserve">  </w:t>
      </w:r>
    </w:p>
    <w:bookmarkEnd w:id="1"/>
    <w:p w14:paraId="7587108D" w14:textId="72FE0E02" w:rsidR="00D14BBC" w:rsidRPr="00795298" w:rsidRDefault="00626081" w:rsidP="003D6A4F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795298">
        <w:rPr>
          <w:sz w:val="24"/>
        </w:rPr>
        <w:lastRenderedPageBreak/>
        <w:t>Transgas od roku 2016 hospodař</w:t>
      </w:r>
      <w:r w:rsidR="00A93089">
        <w:rPr>
          <w:sz w:val="24"/>
        </w:rPr>
        <w:t>il</w:t>
      </w:r>
      <w:r w:rsidRPr="00795298">
        <w:rPr>
          <w:sz w:val="24"/>
        </w:rPr>
        <w:t xml:space="preserve"> se ztrátou, která</w:t>
      </w:r>
      <w:r w:rsidR="00266A03" w:rsidRPr="00795298">
        <w:rPr>
          <w:sz w:val="24"/>
        </w:rPr>
        <w:t xml:space="preserve"> kumulativně</w:t>
      </w:r>
      <w:r w:rsidRPr="00795298">
        <w:rPr>
          <w:sz w:val="24"/>
        </w:rPr>
        <w:t xml:space="preserve"> do konce roku 2020 čin</w:t>
      </w:r>
      <w:r w:rsidR="00CC5D38" w:rsidRPr="00795298">
        <w:rPr>
          <w:sz w:val="24"/>
        </w:rPr>
        <w:t>ila</w:t>
      </w:r>
      <w:r w:rsidRPr="00795298">
        <w:rPr>
          <w:sz w:val="24"/>
        </w:rPr>
        <w:t xml:space="preserve"> 22,8 mil. Kč. Výnosy </w:t>
      </w:r>
      <w:proofErr w:type="spellStart"/>
      <w:r w:rsidRPr="00795298">
        <w:rPr>
          <w:sz w:val="24"/>
        </w:rPr>
        <w:t>Transgasu</w:t>
      </w:r>
      <w:proofErr w:type="spellEnd"/>
      <w:r w:rsidRPr="00795298">
        <w:rPr>
          <w:sz w:val="24"/>
        </w:rPr>
        <w:t xml:space="preserve"> tvoří </w:t>
      </w:r>
      <w:r w:rsidR="00A255D0">
        <w:rPr>
          <w:sz w:val="24"/>
        </w:rPr>
        <w:t xml:space="preserve">příjmy z </w:t>
      </w:r>
      <w:r w:rsidRPr="00795298">
        <w:rPr>
          <w:sz w:val="24"/>
        </w:rPr>
        <w:t>pronájm</w:t>
      </w:r>
      <w:r w:rsidR="000022F1">
        <w:rPr>
          <w:sz w:val="24"/>
        </w:rPr>
        <w:t>ů</w:t>
      </w:r>
      <w:r w:rsidRPr="00795298">
        <w:rPr>
          <w:sz w:val="24"/>
        </w:rPr>
        <w:t xml:space="preserve"> dvou komerčních areálů, prodej</w:t>
      </w:r>
      <w:r w:rsidR="00A255D0">
        <w:rPr>
          <w:sz w:val="24"/>
        </w:rPr>
        <w:t>e</w:t>
      </w:r>
      <w:r w:rsidRPr="00795298">
        <w:rPr>
          <w:sz w:val="24"/>
        </w:rPr>
        <w:t xml:space="preserve"> nelukrativních pozemků a </w:t>
      </w:r>
      <w:r w:rsidR="00A255D0">
        <w:rPr>
          <w:sz w:val="24"/>
        </w:rPr>
        <w:t>úroky z peněžních prostředků na bankovních účtech</w:t>
      </w:r>
      <w:r w:rsidRPr="00795298">
        <w:rPr>
          <w:sz w:val="24"/>
        </w:rPr>
        <w:t xml:space="preserve">. Náklady na </w:t>
      </w:r>
      <w:r w:rsidR="00191D5C">
        <w:rPr>
          <w:sz w:val="24"/>
        </w:rPr>
        <w:t>provoz</w:t>
      </w:r>
      <w:r w:rsidRPr="00795298">
        <w:rPr>
          <w:sz w:val="24"/>
        </w:rPr>
        <w:t xml:space="preserve"> </w:t>
      </w:r>
      <w:proofErr w:type="spellStart"/>
      <w:r w:rsidRPr="00795298">
        <w:rPr>
          <w:sz w:val="24"/>
        </w:rPr>
        <w:t>Transgasu</w:t>
      </w:r>
      <w:proofErr w:type="spellEnd"/>
      <w:r w:rsidRPr="00795298">
        <w:rPr>
          <w:sz w:val="24"/>
        </w:rPr>
        <w:t xml:space="preserve"> </w:t>
      </w:r>
      <w:r w:rsidR="006C380A" w:rsidRPr="00795298">
        <w:rPr>
          <w:sz w:val="24"/>
        </w:rPr>
        <w:t>jsou vyšší než</w:t>
      </w:r>
      <w:r w:rsidRPr="00795298">
        <w:rPr>
          <w:sz w:val="24"/>
        </w:rPr>
        <w:t xml:space="preserve"> </w:t>
      </w:r>
      <w:r w:rsidR="00ED1F50">
        <w:rPr>
          <w:sz w:val="24"/>
        </w:rPr>
        <w:t xml:space="preserve">jeho </w:t>
      </w:r>
      <w:r w:rsidRPr="00795298">
        <w:rPr>
          <w:sz w:val="24"/>
        </w:rPr>
        <w:t xml:space="preserve">výnosy. Transgas v době ztrátového hospodaření nehledal </w:t>
      </w:r>
      <w:r w:rsidR="003300A5">
        <w:rPr>
          <w:sz w:val="24"/>
        </w:rPr>
        <w:t xml:space="preserve">dostatečné </w:t>
      </w:r>
      <w:r w:rsidRPr="00795298">
        <w:rPr>
          <w:sz w:val="24"/>
        </w:rPr>
        <w:t xml:space="preserve">úspory v oblasti nákladů </w:t>
      </w:r>
      <w:r w:rsidR="003300A5">
        <w:rPr>
          <w:sz w:val="24"/>
        </w:rPr>
        <w:t>a zaměstnancům</w:t>
      </w:r>
      <w:r w:rsidRPr="00795298">
        <w:rPr>
          <w:sz w:val="24"/>
        </w:rPr>
        <w:t xml:space="preserve"> poskytoval vysoké roční benefity. </w:t>
      </w:r>
      <w:r w:rsidR="00D14BBC" w:rsidRPr="00795298">
        <w:rPr>
          <w:sz w:val="24"/>
        </w:rPr>
        <w:t>V oblastech nakládání s nemovitým majetkem a pořizování služeb kontrola zjistila dílčí pochybení</w:t>
      </w:r>
      <w:r w:rsidR="000E611B">
        <w:rPr>
          <w:sz w:val="24"/>
        </w:rPr>
        <w:t>.</w:t>
      </w:r>
    </w:p>
    <w:bookmarkEnd w:id="0"/>
    <w:p w14:paraId="1990F0C9" w14:textId="476CAD0C" w:rsidR="00932342" w:rsidRDefault="00932342" w:rsidP="003D6A4F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932342">
        <w:rPr>
          <w:rFonts w:cstheme="minorHAnsi"/>
          <w:b/>
          <w:sz w:val="24"/>
          <w:szCs w:val="24"/>
        </w:rPr>
        <w:t xml:space="preserve">NKÚ doporučuje, aby </w:t>
      </w:r>
      <w:r>
        <w:rPr>
          <w:rFonts w:cstheme="minorHAnsi"/>
          <w:b/>
          <w:sz w:val="24"/>
          <w:szCs w:val="24"/>
        </w:rPr>
        <w:t>MPO</w:t>
      </w:r>
      <w:r w:rsidRPr="00932342">
        <w:rPr>
          <w:rFonts w:cstheme="minorHAnsi"/>
          <w:b/>
          <w:sz w:val="24"/>
          <w:szCs w:val="24"/>
        </w:rPr>
        <w:t xml:space="preserve"> s ohledem na shora uvedená zjištění posoudil</w:t>
      </w:r>
      <w:r>
        <w:rPr>
          <w:rFonts w:cstheme="minorHAnsi"/>
          <w:b/>
          <w:sz w:val="24"/>
          <w:szCs w:val="24"/>
        </w:rPr>
        <w:t>o</w:t>
      </w:r>
      <w:r w:rsidRPr="00932342">
        <w:rPr>
          <w:rFonts w:cstheme="minorHAnsi"/>
          <w:b/>
          <w:sz w:val="24"/>
          <w:szCs w:val="24"/>
        </w:rPr>
        <w:t>, zda trvají předpoklady pro činnost státního podniku požadované zákonem č. 77/1997 Sb., a následně rozhodl</w:t>
      </w:r>
      <w:r>
        <w:rPr>
          <w:rFonts w:cstheme="minorHAnsi"/>
          <w:b/>
          <w:sz w:val="24"/>
          <w:szCs w:val="24"/>
        </w:rPr>
        <w:t>o</w:t>
      </w:r>
      <w:r w:rsidRPr="00932342">
        <w:rPr>
          <w:rFonts w:cstheme="minorHAnsi"/>
          <w:b/>
          <w:sz w:val="24"/>
          <w:szCs w:val="24"/>
        </w:rPr>
        <w:t xml:space="preserve"> o jeho zrušení.</w:t>
      </w:r>
    </w:p>
    <w:p w14:paraId="0E0D7B32" w14:textId="3BC6D692" w:rsidR="003869EF" w:rsidRPr="00891AA7" w:rsidRDefault="003869EF" w:rsidP="003D6A4F">
      <w:pPr>
        <w:pStyle w:val="Nadpis1"/>
        <w:numPr>
          <w:ilvl w:val="0"/>
          <w:numId w:val="0"/>
        </w:numPr>
        <w:rPr>
          <w:sz w:val="28"/>
          <w:szCs w:val="28"/>
        </w:rPr>
      </w:pPr>
      <w:r w:rsidRPr="00891AA7">
        <w:rPr>
          <w:sz w:val="28"/>
          <w:szCs w:val="28"/>
        </w:rPr>
        <w:t>II. Informace o kontrolované obla</w:t>
      </w:r>
      <w:bookmarkStart w:id="2" w:name="_GoBack"/>
      <w:bookmarkEnd w:id="2"/>
      <w:r w:rsidRPr="00891AA7">
        <w:rPr>
          <w:sz w:val="28"/>
          <w:szCs w:val="28"/>
        </w:rPr>
        <w:t>sti</w:t>
      </w:r>
    </w:p>
    <w:p w14:paraId="2B415687" w14:textId="77777777" w:rsidR="00626081" w:rsidRPr="00626081" w:rsidRDefault="00626081" w:rsidP="003D6A4F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26081">
        <w:rPr>
          <w:rFonts w:ascii="Calibri" w:eastAsia="Calibri" w:hAnsi="Calibri" w:cs="Times New Roman"/>
          <w:b/>
          <w:sz w:val="24"/>
          <w:szCs w:val="24"/>
        </w:rPr>
        <w:t xml:space="preserve">ČPP Transgas, </w:t>
      </w:r>
      <w:proofErr w:type="spellStart"/>
      <w:r w:rsidRPr="00626081">
        <w:rPr>
          <w:rFonts w:ascii="Calibri" w:eastAsia="Calibri" w:hAnsi="Calibri" w:cs="Times New Roman"/>
          <w:b/>
          <w:sz w:val="24"/>
          <w:szCs w:val="24"/>
        </w:rPr>
        <w:t>s.p</w:t>
      </w:r>
      <w:proofErr w:type="spellEnd"/>
      <w:r w:rsidRPr="00626081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04A13DAE" w14:textId="3A493A59" w:rsidR="00626081" w:rsidRPr="00626081" w:rsidRDefault="00626081" w:rsidP="003D6A4F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26081">
        <w:rPr>
          <w:rFonts w:ascii="Calibri" w:eastAsia="Calibri" w:hAnsi="Calibri" w:cs="Calibri"/>
          <w:sz w:val="24"/>
          <w:szCs w:val="24"/>
        </w:rPr>
        <w:t xml:space="preserve">ČPP Transgas, </w:t>
      </w:r>
      <w:proofErr w:type="spellStart"/>
      <w:r w:rsidRPr="00626081">
        <w:rPr>
          <w:rFonts w:ascii="Calibri" w:eastAsia="Calibri" w:hAnsi="Calibri" w:cs="Calibri"/>
          <w:sz w:val="24"/>
          <w:szCs w:val="24"/>
        </w:rPr>
        <w:t>s.p</w:t>
      </w:r>
      <w:proofErr w:type="spellEnd"/>
      <w:r w:rsidRPr="00626081">
        <w:rPr>
          <w:rFonts w:ascii="Calibri" w:eastAsia="Calibri" w:hAnsi="Calibri" w:cs="Calibri"/>
          <w:sz w:val="24"/>
          <w:szCs w:val="24"/>
        </w:rPr>
        <w:t>.</w:t>
      </w:r>
      <w:r w:rsidR="0012434E">
        <w:rPr>
          <w:rFonts w:ascii="Calibri" w:eastAsia="Calibri" w:hAnsi="Calibri" w:cs="Calibri"/>
          <w:sz w:val="24"/>
          <w:szCs w:val="24"/>
        </w:rPr>
        <w:t>,</w:t>
      </w:r>
      <w:r w:rsidRPr="00626081">
        <w:rPr>
          <w:rFonts w:ascii="Calibri" w:eastAsia="Calibri" w:hAnsi="Calibri" w:cs="Calibri"/>
          <w:sz w:val="24"/>
          <w:szCs w:val="24"/>
        </w:rPr>
        <w:t xml:space="preserve"> je státním podnikem vzniklým na základě </w:t>
      </w:r>
      <w:r w:rsidR="0012434E">
        <w:rPr>
          <w:rFonts w:ascii="Calibri" w:eastAsia="Calibri" w:hAnsi="Calibri" w:cs="Calibri"/>
          <w:sz w:val="24"/>
          <w:szCs w:val="24"/>
        </w:rPr>
        <w:t>r</w:t>
      </w:r>
      <w:r w:rsidRPr="00626081">
        <w:rPr>
          <w:rFonts w:ascii="Calibri" w:eastAsia="Calibri" w:hAnsi="Calibri" w:cs="Calibri"/>
          <w:sz w:val="24"/>
          <w:szCs w:val="24"/>
        </w:rPr>
        <w:t xml:space="preserve">ozhodnutí č. 29/1988 ministra paliv a energetiky ČSSR ze dne 21. prosince 1988, kterým byl zrušen koncern České plynárenské podniky Praha a byla vydána zakládací listina státního podniku České plynárenské podniky Praha. Od roku 1992 byl majetek podniku postupně privatizován. Ke dni 20. června 2001 byl přejmenován na ČPP Transgas, </w:t>
      </w:r>
      <w:proofErr w:type="spellStart"/>
      <w:r w:rsidRPr="00626081">
        <w:rPr>
          <w:rFonts w:ascii="Calibri" w:eastAsia="Calibri" w:hAnsi="Calibri" w:cs="Calibri"/>
          <w:sz w:val="24"/>
          <w:szCs w:val="24"/>
        </w:rPr>
        <w:t>s.p</w:t>
      </w:r>
      <w:proofErr w:type="spellEnd"/>
      <w:r w:rsidRPr="00626081">
        <w:rPr>
          <w:rFonts w:ascii="Calibri" w:eastAsia="Calibri" w:hAnsi="Calibri" w:cs="Calibri"/>
          <w:sz w:val="24"/>
          <w:szCs w:val="24"/>
        </w:rPr>
        <w:t xml:space="preserve">. Usnesením vlády ze dne 14. ledna 2015 č. 25 vláda schválila vyjmutí </w:t>
      </w:r>
      <w:proofErr w:type="spellStart"/>
      <w:r w:rsidRPr="00626081">
        <w:rPr>
          <w:rFonts w:ascii="Calibri" w:eastAsia="Calibri" w:hAnsi="Calibri" w:cs="Calibri"/>
          <w:sz w:val="24"/>
          <w:szCs w:val="24"/>
        </w:rPr>
        <w:t>Transgasu</w:t>
      </w:r>
      <w:proofErr w:type="spellEnd"/>
      <w:r w:rsidRPr="00626081">
        <w:rPr>
          <w:rFonts w:ascii="Calibri" w:eastAsia="Calibri" w:hAnsi="Calibri" w:cs="Calibri"/>
          <w:sz w:val="24"/>
          <w:szCs w:val="24"/>
        </w:rPr>
        <w:t xml:space="preserve"> z privatizace. Nakládání s majetkem státu, se kterým má podnik právo hospodařit, se tak nadále řídí výlučně zákonem č. 77/1997 Sb.</w:t>
      </w:r>
      <w:r w:rsidR="0054171B">
        <w:rPr>
          <w:rFonts w:ascii="Calibri" w:eastAsia="Calibri" w:hAnsi="Calibri" w:cs="Calibri"/>
          <w:sz w:val="24"/>
          <w:szCs w:val="24"/>
        </w:rPr>
        <w:t xml:space="preserve"> </w:t>
      </w:r>
      <w:r w:rsidR="0054171B" w:rsidRPr="0054171B">
        <w:rPr>
          <w:rFonts w:ascii="Calibri" w:eastAsia="Calibri" w:hAnsi="Calibri" w:cs="Calibri"/>
          <w:sz w:val="24"/>
          <w:szCs w:val="24"/>
        </w:rPr>
        <w:t>Státní podnik ČPP</w:t>
      </w:r>
      <w:r w:rsidR="00A24AAD">
        <w:rPr>
          <w:rFonts w:ascii="Calibri" w:eastAsia="Calibri" w:hAnsi="Calibri" w:cs="Calibri"/>
          <w:sz w:val="24"/>
          <w:szCs w:val="24"/>
        </w:rPr>
        <w:t> </w:t>
      </w:r>
      <w:r w:rsidR="0054171B" w:rsidRPr="0054171B">
        <w:rPr>
          <w:rFonts w:ascii="Calibri" w:eastAsia="Calibri" w:hAnsi="Calibri" w:cs="Calibri"/>
          <w:sz w:val="24"/>
          <w:szCs w:val="24"/>
        </w:rPr>
        <w:t>Transgas je právní</w:t>
      </w:r>
      <w:r w:rsidR="00CC5D38">
        <w:rPr>
          <w:rFonts w:ascii="Calibri" w:eastAsia="Calibri" w:hAnsi="Calibri" w:cs="Calibri"/>
          <w:sz w:val="24"/>
          <w:szCs w:val="24"/>
        </w:rPr>
        <w:t>m</w:t>
      </w:r>
      <w:r w:rsidR="0054171B" w:rsidRPr="0054171B">
        <w:rPr>
          <w:rFonts w:ascii="Calibri" w:eastAsia="Calibri" w:hAnsi="Calibri" w:cs="Calibri"/>
          <w:sz w:val="24"/>
          <w:szCs w:val="24"/>
        </w:rPr>
        <w:t xml:space="preserve"> nástupce</w:t>
      </w:r>
      <w:r w:rsidR="00CC5D38">
        <w:rPr>
          <w:rFonts w:ascii="Calibri" w:eastAsia="Calibri" w:hAnsi="Calibri" w:cs="Calibri"/>
          <w:sz w:val="24"/>
          <w:szCs w:val="24"/>
        </w:rPr>
        <w:t>m</w:t>
      </w:r>
      <w:r w:rsidR="0054171B" w:rsidRPr="0054171B">
        <w:rPr>
          <w:rFonts w:ascii="Calibri" w:eastAsia="Calibri" w:hAnsi="Calibri" w:cs="Calibri"/>
          <w:sz w:val="24"/>
          <w:szCs w:val="24"/>
        </w:rPr>
        <w:t xml:space="preserve"> několika státních podniků, které prošly procesem privatizace a jejichž </w:t>
      </w:r>
      <w:proofErr w:type="spellStart"/>
      <w:r w:rsidR="0054171B" w:rsidRPr="0054171B">
        <w:rPr>
          <w:rFonts w:ascii="Calibri" w:eastAsia="Calibri" w:hAnsi="Calibri" w:cs="Calibri"/>
          <w:sz w:val="24"/>
          <w:szCs w:val="24"/>
        </w:rPr>
        <w:t>neprivatizovatelný</w:t>
      </w:r>
      <w:proofErr w:type="spellEnd"/>
      <w:r w:rsidR="0054171B" w:rsidRPr="0054171B">
        <w:rPr>
          <w:rFonts w:ascii="Calibri" w:eastAsia="Calibri" w:hAnsi="Calibri" w:cs="Calibri"/>
          <w:sz w:val="24"/>
          <w:szCs w:val="24"/>
        </w:rPr>
        <w:t xml:space="preserve"> majetek státu, se kterým tyto podniky hospodařily, spravuje. Jedná se o majetek státu v právu hospodařit např. státního podniku Pražské papírny, který hospodařil mimo jiné i s majetkem státu již dříve zrušených státních podniků Chirana Praha</w:t>
      </w:r>
      <w:r w:rsidR="0012434E">
        <w:rPr>
          <w:rFonts w:ascii="Calibri" w:eastAsia="Calibri" w:hAnsi="Calibri" w:cs="Calibri"/>
          <w:sz w:val="24"/>
          <w:szCs w:val="24"/>
        </w:rPr>
        <w:t>-</w:t>
      </w:r>
      <w:r w:rsidR="0054171B" w:rsidRPr="0054171B">
        <w:rPr>
          <w:rFonts w:ascii="Calibri" w:eastAsia="Calibri" w:hAnsi="Calibri" w:cs="Calibri"/>
          <w:sz w:val="24"/>
          <w:szCs w:val="24"/>
        </w:rPr>
        <w:t xml:space="preserve">Modřany, Avia, Průmysl kamene Dobřichovice. </w:t>
      </w:r>
      <w:r w:rsidR="006C380A">
        <w:rPr>
          <w:rFonts w:ascii="Calibri" w:eastAsia="Calibri" w:hAnsi="Calibri" w:cs="Calibri"/>
          <w:sz w:val="24"/>
          <w:szCs w:val="24"/>
        </w:rPr>
        <w:t>Část nemovitého majetku</w:t>
      </w:r>
      <w:r w:rsidR="0054171B" w:rsidRPr="0054171B">
        <w:rPr>
          <w:rFonts w:ascii="Calibri" w:eastAsia="Calibri" w:hAnsi="Calibri" w:cs="Calibri"/>
          <w:sz w:val="24"/>
          <w:szCs w:val="24"/>
        </w:rPr>
        <w:t xml:space="preserve"> se</w:t>
      </w:r>
      <w:r w:rsidR="006C380A">
        <w:rPr>
          <w:rFonts w:ascii="Calibri" w:eastAsia="Calibri" w:hAnsi="Calibri" w:cs="Calibri"/>
          <w:sz w:val="24"/>
          <w:szCs w:val="24"/>
        </w:rPr>
        <w:t xml:space="preserve"> v</w:t>
      </w:r>
      <w:r w:rsidR="00A24AAD">
        <w:rPr>
          <w:rFonts w:ascii="Calibri" w:eastAsia="Calibri" w:hAnsi="Calibri" w:cs="Calibri"/>
          <w:sz w:val="24"/>
          <w:szCs w:val="24"/>
        </w:rPr>
        <w:t> </w:t>
      </w:r>
      <w:r w:rsidR="006C380A">
        <w:rPr>
          <w:rFonts w:ascii="Calibri" w:eastAsia="Calibri" w:hAnsi="Calibri" w:cs="Calibri"/>
          <w:sz w:val="24"/>
          <w:szCs w:val="24"/>
        </w:rPr>
        <w:t>minulosti</w:t>
      </w:r>
      <w:r w:rsidR="0054171B" w:rsidRPr="0054171B">
        <w:rPr>
          <w:rFonts w:ascii="Calibri" w:eastAsia="Calibri" w:hAnsi="Calibri" w:cs="Calibri"/>
          <w:sz w:val="24"/>
          <w:szCs w:val="24"/>
        </w:rPr>
        <w:t xml:space="preserve"> nacházel</w:t>
      </w:r>
      <w:r w:rsidR="006C380A">
        <w:rPr>
          <w:rFonts w:ascii="Calibri" w:eastAsia="Calibri" w:hAnsi="Calibri" w:cs="Calibri"/>
          <w:sz w:val="24"/>
          <w:szCs w:val="24"/>
        </w:rPr>
        <w:t>a</w:t>
      </w:r>
      <w:r w:rsidR="0054171B" w:rsidRPr="0054171B">
        <w:rPr>
          <w:rFonts w:ascii="Calibri" w:eastAsia="Calibri" w:hAnsi="Calibri" w:cs="Calibri"/>
          <w:sz w:val="24"/>
          <w:szCs w:val="24"/>
        </w:rPr>
        <w:t xml:space="preserve"> i na území Spolkové republiky Německo a na území Slovenské republiky.</w:t>
      </w:r>
    </w:p>
    <w:p w14:paraId="38FDC0A2" w14:textId="630DFB5D" w:rsidR="00626081" w:rsidRPr="00626081" w:rsidRDefault="00626081" w:rsidP="00BB3AD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 xml:space="preserve">Dlouhodobý hmotný majetek </w:t>
      </w:r>
      <w:proofErr w:type="spellStart"/>
      <w:r w:rsidRPr="00626081">
        <w:rPr>
          <w:rFonts w:ascii="Calibri" w:eastAsia="Calibri" w:hAnsi="Calibri" w:cs="Times New Roman"/>
          <w:sz w:val="24"/>
          <w:szCs w:val="24"/>
        </w:rPr>
        <w:t>Transgasu</w:t>
      </w:r>
      <w:proofErr w:type="spellEnd"/>
      <w:r w:rsidRPr="00626081">
        <w:rPr>
          <w:rFonts w:ascii="Calibri" w:eastAsia="Calibri" w:hAnsi="Calibri" w:cs="Times New Roman"/>
          <w:sz w:val="24"/>
          <w:szCs w:val="24"/>
        </w:rPr>
        <w:t xml:space="preserve"> se skládá z nemovitého a movitého majetku. V době ukončení kontroly </w:t>
      </w:r>
      <w:r w:rsidR="00CC5D38">
        <w:rPr>
          <w:rFonts w:ascii="Calibri" w:eastAsia="Calibri" w:hAnsi="Calibri" w:cs="Times New Roman"/>
          <w:sz w:val="24"/>
          <w:szCs w:val="24"/>
        </w:rPr>
        <w:t>byly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hlavní složkou nemovitého majetku dva areály, a to: </w:t>
      </w:r>
    </w:p>
    <w:p w14:paraId="4E269194" w14:textId="26503B94" w:rsidR="00626081" w:rsidRPr="00240B36" w:rsidRDefault="00626081" w:rsidP="00E57AEC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 w:rsidRPr="00240B36">
        <w:rPr>
          <w:rFonts w:ascii="Calibri" w:eastAsia="Calibri" w:hAnsi="Calibri" w:cs="Times New Roman"/>
          <w:b/>
          <w:sz w:val="24"/>
          <w:szCs w:val="24"/>
        </w:rPr>
        <w:t>Praha</w:t>
      </w:r>
      <w:r w:rsidR="00AF4A9C">
        <w:rPr>
          <w:rFonts w:ascii="Calibri" w:eastAsia="Calibri" w:hAnsi="Calibri" w:cs="Times New Roman"/>
          <w:b/>
          <w:sz w:val="24"/>
          <w:szCs w:val="24"/>
        </w:rPr>
        <w:t>-</w:t>
      </w:r>
      <w:r w:rsidRPr="00240B36">
        <w:rPr>
          <w:rFonts w:ascii="Calibri" w:eastAsia="Calibri" w:hAnsi="Calibri" w:cs="Times New Roman"/>
          <w:b/>
          <w:sz w:val="24"/>
          <w:szCs w:val="24"/>
        </w:rPr>
        <w:t>Holešovice:</w:t>
      </w:r>
      <w:r w:rsidRPr="00240B36">
        <w:rPr>
          <w:rFonts w:ascii="Calibri" w:eastAsia="Calibri" w:hAnsi="Calibri" w:cs="Times New Roman"/>
          <w:sz w:val="24"/>
          <w:szCs w:val="24"/>
        </w:rPr>
        <w:t xml:space="preserve"> Areál se skládá ze dvou pozemků, stavby a budovy v účetní hodnotě </w:t>
      </w:r>
      <w:r w:rsidR="006B7F03">
        <w:rPr>
          <w:rFonts w:ascii="Calibri" w:eastAsia="Calibri" w:hAnsi="Calibri" w:cs="Times New Roman"/>
          <w:sz w:val="24"/>
          <w:szCs w:val="24"/>
        </w:rPr>
        <w:t xml:space="preserve">celkem </w:t>
      </w:r>
      <w:r w:rsidRPr="00240B36">
        <w:rPr>
          <w:rFonts w:ascii="Calibri" w:eastAsia="Calibri" w:hAnsi="Calibri" w:cs="Times New Roman"/>
          <w:sz w:val="24"/>
          <w:szCs w:val="24"/>
        </w:rPr>
        <w:t>16,9 mil Kč. Areál je částečně určen k bydlení, z větší části je pak určen pro komerční využití, jako jsou kanceláře, obchody a výroba.</w:t>
      </w:r>
      <w:r w:rsidR="00E15A2B" w:rsidRPr="00240B3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8ABBE7F" w14:textId="74228594" w:rsidR="00626081" w:rsidRPr="00626081" w:rsidRDefault="00626081" w:rsidP="00E57AEC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b/>
          <w:sz w:val="24"/>
          <w:szCs w:val="24"/>
        </w:rPr>
        <w:t>Brno</w:t>
      </w:r>
      <w:r w:rsidR="00AF4A9C">
        <w:rPr>
          <w:rFonts w:ascii="Calibri" w:eastAsia="Calibri" w:hAnsi="Calibri" w:cs="Times New Roman"/>
          <w:b/>
          <w:sz w:val="24"/>
          <w:szCs w:val="24"/>
        </w:rPr>
        <w:t>-</w:t>
      </w:r>
      <w:r w:rsidRPr="00626081">
        <w:rPr>
          <w:rFonts w:ascii="Calibri" w:eastAsia="Calibri" w:hAnsi="Calibri" w:cs="Times New Roman"/>
          <w:b/>
          <w:sz w:val="24"/>
          <w:szCs w:val="24"/>
        </w:rPr>
        <w:t>Černovice: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Areál převzal </w:t>
      </w:r>
      <w:r w:rsidRPr="00626081">
        <w:rPr>
          <w:rFonts w:ascii="Calibri" w:eastAsia="Calibri" w:hAnsi="Calibri" w:cs="Times New Roman"/>
          <w:sz w:val="24"/>
        </w:rPr>
        <w:t xml:space="preserve">Transgas v roce 2010 v rámci sloučení s Pražskými papírnami, </w:t>
      </w:r>
      <w:proofErr w:type="spellStart"/>
      <w:r w:rsidRPr="00626081">
        <w:rPr>
          <w:rFonts w:ascii="Calibri" w:eastAsia="Calibri" w:hAnsi="Calibri" w:cs="Times New Roman"/>
          <w:sz w:val="24"/>
        </w:rPr>
        <w:t>s.p</w:t>
      </w:r>
      <w:proofErr w:type="spellEnd"/>
      <w:r w:rsidRPr="00626081">
        <w:rPr>
          <w:rFonts w:ascii="Calibri" w:eastAsia="Calibri" w:hAnsi="Calibri" w:cs="Times New Roman"/>
          <w:sz w:val="24"/>
        </w:rPr>
        <w:t>.</w:t>
      </w:r>
      <w:r w:rsidR="003D549C">
        <w:rPr>
          <w:rFonts w:ascii="Calibri" w:eastAsia="Calibri" w:hAnsi="Calibri" w:cs="Times New Roman"/>
          <w:sz w:val="24"/>
        </w:rPr>
        <w:t>,</w:t>
      </w:r>
      <w:r w:rsidRPr="00626081">
        <w:rPr>
          <w:rFonts w:ascii="Calibri" w:eastAsia="Calibri" w:hAnsi="Calibri" w:cs="Times New Roman"/>
          <w:sz w:val="24"/>
        </w:rPr>
        <w:t xml:space="preserve"> v likvidaci. Část areálu zapsané</w:t>
      </w:r>
      <w:r w:rsidR="003D549C">
        <w:rPr>
          <w:rFonts w:ascii="Calibri" w:eastAsia="Calibri" w:hAnsi="Calibri" w:cs="Times New Roman"/>
          <w:sz w:val="24"/>
        </w:rPr>
        <w:t>ho</w:t>
      </w:r>
      <w:r w:rsidRPr="00626081">
        <w:rPr>
          <w:rFonts w:ascii="Calibri" w:eastAsia="Calibri" w:hAnsi="Calibri" w:cs="Times New Roman"/>
          <w:sz w:val="24"/>
        </w:rPr>
        <w:t xml:space="preserve"> na listu vlastnictví </w:t>
      </w:r>
      <w:r w:rsidR="006B7F03">
        <w:rPr>
          <w:rFonts w:ascii="Calibri" w:eastAsia="Calibri" w:hAnsi="Calibri" w:cs="Times New Roman"/>
          <w:sz w:val="24"/>
        </w:rPr>
        <w:t xml:space="preserve">č. </w:t>
      </w:r>
      <w:r w:rsidRPr="00626081">
        <w:rPr>
          <w:rFonts w:ascii="Calibri" w:eastAsia="Calibri" w:hAnsi="Calibri" w:cs="Times New Roman"/>
          <w:sz w:val="24"/>
        </w:rPr>
        <w:t xml:space="preserve">1499 převedl Transgas dne 5. června 2013 na společnost ČEZ, </w:t>
      </w:r>
      <w:proofErr w:type="spellStart"/>
      <w:r w:rsidRPr="00626081">
        <w:rPr>
          <w:rFonts w:ascii="Calibri" w:eastAsia="Calibri" w:hAnsi="Calibri" w:cs="Times New Roman"/>
          <w:sz w:val="24"/>
        </w:rPr>
        <w:t>s.p</w:t>
      </w:r>
      <w:proofErr w:type="spellEnd"/>
      <w:r w:rsidRPr="00626081">
        <w:rPr>
          <w:rFonts w:ascii="Calibri" w:eastAsia="Calibri" w:hAnsi="Calibri" w:cs="Times New Roman"/>
          <w:sz w:val="24"/>
        </w:rPr>
        <w:t>.</w:t>
      </w:r>
      <w:r w:rsidR="00AF4A9C">
        <w:rPr>
          <w:rFonts w:ascii="Calibri" w:eastAsia="Calibri" w:hAnsi="Calibri" w:cs="Times New Roman"/>
          <w:sz w:val="24"/>
        </w:rPr>
        <w:t>,</w:t>
      </w:r>
      <w:r w:rsidRPr="00626081">
        <w:rPr>
          <w:rFonts w:ascii="Calibri" w:eastAsia="Calibri" w:hAnsi="Calibri" w:cs="Times New Roman"/>
          <w:sz w:val="24"/>
        </w:rPr>
        <w:t xml:space="preserve"> v likvidaci za 99 mil. Kč s tím, že převod práv</w:t>
      </w:r>
      <w:r w:rsidR="00795298">
        <w:rPr>
          <w:rFonts w:ascii="Calibri" w:eastAsia="Calibri" w:hAnsi="Calibri" w:cs="Times New Roman"/>
          <w:sz w:val="24"/>
        </w:rPr>
        <w:t>a</w:t>
      </w:r>
      <w:r w:rsidRPr="00626081">
        <w:rPr>
          <w:rFonts w:ascii="Calibri" w:eastAsia="Calibri" w:hAnsi="Calibri" w:cs="Times New Roman"/>
          <w:sz w:val="24"/>
        </w:rPr>
        <w:t xml:space="preserve"> hospodařit se uskuteční dne 1. července 2013. Cena byla stanovena znaleckým posudkem. Dne 2. srpna 2017 koupil Transgas zpět výše popsanou část areálu za 101</w:t>
      </w:r>
      <w:r w:rsidR="00AF4A9C">
        <w:rPr>
          <w:rFonts w:ascii="Calibri" w:eastAsia="Calibri" w:hAnsi="Calibri" w:cs="Times New Roman"/>
          <w:sz w:val="24"/>
        </w:rPr>
        <w:t> </w:t>
      </w:r>
      <w:r w:rsidRPr="00626081">
        <w:rPr>
          <w:rFonts w:ascii="Calibri" w:eastAsia="Calibri" w:hAnsi="Calibri" w:cs="Times New Roman"/>
          <w:sz w:val="24"/>
        </w:rPr>
        <w:t>mil.</w:t>
      </w:r>
      <w:r w:rsidR="00AF4A9C">
        <w:rPr>
          <w:rFonts w:ascii="Calibri" w:eastAsia="Calibri" w:hAnsi="Calibri" w:cs="Times New Roman"/>
          <w:sz w:val="24"/>
        </w:rPr>
        <w:t> </w:t>
      </w:r>
      <w:r w:rsidRPr="00626081">
        <w:rPr>
          <w:rFonts w:ascii="Calibri" w:eastAsia="Calibri" w:hAnsi="Calibri" w:cs="Times New Roman"/>
          <w:sz w:val="24"/>
        </w:rPr>
        <w:t xml:space="preserve">Kč a zařadil ji do majetku dne 30. září 2017. Cena byla stanovena znaleckým posudkem. Celou tuto transakci (prodej a následný nákup zpět) NKÚ neprověřoval, neboť jednání z roku 2013 tehdejšího ředitele </w:t>
      </w:r>
      <w:proofErr w:type="spellStart"/>
      <w:r w:rsidRPr="00626081">
        <w:rPr>
          <w:rFonts w:ascii="Calibri" w:eastAsia="Calibri" w:hAnsi="Calibri" w:cs="Times New Roman"/>
          <w:sz w:val="24"/>
        </w:rPr>
        <w:t>Transgasu</w:t>
      </w:r>
      <w:proofErr w:type="spellEnd"/>
      <w:r w:rsidRPr="00626081">
        <w:rPr>
          <w:rFonts w:ascii="Calibri" w:eastAsia="Calibri" w:hAnsi="Calibri" w:cs="Times New Roman"/>
          <w:sz w:val="24"/>
        </w:rPr>
        <w:t xml:space="preserve"> a dalších osob </w:t>
      </w:r>
      <w:r w:rsidR="0078771F">
        <w:rPr>
          <w:rFonts w:ascii="Calibri" w:eastAsia="Calibri" w:hAnsi="Calibri" w:cs="Times New Roman"/>
          <w:sz w:val="24"/>
        </w:rPr>
        <w:t>jsou</w:t>
      </w:r>
      <w:r w:rsidRPr="00626081">
        <w:rPr>
          <w:rFonts w:ascii="Calibri" w:eastAsia="Calibri" w:hAnsi="Calibri" w:cs="Times New Roman"/>
          <w:sz w:val="24"/>
        </w:rPr>
        <w:t xml:space="preserve"> předmětem šetř</w:t>
      </w:r>
      <w:r w:rsidR="0078771F">
        <w:rPr>
          <w:rFonts w:ascii="Calibri" w:eastAsia="Calibri" w:hAnsi="Calibri" w:cs="Times New Roman"/>
          <w:sz w:val="24"/>
        </w:rPr>
        <w:t>e</w:t>
      </w:r>
      <w:r w:rsidRPr="00626081">
        <w:rPr>
          <w:rFonts w:ascii="Calibri" w:eastAsia="Calibri" w:hAnsi="Calibri" w:cs="Times New Roman"/>
          <w:sz w:val="24"/>
        </w:rPr>
        <w:t>ní ze strany Policie ČR a</w:t>
      </w:r>
      <w:r w:rsidR="00A24AAD">
        <w:rPr>
          <w:rFonts w:ascii="Calibri" w:eastAsia="Calibri" w:hAnsi="Calibri" w:cs="Times New Roman"/>
          <w:sz w:val="24"/>
        </w:rPr>
        <w:t> </w:t>
      </w:r>
      <w:r w:rsidRPr="00626081">
        <w:rPr>
          <w:rFonts w:ascii="Calibri" w:eastAsia="Calibri" w:hAnsi="Calibri" w:cs="Times New Roman"/>
          <w:sz w:val="24"/>
        </w:rPr>
        <w:t xml:space="preserve">soudních </w:t>
      </w:r>
      <w:r w:rsidR="0078771F">
        <w:rPr>
          <w:rFonts w:ascii="Calibri" w:eastAsia="Calibri" w:hAnsi="Calibri" w:cs="Times New Roman"/>
          <w:sz w:val="24"/>
        </w:rPr>
        <w:t>orgánů</w:t>
      </w:r>
      <w:r w:rsidRPr="00626081">
        <w:rPr>
          <w:rFonts w:ascii="Calibri" w:eastAsia="Calibri" w:hAnsi="Calibri" w:cs="Times New Roman"/>
          <w:sz w:val="24"/>
        </w:rPr>
        <w:t>, které v době ukončení kontroly NKÚ stále probíhal</w:t>
      </w:r>
      <w:r w:rsidR="007630EA">
        <w:rPr>
          <w:rFonts w:ascii="Calibri" w:eastAsia="Calibri" w:hAnsi="Calibri" w:cs="Times New Roman"/>
          <w:sz w:val="24"/>
        </w:rPr>
        <w:t>o</w:t>
      </w:r>
      <w:r w:rsidRPr="00626081">
        <w:rPr>
          <w:rFonts w:ascii="Calibri" w:eastAsia="Calibri" w:hAnsi="Calibri" w:cs="Times New Roman"/>
          <w:sz w:val="24"/>
        </w:rPr>
        <w:t>.</w:t>
      </w:r>
      <w:r w:rsidR="00153F36">
        <w:rPr>
          <w:rFonts w:ascii="Calibri" w:eastAsia="Calibri" w:hAnsi="Calibri" w:cs="Times New Roman"/>
          <w:sz w:val="24"/>
        </w:rPr>
        <w:t xml:space="preserve"> Části areálu jsou pronajímány jako administrativní a obchodní prostory, sklady a parkovací plochy.</w:t>
      </w:r>
    </w:p>
    <w:p w14:paraId="69BB3564" w14:textId="54FE77E6" w:rsidR="00626081" w:rsidRPr="00626081" w:rsidRDefault="00626081" w:rsidP="00E57AEC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>Transgas</w:t>
      </w:r>
      <w:r w:rsidR="007C714F">
        <w:rPr>
          <w:rFonts w:ascii="Calibri" w:eastAsia="Calibri" w:hAnsi="Calibri" w:cs="Times New Roman"/>
          <w:sz w:val="24"/>
          <w:szCs w:val="24"/>
        </w:rPr>
        <w:t xml:space="preserve"> má právo hospodařit,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mimo dva výše popsané areály</w:t>
      </w:r>
      <w:r w:rsidR="007C714F">
        <w:rPr>
          <w:rFonts w:ascii="Calibri" w:eastAsia="Calibri" w:hAnsi="Calibri" w:cs="Times New Roman"/>
          <w:sz w:val="24"/>
          <w:szCs w:val="24"/>
        </w:rPr>
        <w:t>,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ještě</w:t>
      </w:r>
      <w:r w:rsidR="007C714F">
        <w:rPr>
          <w:rFonts w:ascii="Calibri" w:eastAsia="Calibri" w:hAnsi="Calibri" w:cs="Times New Roman"/>
          <w:sz w:val="24"/>
          <w:szCs w:val="24"/>
        </w:rPr>
        <w:t xml:space="preserve"> s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další</w:t>
      </w:r>
      <w:r w:rsidR="007C714F">
        <w:rPr>
          <w:rFonts w:ascii="Calibri" w:eastAsia="Calibri" w:hAnsi="Calibri" w:cs="Times New Roman"/>
          <w:sz w:val="24"/>
          <w:szCs w:val="24"/>
        </w:rPr>
        <w:t>mi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nemovitost</w:t>
      </w:r>
      <w:r w:rsidR="007C714F">
        <w:rPr>
          <w:rFonts w:ascii="Calibri" w:eastAsia="Calibri" w:hAnsi="Calibri" w:cs="Times New Roman"/>
          <w:sz w:val="24"/>
          <w:szCs w:val="24"/>
        </w:rPr>
        <w:t>mi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</w:t>
      </w:r>
      <w:r w:rsidR="006764DB">
        <w:rPr>
          <w:rFonts w:ascii="Calibri" w:eastAsia="Calibri" w:hAnsi="Calibri" w:cs="Times New Roman"/>
          <w:sz w:val="24"/>
          <w:szCs w:val="24"/>
        </w:rPr>
        <w:t>na území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České republi</w:t>
      </w:r>
      <w:r w:rsidR="006764DB">
        <w:rPr>
          <w:rFonts w:ascii="Calibri" w:eastAsia="Calibri" w:hAnsi="Calibri" w:cs="Times New Roman"/>
          <w:sz w:val="24"/>
          <w:szCs w:val="24"/>
        </w:rPr>
        <w:t>ky</w:t>
      </w:r>
      <w:r w:rsidRPr="00626081">
        <w:rPr>
          <w:rFonts w:ascii="Calibri" w:eastAsia="Calibri" w:hAnsi="Calibri" w:cs="Times New Roman"/>
          <w:sz w:val="24"/>
          <w:szCs w:val="24"/>
        </w:rPr>
        <w:t>. K 1. lednu 2021 se jedn</w:t>
      </w:r>
      <w:r w:rsidR="006C380A">
        <w:rPr>
          <w:rFonts w:ascii="Calibri" w:eastAsia="Calibri" w:hAnsi="Calibri" w:cs="Times New Roman"/>
          <w:sz w:val="24"/>
          <w:szCs w:val="24"/>
        </w:rPr>
        <w:t>alo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celkem o 59 nemovitostí s celkovou výměrou 32</w:t>
      </w:r>
      <w:r w:rsidR="00A24AAD">
        <w:rPr>
          <w:rFonts w:ascii="Calibri" w:eastAsia="Calibri" w:hAnsi="Calibri" w:cs="Times New Roman"/>
          <w:sz w:val="24"/>
          <w:szCs w:val="24"/>
        </w:rPr>
        <w:t> </w:t>
      </w:r>
      <w:r w:rsidRPr="00626081">
        <w:rPr>
          <w:rFonts w:ascii="Calibri" w:eastAsia="Calibri" w:hAnsi="Calibri" w:cs="Times New Roman"/>
          <w:sz w:val="24"/>
          <w:szCs w:val="24"/>
        </w:rPr>
        <w:t>171</w:t>
      </w:r>
      <w:r w:rsidR="00A24AAD">
        <w:rPr>
          <w:rFonts w:ascii="Calibri" w:eastAsia="Calibri" w:hAnsi="Calibri" w:cs="Times New Roman"/>
          <w:sz w:val="24"/>
          <w:szCs w:val="24"/>
        </w:rPr>
        <w:t> </w:t>
      </w:r>
      <w:r w:rsidRPr="00626081">
        <w:rPr>
          <w:rFonts w:ascii="Calibri" w:eastAsia="Calibri" w:hAnsi="Calibri" w:cs="Times New Roman"/>
          <w:sz w:val="24"/>
          <w:szCs w:val="24"/>
        </w:rPr>
        <w:t>m</w:t>
      </w:r>
      <w:r w:rsidRPr="00626081">
        <w:rPr>
          <w:rFonts w:ascii="Calibri" w:eastAsia="Calibri" w:hAnsi="Calibri" w:cs="Times New Roman"/>
          <w:sz w:val="24"/>
          <w:szCs w:val="24"/>
          <w:vertAlign w:val="superscript"/>
        </w:rPr>
        <w:t>2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v účetní hodnotě 2 531 529 Kč. Typově se jedná o</w:t>
      </w:r>
      <w:r w:rsidR="006C380A">
        <w:rPr>
          <w:rFonts w:ascii="Calibri" w:eastAsia="Calibri" w:hAnsi="Calibri" w:cs="Times New Roman"/>
          <w:sz w:val="24"/>
          <w:szCs w:val="24"/>
        </w:rPr>
        <w:t xml:space="preserve"> hodnotově méně </w:t>
      </w:r>
      <w:r w:rsidR="006C380A">
        <w:rPr>
          <w:rFonts w:ascii="Calibri" w:eastAsia="Calibri" w:hAnsi="Calibri" w:cs="Times New Roman"/>
          <w:sz w:val="24"/>
          <w:szCs w:val="24"/>
        </w:rPr>
        <w:lastRenderedPageBreak/>
        <w:t>významné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pozemky, které jsou součástí vodního toku, přiléhají ke komunikaci, jsou částí polní cesty, částí pole, lesa apod.</w:t>
      </w:r>
      <w:r w:rsidR="006C380A">
        <w:rPr>
          <w:rFonts w:ascii="Calibri" w:eastAsia="Calibri" w:hAnsi="Calibri" w:cs="Times New Roman"/>
          <w:sz w:val="24"/>
          <w:szCs w:val="24"/>
        </w:rPr>
        <w:t xml:space="preserve"> a jsou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často velmi obtížně přístupné. Významnější položku tvoří sedm pozemků v Hoře Svaté Kateřiny v účetní hodnotě 2 027 140 Kč, které Transgas</w:t>
      </w:r>
      <w:r w:rsidR="006764DB">
        <w:rPr>
          <w:rFonts w:ascii="Calibri" w:eastAsia="Calibri" w:hAnsi="Calibri" w:cs="Times New Roman"/>
          <w:sz w:val="24"/>
          <w:szCs w:val="24"/>
        </w:rPr>
        <w:t xml:space="preserve"> získal na základě rozhodnutí soudu v roce 2020.</w:t>
      </w:r>
    </w:p>
    <w:p w14:paraId="73D0F547" w14:textId="325EAD8A" w:rsidR="00171F21" w:rsidRPr="00626081" w:rsidRDefault="00171F21" w:rsidP="00E57AEC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>Do roku 2019 měl Transgas v majetku také areál Brno – Cejl v účetní hodnotě 57,9 mil. Kč, který z rozhodnutí zakladatele převedl dne 28. února 2019 na MPO.</w:t>
      </w:r>
    </w:p>
    <w:p w14:paraId="4C260376" w14:textId="2EECA8AC" w:rsidR="00626081" w:rsidRDefault="006764DB" w:rsidP="00E57AEC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Transgas má právo hospodařit s movitým majetkem, </w:t>
      </w:r>
      <w:r w:rsidR="00626081">
        <w:rPr>
          <w:rFonts w:ascii="Calibri" w:eastAsia="Calibri" w:hAnsi="Calibri" w:cs="Times New Roman"/>
          <w:sz w:val="24"/>
          <w:szCs w:val="24"/>
        </w:rPr>
        <w:t>který používá ke své činnosti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7C714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Jedná se o</w:t>
      </w:r>
      <w:r w:rsidR="00A24AAD">
        <w:rPr>
          <w:rFonts w:ascii="Calibri" w:eastAsia="Calibri" w:hAnsi="Calibri" w:cs="Times New Roman"/>
          <w:sz w:val="24"/>
          <w:szCs w:val="24"/>
        </w:rPr>
        <w:t> </w:t>
      </w:r>
      <w:r w:rsidR="003D7A7A">
        <w:rPr>
          <w:rFonts w:ascii="Calibri" w:eastAsia="Calibri" w:hAnsi="Calibri" w:cs="Times New Roman"/>
          <w:sz w:val="24"/>
          <w:szCs w:val="24"/>
        </w:rPr>
        <w:t>tř</w:t>
      </w:r>
      <w:r>
        <w:rPr>
          <w:rFonts w:ascii="Calibri" w:eastAsia="Calibri" w:hAnsi="Calibri" w:cs="Times New Roman"/>
          <w:sz w:val="24"/>
          <w:szCs w:val="24"/>
        </w:rPr>
        <w:t>i</w:t>
      </w:r>
      <w:r w:rsidR="00626081">
        <w:rPr>
          <w:rFonts w:ascii="Calibri" w:eastAsia="Calibri" w:hAnsi="Calibri" w:cs="Times New Roman"/>
          <w:sz w:val="24"/>
          <w:szCs w:val="24"/>
        </w:rPr>
        <w:t xml:space="preserve"> automobily,</w:t>
      </w:r>
      <w:r w:rsidR="003D7A7A">
        <w:rPr>
          <w:rFonts w:ascii="Calibri" w:eastAsia="Calibri" w:hAnsi="Calibri" w:cs="Times New Roman"/>
          <w:sz w:val="24"/>
          <w:szCs w:val="24"/>
        </w:rPr>
        <w:t xml:space="preserve"> </w:t>
      </w:r>
      <w:r w:rsidR="00626081">
        <w:rPr>
          <w:rFonts w:ascii="Calibri" w:eastAsia="Calibri" w:hAnsi="Calibri" w:cs="Times New Roman"/>
          <w:sz w:val="24"/>
          <w:szCs w:val="24"/>
        </w:rPr>
        <w:t>kancelářsk</w:t>
      </w:r>
      <w:r>
        <w:rPr>
          <w:rFonts w:ascii="Calibri" w:eastAsia="Calibri" w:hAnsi="Calibri" w:cs="Times New Roman"/>
          <w:sz w:val="24"/>
          <w:szCs w:val="24"/>
        </w:rPr>
        <w:t>é</w:t>
      </w:r>
      <w:r w:rsidR="00626081">
        <w:rPr>
          <w:rFonts w:ascii="Calibri" w:eastAsia="Calibri" w:hAnsi="Calibri" w:cs="Times New Roman"/>
          <w:sz w:val="24"/>
          <w:szCs w:val="24"/>
        </w:rPr>
        <w:t xml:space="preserve"> vybav</w:t>
      </w:r>
      <w:r w:rsidR="00CC5D38">
        <w:rPr>
          <w:rFonts w:ascii="Calibri" w:eastAsia="Calibri" w:hAnsi="Calibri" w:cs="Times New Roman"/>
          <w:sz w:val="24"/>
          <w:szCs w:val="24"/>
        </w:rPr>
        <w:t>en</w:t>
      </w:r>
      <w:r w:rsidR="00626081">
        <w:rPr>
          <w:rFonts w:ascii="Calibri" w:eastAsia="Calibri" w:hAnsi="Calibri" w:cs="Times New Roman"/>
          <w:sz w:val="24"/>
          <w:szCs w:val="24"/>
        </w:rPr>
        <w:t>í, počítačovou techniku apod.</w:t>
      </w:r>
      <w:r w:rsidR="00171F21">
        <w:rPr>
          <w:rFonts w:ascii="Calibri" w:eastAsia="Calibri" w:hAnsi="Calibri" w:cs="Times New Roman"/>
          <w:sz w:val="24"/>
          <w:szCs w:val="24"/>
        </w:rPr>
        <w:t>, čtvrtý automobil Transgas používá v režimu operativního leasingu.</w:t>
      </w:r>
    </w:p>
    <w:p w14:paraId="031FE99F" w14:textId="1C77014B" w:rsidR="008629AD" w:rsidRPr="008629AD" w:rsidRDefault="008629AD" w:rsidP="00E57AEC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629AD">
        <w:rPr>
          <w:rFonts w:ascii="Calibri" w:eastAsia="Calibri" w:hAnsi="Calibri" w:cs="Calibri"/>
          <w:sz w:val="24"/>
          <w:szCs w:val="24"/>
        </w:rPr>
        <w:t>Transgas hospodaří s</w:t>
      </w:r>
      <w:r w:rsidR="00CC5D38">
        <w:rPr>
          <w:rFonts w:ascii="Calibri" w:eastAsia="Calibri" w:hAnsi="Calibri" w:cs="Calibri"/>
          <w:sz w:val="24"/>
          <w:szCs w:val="24"/>
        </w:rPr>
        <w:t> dlouhodobým hmotným majetkem a peněžními prostředky</w:t>
      </w:r>
      <w:r w:rsidRPr="008629AD">
        <w:rPr>
          <w:rFonts w:ascii="Calibri" w:eastAsia="Calibri" w:hAnsi="Calibri" w:cs="Calibri"/>
          <w:sz w:val="24"/>
          <w:szCs w:val="24"/>
        </w:rPr>
        <w:t xml:space="preserve"> ve výši cca</w:t>
      </w:r>
      <w:r w:rsidR="00A24AAD">
        <w:rPr>
          <w:rFonts w:ascii="Calibri" w:eastAsia="Calibri" w:hAnsi="Calibri" w:cs="Calibri"/>
          <w:sz w:val="24"/>
          <w:szCs w:val="24"/>
        </w:rPr>
        <w:t> </w:t>
      </w:r>
      <w:r w:rsidR="00AA3C83">
        <w:rPr>
          <w:rFonts w:ascii="Calibri" w:eastAsia="Calibri" w:hAnsi="Calibri" w:cs="Calibri"/>
          <w:sz w:val="24"/>
          <w:szCs w:val="24"/>
        </w:rPr>
        <w:t>0,</w:t>
      </w:r>
      <w:r w:rsidRPr="008629AD">
        <w:rPr>
          <w:rFonts w:ascii="Calibri" w:eastAsia="Calibri" w:hAnsi="Calibri" w:cs="Calibri"/>
          <w:sz w:val="24"/>
          <w:szCs w:val="24"/>
        </w:rPr>
        <w:t>5 mld. Kč</w:t>
      </w:r>
      <w:r w:rsidR="0078771F">
        <w:rPr>
          <w:rFonts w:ascii="Calibri" w:eastAsia="Calibri" w:hAnsi="Calibri" w:cs="Calibri"/>
          <w:sz w:val="24"/>
          <w:szCs w:val="24"/>
        </w:rPr>
        <w:t>, z toho určený majetek</w:t>
      </w:r>
      <w:r w:rsidR="00153F36">
        <w:rPr>
          <w:rStyle w:val="Znakapoznpodarou"/>
          <w:rFonts w:ascii="Calibri" w:eastAsia="Calibri" w:hAnsi="Calibri" w:cs="Calibri"/>
          <w:sz w:val="24"/>
          <w:szCs w:val="24"/>
        </w:rPr>
        <w:footnoteReference w:id="4"/>
      </w:r>
      <w:r w:rsidR="0078771F">
        <w:rPr>
          <w:rFonts w:ascii="Calibri" w:eastAsia="Calibri" w:hAnsi="Calibri" w:cs="Calibri"/>
          <w:sz w:val="24"/>
          <w:szCs w:val="24"/>
        </w:rPr>
        <w:t xml:space="preserve"> tvoří 0,1 mld. Kč.</w:t>
      </w:r>
    </w:p>
    <w:p w14:paraId="7A52256A" w14:textId="52C9B122" w:rsidR="008629AD" w:rsidRPr="00E57AEC" w:rsidRDefault="008629AD" w:rsidP="00E57AEC">
      <w:pPr>
        <w:tabs>
          <w:tab w:val="right" w:pos="9072"/>
        </w:tabs>
        <w:spacing w:after="40" w:line="240" w:lineRule="auto"/>
        <w:ind w:left="1418" w:hanging="1418"/>
        <w:rPr>
          <w:rFonts w:ascii="Calibri" w:eastAsia="Calibri" w:hAnsi="Calibri" w:cs="Times New Roman"/>
          <w:b/>
          <w:sz w:val="24"/>
        </w:rPr>
      </w:pPr>
      <w:r w:rsidRPr="00E57AEC">
        <w:rPr>
          <w:rFonts w:ascii="Calibri" w:eastAsia="Calibri" w:hAnsi="Calibri" w:cs="Times New Roman"/>
          <w:b/>
          <w:sz w:val="24"/>
        </w:rPr>
        <w:t xml:space="preserve">Tabulka č. </w:t>
      </w:r>
      <w:r w:rsidR="00727259" w:rsidRPr="00E57AEC">
        <w:rPr>
          <w:rFonts w:ascii="Calibri" w:eastAsia="Calibri" w:hAnsi="Calibri" w:cs="Times New Roman"/>
          <w:b/>
          <w:sz w:val="24"/>
        </w:rPr>
        <w:t>1</w:t>
      </w:r>
      <w:r w:rsidRPr="00E57AEC">
        <w:rPr>
          <w:rFonts w:ascii="Calibri" w:eastAsia="Calibri" w:hAnsi="Calibri" w:cs="Times New Roman"/>
          <w:b/>
          <w:sz w:val="24"/>
        </w:rPr>
        <w:t xml:space="preserve">: </w:t>
      </w:r>
      <w:r w:rsidR="00E57AEC">
        <w:rPr>
          <w:rFonts w:ascii="Calibri" w:eastAsia="Calibri" w:hAnsi="Calibri" w:cs="Times New Roman"/>
          <w:b/>
          <w:sz w:val="24"/>
        </w:rPr>
        <w:tab/>
      </w:r>
      <w:r w:rsidR="00CC5D38" w:rsidRPr="00E57AEC">
        <w:rPr>
          <w:rFonts w:ascii="Calibri" w:eastAsia="Calibri" w:hAnsi="Calibri" w:cs="Times New Roman"/>
          <w:b/>
          <w:sz w:val="24"/>
        </w:rPr>
        <w:t>Dlouhodobý hmotný m</w:t>
      </w:r>
      <w:r w:rsidR="00AA3C83" w:rsidRPr="00E57AEC">
        <w:rPr>
          <w:rFonts w:ascii="Calibri" w:eastAsia="Calibri" w:hAnsi="Calibri" w:cs="Times New Roman"/>
          <w:b/>
          <w:sz w:val="24"/>
        </w:rPr>
        <w:t>ajetek a peněžní prostředky</w:t>
      </w:r>
      <w:r w:rsidRPr="00E57AEC">
        <w:rPr>
          <w:rFonts w:ascii="Calibri" w:eastAsia="Calibri" w:hAnsi="Calibri" w:cs="Times New Roman"/>
          <w:b/>
          <w:sz w:val="24"/>
        </w:rPr>
        <w:t xml:space="preserve"> </w:t>
      </w:r>
      <w:proofErr w:type="spellStart"/>
      <w:r w:rsidRPr="00E57AEC">
        <w:rPr>
          <w:rFonts w:ascii="Calibri" w:eastAsia="Calibri" w:hAnsi="Calibri" w:cs="Times New Roman"/>
          <w:b/>
          <w:sz w:val="24"/>
        </w:rPr>
        <w:t>Transgasu</w:t>
      </w:r>
      <w:proofErr w:type="spellEnd"/>
      <w:r w:rsidRPr="00E57AEC">
        <w:rPr>
          <w:rFonts w:ascii="Calibri" w:eastAsia="Calibri" w:hAnsi="Calibri" w:cs="Times New Roman"/>
          <w:b/>
          <w:sz w:val="24"/>
        </w:rPr>
        <w:t xml:space="preserve"> k 31.</w:t>
      </w:r>
      <w:r w:rsidR="00E57AEC">
        <w:rPr>
          <w:rFonts w:ascii="Calibri" w:eastAsia="Calibri" w:hAnsi="Calibri" w:cs="Times New Roman"/>
          <w:b/>
          <w:sz w:val="24"/>
        </w:rPr>
        <w:t> </w:t>
      </w:r>
      <w:r w:rsidRPr="00E57AEC">
        <w:rPr>
          <w:rFonts w:ascii="Calibri" w:eastAsia="Calibri" w:hAnsi="Calibri" w:cs="Times New Roman"/>
          <w:b/>
          <w:sz w:val="24"/>
        </w:rPr>
        <w:t>12.</w:t>
      </w:r>
      <w:r w:rsidR="00E57AEC">
        <w:rPr>
          <w:rFonts w:ascii="Calibri" w:eastAsia="Calibri" w:hAnsi="Calibri" w:cs="Times New Roman"/>
          <w:b/>
          <w:sz w:val="24"/>
        </w:rPr>
        <w:t> </w:t>
      </w:r>
      <w:r w:rsidRPr="00E57AEC">
        <w:rPr>
          <w:rFonts w:ascii="Calibri" w:eastAsia="Calibri" w:hAnsi="Calibri" w:cs="Times New Roman"/>
          <w:b/>
          <w:sz w:val="24"/>
        </w:rPr>
        <w:t xml:space="preserve">příslušného roku </w:t>
      </w:r>
      <w:r w:rsidR="00430FF5" w:rsidRPr="00E57AEC">
        <w:rPr>
          <w:rFonts w:ascii="Calibri" w:eastAsia="Calibri" w:hAnsi="Calibri" w:cs="Times New Roman"/>
          <w:b/>
          <w:sz w:val="24"/>
        </w:rPr>
        <w:tab/>
      </w:r>
      <w:r w:rsidRPr="00E57AEC">
        <w:rPr>
          <w:rFonts w:ascii="Calibri" w:eastAsia="Calibri" w:hAnsi="Calibri" w:cs="Times New Roman"/>
          <w:b/>
          <w:sz w:val="24"/>
        </w:rPr>
        <w:t>(v tis. Kč)</w:t>
      </w:r>
    </w:p>
    <w:tbl>
      <w:tblPr>
        <w:tblStyle w:val="Mkatabulky1"/>
        <w:tblW w:w="9043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948"/>
        <w:gridCol w:w="1219"/>
        <w:gridCol w:w="1219"/>
        <w:gridCol w:w="1219"/>
        <w:gridCol w:w="1219"/>
        <w:gridCol w:w="1219"/>
      </w:tblGrid>
      <w:tr w:rsidR="008629AD" w:rsidRPr="00E57AEC" w14:paraId="45E465AF" w14:textId="77777777" w:rsidTr="00E57AEC">
        <w:trPr>
          <w:trHeight w:val="283"/>
          <w:jc w:val="center"/>
        </w:trPr>
        <w:tc>
          <w:tcPr>
            <w:tcW w:w="2948" w:type="dxa"/>
            <w:shd w:val="clear" w:color="auto" w:fill="E5F1FF"/>
            <w:vAlign w:val="center"/>
          </w:tcPr>
          <w:p w14:paraId="3C725D9B" w14:textId="34EECEFE" w:rsidR="008629AD" w:rsidRPr="00E57AEC" w:rsidRDefault="008629AD" w:rsidP="00E57AE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9" w:type="dxa"/>
            <w:shd w:val="clear" w:color="auto" w:fill="E5F1FF"/>
            <w:vAlign w:val="center"/>
          </w:tcPr>
          <w:p w14:paraId="0A7DC4B9" w14:textId="77777777" w:rsidR="008629AD" w:rsidRPr="00E57AEC" w:rsidRDefault="008629AD" w:rsidP="00E57AEC">
            <w:pPr>
              <w:jc w:val="center"/>
              <w:rPr>
                <w:rFonts w:ascii="Calibri" w:hAnsi="Calibri" w:cs="Calibri"/>
                <w:b/>
              </w:rPr>
            </w:pPr>
            <w:r w:rsidRPr="00E57AEC">
              <w:rPr>
                <w:rFonts w:ascii="Calibri" w:hAnsi="Calibri" w:cs="Calibri"/>
                <w:b/>
              </w:rPr>
              <w:t>2016</w:t>
            </w:r>
          </w:p>
        </w:tc>
        <w:tc>
          <w:tcPr>
            <w:tcW w:w="1219" w:type="dxa"/>
            <w:shd w:val="clear" w:color="auto" w:fill="E5F1FF"/>
            <w:vAlign w:val="center"/>
          </w:tcPr>
          <w:p w14:paraId="15F0B6A4" w14:textId="77777777" w:rsidR="008629AD" w:rsidRPr="00E57AEC" w:rsidRDefault="008629AD" w:rsidP="00E57AEC">
            <w:pPr>
              <w:jc w:val="center"/>
              <w:rPr>
                <w:rFonts w:ascii="Calibri" w:hAnsi="Calibri" w:cs="Calibri"/>
                <w:b/>
              </w:rPr>
            </w:pPr>
            <w:r w:rsidRPr="00E57AEC">
              <w:rPr>
                <w:rFonts w:ascii="Calibri" w:hAnsi="Calibri" w:cs="Calibri"/>
                <w:b/>
              </w:rPr>
              <w:t>2017</w:t>
            </w:r>
          </w:p>
        </w:tc>
        <w:tc>
          <w:tcPr>
            <w:tcW w:w="1219" w:type="dxa"/>
            <w:shd w:val="clear" w:color="auto" w:fill="E5F1FF"/>
            <w:vAlign w:val="center"/>
          </w:tcPr>
          <w:p w14:paraId="4E9B655A" w14:textId="77777777" w:rsidR="008629AD" w:rsidRPr="00E57AEC" w:rsidRDefault="008629AD" w:rsidP="00E57AEC">
            <w:pPr>
              <w:jc w:val="center"/>
              <w:rPr>
                <w:rFonts w:ascii="Calibri" w:hAnsi="Calibri" w:cs="Calibri"/>
                <w:b/>
              </w:rPr>
            </w:pPr>
            <w:r w:rsidRPr="00E57AEC">
              <w:rPr>
                <w:rFonts w:ascii="Calibri" w:hAnsi="Calibri" w:cs="Calibri"/>
                <w:b/>
              </w:rPr>
              <w:t>2018</w:t>
            </w:r>
          </w:p>
        </w:tc>
        <w:tc>
          <w:tcPr>
            <w:tcW w:w="1219" w:type="dxa"/>
            <w:shd w:val="clear" w:color="auto" w:fill="E5F1FF"/>
            <w:vAlign w:val="center"/>
          </w:tcPr>
          <w:p w14:paraId="3A8C1B3E" w14:textId="77777777" w:rsidR="008629AD" w:rsidRPr="00E57AEC" w:rsidRDefault="008629AD" w:rsidP="00E57AEC">
            <w:pPr>
              <w:jc w:val="center"/>
              <w:rPr>
                <w:rFonts w:ascii="Calibri" w:hAnsi="Calibri" w:cs="Calibri"/>
                <w:b/>
              </w:rPr>
            </w:pPr>
            <w:r w:rsidRPr="00E57AEC"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1219" w:type="dxa"/>
            <w:shd w:val="clear" w:color="auto" w:fill="E5F1FF"/>
            <w:vAlign w:val="center"/>
          </w:tcPr>
          <w:p w14:paraId="2BFDE26E" w14:textId="77777777" w:rsidR="008629AD" w:rsidRPr="00E57AEC" w:rsidRDefault="008629AD" w:rsidP="00E57AEC">
            <w:pPr>
              <w:jc w:val="center"/>
              <w:rPr>
                <w:rFonts w:ascii="Calibri" w:hAnsi="Calibri" w:cs="Calibri"/>
                <w:b/>
              </w:rPr>
            </w:pPr>
            <w:r w:rsidRPr="00E57AEC">
              <w:rPr>
                <w:rFonts w:ascii="Calibri" w:hAnsi="Calibri" w:cs="Calibri"/>
                <w:b/>
              </w:rPr>
              <w:t>2020</w:t>
            </w:r>
          </w:p>
        </w:tc>
      </w:tr>
      <w:tr w:rsidR="008629AD" w:rsidRPr="00E57AEC" w14:paraId="3F7E11FF" w14:textId="77777777" w:rsidTr="00E57AEC">
        <w:trPr>
          <w:trHeight w:val="283"/>
          <w:jc w:val="center"/>
        </w:trPr>
        <w:tc>
          <w:tcPr>
            <w:tcW w:w="2948" w:type="dxa"/>
            <w:vAlign w:val="center"/>
          </w:tcPr>
          <w:p w14:paraId="7951DDA4" w14:textId="77777777" w:rsidR="008629AD" w:rsidRPr="00E57AEC" w:rsidRDefault="008629AD" w:rsidP="00E57AEC">
            <w:pPr>
              <w:rPr>
                <w:rFonts w:ascii="Calibri" w:hAnsi="Calibri" w:cs="Calibri"/>
              </w:rPr>
            </w:pPr>
            <w:r w:rsidRPr="00E57AEC">
              <w:rPr>
                <w:rFonts w:ascii="Calibri" w:hAnsi="Calibri" w:cs="Calibri"/>
              </w:rPr>
              <w:t>Dlouhodobý hmotný majetek</w:t>
            </w:r>
          </w:p>
        </w:tc>
        <w:tc>
          <w:tcPr>
            <w:tcW w:w="1219" w:type="dxa"/>
            <w:vAlign w:val="center"/>
          </w:tcPr>
          <w:p w14:paraId="54B0CF98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E57AEC">
              <w:rPr>
                <w:rFonts w:ascii="Calibri" w:hAnsi="Calibri" w:cs="Calibri"/>
                <w:bCs/>
                <w:color w:val="000000"/>
              </w:rPr>
              <w:t>86 264</w:t>
            </w:r>
          </w:p>
        </w:tc>
        <w:tc>
          <w:tcPr>
            <w:tcW w:w="1219" w:type="dxa"/>
            <w:vAlign w:val="center"/>
          </w:tcPr>
          <w:p w14:paraId="1E18CD2B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</w:rPr>
            </w:pPr>
            <w:r w:rsidRPr="00E57AEC">
              <w:rPr>
                <w:rFonts w:ascii="Calibri" w:hAnsi="Calibri" w:cs="Calibri"/>
                <w:bCs/>
                <w:color w:val="000000"/>
              </w:rPr>
              <w:t>175 534</w:t>
            </w:r>
          </w:p>
        </w:tc>
        <w:tc>
          <w:tcPr>
            <w:tcW w:w="1219" w:type="dxa"/>
            <w:vAlign w:val="center"/>
          </w:tcPr>
          <w:p w14:paraId="3883A105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</w:rPr>
            </w:pPr>
            <w:r w:rsidRPr="00E57AEC">
              <w:rPr>
                <w:rFonts w:ascii="Calibri" w:hAnsi="Calibri" w:cs="Calibri"/>
                <w:bCs/>
                <w:color w:val="000000"/>
              </w:rPr>
              <w:t>173 020</w:t>
            </w:r>
          </w:p>
        </w:tc>
        <w:tc>
          <w:tcPr>
            <w:tcW w:w="1219" w:type="dxa"/>
            <w:vAlign w:val="center"/>
          </w:tcPr>
          <w:p w14:paraId="2CC511B6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</w:rPr>
            </w:pPr>
            <w:r w:rsidRPr="00E57AEC">
              <w:rPr>
                <w:rFonts w:ascii="Calibri" w:hAnsi="Calibri" w:cs="Calibri"/>
                <w:bCs/>
                <w:color w:val="000000"/>
              </w:rPr>
              <w:t>119 989</w:t>
            </w:r>
          </w:p>
        </w:tc>
        <w:tc>
          <w:tcPr>
            <w:tcW w:w="1219" w:type="dxa"/>
            <w:vAlign w:val="center"/>
          </w:tcPr>
          <w:p w14:paraId="1F45453E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</w:rPr>
            </w:pPr>
            <w:r w:rsidRPr="00E57AEC">
              <w:rPr>
                <w:rFonts w:ascii="Calibri" w:hAnsi="Calibri" w:cs="Calibri"/>
                <w:bCs/>
                <w:color w:val="000000"/>
              </w:rPr>
              <w:t>122 917</w:t>
            </w:r>
          </w:p>
        </w:tc>
      </w:tr>
      <w:tr w:rsidR="008629AD" w:rsidRPr="00E57AEC" w14:paraId="6FF91298" w14:textId="77777777" w:rsidTr="00E57AEC">
        <w:trPr>
          <w:trHeight w:val="283"/>
          <w:jc w:val="center"/>
        </w:trPr>
        <w:tc>
          <w:tcPr>
            <w:tcW w:w="2948" w:type="dxa"/>
            <w:vAlign w:val="center"/>
          </w:tcPr>
          <w:p w14:paraId="258F7D6C" w14:textId="77777777" w:rsidR="008629AD" w:rsidRPr="00E57AEC" w:rsidRDefault="008629AD" w:rsidP="00E57AEC">
            <w:pPr>
              <w:rPr>
                <w:rFonts w:ascii="Calibri" w:hAnsi="Calibri" w:cs="Calibri"/>
              </w:rPr>
            </w:pPr>
            <w:r w:rsidRPr="00E57AEC">
              <w:rPr>
                <w:rFonts w:ascii="Calibri" w:hAnsi="Calibri" w:cs="Calibri"/>
              </w:rPr>
              <w:t>Peněžní prostředky</w:t>
            </w:r>
          </w:p>
        </w:tc>
        <w:tc>
          <w:tcPr>
            <w:tcW w:w="1219" w:type="dxa"/>
            <w:vAlign w:val="center"/>
          </w:tcPr>
          <w:p w14:paraId="0CCB6F74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  <w:color w:val="000000"/>
              </w:rPr>
            </w:pPr>
            <w:r w:rsidRPr="00E57AEC">
              <w:rPr>
                <w:rFonts w:ascii="Calibri" w:hAnsi="Calibri" w:cs="Calibri"/>
                <w:color w:val="000000"/>
              </w:rPr>
              <w:t>409 145</w:t>
            </w:r>
          </w:p>
        </w:tc>
        <w:tc>
          <w:tcPr>
            <w:tcW w:w="1219" w:type="dxa"/>
            <w:vAlign w:val="center"/>
          </w:tcPr>
          <w:p w14:paraId="737F7919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E57AEC">
              <w:rPr>
                <w:rFonts w:ascii="Calibri" w:hAnsi="Calibri" w:cs="Calibri"/>
                <w:color w:val="000000"/>
              </w:rPr>
              <w:t>316 442</w:t>
            </w:r>
          </w:p>
        </w:tc>
        <w:tc>
          <w:tcPr>
            <w:tcW w:w="1219" w:type="dxa"/>
            <w:vAlign w:val="center"/>
          </w:tcPr>
          <w:p w14:paraId="7C55AA9E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E57AEC">
              <w:rPr>
                <w:rFonts w:ascii="Calibri" w:hAnsi="Calibri" w:cs="Calibri"/>
                <w:color w:val="000000"/>
              </w:rPr>
              <w:t>313 365</w:t>
            </w:r>
          </w:p>
        </w:tc>
        <w:tc>
          <w:tcPr>
            <w:tcW w:w="1219" w:type="dxa"/>
            <w:vAlign w:val="center"/>
          </w:tcPr>
          <w:p w14:paraId="7D7F5705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E57AEC">
              <w:rPr>
                <w:rFonts w:ascii="Calibri" w:hAnsi="Calibri" w:cs="Calibri"/>
                <w:color w:val="000000"/>
              </w:rPr>
              <w:t>312 013</w:t>
            </w:r>
          </w:p>
        </w:tc>
        <w:tc>
          <w:tcPr>
            <w:tcW w:w="1219" w:type="dxa"/>
            <w:vAlign w:val="center"/>
          </w:tcPr>
          <w:p w14:paraId="193A631D" w14:textId="77777777" w:rsidR="008629AD" w:rsidRPr="00E57AEC" w:rsidRDefault="008629AD" w:rsidP="00E57AEC">
            <w:pPr>
              <w:ind w:right="57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E57AEC">
              <w:rPr>
                <w:rFonts w:ascii="Calibri" w:hAnsi="Calibri" w:cs="Calibri"/>
                <w:color w:val="000000"/>
              </w:rPr>
              <w:t>309 617</w:t>
            </w:r>
          </w:p>
        </w:tc>
      </w:tr>
      <w:tr w:rsidR="00AA3C83" w:rsidRPr="00E57AEC" w14:paraId="5B239C69" w14:textId="77777777" w:rsidTr="00E57AEC">
        <w:trPr>
          <w:trHeight w:val="283"/>
          <w:jc w:val="center"/>
        </w:trPr>
        <w:tc>
          <w:tcPr>
            <w:tcW w:w="2948" w:type="dxa"/>
            <w:vAlign w:val="center"/>
          </w:tcPr>
          <w:p w14:paraId="309C0916" w14:textId="2BF5AF36" w:rsidR="00AA3C83" w:rsidRPr="00E57AEC" w:rsidRDefault="00AA3C83" w:rsidP="00E57AEC">
            <w:pPr>
              <w:rPr>
                <w:rFonts w:ascii="Calibri" w:hAnsi="Calibri" w:cs="Calibri"/>
                <w:b/>
              </w:rPr>
            </w:pPr>
            <w:r w:rsidRPr="00E57AEC">
              <w:rPr>
                <w:rFonts w:ascii="Calibri" w:hAnsi="Calibri" w:cs="Calibri"/>
                <w:b/>
              </w:rPr>
              <w:t>Celkem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D154B95" w14:textId="7FF5FDD2" w:rsidR="00AA3C83" w:rsidRPr="00E57AEC" w:rsidRDefault="00AA3C83" w:rsidP="00E57AEC">
            <w:pPr>
              <w:ind w:right="57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E57AEC">
              <w:rPr>
                <w:rFonts w:ascii="Calibri" w:hAnsi="Calibri" w:cs="Calibri"/>
                <w:b/>
                <w:color w:val="000000"/>
              </w:rPr>
              <w:t>495 409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50194FA" w14:textId="1B175B80" w:rsidR="00AA3C83" w:rsidRPr="00E57AEC" w:rsidRDefault="00AA3C83" w:rsidP="00E57AEC">
            <w:pPr>
              <w:ind w:right="57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E57AEC">
              <w:rPr>
                <w:rFonts w:ascii="Calibri" w:hAnsi="Calibri" w:cs="Calibri"/>
                <w:b/>
                <w:color w:val="000000"/>
              </w:rPr>
              <w:t>491 976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8BD32C9" w14:textId="6A1DFADD" w:rsidR="00AA3C83" w:rsidRPr="00E57AEC" w:rsidRDefault="00AA3C83" w:rsidP="00E57AEC">
            <w:pPr>
              <w:ind w:right="57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E57AEC">
              <w:rPr>
                <w:rFonts w:ascii="Calibri" w:hAnsi="Calibri" w:cs="Calibri"/>
                <w:b/>
                <w:color w:val="000000"/>
              </w:rPr>
              <w:t>486 385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D51F513" w14:textId="1B2DE76C" w:rsidR="00AA3C83" w:rsidRPr="00E57AEC" w:rsidRDefault="00AA3C83" w:rsidP="00E57AEC">
            <w:pPr>
              <w:ind w:right="57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E57AEC">
              <w:rPr>
                <w:rFonts w:ascii="Calibri" w:hAnsi="Calibri" w:cs="Calibri"/>
                <w:b/>
                <w:color w:val="000000"/>
              </w:rPr>
              <w:t>432 002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C33D29D" w14:textId="4B13ECBB" w:rsidR="00AA3C83" w:rsidRPr="00E57AEC" w:rsidRDefault="00AA3C83" w:rsidP="00E57AEC">
            <w:pPr>
              <w:ind w:right="57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E57AEC">
              <w:rPr>
                <w:rFonts w:ascii="Calibri" w:hAnsi="Calibri" w:cs="Calibri"/>
                <w:b/>
                <w:color w:val="000000"/>
              </w:rPr>
              <w:t>432 534</w:t>
            </w:r>
          </w:p>
        </w:tc>
      </w:tr>
    </w:tbl>
    <w:p w14:paraId="5260BD71" w14:textId="2DAFE747" w:rsidR="008629AD" w:rsidRPr="008629AD" w:rsidRDefault="00AF4A9C" w:rsidP="00E57AEC">
      <w:pPr>
        <w:spacing w:before="40" w:after="0" w:line="240" w:lineRule="auto"/>
        <w:rPr>
          <w:rFonts w:ascii="Calibri" w:eastAsia="Calibri" w:hAnsi="Calibri" w:cs="Times New Roman"/>
          <w:sz w:val="20"/>
        </w:rPr>
      </w:pPr>
      <w:r>
        <w:rPr>
          <w:rFonts w:ascii="Calibri" w:eastAsia="Calibri" w:hAnsi="Calibri" w:cs="Times New Roman"/>
          <w:b/>
          <w:sz w:val="20"/>
        </w:rPr>
        <w:t>Z</w:t>
      </w:r>
      <w:r w:rsidR="008629AD" w:rsidRPr="00E57AEC">
        <w:rPr>
          <w:rFonts w:ascii="Calibri" w:eastAsia="Calibri" w:hAnsi="Calibri" w:cs="Times New Roman"/>
          <w:b/>
          <w:sz w:val="20"/>
        </w:rPr>
        <w:t xml:space="preserve">droj: </w:t>
      </w:r>
      <w:r>
        <w:rPr>
          <w:rFonts w:ascii="Calibri" w:eastAsia="Calibri" w:hAnsi="Calibri" w:cs="Times New Roman"/>
          <w:sz w:val="20"/>
        </w:rPr>
        <w:t>ú</w:t>
      </w:r>
      <w:r w:rsidR="008629AD" w:rsidRPr="008629AD">
        <w:rPr>
          <w:rFonts w:ascii="Calibri" w:eastAsia="Calibri" w:hAnsi="Calibri" w:cs="Times New Roman"/>
          <w:sz w:val="20"/>
        </w:rPr>
        <w:t xml:space="preserve">četní závěrky </w:t>
      </w:r>
      <w:proofErr w:type="spellStart"/>
      <w:r w:rsidR="008629AD" w:rsidRPr="008629AD">
        <w:rPr>
          <w:rFonts w:ascii="Calibri" w:eastAsia="Calibri" w:hAnsi="Calibri" w:cs="Times New Roman"/>
          <w:sz w:val="20"/>
        </w:rPr>
        <w:t>Transgasu</w:t>
      </w:r>
      <w:proofErr w:type="spellEnd"/>
      <w:r w:rsidR="008629AD" w:rsidRPr="008629AD">
        <w:rPr>
          <w:rFonts w:ascii="Calibri" w:eastAsia="Calibri" w:hAnsi="Calibri" w:cs="Times New Roman"/>
          <w:sz w:val="20"/>
        </w:rPr>
        <w:t xml:space="preserve"> </w:t>
      </w:r>
      <w:r w:rsidR="000022F1">
        <w:rPr>
          <w:rFonts w:ascii="Calibri" w:eastAsia="Calibri" w:hAnsi="Calibri" w:cs="Times New Roman"/>
          <w:sz w:val="20"/>
        </w:rPr>
        <w:t xml:space="preserve">z </w:t>
      </w:r>
      <w:r w:rsidR="008629AD" w:rsidRPr="008629AD">
        <w:rPr>
          <w:rFonts w:ascii="Calibri" w:eastAsia="Calibri" w:hAnsi="Calibri" w:cs="Times New Roman"/>
          <w:sz w:val="20"/>
        </w:rPr>
        <w:t>let 2016</w:t>
      </w:r>
      <w:r w:rsidR="00795298">
        <w:rPr>
          <w:rFonts w:ascii="Calibri" w:eastAsia="Calibri" w:hAnsi="Calibri" w:cs="Times New Roman"/>
          <w:sz w:val="20"/>
        </w:rPr>
        <w:t xml:space="preserve"> až </w:t>
      </w:r>
      <w:r w:rsidR="008629AD" w:rsidRPr="008629AD">
        <w:rPr>
          <w:rFonts w:ascii="Calibri" w:eastAsia="Calibri" w:hAnsi="Calibri" w:cs="Times New Roman"/>
          <w:sz w:val="20"/>
        </w:rPr>
        <w:t>2020, stav k 31. prosinci daného roku</w:t>
      </w:r>
      <w:r w:rsidR="006B7F03">
        <w:rPr>
          <w:rFonts w:ascii="Calibri" w:eastAsia="Calibri" w:hAnsi="Calibri" w:cs="Times New Roman"/>
          <w:sz w:val="20"/>
        </w:rPr>
        <w:t>.</w:t>
      </w:r>
      <w:r w:rsidR="008629AD" w:rsidRPr="008629AD">
        <w:rPr>
          <w:rFonts w:ascii="Calibri" w:eastAsia="Calibri" w:hAnsi="Calibri" w:cs="Times New Roman"/>
          <w:sz w:val="20"/>
        </w:rPr>
        <w:t xml:space="preserve"> </w:t>
      </w:r>
    </w:p>
    <w:p w14:paraId="2EAD4DE6" w14:textId="504857A0" w:rsidR="00AA3C83" w:rsidRDefault="00AA3C83" w:rsidP="00E57AEC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Hodnota aktiv a pasiv dle účetních závěrek z let 2016 </w:t>
      </w:r>
      <w:r w:rsidR="007630EA">
        <w:rPr>
          <w:rFonts w:ascii="Calibri" w:eastAsia="Calibri" w:hAnsi="Calibri" w:cs="Calibri"/>
          <w:sz w:val="24"/>
          <w:szCs w:val="24"/>
        </w:rPr>
        <w:t>až</w:t>
      </w:r>
      <w:r>
        <w:rPr>
          <w:rFonts w:ascii="Calibri" w:eastAsia="Calibri" w:hAnsi="Calibri" w:cs="Calibri"/>
          <w:sz w:val="24"/>
          <w:szCs w:val="24"/>
        </w:rPr>
        <w:t xml:space="preserve"> 2020 čin</w:t>
      </w:r>
      <w:r w:rsidR="006C380A">
        <w:rPr>
          <w:rFonts w:ascii="Calibri" w:eastAsia="Calibri" w:hAnsi="Calibri" w:cs="Calibri"/>
          <w:sz w:val="24"/>
          <w:szCs w:val="24"/>
        </w:rPr>
        <w:t>ila</w:t>
      </w:r>
      <w:r>
        <w:rPr>
          <w:rFonts w:ascii="Calibri" w:eastAsia="Calibri" w:hAnsi="Calibri" w:cs="Calibri"/>
          <w:sz w:val="24"/>
          <w:szCs w:val="24"/>
        </w:rPr>
        <w:t xml:space="preserve"> cca 5 mld. Kč, </w:t>
      </w:r>
      <w:r w:rsidR="006B536E">
        <w:rPr>
          <w:rFonts w:ascii="Calibri" w:eastAsia="Calibri" w:hAnsi="Calibri" w:cs="Calibri"/>
          <w:sz w:val="24"/>
          <w:szCs w:val="24"/>
        </w:rPr>
        <w:t>z</w:t>
      </w:r>
      <w:r w:rsidR="00763018">
        <w:rPr>
          <w:rFonts w:ascii="Calibri" w:eastAsia="Calibri" w:hAnsi="Calibri" w:cs="Calibri"/>
          <w:sz w:val="24"/>
          <w:szCs w:val="24"/>
        </w:rPr>
        <w:t> </w:t>
      </w:r>
      <w:r w:rsidR="006B536E">
        <w:rPr>
          <w:rFonts w:ascii="Calibri" w:eastAsia="Calibri" w:hAnsi="Calibri" w:cs="Calibri"/>
          <w:sz w:val="24"/>
          <w:szCs w:val="24"/>
        </w:rPr>
        <w:t>toho</w:t>
      </w:r>
      <w:r w:rsidR="00763018">
        <w:rPr>
          <w:rFonts w:ascii="Calibri" w:eastAsia="Calibri" w:hAnsi="Calibri" w:cs="Calibri"/>
          <w:sz w:val="24"/>
          <w:szCs w:val="24"/>
        </w:rPr>
        <w:t xml:space="preserve"> byly</w:t>
      </w:r>
      <w:r>
        <w:rPr>
          <w:rFonts w:ascii="Calibri" w:eastAsia="Calibri" w:hAnsi="Calibri" w:cs="Calibri"/>
          <w:sz w:val="24"/>
          <w:szCs w:val="24"/>
        </w:rPr>
        <w:t xml:space="preserve"> pohledávk</w:t>
      </w:r>
      <w:r w:rsidR="00763018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a závaz</w:t>
      </w:r>
      <w:r w:rsidR="00763018"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z w:val="24"/>
          <w:szCs w:val="24"/>
        </w:rPr>
        <w:t xml:space="preserve"> z tzv. </w:t>
      </w:r>
      <w:proofErr w:type="spellStart"/>
      <w:r w:rsidR="009D1B17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amburgských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dohod</w:t>
      </w:r>
      <w:r w:rsidR="00996B4A" w:rsidRPr="00996B4A">
        <w:rPr>
          <w:rFonts w:ascii="Calibri" w:eastAsia="Calibri" w:hAnsi="Calibri" w:cs="Calibri"/>
          <w:sz w:val="24"/>
          <w:szCs w:val="24"/>
        </w:rPr>
        <w:t xml:space="preserve"> </w:t>
      </w:r>
      <w:r w:rsidR="00996B4A">
        <w:rPr>
          <w:rFonts w:ascii="Calibri" w:eastAsia="Calibri" w:hAnsi="Calibri" w:cs="Calibri"/>
          <w:sz w:val="24"/>
          <w:szCs w:val="24"/>
        </w:rPr>
        <w:t>ve výši 4,6 mld. Kč</w:t>
      </w:r>
      <w:r>
        <w:rPr>
          <w:rFonts w:ascii="Calibri" w:eastAsia="Calibri" w:hAnsi="Calibri" w:cs="Calibri"/>
          <w:sz w:val="24"/>
          <w:szCs w:val="24"/>
        </w:rPr>
        <w:t xml:space="preserve">. Neoprávněnost </w:t>
      </w:r>
      <w:r w:rsidR="0019621A">
        <w:rPr>
          <w:rFonts w:ascii="Calibri" w:eastAsia="Calibri" w:hAnsi="Calibri" w:cs="Calibri"/>
          <w:sz w:val="24"/>
          <w:szCs w:val="24"/>
        </w:rPr>
        <w:t xml:space="preserve">vedení </w:t>
      </w:r>
      <w:r>
        <w:rPr>
          <w:rFonts w:ascii="Calibri" w:eastAsia="Calibri" w:hAnsi="Calibri" w:cs="Calibri"/>
          <w:sz w:val="24"/>
          <w:szCs w:val="24"/>
        </w:rPr>
        <w:t xml:space="preserve">této pohledávky </w:t>
      </w:r>
      <w:r w:rsidR="0019621A">
        <w:rPr>
          <w:rFonts w:ascii="Calibri" w:eastAsia="Calibri" w:hAnsi="Calibri" w:cs="Calibri"/>
          <w:sz w:val="24"/>
          <w:szCs w:val="24"/>
        </w:rPr>
        <w:t xml:space="preserve">v účetnictví </w:t>
      </w:r>
      <w:proofErr w:type="spellStart"/>
      <w:r w:rsidR="0019621A">
        <w:rPr>
          <w:rFonts w:ascii="Calibri" w:eastAsia="Calibri" w:hAnsi="Calibri" w:cs="Calibri"/>
          <w:sz w:val="24"/>
          <w:szCs w:val="24"/>
        </w:rPr>
        <w:t>Transgasu</w:t>
      </w:r>
      <w:proofErr w:type="spellEnd"/>
      <w:r w:rsidR="001962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 popsána v části I.</w:t>
      </w:r>
      <w:r w:rsidR="00A15034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a IV.</w:t>
      </w:r>
      <w:r w:rsidR="00A15034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tohoto </w:t>
      </w:r>
      <w:r w:rsidR="0078771F">
        <w:rPr>
          <w:rFonts w:ascii="Calibri" w:eastAsia="Calibri" w:hAnsi="Calibri" w:cs="Calibri"/>
          <w:sz w:val="24"/>
          <w:szCs w:val="24"/>
        </w:rPr>
        <w:t xml:space="preserve">kontrolního </w:t>
      </w:r>
      <w:r>
        <w:rPr>
          <w:rFonts w:ascii="Calibri" w:eastAsia="Calibri" w:hAnsi="Calibri" w:cs="Calibri"/>
          <w:sz w:val="24"/>
          <w:szCs w:val="24"/>
        </w:rPr>
        <w:t xml:space="preserve">závěru. </w:t>
      </w:r>
    </w:p>
    <w:p w14:paraId="4DFC2AF3" w14:textId="025674E3" w:rsidR="00626081" w:rsidRPr="00626081" w:rsidRDefault="00626081" w:rsidP="00E57AEC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 xml:space="preserve">Podrobnější pravidla pro </w:t>
      </w:r>
      <w:r w:rsidR="00CC5D38">
        <w:rPr>
          <w:rFonts w:ascii="Calibri" w:eastAsia="Calibri" w:hAnsi="Calibri" w:cs="Times New Roman"/>
          <w:sz w:val="24"/>
          <w:szCs w:val="24"/>
        </w:rPr>
        <w:t>činnost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státního podniku jsou stanoven</w:t>
      </w:r>
      <w:r w:rsidR="006B7F03">
        <w:rPr>
          <w:rFonts w:ascii="Calibri" w:eastAsia="Calibri" w:hAnsi="Calibri" w:cs="Times New Roman"/>
          <w:sz w:val="24"/>
          <w:szCs w:val="24"/>
        </w:rPr>
        <w:t>a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</w:t>
      </w:r>
      <w:r w:rsidR="00861B12">
        <w:rPr>
          <w:rFonts w:ascii="Calibri" w:eastAsia="Calibri" w:hAnsi="Calibri" w:cs="Times New Roman"/>
          <w:sz w:val="24"/>
          <w:szCs w:val="24"/>
        </w:rPr>
        <w:t>s</w:t>
      </w:r>
      <w:r w:rsidRPr="00626081">
        <w:rPr>
          <w:rFonts w:ascii="Calibri" w:eastAsia="Calibri" w:hAnsi="Calibri" w:cs="Times New Roman"/>
          <w:sz w:val="24"/>
          <w:szCs w:val="24"/>
        </w:rPr>
        <w:t>tatutem státního podniku.</w:t>
      </w:r>
    </w:p>
    <w:p w14:paraId="5E087C26" w14:textId="20A1B52D" w:rsidR="00626081" w:rsidRPr="00626081" w:rsidRDefault="00626081" w:rsidP="00BB3AD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 xml:space="preserve">Na chod státního podniku dohlíží dle zákona č. 77/1997 Sb. </w:t>
      </w:r>
      <w:r w:rsidRPr="00626081">
        <w:rPr>
          <w:rFonts w:ascii="Calibri" w:eastAsia="Calibri" w:hAnsi="Calibri" w:cs="Times New Roman"/>
          <w:b/>
          <w:sz w:val="24"/>
          <w:szCs w:val="24"/>
        </w:rPr>
        <w:t>dozorčí rada</w:t>
      </w:r>
      <w:r w:rsidRPr="00A24AAD">
        <w:rPr>
          <w:rFonts w:ascii="Calibri" w:eastAsia="Calibri" w:hAnsi="Calibri" w:cs="Times New Roman"/>
          <w:b/>
          <w:sz w:val="24"/>
          <w:szCs w:val="24"/>
        </w:rPr>
        <w:t>,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která má tři členy. Dva jsou jmenováni zakladatelem (MPO), jeden je volen zaměstnanci státního podniku. Funkční období členů dozorčí rady dle </w:t>
      </w:r>
      <w:r w:rsidR="00861B12">
        <w:rPr>
          <w:rFonts w:ascii="Calibri" w:eastAsia="Calibri" w:hAnsi="Calibri" w:cs="Times New Roman"/>
          <w:sz w:val="24"/>
          <w:szCs w:val="24"/>
        </w:rPr>
        <w:t>s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tatutu státního podniku je pět let. Dozorčí rada schvaluje nakládání s majetkem státního podniku dle pravomocí uvedených ve </w:t>
      </w:r>
      <w:r w:rsidR="00861B12">
        <w:rPr>
          <w:rFonts w:ascii="Calibri" w:eastAsia="Calibri" w:hAnsi="Calibri" w:cs="Times New Roman"/>
          <w:sz w:val="24"/>
          <w:szCs w:val="24"/>
        </w:rPr>
        <w:t>s</w:t>
      </w:r>
      <w:r w:rsidRPr="00626081">
        <w:rPr>
          <w:rFonts w:ascii="Calibri" w:eastAsia="Calibri" w:hAnsi="Calibri" w:cs="Times New Roman"/>
          <w:sz w:val="24"/>
          <w:szCs w:val="24"/>
        </w:rPr>
        <w:t>tatutu státního podniku. Jedná se zejména o ty pravomoci, kdy dozorčí rada:</w:t>
      </w:r>
    </w:p>
    <w:p w14:paraId="068FAFC6" w14:textId="77777777" w:rsidR="00626081" w:rsidRPr="00626081" w:rsidRDefault="00626081" w:rsidP="00BB3A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 xml:space="preserve">schvaluje koncepce rozvoje státního podniku, </w:t>
      </w:r>
    </w:p>
    <w:p w14:paraId="5156FCF8" w14:textId="77777777" w:rsidR="00626081" w:rsidRPr="00626081" w:rsidRDefault="00626081" w:rsidP="00BB3A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 xml:space="preserve">schvaluje nakládání s majetkem, </w:t>
      </w:r>
    </w:p>
    <w:p w14:paraId="11339F39" w14:textId="54BE6E6D" w:rsidR="00626081" w:rsidRPr="00626081" w:rsidRDefault="00626081" w:rsidP="00BB3A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>projednává výroční zprávu, přezkoumává účetní závěrku podniku</w:t>
      </w:r>
      <w:r w:rsidR="00542759">
        <w:rPr>
          <w:rFonts w:ascii="Calibri" w:eastAsia="Calibri" w:hAnsi="Calibri" w:cs="Times New Roman"/>
          <w:sz w:val="24"/>
          <w:szCs w:val="24"/>
        </w:rPr>
        <w:t xml:space="preserve"> a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pololetní výsledky hospodaření, </w:t>
      </w:r>
    </w:p>
    <w:p w14:paraId="046FFB1E" w14:textId="77777777" w:rsidR="00626081" w:rsidRPr="00626081" w:rsidRDefault="00626081" w:rsidP="00BB3A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>dohlíží na výkon působnosti ředitele a uskutečňování podnikatelské činnosti podniku,</w:t>
      </w:r>
    </w:p>
    <w:p w14:paraId="57016438" w14:textId="77777777" w:rsidR="00626081" w:rsidRPr="00626081" w:rsidRDefault="00626081" w:rsidP="00BB3A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>je povinna upozornit ředitele a zakladatele na zjištěné nedostatky,</w:t>
      </w:r>
    </w:p>
    <w:p w14:paraId="6B6EACA1" w14:textId="77777777" w:rsidR="00626081" w:rsidRPr="00626081" w:rsidRDefault="00626081" w:rsidP="00BB3A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>schvaluje uzavírání smluv.</w:t>
      </w:r>
    </w:p>
    <w:p w14:paraId="235A4F47" w14:textId="34BD5437" w:rsidR="001C01FB" w:rsidRPr="00E57AEC" w:rsidRDefault="001C01FB" w:rsidP="00E57AEC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01FB">
        <w:rPr>
          <w:rFonts w:ascii="Calibri" w:eastAsia="Calibri" w:hAnsi="Calibri" w:cs="Calibri"/>
          <w:sz w:val="24"/>
          <w:szCs w:val="24"/>
        </w:rPr>
        <w:t>Statutárním o</w:t>
      </w:r>
      <w:r>
        <w:rPr>
          <w:rFonts w:ascii="Calibri" w:eastAsia="Calibri" w:hAnsi="Calibri" w:cs="Calibri"/>
          <w:sz w:val="24"/>
          <w:szCs w:val="24"/>
        </w:rPr>
        <w:t>r</w:t>
      </w:r>
      <w:r w:rsidRPr="001C01FB">
        <w:rPr>
          <w:rFonts w:ascii="Calibri" w:eastAsia="Calibri" w:hAnsi="Calibri" w:cs="Calibri"/>
          <w:sz w:val="24"/>
          <w:szCs w:val="24"/>
        </w:rPr>
        <w:t xml:space="preserve">gánem státního podniku je jeho </w:t>
      </w:r>
      <w:r w:rsidRPr="00CB4E40">
        <w:rPr>
          <w:rFonts w:ascii="Calibri" w:eastAsia="Calibri" w:hAnsi="Calibri" w:cs="Calibri"/>
          <w:b/>
          <w:sz w:val="24"/>
          <w:szCs w:val="24"/>
        </w:rPr>
        <w:t>ředitel</w:t>
      </w:r>
      <w:r w:rsidRPr="00A24AAD">
        <w:rPr>
          <w:rFonts w:ascii="Calibri" w:eastAsia="Calibri" w:hAnsi="Calibri" w:cs="Calibri"/>
          <w:b/>
          <w:sz w:val="24"/>
          <w:szCs w:val="24"/>
        </w:rPr>
        <w:t>.</w:t>
      </w:r>
      <w:r w:rsidRPr="001C01F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Řídí činnost státního podniku a</w:t>
      </w:r>
      <w:r w:rsidR="003B7610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rozhoduje o všech jeho záležitostech, pokud nejsou vyhrazeny do působnosti zakladatele. Je povinen si počínat s péčí řádného hospodáře. Ředitele státního podniku jmenuje a odvolává ministr průmyslu a obchodu.</w:t>
      </w:r>
    </w:p>
    <w:p w14:paraId="5CBB0A41" w14:textId="07F37EF6" w:rsidR="00626081" w:rsidRPr="00626081" w:rsidRDefault="00626081" w:rsidP="00E57AEC">
      <w:pPr>
        <w:keepNext/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26081">
        <w:rPr>
          <w:rFonts w:ascii="Calibri" w:eastAsia="Calibri" w:hAnsi="Calibri" w:cs="Calibri"/>
          <w:b/>
          <w:sz w:val="24"/>
          <w:szCs w:val="24"/>
        </w:rPr>
        <w:lastRenderedPageBreak/>
        <w:t>Ministerstvo průmyslu a obchodu</w:t>
      </w:r>
    </w:p>
    <w:p w14:paraId="0E8545F8" w14:textId="7EF1B266" w:rsidR="00626081" w:rsidRPr="00626081" w:rsidRDefault="00626081" w:rsidP="00BB3AD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26081">
        <w:rPr>
          <w:rFonts w:ascii="Calibri" w:eastAsia="Calibri" w:hAnsi="Calibri" w:cs="Times New Roman"/>
          <w:sz w:val="24"/>
          <w:szCs w:val="24"/>
        </w:rPr>
        <w:t>MPO je účetní jednotkou a organizační složkou státu</w:t>
      </w:r>
      <w:r w:rsidR="007C714F">
        <w:rPr>
          <w:rFonts w:ascii="Calibri" w:eastAsia="Calibri" w:hAnsi="Calibri" w:cs="Times New Roman"/>
          <w:sz w:val="24"/>
          <w:szCs w:val="24"/>
        </w:rPr>
        <w:t>, vykonává funkci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zakladatele státního podniku ČPP Transgas podle zákona č. 77/1997 Sb., o státním podniku</w:t>
      </w:r>
      <w:r w:rsidR="00861B12">
        <w:rPr>
          <w:rFonts w:ascii="Calibri" w:eastAsia="Calibri" w:hAnsi="Calibri" w:cs="Times New Roman"/>
          <w:sz w:val="24"/>
          <w:szCs w:val="24"/>
        </w:rPr>
        <w:t>,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a mj.</w:t>
      </w:r>
      <w:r w:rsidR="00CB4E40">
        <w:rPr>
          <w:rFonts w:ascii="Calibri" w:eastAsia="Calibri" w:hAnsi="Calibri" w:cs="Times New Roman"/>
          <w:sz w:val="24"/>
          <w:szCs w:val="24"/>
        </w:rPr>
        <w:t>:</w:t>
      </w:r>
      <w:r w:rsidRPr="0062608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9D9F337" w14:textId="01BDDBDD" w:rsidR="00626081" w:rsidRPr="00626081" w:rsidRDefault="00626081" w:rsidP="00A5183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26081">
        <w:rPr>
          <w:rFonts w:ascii="Calibri" w:eastAsia="Times New Roman" w:hAnsi="Calibri" w:cs="Calibri"/>
          <w:sz w:val="24"/>
          <w:szCs w:val="24"/>
        </w:rPr>
        <w:t>schvaluje jednací řád dozorčí rady, stanoví počet jej</w:t>
      </w:r>
      <w:r w:rsidR="00542759">
        <w:rPr>
          <w:rFonts w:ascii="Calibri" w:eastAsia="Times New Roman" w:hAnsi="Calibri" w:cs="Calibri"/>
          <w:sz w:val="24"/>
          <w:szCs w:val="24"/>
        </w:rPr>
        <w:t>i</w:t>
      </w:r>
      <w:r w:rsidRPr="00626081">
        <w:rPr>
          <w:rFonts w:ascii="Calibri" w:eastAsia="Times New Roman" w:hAnsi="Calibri" w:cs="Calibri"/>
          <w:sz w:val="24"/>
          <w:szCs w:val="24"/>
        </w:rPr>
        <w:t>ch členů, délku funkčního období a</w:t>
      </w:r>
      <w:r w:rsidR="003B7610">
        <w:rPr>
          <w:rFonts w:ascii="Calibri" w:eastAsia="Times New Roman" w:hAnsi="Calibri" w:cs="Calibri"/>
          <w:sz w:val="24"/>
          <w:szCs w:val="24"/>
        </w:rPr>
        <w:t> </w:t>
      </w:r>
      <w:r w:rsidRPr="00626081">
        <w:rPr>
          <w:rFonts w:ascii="Calibri" w:eastAsia="Times New Roman" w:hAnsi="Calibri" w:cs="Calibri"/>
          <w:sz w:val="24"/>
          <w:szCs w:val="24"/>
        </w:rPr>
        <w:t>minimální počet schůzí za rok,</w:t>
      </w:r>
    </w:p>
    <w:p w14:paraId="295460B2" w14:textId="77777777" w:rsidR="00626081" w:rsidRPr="00626081" w:rsidRDefault="00626081" w:rsidP="00A5183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26081">
        <w:rPr>
          <w:rFonts w:ascii="Calibri" w:eastAsia="Times New Roman" w:hAnsi="Calibri" w:cs="Calibri"/>
          <w:sz w:val="24"/>
          <w:szCs w:val="24"/>
        </w:rPr>
        <w:t>má povinnost vymezit v příloze zakládací listiny určený majetek včetně jeho položkové specifikace,</w:t>
      </w:r>
    </w:p>
    <w:p w14:paraId="250E4CBB" w14:textId="77777777" w:rsidR="00626081" w:rsidRPr="00626081" w:rsidRDefault="00626081" w:rsidP="00A5183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26081">
        <w:rPr>
          <w:rFonts w:ascii="Calibri" w:eastAsia="Times New Roman" w:hAnsi="Calibri" w:cs="Calibri"/>
          <w:sz w:val="24"/>
          <w:szCs w:val="24"/>
        </w:rPr>
        <w:t>může měnit zakládací listinu s výjimkou odnětí majetku, s nímž má podnik právo hospodařit k okamžiku svého založení nebo k okamžiku zápisu změny zakládací listiny do obchodního rejstříku,</w:t>
      </w:r>
    </w:p>
    <w:p w14:paraId="30A26106" w14:textId="77777777" w:rsidR="00626081" w:rsidRPr="00626081" w:rsidRDefault="00626081" w:rsidP="00A5183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26081">
        <w:rPr>
          <w:rFonts w:ascii="Calibri" w:eastAsia="Times New Roman" w:hAnsi="Calibri" w:cs="Calibri"/>
          <w:sz w:val="24"/>
          <w:szCs w:val="24"/>
        </w:rPr>
        <w:t>má povinnost kontrolovat, zda potřeby státu, které podnik svou podnikatelskou činností zabezpečuje, jsou zajišťovány účelně a hospodárně,</w:t>
      </w:r>
    </w:p>
    <w:p w14:paraId="6070FAC5" w14:textId="77777777" w:rsidR="00626081" w:rsidRPr="00626081" w:rsidRDefault="00626081" w:rsidP="00A5183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26081">
        <w:rPr>
          <w:rFonts w:ascii="Calibri" w:eastAsia="Times New Roman" w:hAnsi="Calibri" w:cs="Calibri"/>
          <w:sz w:val="24"/>
          <w:szCs w:val="24"/>
        </w:rPr>
        <w:t>schvaluje účetní závěrku a výroční zprávu, rozhoduje o rozdělení použitelného zisku,</w:t>
      </w:r>
    </w:p>
    <w:p w14:paraId="69513E5E" w14:textId="77777777" w:rsidR="00626081" w:rsidRPr="00626081" w:rsidRDefault="00626081" w:rsidP="00A5183F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626081">
        <w:rPr>
          <w:rFonts w:ascii="Calibri" w:eastAsia="Times New Roman" w:hAnsi="Calibri" w:cs="Calibri"/>
          <w:sz w:val="24"/>
          <w:szCs w:val="24"/>
        </w:rPr>
        <w:t>dohlíží na řádný výkon práva hospodařit s majetkem státu, zejména na hospodárné, účelné a efektivní využívání tohoto majetku při provozování podnikatelské činnosti, a kontroluje, jak podnik s tímto majetkem nakládá.</w:t>
      </w:r>
    </w:p>
    <w:p w14:paraId="0CC0DD04" w14:textId="07985E0C" w:rsidR="00BB3AD0" w:rsidRPr="00A5183F" w:rsidRDefault="00BB3AD0" w:rsidP="00A5183F">
      <w:pPr>
        <w:tabs>
          <w:tab w:val="right" w:pos="9072"/>
        </w:tabs>
        <w:spacing w:before="120" w:after="40" w:line="240" w:lineRule="auto"/>
        <w:jc w:val="both"/>
        <w:rPr>
          <w:rFonts w:ascii="Calibri" w:eastAsia="Calibri" w:hAnsi="Calibri" w:cs="Calibri"/>
          <w:b/>
          <w:sz w:val="24"/>
          <w:szCs w:val="20"/>
        </w:rPr>
      </w:pPr>
      <w:r w:rsidRPr="00A5183F">
        <w:rPr>
          <w:rFonts w:ascii="Calibri" w:eastAsia="Calibri" w:hAnsi="Calibri" w:cs="Calibri"/>
          <w:b/>
          <w:sz w:val="24"/>
          <w:szCs w:val="20"/>
        </w:rPr>
        <w:t xml:space="preserve">Tabulka č. 2: Údaje ze zakládací listiny </w:t>
      </w:r>
      <w:proofErr w:type="spellStart"/>
      <w:r w:rsidRPr="00A5183F">
        <w:rPr>
          <w:rFonts w:ascii="Calibri" w:eastAsia="Calibri" w:hAnsi="Calibri" w:cs="Calibri"/>
          <w:b/>
          <w:sz w:val="24"/>
          <w:szCs w:val="20"/>
        </w:rPr>
        <w:t>Transgasu</w:t>
      </w:r>
      <w:proofErr w:type="spellEnd"/>
      <w:r w:rsidRPr="00A5183F">
        <w:rPr>
          <w:rFonts w:ascii="Calibri" w:eastAsia="Calibri" w:hAnsi="Calibri" w:cs="Calibri"/>
          <w:b/>
          <w:sz w:val="24"/>
          <w:szCs w:val="20"/>
        </w:rPr>
        <w:t xml:space="preserve"> </w:t>
      </w:r>
      <w:r w:rsidR="00A5183F">
        <w:rPr>
          <w:rFonts w:ascii="Calibri" w:eastAsia="Calibri" w:hAnsi="Calibri" w:cs="Calibri"/>
          <w:b/>
          <w:sz w:val="24"/>
          <w:szCs w:val="20"/>
        </w:rPr>
        <w:tab/>
      </w:r>
      <w:r w:rsidRPr="00A5183F">
        <w:rPr>
          <w:rFonts w:ascii="Calibri" w:eastAsia="Calibri" w:hAnsi="Calibri" w:cs="Calibri"/>
          <w:b/>
          <w:sz w:val="24"/>
          <w:szCs w:val="20"/>
        </w:rPr>
        <w:t>(v Kč)</w:t>
      </w:r>
    </w:p>
    <w:tbl>
      <w:tblPr>
        <w:tblW w:w="9072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2092"/>
        <w:gridCol w:w="2093"/>
      </w:tblGrid>
      <w:tr w:rsidR="00BB3AD0" w:rsidRPr="00497844" w14:paraId="05D11A15" w14:textId="77777777" w:rsidTr="00497844">
        <w:trPr>
          <w:trHeight w:val="283"/>
        </w:trPr>
        <w:tc>
          <w:tcPr>
            <w:tcW w:w="4887" w:type="dxa"/>
            <w:shd w:val="clear" w:color="auto" w:fill="E5F1FF"/>
            <w:noWrap/>
            <w:vAlign w:val="center"/>
            <w:hideMark/>
          </w:tcPr>
          <w:p w14:paraId="5DEB9C25" w14:textId="76B03571" w:rsidR="00BB3AD0" w:rsidRPr="00497844" w:rsidRDefault="00861B12" w:rsidP="004978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</w:t>
            </w:r>
            <w:r w:rsidR="00BB3AD0" w:rsidRPr="0049784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akládací listina</w:t>
            </w:r>
          </w:p>
        </w:tc>
        <w:tc>
          <w:tcPr>
            <w:tcW w:w="2092" w:type="dxa"/>
            <w:shd w:val="clear" w:color="auto" w:fill="E5F1FF"/>
            <w:noWrap/>
            <w:vAlign w:val="center"/>
            <w:hideMark/>
          </w:tcPr>
          <w:p w14:paraId="32D23266" w14:textId="77777777" w:rsidR="00BB3AD0" w:rsidRPr="00497844" w:rsidRDefault="00BB3AD0" w:rsidP="004978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30. 11. 2018</w:t>
            </w:r>
          </w:p>
        </w:tc>
        <w:tc>
          <w:tcPr>
            <w:tcW w:w="2093" w:type="dxa"/>
            <w:shd w:val="clear" w:color="auto" w:fill="E5F1FF"/>
            <w:noWrap/>
            <w:vAlign w:val="center"/>
            <w:hideMark/>
          </w:tcPr>
          <w:p w14:paraId="44E44FAB" w14:textId="77777777" w:rsidR="00BB3AD0" w:rsidRPr="00497844" w:rsidRDefault="00BB3AD0" w:rsidP="0049784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28. 4. 2021*</w:t>
            </w:r>
          </w:p>
        </w:tc>
      </w:tr>
      <w:tr w:rsidR="00BB3AD0" w:rsidRPr="00497844" w14:paraId="2C9CFC8C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  <w:hideMark/>
          </w:tcPr>
          <w:p w14:paraId="41E24BA1" w14:textId="77777777" w:rsidR="00BB3AD0" w:rsidRPr="00497844" w:rsidRDefault="00BB3AD0" w:rsidP="0049784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Kmenové jmění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217C3B94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181 638 000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606594F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181 638 000</w:t>
            </w:r>
          </w:p>
        </w:tc>
      </w:tr>
      <w:tr w:rsidR="00BB3AD0" w:rsidRPr="00497844" w14:paraId="049B6616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  <w:hideMark/>
          </w:tcPr>
          <w:p w14:paraId="1D916054" w14:textId="60FF35CC" w:rsidR="00BB3AD0" w:rsidRPr="00497844" w:rsidRDefault="00861B12" w:rsidP="0049784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="00BB3AD0"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inimální výše kmenového jmění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6D292558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E8A8EF6" w14:textId="783F6329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 w:rsidR="002F5D11"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2 000 000</w:t>
            </w:r>
          </w:p>
        </w:tc>
      </w:tr>
      <w:tr w:rsidR="00BB3AD0" w:rsidRPr="00497844" w14:paraId="30E5F87A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  <w:hideMark/>
          </w:tcPr>
          <w:p w14:paraId="58A810FD" w14:textId="77777777" w:rsidR="00BB3AD0" w:rsidRPr="00497844" w:rsidRDefault="00BB3AD0" w:rsidP="0049784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Rezervní fond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42A0A030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112 913 000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72E28F5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94 967 957,34</w:t>
            </w:r>
          </w:p>
        </w:tc>
      </w:tr>
      <w:tr w:rsidR="00BB3AD0" w:rsidRPr="00497844" w14:paraId="37C21B1A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  <w:hideMark/>
          </w:tcPr>
          <w:p w14:paraId="017A2003" w14:textId="39BFB5CA" w:rsidR="00BB3AD0" w:rsidRPr="00497844" w:rsidRDefault="00861B12" w:rsidP="0049784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</w:t>
            </w:r>
            <w:r w:rsidR="00BB3AD0"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inimální výše rezervního fondu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452AD5B3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1 200 000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755203A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1 200 000</w:t>
            </w:r>
          </w:p>
        </w:tc>
      </w:tr>
      <w:tr w:rsidR="00BB3AD0" w:rsidRPr="00497844" w14:paraId="782B930F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  <w:hideMark/>
          </w:tcPr>
          <w:p w14:paraId="2C96799B" w14:textId="43CA6078" w:rsidR="00BB3AD0" w:rsidRPr="00497844" w:rsidRDefault="00BB3AD0" w:rsidP="0049784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Majetek státu, s nímž má státní podnik právo hospodařit</w:t>
            </w:r>
            <w:r w:rsidR="00542759"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v tom: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23C3FBE3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181 449 026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0A2FF5E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126 086 860</w:t>
            </w:r>
          </w:p>
        </w:tc>
      </w:tr>
      <w:tr w:rsidR="00BB3AD0" w:rsidRPr="00497844" w14:paraId="4F125B82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</w:tcPr>
          <w:p w14:paraId="3AB5A574" w14:textId="570CFA27" w:rsidR="00BB3AD0" w:rsidRPr="00497844" w:rsidRDefault="00861B12" w:rsidP="00497844">
            <w:pPr>
              <w:spacing w:after="0" w:line="240" w:lineRule="auto"/>
              <w:ind w:firstLine="5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– </w:t>
            </w:r>
            <w:r w:rsidR="00BB3AD0"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pozemky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14:paraId="6599287B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99 206 173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3FB2F29E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95 638 550</w:t>
            </w:r>
          </w:p>
        </w:tc>
      </w:tr>
      <w:tr w:rsidR="00BB3AD0" w:rsidRPr="00497844" w14:paraId="15DE537E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</w:tcPr>
          <w:p w14:paraId="0E4D6857" w14:textId="10A784CE" w:rsidR="00BB3AD0" w:rsidRPr="00497844" w:rsidRDefault="00861B12" w:rsidP="00497844">
            <w:pPr>
              <w:spacing w:after="0" w:line="240" w:lineRule="auto"/>
              <w:ind w:firstLine="5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– </w:t>
            </w:r>
            <w:r w:rsidR="00BB3AD0"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stavby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14:paraId="4AA88A7A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81 519 386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3ED53EFD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29 985 016</w:t>
            </w:r>
          </w:p>
        </w:tc>
      </w:tr>
      <w:tr w:rsidR="00BB3AD0" w:rsidRPr="00497844" w14:paraId="6028226A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</w:tcPr>
          <w:p w14:paraId="0D35CB9D" w14:textId="059E81BF" w:rsidR="00BB3AD0" w:rsidRPr="00497844" w:rsidRDefault="00861B12" w:rsidP="00497844">
            <w:pPr>
              <w:spacing w:after="0" w:line="240" w:lineRule="auto"/>
              <w:ind w:firstLine="50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– </w:t>
            </w:r>
            <w:r w:rsidR="00BB3AD0"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samostatné movité věci a soubory movitých věcí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14:paraId="63D0FA68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723 467</w:t>
            </w:r>
          </w:p>
        </w:tc>
        <w:tc>
          <w:tcPr>
            <w:tcW w:w="2093" w:type="dxa"/>
            <w:shd w:val="clear" w:color="auto" w:fill="auto"/>
            <w:noWrap/>
            <w:vAlign w:val="center"/>
          </w:tcPr>
          <w:p w14:paraId="632366B5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463 294</w:t>
            </w:r>
          </w:p>
        </w:tc>
      </w:tr>
      <w:tr w:rsidR="00BB3AD0" w:rsidRPr="00497844" w14:paraId="0000B7C4" w14:textId="77777777" w:rsidTr="00497844">
        <w:trPr>
          <w:trHeight w:val="283"/>
        </w:trPr>
        <w:tc>
          <w:tcPr>
            <w:tcW w:w="4887" w:type="dxa"/>
            <w:shd w:val="clear" w:color="auto" w:fill="auto"/>
            <w:noWrap/>
            <w:vAlign w:val="center"/>
            <w:hideMark/>
          </w:tcPr>
          <w:p w14:paraId="7EBD3597" w14:textId="77777777" w:rsidR="00BB3AD0" w:rsidRPr="00497844" w:rsidRDefault="00BB3AD0" w:rsidP="0049784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Určený majetek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3BBDD013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179 382 702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BE44A3B" w14:textId="77777777" w:rsidR="00BB3AD0" w:rsidRPr="00497844" w:rsidRDefault="00BB3AD0" w:rsidP="00497844">
            <w:pPr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9784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122 713 138</w:t>
            </w:r>
          </w:p>
        </w:tc>
      </w:tr>
    </w:tbl>
    <w:p w14:paraId="1A9853A5" w14:textId="0AADE8B1" w:rsidR="00497844" w:rsidRPr="00626081" w:rsidRDefault="00861B12" w:rsidP="00497844">
      <w:pPr>
        <w:spacing w:before="40"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</w:t>
      </w:r>
      <w:r w:rsidR="00497844" w:rsidRPr="00497844">
        <w:rPr>
          <w:rFonts w:ascii="Calibri" w:eastAsia="Calibri" w:hAnsi="Calibri" w:cs="Calibri"/>
          <w:b/>
          <w:sz w:val="20"/>
          <w:szCs w:val="20"/>
        </w:rPr>
        <w:t xml:space="preserve">droj: </w:t>
      </w:r>
      <w:r w:rsidR="00497844" w:rsidRPr="00626081">
        <w:rPr>
          <w:rFonts w:ascii="Calibri" w:eastAsia="Calibri" w:hAnsi="Calibri" w:cs="Calibri"/>
          <w:sz w:val="20"/>
          <w:szCs w:val="20"/>
        </w:rPr>
        <w:t xml:space="preserve">zakládací listiny </w:t>
      </w:r>
      <w:proofErr w:type="spellStart"/>
      <w:r w:rsidR="00497844" w:rsidRPr="00626081">
        <w:rPr>
          <w:rFonts w:ascii="Calibri" w:eastAsia="Calibri" w:hAnsi="Calibri" w:cs="Calibri"/>
          <w:sz w:val="20"/>
          <w:szCs w:val="20"/>
        </w:rPr>
        <w:t>Transgasu</w:t>
      </w:r>
      <w:proofErr w:type="spellEnd"/>
      <w:r w:rsidR="00497844">
        <w:rPr>
          <w:rFonts w:ascii="Calibri" w:eastAsia="Calibri" w:hAnsi="Calibri" w:cs="Calibri"/>
          <w:sz w:val="20"/>
          <w:szCs w:val="20"/>
        </w:rPr>
        <w:t>.</w:t>
      </w:r>
    </w:p>
    <w:p w14:paraId="36969745" w14:textId="4CC48DC4" w:rsidR="00BB3AD0" w:rsidRPr="00626081" w:rsidRDefault="00BB3AD0" w:rsidP="0085315C">
      <w:pPr>
        <w:spacing w:after="120" w:line="240" w:lineRule="auto"/>
        <w:ind w:left="142" w:hanging="142"/>
        <w:jc w:val="both"/>
        <w:rPr>
          <w:rFonts w:ascii="Calibri" w:eastAsia="Calibri" w:hAnsi="Calibri" w:cs="Calibri"/>
          <w:sz w:val="20"/>
          <w:szCs w:val="20"/>
        </w:rPr>
      </w:pPr>
      <w:r w:rsidRPr="00626081">
        <w:rPr>
          <w:rFonts w:ascii="Calibri" w:eastAsia="Calibri" w:hAnsi="Calibri" w:cs="Calibri"/>
          <w:sz w:val="20"/>
          <w:szCs w:val="20"/>
        </w:rPr>
        <w:t>*</w:t>
      </w:r>
      <w:r w:rsidR="0085315C">
        <w:rPr>
          <w:rFonts w:ascii="Calibri" w:eastAsia="Calibri" w:hAnsi="Calibri" w:cs="Calibri"/>
          <w:sz w:val="20"/>
          <w:szCs w:val="20"/>
        </w:rPr>
        <w:tab/>
      </w:r>
      <w:r w:rsidR="00861B12">
        <w:rPr>
          <w:rFonts w:ascii="Calibri" w:eastAsia="Calibri" w:hAnsi="Calibri" w:cs="Calibri"/>
          <w:sz w:val="20"/>
          <w:szCs w:val="20"/>
        </w:rPr>
        <w:t>V</w:t>
      </w:r>
      <w:r w:rsidRPr="00626081">
        <w:rPr>
          <w:rFonts w:ascii="Calibri" w:eastAsia="Calibri" w:hAnsi="Calibri" w:cs="Calibri"/>
          <w:sz w:val="20"/>
          <w:szCs w:val="20"/>
        </w:rPr>
        <w:t xml:space="preserve"> roce 2021 došlo pouze k aktualizaci zakládací listiny</w:t>
      </w:r>
      <w:r w:rsidR="00171F21">
        <w:rPr>
          <w:rFonts w:ascii="Calibri" w:eastAsia="Calibri" w:hAnsi="Calibri" w:cs="Calibri"/>
          <w:sz w:val="20"/>
          <w:szCs w:val="20"/>
        </w:rPr>
        <w:t>.</w:t>
      </w:r>
    </w:p>
    <w:p w14:paraId="548B9CEF" w14:textId="77777777" w:rsidR="003869EF" w:rsidRPr="00891AA7" w:rsidRDefault="003869EF" w:rsidP="0085315C">
      <w:pPr>
        <w:pStyle w:val="Nadpis1"/>
        <w:numPr>
          <w:ilvl w:val="0"/>
          <w:numId w:val="0"/>
        </w:numPr>
        <w:ind w:left="357" w:hanging="357"/>
        <w:rPr>
          <w:sz w:val="28"/>
          <w:szCs w:val="28"/>
        </w:rPr>
      </w:pPr>
      <w:r w:rsidRPr="00891AA7">
        <w:rPr>
          <w:sz w:val="28"/>
          <w:szCs w:val="28"/>
        </w:rPr>
        <w:t>III. Rozsah kontroly</w:t>
      </w:r>
    </w:p>
    <w:p w14:paraId="5CB38AFB" w14:textId="1955E745" w:rsidR="00626081" w:rsidRDefault="00626081" w:rsidP="0085315C">
      <w:pPr>
        <w:spacing w:after="120" w:line="240" w:lineRule="auto"/>
        <w:jc w:val="both"/>
        <w:rPr>
          <w:rFonts w:cstheme="minorHAnsi"/>
          <w:sz w:val="24"/>
        </w:rPr>
      </w:pPr>
      <w:r w:rsidRPr="00626081">
        <w:rPr>
          <w:rFonts w:cstheme="minorHAnsi"/>
          <w:sz w:val="24"/>
        </w:rPr>
        <w:t>Cílem kontroly bylo prověřit, zda státní podnik ČPP Transgas hospodaří s majetkem a</w:t>
      </w:r>
      <w:r w:rsidR="0085315C">
        <w:rPr>
          <w:rFonts w:cstheme="minorHAnsi"/>
          <w:sz w:val="24"/>
        </w:rPr>
        <w:t> </w:t>
      </w:r>
      <w:r w:rsidRPr="00626081">
        <w:rPr>
          <w:rFonts w:cstheme="minorHAnsi"/>
          <w:sz w:val="24"/>
        </w:rPr>
        <w:t>peněžními prostředku státu účelně, hospodárně, efektivně a v souladu s právními předpisy a</w:t>
      </w:r>
      <w:r w:rsidR="0085315C">
        <w:rPr>
          <w:rFonts w:cstheme="minorHAnsi"/>
          <w:sz w:val="24"/>
        </w:rPr>
        <w:t> </w:t>
      </w:r>
      <w:r w:rsidRPr="00626081">
        <w:rPr>
          <w:rFonts w:cstheme="minorHAnsi"/>
          <w:sz w:val="24"/>
        </w:rPr>
        <w:t>zda činí účinné kroky k vypořádání a využití majetku zbylého po privatizaci, a současně ověřit, zda Ministerstvo průmyslu a obchodu plní funkci zakladatele v souladu s právními předpisy.</w:t>
      </w:r>
    </w:p>
    <w:p w14:paraId="2C66E351" w14:textId="2B7F6C46" w:rsidR="00626081" w:rsidRDefault="008629AD" w:rsidP="0085315C">
      <w:pPr>
        <w:spacing w:after="12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 </w:t>
      </w:r>
      <w:r w:rsidRPr="00171F21">
        <w:rPr>
          <w:rFonts w:cstheme="minorHAnsi"/>
          <w:b/>
          <w:sz w:val="24"/>
        </w:rPr>
        <w:t>MPO</w:t>
      </w:r>
      <w:r>
        <w:rPr>
          <w:rFonts w:cstheme="minorHAnsi"/>
          <w:sz w:val="24"/>
        </w:rPr>
        <w:t xml:space="preserve"> byl</w:t>
      </w:r>
      <w:r w:rsidR="000623CD">
        <w:rPr>
          <w:rFonts w:cstheme="minorHAnsi"/>
          <w:sz w:val="24"/>
        </w:rPr>
        <w:t>o kontrole podrobeno</w:t>
      </w:r>
      <w:r w:rsidR="00CC3488">
        <w:rPr>
          <w:rFonts w:cstheme="minorHAnsi"/>
          <w:sz w:val="24"/>
        </w:rPr>
        <w:t xml:space="preserve"> plnění povinností vyplývajících</w:t>
      </w:r>
      <w:r w:rsidR="007C714F">
        <w:rPr>
          <w:rFonts w:cstheme="minorHAnsi"/>
          <w:sz w:val="24"/>
        </w:rPr>
        <w:t xml:space="preserve"> z funkce</w:t>
      </w:r>
      <w:r w:rsidR="000623CD">
        <w:rPr>
          <w:rFonts w:cstheme="minorHAnsi"/>
          <w:sz w:val="24"/>
        </w:rPr>
        <w:t xml:space="preserve"> zakladatel</w:t>
      </w:r>
      <w:r w:rsidR="007C714F">
        <w:rPr>
          <w:rFonts w:cstheme="minorHAnsi"/>
          <w:sz w:val="24"/>
        </w:rPr>
        <w:t>e</w:t>
      </w:r>
      <w:r w:rsidR="000623CD">
        <w:rPr>
          <w:rFonts w:cstheme="minorHAnsi"/>
          <w:sz w:val="24"/>
        </w:rPr>
        <w:t xml:space="preserve"> </w:t>
      </w:r>
      <w:proofErr w:type="spellStart"/>
      <w:r w:rsidR="000623CD">
        <w:rPr>
          <w:rFonts w:cstheme="minorHAnsi"/>
          <w:sz w:val="24"/>
        </w:rPr>
        <w:t>Transgasu</w:t>
      </w:r>
      <w:proofErr w:type="spellEnd"/>
      <w:r w:rsidR="000623CD">
        <w:rPr>
          <w:rFonts w:cstheme="minorHAnsi"/>
          <w:sz w:val="24"/>
        </w:rPr>
        <w:t xml:space="preserve"> </w:t>
      </w:r>
      <w:r w:rsidR="00CC3488">
        <w:rPr>
          <w:rFonts w:cstheme="minorHAnsi"/>
          <w:sz w:val="24"/>
        </w:rPr>
        <w:t>dle</w:t>
      </w:r>
      <w:r w:rsidR="000623CD">
        <w:rPr>
          <w:rFonts w:cstheme="minorHAnsi"/>
          <w:sz w:val="24"/>
        </w:rPr>
        <w:t xml:space="preserve"> zákon</w:t>
      </w:r>
      <w:r w:rsidR="00CC3488">
        <w:rPr>
          <w:rFonts w:cstheme="minorHAnsi"/>
          <w:sz w:val="24"/>
        </w:rPr>
        <w:t>a</w:t>
      </w:r>
      <w:r w:rsidR="000623CD">
        <w:rPr>
          <w:rFonts w:cstheme="minorHAnsi"/>
          <w:sz w:val="24"/>
        </w:rPr>
        <w:t xml:space="preserve"> č. 77/1997 Sb.</w:t>
      </w:r>
      <w:r w:rsidR="006C380A">
        <w:rPr>
          <w:rFonts w:cstheme="minorHAnsi"/>
          <w:sz w:val="24"/>
        </w:rPr>
        <w:t xml:space="preserve"> a </w:t>
      </w:r>
      <w:r w:rsidR="000623CD">
        <w:rPr>
          <w:rFonts w:cstheme="minorHAnsi"/>
          <w:sz w:val="24"/>
        </w:rPr>
        <w:t xml:space="preserve">plnění </w:t>
      </w:r>
      <w:r w:rsidR="000623CD" w:rsidRPr="00B74EBF">
        <w:rPr>
          <w:rFonts w:cstheme="minorHAnsi"/>
          <w:i/>
          <w:sz w:val="24"/>
        </w:rPr>
        <w:t>Strategie vlastnické politiky státu</w:t>
      </w:r>
      <w:r w:rsidR="00F857A3">
        <w:rPr>
          <w:rStyle w:val="Znakapoznpodarou"/>
          <w:rFonts w:cstheme="minorHAnsi"/>
          <w:sz w:val="24"/>
        </w:rPr>
        <w:footnoteReference w:id="5"/>
      </w:r>
      <w:r w:rsidR="006C380A">
        <w:rPr>
          <w:rFonts w:cstheme="minorHAnsi"/>
          <w:sz w:val="24"/>
        </w:rPr>
        <w:t>.</w:t>
      </w:r>
      <w:r w:rsidR="000623CD">
        <w:rPr>
          <w:rFonts w:cstheme="minorHAnsi"/>
          <w:sz w:val="24"/>
        </w:rPr>
        <w:t xml:space="preserve"> </w:t>
      </w:r>
    </w:p>
    <w:p w14:paraId="1D25A110" w14:textId="7276FFE9" w:rsidR="00A8112A" w:rsidRDefault="00A8112A" w:rsidP="0085315C">
      <w:pPr>
        <w:spacing w:after="12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U </w:t>
      </w:r>
      <w:proofErr w:type="spellStart"/>
      <w:r w:rsidR="006B7F03" w:rsidRPr="00171F21">
        <w:rPr>
          <w:rFonts w:cstheme="minorHAnsi"/>
          <w:b/>
          <w:sz w:val="24"/>
        </w:rPr>
        <w:t>Transgasu</w:t>
      </w:r>
      <w:proofErr w:type="spellEnd"/>
      <w:r>
        <w:rPr>
          <w:rFonts w:cstheme="minorHAnsi"/>
          <w:sz w:val="24"/>
        </w:rPr>
        <w:t xml:space="preserve"> byla kontrola zaměřena na hospodaření s majetkem a peněžními prostředky státu, s nimiž hospodaří státní podnik, zejména na to, zda nakládání s majetkem státu probíhalo účelně, hospodárně, efektivně a v souladu s právními předpisy.</w:t>
      </w:r>
    </w:p>
    <w:p w14:paraId="1B0BEB99" w14:textId="52698BA0" w:rsidR="00516CC7" w:rsidRPr="008629AD" w:rsidRDefault="00516CC7" w:rsidP="0085315C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Výše</w:t>
      </w:r>
      <w:r w:rsidRPr="008629AD">
        <w:rPr>
          <w:rFonts w:ascii="Calibri" w:eastAsia="Calibri" w:hAnsi="Calibri" w:cs="Calibri"/>
          <w:sz w:val="24"/>
          <w:szCs w:val="24"/>
        </w:rPr>
        <w:t xml:space="preserve"> majetku státního podniku v jednotlivých letech kontrolovaného období kolísá. Nejvyšších hodnot dosáhla v roce 2017, kdy majetek a peněžní prostředky </w:t>
      </w:r>
      <w:r w:rsidR="00E72F4F">
        <w:rPr>
          <w:rFonts w:ascii="Calibri" w:eastAsia="Calibri" w:hAnsi="Calibri" w:cs="Calibri"/>
          <w:sz w:val="24"/>
          <w:szCs w:val="24"/>
        </w:rPr>
        <w:t>dosáhly výše</w:t>
      </w:r>
      <w:r w:rsidRPr="008629AD">
        <w:rPr>
          <w:rFonts w:ascii="Calibri" w:eastAsia="Calibri" w:hAnsi="Calibri" w:cs="Calibri"/>
          <w:sz w:val="24"/>
          <w:szCs w:val="24"/>
        </w:rPr>
        <w:t xml:space="preserve"> 5 060 mil. Kč. </w:t>
      </w:r>
      <w:r w:rsidR="005A26EC">
        <w:rPr>
          <w:rFonts w:ascii="Calibri" w:eastAsia="Calibri" w:hAnsi="Calibri" w:cs="Calibri"/>
          <w:sz w:val="24"/>
          <w:szCs w:val="24"/>
        </w:rPr>
        <w:lastRenderedPageBreak/>
        <w:t>Kontrol</w:t>
      </w:r>
      <w:r w:rsidR="008278DD">
        <w:rPr>
          <w:rFonts w:ascii="Calibri" w:eastAsia="Calibri" w:hAnsi="Calibri" w:cs="Calibri"/>
          <w:sz w:val="24"/>
          <w:szCs w:val="24"/>
        </w:rPr>
        <w:t xml:space="preserve">ovaný objem činil </w:t>
      </w:r>
      <w:r w:rsidR="005A26EC">
        <w:rPr>
          <w:rFonts w:ascii="Calibri" w:eastAsia="Calibri" w:hAnsi="Calibri" w:cs="Calibri"/>
          <w:sz w:val="24"/>
          <w:szCs w:val="24"/>
        </w:rPr>
        <w:t>4 601 684 746,72 Kč</w:t>
      </w:r>
      <w:r w:rsidR="008278DD">
        <w:rPr>
          <w:rFonts w:ascii="Calibri" w:eastAsia="Calibri" w:hAnsi="Calibri" w:cs="Calibri"/>
          <w:sz w:val="24"/>
          <w:szCs w:val="24"/>
        </w:rPr>
        <w:t>. P</w:t>
      </w:r>
      <w:r w:rsidR="005A26EC">
        <w:rPr>
          <w:rFonts w:ascii="Calibri" w:eastAsia="Calibri" w:hAnsi="Calibri" w:cs="Calibri"/>
          <w:sz w:val="24"/>
          <w:szCs w:val="24"/>
        </w:rPr>
        <w:t xml:space="preserve">ohledávka </w:t>
      </w:r>
      <w:r w:rsidR="00757607">
        <w:rPr>
          <w:rFonts w:ascii="Calibri" w:eastAsia="Calibri" w:hAnsi="Calibri" w:cs="Calibri"/>
          <w:sz w:val="24"/>
          <w:szCs w:val="24"/>
        </w:rPr>
        <w:t>z tzv. </w:t>
      </w:r>
      <w:proofErr w:type="spellStart"/>
      <w:r w:rsidR="00757607">
        <w:rPr>
          <w:rFonts w:ascii="Calibri" w:eastAsia="Calibri" w:hAnsi="Calibri" w:cs="Calibri"/>
          <w:sz w:val="24"/>
          <w:szCs w:val="24"/>
        </w:rPr>
        <w:t>j</w:t>
      </w:r>
      <w:r w:rsidR="005A26EC">
        <w:rPr>
          <w:rFonts w:ascii="Calibri" w:eastAsia="Calibri" w:hAnsi="Calibri" w:cs="Calibri"/>
          <w:sz w:val="24"/>
          <w:szCs w:val="24"/>
        </w:rPr>
        <w:t>amburg</w:t>
      </w:r>
      <w:r w:rsidR="00757607">
        <w:rPr>
          <w:rFonts w:ascii="Calibri" w:eastAsia="Calibri" w:hAnsi="Calibri" w:cs="Calibri"/>
          <w:sz w:val="24"/>
          <w:szCs w:val="24"/>
        </w:rPr>
        <w:t>ských</w:t>
      </w:r>
      <w:proofErr w:type="spellEnd"/>
      <w:r w:rsidR="00757607">
        <w:rPr>
          <w:rFonts w:ascii="Calibri" w:eastAsia="Calibri" w:hAnsi="Calibri" w:cs="Calibri"/>
          <w:sz w:val="24"/>
          <w:szCs w:val="24"/>
        </w:rPr>
        <w:t xml:space="preserve"> dohod</w:t>
      </w:r>
      <w:r w:rsidR="005A26EC">
        <w:rPr>
          <w:rFonts w:ascii="Calibri" w:eastAsia="Calibri" w:hAnsi="Calibri" w:cs="Calibri"/>
          <w:sz w:val="24"/>
          <w:szCs w:val="24"/>
        </w:rPr>
        <w:t xml:space="preserve"> činila 4 566 268 297,97</w:t>
      </w:r>
      <w:r w:rsidR="00757607">
        <w:rPr>
          <w:rFonts w:ascii="Calibri" w:eastAsia="Calibri" w:hAnsi="Calibri" w:cs="Calibri"/>
          <w:sz w:val="24"/>
          <w:szCs w:val="24"/>
        </w:rPr>
        <w:t> </w:t>
      </w:r>
      <w:r w:rsidR="005A26EC">
        <w:rPr>
          <w:rFonts w:ascii="Calibri" w:eastAsia="Calibri" w:hAnsi="Calibri" w:cs="Calibri"/>
          <w:sz w:val="24"/>
          <w:szCs w:val="24"/>
        </w:rPr>
        <w:t>Kč</w:t>
      </w:r>
      <w:r w:rsidR="008278DD">
        <w:rPr>
          <w:rFonts w:ascii="Calibri" w:eastAsia="Calibri" w:hAnsi="Calibri" w:cs="Calibri"/>
          <w:sz w:val="24"/>
          <w:szCs w:val="24"/>
        </w:rPr>
        <w:t xml:space="preserve"> a vzorek movitého a nemovitého majetku a náklady na služby a</w:t>
      </w:r>
      <w:r w:rsidR="00757607">
        <w:rPr>
          <w:rFonts w:ascii="Calibri" w:eastAsia="Calibri" w:hAnsi="Calibri" w:cs="Calibri"/>
          <w:sz w:val="24"/>
          <w:szCs w:val="24"/>
        </w:rPr>
        <w:t> </w:t>
      </w:r>
      <w:r w:rsidR="008278DD">
        <w:rPr>
          <w:rFonts w:ascii="Calibri" w:eastAsia="Calibri" w:hAnsi="Calibri" w:cs="Calibri"/>
          <w:sz w:val="24"/>
          <w:szCs w:val="24"/>
        </w:rPr>
        <w:t xml:space="preserve">zaměstnance činil </w:t>
      </w:r>
      <w:r w:rsidR="008278DD" w:rsidRPr="008278DD">
        <w:rPr>
          <w:rFonts w:ascii="Calibri" w:eastAsia="Calibri" w:hAnsi="Calibri" w:cs="Calibri"/>
          <w:sz w:val="24"/>
          <w:szCs w:val="24"/>
        </w:rPr>
        <w:t>35</w:t>
      </w:r>
      <w:r w:rsidR="009E5808">
        <w:rPr>
          <w:rFonts w:ascii="Calibri" w:eastAsia="Calibri" w:hAnsi="Calibri" w:cs="Calibri"/>
          <w:sz w:val="24"/>
          <w:szCs w:val="24"/>
        </w:rPr>
        <w:t> </w:t>
      </w:r>
      <w:r w:rsidR="008278DD" w:rsidRPr="008278DD">
        <w:rPr>
          <w:rFonts w:ascii="Calibri" w:eastAsia="Calibri" w:hAnsi="Calibri" w:cs="Calibri"/>
          <w:sz w:val="24"/>
          <w:szCs w:val="24"/>
        </w:rPr>
        <w:t>416</w:t>
      </w:r>
      <w:r w:rsidR="009E5808">
        <w:rPr>
          <w:rFonts w:ascii="Calibri" w:eastAsia="Calibri" w:hAnsi="Calibri" w:cs="Calibri"/>
          <w:sz w:val="24"/>
          <w:szCs w:val="24"/>
        </w:rPr>
        <w:t> </w:t>
      </w:r>
      <w:r w:rsidR="008278DD" w:rsidRPr="008278DD">
        <w:rPr>
          <w:rFonts w:ascii="Calibri" w:eastAsia="Calibri" w:hAnsi="Calibri" w:cs="Calibri"/>
          <w:sz w:val="24"/>
          <w:szCs w:val="24"/>
        </w:rPr>
        <w:t>448,75</w:t>
      </w:r>
      <w:r w:rsidR="00757607">
        <w:rPr>
          <w:rFonts w:ascii="Calibri" w:eastAsia="Calibri" w:hAnsi="Calibri" w:cs="Calibri"/>
          <w:sz w:val="24"/>
          <w:szCs w:val="24"/>
        </w:rPr>
        <w:t> </w:t>
      </w:r>
      <w:r w:rsidR="008278DD">
        <w:rPr>
          <w:rFonts w:ascii="Calibri" w:eastAsia="Calibri" w:hAnsi="Calibri" w:cs="Calibri"/>
          <w:sz w:val="24"/>
          <w:szCs w:val="24"/>
        </w:rPr>
        <w:t>Kč.</w:t>
      </w:r>
    </w:p>
    <w:p w14:paraId="5F443C16" w14:textId="2016E559" w:rsidR="00A62C6B" w:rsidRPr="00626081" w:rsidRDefault="00E33331" w:rsidP="0085315C">
      <w:pPr>
        <w:spacing w:after="12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Kontrolovaným obdobím byly roky 2017 až 2021, v případě věcných souvislostí</w:t>
      </w:r>
      <w:r w:rsidR="00306658">
        <w:rPr>
          <w:rFonts w:cstheme="minorHAnsi"/>
          <w:sz w:val="24"/>
        </w:rPr>
        <w:t xml:space="preserve"> i </w:t>
      </w:r>
      <w:r>
        <w:rPr>
          <w:rFonts w:cstheme="minorHAnsi"/>
          <w:sz w:val="24"/>
        </w:rPr>
        <w:t>období předcházející.</w:t>
      </w:r>
    </w:p>
    <w:p w14:paraId="6595149F" w14:textId="5A447665" w:rsidR="003869EF" w:rsidRPr="00891AA7" w:rsidRDefault="003869EF" w:rsidP="00BB3AD0">
      <w:p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891AA7">
        <w:rPr>
          <w:rFonts w:cstheme="minorHAnsi"/>
          <w:b/>
          <w:sz w:val="20"/>
          <w:szCs w:val="20"/>
        </w:rPr>
        <w:t>Pozn.:</w:t>
      </w:r>
      <w:r w:rsidRPr="00891AA7">
        <w:rPr>
          <w:rFonts w:cstheme="minorHAnsi"/>
          <w:sz w:val="20"/>
          <w:szCs w:val="20"/>
        </w:rPr>
        <w:tab/>
        <w:t>Právní předpisy uvedené v tomto kontrolním závěru jsou aplikovány ve znění účinném pro kontrolované období.</w:t>
      </w:r>
    </w:p>
    <w:p w14:paraId="469D2092" w14:textId="77777777" w:rsidR="00D65D7D" w:rsidRPr="0085315C" w:rsidRDefault="00D65D7D" w:rsidP="0085315C">
      <w:pPr>
        <w:pStyle w:val="Nadpis1"/>
        <w:numPr>
          <w:ilvl w:val="0"/>
          <w:numId w:val="0"/>
        </w:numPr>
        <w:ind w:left="357" w:hanging="357"/>
        <w:rPr>
          <w:szCs w:val="24"/>
        </w:rPr>
      </w:pPr>
      <w:r w:rsidRPr="00D64F39">
        <w:rPr>
          <w:sz w:val="28"/>
          <w:szCs w:val="28"/>
        </w:rPr>
        <w:t>IV. Podrobné skutečnosti zjištěné kontrolou</w:t>
      </w:r>
    </w:p>
    <w:p w14:paraId="444B27EC" w14:textId="00C102CB" w:rsidR="00244DE2" w:rsidRPr="0085315C" w:rsidRDefault="00876CAD" w:rsidP="00876CAD">
      <w:pPr>
        <w:pStyle w:val="Odstavecseseznamem"/>
        <w:spacing w:after="0" w:line="240" w:lineRule="auto"/>
        <w:ind w:left="0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DD7AF9" w:rsidRPr="0085315C">
        <w:rPr>
          <w:rFonts w:cstheme="minorHAnsi"/>
          <w:b/>
          <w:sz w:val="24"/>
          <w:szCs w:val="24"/>
        </w:rPr>
        <w:t xml:space="preserve">Transgas </w:t>
      </w:r>
      <w:r w:rsidR="00A4513D" w:rsidRPr="0085315C">
        <w:rPr>
          <w:rFonts w:cstheme="minorHAnsi"/>
          <w:b/>
          <w:sz w:val="24"/>
          <w:szCs w:val="24"/>
        </w:rPr>
        <w:t>nezajišťuje</w:t>
      </w:r>
      <w:r w:rsidR="00DD7AF9" w:rsidRPr="0085315C">
        <w:rPr>
          <w:rFonts w:cstheme="minorHAnsi"/>
          <w:b/>
          <w:sz w:val="24"/>
          <w:szCs w:val="24"/>
        </w:rPr>
        <w:t xml:space="preserve"> žádný významný zájem státu</w:t>
      </w:r>
    </w:p>
    <w:p w14:paraId="6AA8C818" w14:textId="165BC975" w:rsidR="001A36DC" w:rsidRDefault="008D4C09" w:rsidP="0085315C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4C43D3" wp14:editId="55DAD449">
                <wp:simplePos x="0" y="0"/>
                <wp:positionH relativeFrom="column">
                  <wp:posOffset>-17200</wp:posOffset>
                </wp:positionH>
                <wp:positionV relativeFrom="paragraph">
                  <wp:posOffset>202620</wp:posOffset>
                </wp:positionV>
                <wp:extent cx="5875407" cy="779228"/>
                <wp:effectExtent l="0" t="0" r="11430" b="2095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07" cy="7792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2CFA1" id="Obdélník 8" o:spid="_x0000_s1026" style="position:absolute;margin-left:-1.35pt;margin-top:15.95pt;width:462.65pt;height:6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" fillcolor="#bdd6ee [1300]" strokecolor="#bdd6ee [1300]" strokeweight="1pt"/>
            </w:pict>
          </mc:Fallback>
        </mc:AlternateContent>
      </w:r>
    </w:p>
    <w:p w14:paraId="070EA43B" w14:textId="40813D31" w:rsidR="00DD7AF9" w:rsidRPr="00B74EBF" w:rsidRDefault="00DD7AF9" w:rsidP="00DD7AF9">
      <w:pPr>
        <w:spacing w:after="0" w:line="240" w:lineRule="auto"/>
        <w:jc w:val="both"/>
        <w:rPr>
          <w:rFonts w:cstheme="minorHAnsi"/>
          <w:sz w:val="24"/>
        </w:rPr>
      </w:pPr>
      <w:r w:rsidRPr="00B74EBF">
        <w:rPr>
          <w:rFonts w:cstheme="minorHAnsi"/>
          <w:sz w:val="24"/>
        </w:rPr>
        <w:t xml:space="preserve">Podle § 2 odst. 1 zákona </w:t>
      </w:r>
      <w:r w:rsidR="0067505C" w:rsidRPr="00B74EBF">
        <w:rPr>
          <w:rFonts w:cstheme="minorHAnsi"/>
          <w:sz w:val="24"/>
        </w:rPr>
        <w:t>č. 77/1997 Sb.</w:t>
      </w:r>
      <w:r w:rsidRPr="00B74EBF">
        <w:rPr>
          <w:rFonts w:cstheme="minorHAnsi"/>
          <w:sz w:val="24"/>
        </w:rPr>
        <w:t xml:space="preserve"> je podnik státní organizací a právnickou osobou, jejímž prostřednictvím vykonává stát svá vlastnická práva. Podnik provozuje svým jménem a na vlastní odpovědnost podnikatelskou činnost za účelem plnění významných strategických, hospodářských, společenských, bezpečnostních nebo dalších zájmů státu. </w:t>
      </w:r>
    </w:p>
    <w:p w14:paraId="3B12377C" w14:textId="44E760E5" w:rsidR="00DD7AF9" w:rsidRDefault="00DD7AF9" w:rsidP="00BB3AD0">
      <w:pPr>
        <w:spacing w:after="0" w:line="240" w:lineRule="auto"/>
        <w:jc w:val="both"/>
        <w:rPr>
          <w:rFonts w:cstheme="minorHAnsi"/>
          <w:sz w:val="24"/>
        </w:rPr>
      </w:pPr>
    </w:p>
    <w:p w14:paraId="71A2E598" w14:textId="361E5CEE" w:rsidR="00E33331" w:rsidRPr="0085315C" w:rsidRDefault="00E33331" w:rsidP="0085315C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85315C">
        <w:rPr>
          <w:rFonts w:ascii="Calibri" w:hAnsi="Calibri" w:cs="Calibri"/>
          <w:sz w:val="24"/>
          <w:szCs w:val="24"/>
        </w:rPr>
        <w:t>V důsledku procesu privatizace řady podniků v re</w:t>
      </w:r>
      <w:r w:rsidR="00306658" w:rsidRPr="0085315C">
        <w:rPr>
          <w:rFonts w:ascii="Calibri" w:hAnsi="Calibri" w:cs="Calibri"/>
          <w:sz w:val="24"/>
          <w:szCs w:val="24"/>
        </w:rPr>
        <w:t>s</w:t>
      </w:r>
      <w:r w:rsidRPr="0085315C">
        <w:rPr>
          <w:rFonts w:ascii="Calibri" w:hAnsi="Calibri" w:cs="Calibri"/>
          <w:sz w:val="24"/>
          <w:szCs w:val="24"/>
        </w:rPr>
        <w:t>ortu MPO, který probíhal od 90. let, byl Transgas tzv. zbytkovým státním podnikem hospodařícím s majetkem, který nebylo možno privatizovat. Usnesením vlády ze dne 14. ledna 2015 č. 25</w:t>
      </w:r>
      <w:r w:rsidRPr="0085315C">
        <w:rPr>
          <w:rStyle w:val="Znakapoznpodarou"/>
          <w:rFonts w:ascii="Calibri" w:hAnsi="Calibri" w:cs="Calibri"/>
          <w:sz w:val="24"/>
          <w:szCs w:val="24"/>
        </w:rPr>
        <w:footnoteReference w:id="6"/>
      </w:r>
      <w:r w:rsidRPr="0085315C">
        <w:rPr>
          <w:rFonts w:ascii="Calibri" w:hAnsi="Calibri" w:cs="Calibri"/>
          <w:sz w:val="24"/>
          <w:szCs w:val="24"/>
        </w:rPr>
        <w:t xml:space="preserve"> byl Transgas vyjmut z privatizace s tím, že dále bude s majetkem nakládat podle zákona č</w:t>
      </w:r>
      <w:r w:rsidR="00D036CC" w:rsidRPr="0085315C">
        <w:rPr>
          <w:rFonts w:ascii="Calibri" w:hAnsi="Calibri" w:cs="Calibri"/>
          <w:sz w:val="24"/>
          <w:szCs w:val="24"/>
        </w:rPr>
        <w:t>. 77/1997 Sb.</w:t>
      </w:r>
      <w:r w:rsidRPr="0085315C">
        <w:rPr>
          <w:rFonts w:ascii="Calibri" w:hAnsi="Calibri" w:cs="Calibri"/>
          <w:sz w:val="24"/>
          <w:szCs w:val="24"/>
        </w:rPr>
        <w:t xml:space="preserve"> V materiálu</w:t>
      </w:r>
      <w:r w:rsidRPr="0085315C">
        <w:rPr>
          <w:rStyle w:val="Znakapoznpodarou"/>
          <w:rFonts w:ascii="Calibri" w:hAnsi="Calibri" w:cs="Calibri"/>
          <w:sz w:val="24"/>
          <w:szCs w:val="24"/>
        </w:rPr>
        <w:footnoteReference w:id="7"/>
      </w:r>
      <w:r w:rsidRPr="0085315C">
        <w:rPr>
          <w:rFonts w:ascii="Calibri" w:hAnsi="Calibri" w:cs="Calibri"/>
          <w:sz w:val="24"/>
          <w:szCs w:val="24"/>
        </w:rPr>
        <w:t xml:space="preserve"> k tomuto usnesení MPO uvedlo, že záměrem další činnosti </w:t>
      </w:r>
      <w:proofErr w:type="spellStart"/>
      <w:r w:rsidRPr="0085315C">
        <w:rPr>
          <w:rFonts w:ascii="Calibri" w:hAnsi="Calibri" w:cs="Calibri"/>
          <w:sz w:val="24"/>
          <w:szCs w:val="24"/>
        </w:rPr>
        <w:t>Transgasu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 bude ukončit smlouvu mezi</w:t>
      </w:r>
      <w:r w:rsidR="00542759" w:rsidRPr="0085315C">
        <w:rPr>
          <w:rFonts w:ascii="Calibri" w:hAnsi="Calibri" w:cs="Calibri"/>
          <w:sz w:val="24"/>
          <w:szCs w:val="24"/>
        </w:rPr>
        <w:t xml:space="preserve"> Ministerstvem financí (</w:t>
      </w:r>
      <w:r w:rsidR="00542759" w:rsidRPr="0085315C">
        <w:rPr>
          <w:rFonts w:ascii="Calibri" w:eastAsia="Calibri" w:hAnsi="Calibri" w:cs="Calibri"/>
          <w:sz w:val="24"/>
          <w:szCs w:val="24"/>
        </w:rPr>
        <w:t>dále také „MF“)</w:t>
      </w:r>
      <w:r w:rsidRPr="0085315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85315C">
        <w:rPr>
          <w:rFonts w:ascii="Calibri" w:hAnsi="Calibri" w:cs="Calibri"/>
          <w:sz w:val="24"/>
          <w:szCs w:val="24"/>
        </w:rPr>
        <w:t>Transgasem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 k závazkům z tzv. </w:t>
      </w:r>
      <w:proofErr w:type="spellStart"/>
      <w:r w:rsidR="00876CAD">
        <w:rPr>
          <w:rFonts w:ascii="Calibri" w:hAnsi="Calibri" w:cs="Calibri"/>
          <w:sz w:val="24"/>
          <w:szCs w:val="24"/>
        </w:rPr>
        <w:t>j</w:t>
      </w:r>
      <w:r w:rsidRPr="0085315C">
        <w:rPr>
          <w:rFonts w:ascii="Calibri" w:hAnsi="Calibri" w:cs="Calibri"/>
          <w:sz w:val="24"/>
          <w:szCs w:val="24"/>
        </w:rPr>
        <w:t>amburgských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 dohod a</w:t>
      </w:r>
      <w:r w:rsidR="0085315C">
        <w:rPr>
          <w:rFonts w:ascii="Calibri" w:hAnsi="Calibri" w:cs="Calibri"/>
          <w:sz w:val="24"/>
          <w:szCs w:val="24"/>
        </w:rPr>
        <w:t> </w:t>
      </w:r>
      <w:r w:rsidR="00625ADD" w:rsidRPr="0085315C">
        <w:rPr>
          <w:rFonts w:ascii="Calibri" w:hAnsi="Calibri" w:cs="Calibri"/>
          <w:sz w:val="24"/>
          <w:szCs w:val="24"/>
        </w:rPr>
        <w:t>odúčtovat z účetnictví a nevykazovat</w:t>
      </w:r>
      <w:r w:rsidRPr="0085315C">
        <w:rPr>
          <w:rFonts w:ascii="Calibri" w:hAnsi="Calibri" w:cs="Calibri"/>
          <w:sz w:val="24"/>
          <w:szCs w:val="24"/>
        </w:rPr>
        <w:t xml:space="preserve"> pohledávku a závazek </w:t>
      </w:r>
      <w:r w:rsidR="00046774" w:rsidRPr="0085315C">
        <w:rPr>
          <w:rFonts w:ascii="Calibri" w:hAnsi="Calibri" w:cs="Calibri"/>
          <w:sz w:val="24"/>
          <w:szCs w:val="24"/>
        </w:rPr>
        <w:t>v</w:t>
      </w:r>
      <w:r w:rsidRPr="0085315C">
        <w:rPr>
          <w:rFonts w:ascii="Calibri" w:hAnsi="Calibri" w:cs="Calibri"/>
          <w:sz w:val="24"/>
          <w:szCs w:val="24"/>
        </w:rPr>
        <w:t xml:space="preserve"> rozva</w:t>
      </w:r>
      <w:r w:rsidR="00046774" w:rsidRPr="0085315C">
        <w:rPr>
          <w:rFonts w:ascii="Calibri" w:hAnsi="Calibri" w:cs="Calibri"/>
          <w:sz w:val="24"/>
          <w:szCs w:val="24"/>
        </w:rPr>
        <w:t>ze</w:t>
      </w:r>
      <w:r w:rsidRPr="0085315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5315C">
        <w:rPr>
          <w:rFonts w:ascii="Calibri" w:hAnsi="Calibri" w:cs="Calibri"/>
          <w:sz w:val="24"/>
          <w:szCs w:val="24"/>
        </w:rPr>
        <w:t>Transgasu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; převést rozhodující části majetku </w:t>
      </w:r>
      <w:proofErr w:type="spellStart"/>
      <w:r w:rsidRPr="0085315C">
        <w:rPr>
          <w:rFonts w:ascii="Calibri" w:hAnsi="Calibri" w:cs="Calibri"/>
          <w:sz w:val="24"/>
          <w:szCs w:val="24"/>
        </w:rPr>
        <w:t>Transgasu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 na jiné státní organizace, případně municipality</w:t>
      </w:r>
      <w:r w:rsidR="00876CAD">
        <w:rPr>
          <w:rFonts w:ascii="Calibri" w:hAnsi="Calibri" w:cs="Calibri"/>
          <w:sz w:val="24"/>
          <w:szCs w:val="24"/>
        </w:rPr>
        <w:t>,</w:t>
      </w:r>
      <w:r w:rsidRPr="0085315C">
        <w:rPr>
          <w:rFonts w:ascii="Calibri" w:hAnsi="Calibri" w:cs="Calibri"/>
          <w:sz w:val="24"/>
          <w:szCs w:val="24"/>
        </w:rPr>
        <w:t xml:space="preserve"> a</w:t>
      </w:r>
      <w:r w:rsidR="0085315C">
        <w:rPr>
          <w:rFonts w:ascii="Calibri" w:hAnsi="Calibri" w:cs="Calibri"/>
          <w:sz w:val="24"/>
          <w:szCs w:val="24"/>
        </w:rPr>
        <w:t> </w:t>
      </w:r>
      <w:r w:rsidRPr="0085315C">
        <w:rPr>
          <w:rFonts w:ascii="Calibri" w:hAnsi="Calibri" w:cs="Calibri"/>
          <w:sz w:val="24"/>
          <w:szCs w:val="24"/>
        </w:rPr>
        <w:t>případné výnosy z prodeje majetku převést do státních finančních aktiv.</w:t>
      </w:r>
    </w:p>
    <w:p w14:paraId="7A4304BF" w14:textId="784CA6FB" w:rsidR="00E33331" w:rsidRPr="0085315C" w:rsidRDefault="00E33331" w:rsidP="0085315C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85315C">
        <w:rPr>
          <w:rFonts w:ascii="Calibri" w:hAnsi="Calibri" w:cs="Calibri"/>
          <w:sz w:val="24"/>
          <w:szCs w:val="24"/>
        </w:rPr>
        <w:t xml:space="preserve">Do doby ukončení kontroly NKÚ nebyly pohledávka a </w:t>
      </w:r>
      <w:r w:rsidR="006C380A" w:rsidRPr="0085315C">
        <w:rPr>
          <w:rFonts w:ascii="Calibri" w:hAnsi="Calibri" w:cs="Calibri"/>
          <w:sz w:val="24"/>
          <w:szCs w:val="24"/>
        </w:rPr>
        <w:t xml:space="preserve">k ní </w:t>
      </w:r>
      <w:r w:rsidRPr="0085315C">
        <w:rPr>
          <w:rFonts w:ascii="Calibri" w:hAnsi="Calibri" w:cs="Calibri"/>
          <w:sz w:val="24"/>
          <w:szCs w:val="24"/>
        </w:rPr>
        <w:t>závazek</w:t>
      </w:r>
      <w:r w:rsidR="006C380A" w:rsidRPr="0085315C">
        <w:rPr>
          <w:rFonts w:ascii="Calibri" w:hAnsi="Calibri" w:cs="Calibri"/>
          <w:sz w:val="24"/>
          <w:szCs w:val="24"/>
        </w:rPr>
        <w:t xml:space="preserve"> vůči Ministerstvu financí</w:t>
      </w:r>
      <w:r w:rsidRPr="0085315C">
        <w:rPr>
          <w:rFonts w:ascii="Calibri" w:hAnsi="Calibri" w:cs="Calibri"/>
          <w:sz w:val="24"/>
          <w:szCs w:val="24"/>
        </w:rPr>
        <w:t xml:space="preserve"> z tzv. </w:t>
      </w:r>
      <w:proofErr w:type="spellStart"/>
      <w:r w:rsidR="00876CAD">
        <w:rPr>
          <w:rFonts w:ascii="Calibri" w:hAnsi="Calibri" w:cs="Calibri"/>
          <w:sz w:val="24"/>
          <w:szCs w:val="24"/>
        </w:rPr>
        <w:t>j</w:t>
      </w:r>
      <w:r w:rsidRPr="0085315C">
        <w:rPr>
          <w:rFonts w:ascii="Calibri" w:hAnsi="Calibri" w:cs="Calibri"/>
          <w:sz w:val="24"/>
          <w:szCs w:val="24"/>
        </w:rPr>
        <w:t>amburgských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 dohod z</w:t>
      </w:r>
      <w:r w:rsidR="006C380A" w:rsidRPr="0085315C">
        <w:rPr>
          <w:rFonts w:ascii="Calibri" w:hAnsi="Calibri" w:cs="Calibri"/>
          <w:sz w:val="24"/>
          <w:szCs w:val="24"/>
        </w:rPr>
        <w:t> účetnictví včetně</w:t>
      </w:r>
      <w:r w:rsidRPr="0085315C">
        <w:rPr>
          <w:rFonts w:ascii="Calibri" w:hAnsi="Calibri" w:cs="Calibri"/>
          <w:sz w:val="24"/>
          <w:szCs w:val="24"/>
        </w:rPr>
        <w:t xml:space="preserve"> rozvahy </w:t>
      </w:r>
      <w:proofErr w:type="spellStart"/>
      <w:r w:rsidRPr="0085315C">
        <w:rPr>
          <w:rFonts w:ascii="Calibri" w:hAnsi="Calibri" w:cs="Calibri"/>
          <w:sz w:val="24"/>
          <w:szCs w:val="24"/>
        </w:rPr>
        <w:t>Transgasu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 </w:t>
      </w:r>
      <w:r w:rsidR="00046774" w:rsidRPr="0085315C">
        <w:rPr>
          <w:rFonts w:ascii="Calibri" w:hAnsi="Calibri" w:cs="Calibri"/>
          <w:sz w:val="24"/>
          <w:szCs w:val="24"/>
        </w:rPr>
        <w:t xml:space="preserve">odúčtovány </w:t>
      </w:r>
      <w:r w:rsidRPr="0085315C">
        <w:rPr>
          <w:rFonts w:ascii="Calibri" w:hAnsi="Calibri" w:cs="Calibri"/>
          <w:sz w:val="24"/>
          <w:szCs w:val="24"/>
        </w:rPr>
        <w:t>(</w:t>
      </w:r>
      <w:r w:rsidR="009D681D" w:rsidRPr="0085315C">
        <w:rPr>
          <w:rFonts w:ascii="Calibri" w:hAnsi="Calibri" w:cs="Calibri"/>
          <w:sz w:val="24"/>
          <w:szCs w:val="24"/>
        </w:rPr>
        <w:t xml:space="preserve">jejich hodnota činí 91 % </w:t>
      </w:r>
      <w:r w:rsidR="003E2A50" w:rsidRPr="0085315C">
        <w:rPr>
          <w:rFonts w:ascii="Calibri" w:hAnsi="Calibri" w:cs="Calibri"/>
          <w:sz w:val="24"/>
          <w:szCs w:val="24"/>
        </w:rPr>
        <w:t xml:space="preserve">hodnoty </w:t>
      </w:r>
      <w:r w:rsidR="009D681D" w:rsidRPr="0085315C">
        <w:rPr>
          <w:rFonts w:ascii="Calibri" w:hAnsi="Calibri" w:cs="Calibri"/>
          <w:sz w:val="24"/>
          <w:szCs w:val="24"/>
        </w:rPr>
        <w:t xml:space="preserve">aktiv </w:t>
      </w:r>
      <w:proofErr w:type="spellStart"/>
      <w:r w:rsidR="009D681D" w:rsidRPr="0085315C">
        <w:rPr>
          <w:rFonts w:ascii="Calibri" w:hAnsi="Calibri" w:cs="Calibri"/>
          <w:sz w:val="24"/>
          <w:szCs w:val="24"/>
        </w:rPr>
        <w:t>Transgasu</w:t>
      </w:r>
      <w:proofErr w:type="spellEnd"/>
      <w:r w:rsidR="009D681D" w:rsidRPr="0085315C">
        <w:rPr>
          <w:rFonts w:ascii="Calibri" w:hAnsi="Calibri" w:cs="Calibri"/>
          <w:sz w:val="24"/>
          <w:szCs w:val="24"/>
        </w:rPr>
        <w:t xml:space="preserve">, </w:t>
      </w:r>
      <w:r w:rsidR="00077CDD" w:rsidRPr="0085315C">
        <w:rPr>
          <w:rFonts w:ascii="Calibri" w:hAnsi="Calibri" w:cs="Calibri"/>
          <w:sz w:val="24"/>
          <w:szCs w:val="24"/>
        </w:rPr>
        <w:t>viz bod</w:t>
      </w:r>
      <w:r w:rsidR="00D44E92" w:rsidRPr="0085315C">
        <w:rPr>
          <w:rFonts w:ascii="Calibri" w:hAnsi="Calibri" w:cs="Calibri"/>
          <w:sz w:val="24"/>
          <w:szCs w:val="24"/>
        </w:rPr>
        <w:t xml:space="preserve"> IV.</w:t>
      </w:r>
      <w:r w:rsidR="00F57F71" w:rsidRPr="0085315C">
        <w:rPr>
          <w:rFonts w:ascii="Calibri" w:hAnsi="Calibri" w:cs="Calibri"/>
          <w:sz w:val="24"/>
          <w:szCs w:val="24"/>
        </w:rPr>
        <w:t>2</w:t>
      </w:r>
      <w:r w:rsidR="00876CAD">
        <w:rPr>
          <w:rFonts w:ascii="Calibri" w:hAnsi="Calibri" w:cs="Calibri"/>
          <w:sz w:val="24"/>
          <w:szCs w:val="24"/>
        </w:rPr>
        <w:t xml:space="preserve"> tohoto kontrolního závěru</w:t>
      </w:r>
      <w:r w:rsidRPr="0085315C">
        <w:rPr>
          <w:rFonts w:ascii="Calibri" w:hAnsi="Calibri" w:cs="Calibri"/>
          <w:sz w:val="24"/>
          <w:szCs w:val="24"/>
        </w:rPr>
        <w:t xml:space="preserve">). Činnost </w:t>
      </w:r>
      <w:proofErr w:type="spellStart"/>
      <w:r w:rsidRPr="0085315C">
        <w:rPr>
          <w:rFonts w:ascii="Calibri" w:hAnsi="Calibri" w:cs="Calibri"/>
          <w:sz w:val="24"/>
          <w:szCs w:val="24"/>
        </w:rPr>
        <w:t>Transgasu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 spočívá zejména ve správě, pronájmu a převodech majetku. </w:t>
      </w:r>
      <w:r w:rsidR="001F600B" w:rsidRPr="0085315C">
        <w:rPr>
          <w:rFonts w:ascii="Calibri" w:hAnsi="Calibri" w:cs="Calibri"/>
          <w:sz w:val="24"/>
          <w:szCs w:val="24"/>
        </w:rPr>
        <w:t>Č</w:t>
      </w:r>
      <w:r w:rsidRPr="0085315C">
        <w:rPr>
          <w:rFonts w:ascii="Calibri" w:hAnsi="Calibri" w:cs="Calibri"/>
          <w:sz w:val="24"/>
          <w:szCs w:val="24"/>
        </w:rPr>
        <w:t xml:space="preserve">ást stávající hodnoty majetku </w:t>
      </w:r>
      <w:proofErr w:type="spellStart"/>
      <w:r w:rsidRPr="0085315C">
        <w:rPr>
          <w:rFonts w:ascii="Calibri" w:hAnsi="Calibri" w:cs="Calibri"/>
          <w:sz w:val="24"/>
          <w:szCs w:val="24"/>
        </w:rPr>
        <w:t>Transgasu</w:t>
      </w:r>
      <w:proofErr w:type="spellEnd"/>
      <w:r w:rsidRPr="0085315C">
        <w:rPr>
          <w:rFonts w:ascii="Calibri" w:hAnsi="Calibri" w:cs="Calibri"/>
          <w:sz w:val="24"/>
          <w:szCs w:val="24"/>
        </w:rPr>
        <w:t xml:space="preserve"> (</w:t>
      </w:r>
      <w:r w:rsidR="009D681D" w:rsidRPr="0085315C">
        <w:rPr>
          <w:rFonts w:ascii="Calibri" w:hAnsi="Calibri" w:cs="Calibri"/>
          <w:sz w:val="24"/>
          <w:szCs w:val="24"/>
        </w:rPr>
        <w:t>cca 3</w:t>
      </w:r>
      <w:r w:rsidRPr="0085315C">
        <w:rPr>
          <w:rFonts w:ascii="Calibri" w:hAnsi="Calibri" w:cs="Calibri"/>
          <w:sz w:val="24"/>
          <w:szCs w:val="24"/>
        </w:rPr>
        <w:t xml:space="preserve"> %</w:t>
      </w:r>
      <w:r w:rsidR="009D681D" w:rsidRPr="0085315C">
        <w:rPr>
          <w:rFonts w:ascii="Calibri" w:hAnsi="Calibri" w:cs="Calibri"/>
          <w:sz w:val="24"/>
          <w:szCs w:val="24"/>
        </w:rPr>
        <w:t xml:space="preserve"> </w:t>
      </w:r>
      <w:r w:rsidR="003E2A50" w:rsidRPr="0085315C">
        <w:rPr>
          <w:rFonts w:ascii="Calibri" w:hAnsi="Calibri" w:cs="Calibri"/>
          <w:sz w:val="24"/>
          <w:szCs w:val="24"/>
        </w:rPr>
        <w:t xml:space="preserve">hodnoty </w:t>
      </w:r>
      <w:r w:rsidR="009D681D" w:rsidRPr="0085315C">
        <w:rPr>
          <w:rFonts w:ascii="Calibri" w:hAnsi="Calibri" w:cs="Calibri"/>
          <w:sz w:val="24"/>
          <w:szCs w:val="24"/>
        </w:rPr>
        <w:t>aktiv</w:t>
      </w:r>
      <w:r w:rsidRPr="0085315C">
        <w:rPr>
          <w:rFonts w:ascii="Calibri" w:hAnsi="Calibri" w:cs="Calibri"/>
          <w:sz w:val="24"/>
          <w:szCs w:val="24"/>
        </w:rPr>
        <w:t>) činí nemovitosti, a to dva areály (</w:t>
      </w:r>
      <w:r w:rsidR="00171F21" w:rsidRPr="0085315C">
        <w:rPr>
          <w:rFonts w:ascii="Calibri" w:hAnsi="Calibri" w:cs="Calibri"/>
          <w:sz w:val="24"/>
          <w:szCs w:val="24"/>
        </w:rPr>
        <w:t>Praha</w:t>
      </w:r>
      <w:r w:rsidR="00876CAD">
        <w:rPr>
          <w:rFonts w:ascii="Calibri" w:hAnsi="Calibri" w:cs="Calibri"/>
          <w:sz w:val="24"/>
          <w:szCs w:val="24"/>
        </w:rPr>
        <w:t>-</w:t>
      </w:r>
      <w:r w:rsidR="00171F21" w:rsidRPr="0085315C">
        <w:rPr>
          <w:rFonts w:ascii="Calibri" w:hAnsi="Calibri" w:cs="Calibri"/>
          <w:sz w:val="24"/>
          <w:szCs w:val="24"/>
        </w:rPr>
        <w:t xml:space="preserve">Holešovice, </w:t>
      </w:r>
      <w:r w:rsidR="00876CAD">
        <w:rPr>
          <w:rFonts w:ascii="Calibri" w:hAnsi="Calibri" w:cs="Calibri"/>
          <w:sz w:val="24"/>
          <w:szCs w:val="24"/>
        </w:rPr>
        <w:br/>
      </w:r>
      <w:r w:rsidR="00171F21" w:rsidRPr="0085315C">
        <w:rPr>
          <w:rFonts w:ascii="Calibri" w:hAnsi="Calibri" w:cs="Calibri"/>
          <w:sz w:val="24"/>
          <w:szCs w:val="24"/>
        </w:rPr>
        <w:t>Brno-Černovice</w:t>
      </w:r>
      <w:r w:rsidRPr="0085315C">
        <w:rPr>
          <w:rFonts w:ascii="Calibri" w:hAnsi="Calibri" w:cs="Calibri"/>
          <w:sz w:val="24"/>
          <w:szCs w:val="24"/>
        </w:rPr>
        <w:t>), které Transgas pronajímá</w:t>
      </w:r>
      <w:r w:rsidR="0065536D" w:rsidRPr="0085315C">
        <w:rPr>
          <w:rFonts w:ascii="Calibri" w:hAnsi="Calibri" w:cs="Calibri"/>
          <w:sz w:val="24"/>
          <w:szCs w:val="24"/>
        </w:rPr>
        <w:t>,</w:t>
      </w:r>
      <w:r w:rsidRPr="0085315C">
        <w:rPr>
          <w:rFonts w:ascii="Calibri" w:hAnsi="Calibri" w:cs="Calibri"/>
          <w:sz w:val="24"/>
          <w:szCs w:val="24"/>
        </w:rPr>
        <w:t xml:space="preserve"> a 59 dílčích nemovitostí rozmístěných po území České republiky (např. pozemky přiléhající ke komunikac</w:t>
      </w:r>
      <w:r w:rsidR="00D6152F" w:rsidRPr="0085315C">
        <w:rPr>
          <w:rFonts w:ascii="Calibri" w:hAnsi="Calibri" w:cs="Calibri"/>
          <w:sz w:val="24"/>
          <w:szCs w:val="24"/>
        </w:rPr>
        <w:t>ím</w:t>
      </w:r>
      <w:r w:rsidRPr="0085315C">
        <w:rPr>
          <w:rFonts w:ascii="Calibri" w:hAnsi="Calibri" w:cs="Calibri"/>
          <w:sz w:val="24"/>
          <w:szCs w:val="24"/>
        </w:rPr>
        <w:t>, část polní</w:t>
      </w:r>
      <w:r w:rsidR="00D6152F" w:rsidRPr="0085315C">
        <w:rPr>
          <w:rFonts w:ascii="Calibri" w:hAnsi="Calibri" w:cs="Calibri"/>
          <w:sz w:val="24"/>
          <w:szCs w:val="24"/>
        </w:rPr>
        <w:t>ch</w:t>
      </w:r>
      <w:r w:rsidRPr="0085315C">
        <w:rPr>
          <w:rFonts w:ascii="Calibri" w:hAnsi="Calibri" w:cs="Calibri"/>
          <w:sz w:val="24"/>
          <w:szCs w:val="24"/>
        </w:rPr>
        <w:t xml:space="preserve"> cest, pol</w:t>
      </w:r>
      <w:r w:rsidR="00D6152F" w:rsidRPr="0085315C">
        <w:rPr>
          <w:rFonts w:ascii="Calibri" w:hAnsi="Calibri" w:cs="Calibri"/>
          <w:sz w:val="24"/>
          <w:szCs w:val="24"/>
        </w:rPr>
        <w:t>í a lesů</w:t>
      </w:r>
      <w:r w:rsidRPr="0085315C">
        <w:rPr>
          <w:rFonts w:ascii="Calibri" w:hAnsi="Calibri" w:cs="Calibri"/>
          <w:sz w:val="24"/>
          <w:szCs w:val="24"/>
        </w:rPr>
        <w:t>). Na území jednoho z uvedených areálů Transgas připravuje výstavbu administrativn</w:t>
      </w:r>
      <w:r w:rsidR="0065536D" w:rsidRPr="0085315C">
        <w:rPr>
          <w:rFonts w:ascii="Calibri" w:hAnsi="Calibri" w:cs="Calibri"/>
          <w:sz w:val="24"/>
          <w:szCs w:val="24"/>
        </w:rPr>
        <w:t>ě</w:t>
      </w:r>
      <w:r w:rsidR="0090793E" w:rsidRPr="0085315C">
        <w:rPr>
          <w:rFonts w:ascii="Calibri" w:hAnsi="Calibri" w:cs="Calibri"/>
          <w:sz w:val="24"/>
          <w:szCs w:val="24"/>
        </w:rPr>
        <w:t xml:space="preserve"> </w:t>
      </w:r>
      <w:r w:rsidR="0065536D" w:rsidRPr="0085315C">
        <w:rPr>
          <w:rFonts w:ascii="Calibri" w:hAnsi="Calibri" w:cs="Calibri"/>
          <w:sz w:val="24"/>
          <w:szCs w:val="24"/>
        </w:rPr>
        <w:t>zkušební</w:t>
      </w:r>
      <w:r w:rsidRPr="0085315C">
        <w:rPr>
          <w:rFonts w:ascii="Calibri" w:hAnsi="Calibri" w:cs="Calibri"/>
          <w:sz w:val="24"/>
          <w:szCs w:val="24"/>
        </w:rPr>
        <w:t xml:space="preserve"> budovy. </w:t>
      </w:r>
    </w:p>
    <w:p w14:paraId="183DFE55" w14:textId="4CEC1BC8" w:rsidR="00E33331" w:rsidRPr="0085315C" w:rsidRDefault="00E33331" w:rsidP="0085315C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85315C">
        <w:rPr>
          <w:rFonts w:ascii="Calibri" w:hAnsi="Calibri" w:cs="Calibri"/>
          <w:sz w:val="24"/>
          <w:szCs w:val="24"/>
        </w:rPr>
        <w:t>Peněžní prostředky, které Transgas získal</w:t>
      </w:r>
      <w:r w:rsidR="003E2A50" w:rsidRPr="0085315C">
        <w:rPr>
          <w:rFonts w:ascii="Calibri" w:hAnsi="Calibri" w:cs="Calibri"/>
          <w:sz w:val="24"/>
          <w:szCs w:val="24"/>
        </w:rPr>
        <w:t xml:space="preserve"> v roce 2001 díky privatizaci a </w:t>
      </w:r>
      <w:r w:rsidRPr="0085315C">
        <w:rPr>
          <w:rFonts w:ascii="Calibri" w:hAnsi="Calibri" w:cs="Calibri"/>
          <w:sz w:val="24"/>
          <w:szCs w:val="24"/>
        </w:rPr>
        <w:t>z</w:t>
      </w:r>
      <w:r w:rsidR="003E2A50" w:rsidRPr="0085315C">
        <w:rPr>
          <w:rFonts w:ascii="Calibri" w:hAnsi="Calibri" w:cs="Calibri"/>
          <w:sz w:val="24"/>
          <w:szCs w:val="24"/>
        </w:rPr>
        <w:t xml:space="preserve"> menší části </w:t>
      </w:r>
      <w:r w:rsidRPr="0085315C">
        <w:rPr>
          <w:rFonts w:ascii="Calibri" w:hAnsi="Calibri" w:cs="Calibri"/>
          <w:sz w:val="24"/>
          <w:szCs w:val="24"/>
        </w:rPr>
        <w:t>prodeje</w:t>
      </w:r>
      <w:r w:rsidR="003E2A50" w:rsidRPr="0085315C">
        <w:rPr>
          <w:rFonts w:ascii="Calibri" w:hAnsi="Calibri" w:cs="Calibri"/>
          <w:sz w:val="24"/>
          <w:szCs w:val="24"/>
        </w:rPr>
        <w:t>m</w:t>
      </w:r>
      <w:r w:rsidRPr="0085315C">
        <w:rPr>
          <w:rFonts w:ascii="Calibri" w:hAnsi="Calibri" w:cs="Calibri"/>
          <w:sz w:val="24"/>
          <w:szCs w:val="24"/>
        </w:rPr>
        <w:t xml:space="preserve"> majetku</w:t>
      </w:r>
      <w:r w:rsidR="003E2A50" w:rsidRPr="0085315C">
        <w:rPr>
          <w:rFonts w:ascii="Calibri" w:hAnsi="Calibri" w:cs="Calibri"/>
          <w:sz w:val="24"/>
          <w:szCs w:val="24"/>
        </w:rPr>
        <w:t xml:space="preserve"> v pozdějších letech</w:t>
      </w:r>
      <w:r w:rsidRPr="0085315C">
        <w:rPr>
          <w:rFonts w:ascii="Calibri" w:hAnsi="Calibri" w:cs="Calibri"/>
          <w:sz w:val="24"/>
          <w:szCs w:val="24"/>
        </w:rPr>
        <w:t>, nebyly do státních finančních aktiv nikdy převedeny</w:t>
      </w:r>
      <w:r w:rsidR="00176040" w:rsidRPr="0085315C">
        <w:rPr>
          <w:rFonts w:ascii="Calibri" w:hAnsi="Calibri" w:cs="Calibri"/>
          <w:sz w:val="24"/>
          <w:szCs w:val="24"/>
        </w:rPr>
        <w:t xml:space="preserve">, jak požadoval výše uvedený </w:t>
      </w:r>
      <w:r w:rsidR="00223E04" w:rsidRPr="0085315C">
        <w:rPr>
          <w:rFonts w:ascii="Calibri" w:hAnsi="Calibri" w:cs="Calibri"/>
          <w:sz w:val="24"/>
          <w:szCs w:val="24"/>
        </w:rPr>
        <w:t>materiál</w:t>
      </w:r>
      <w:r w:rsidR="00642749" w:rsidRPr="0085315C">
        <w:rPr>
          <w:rFonts w:ascii="Calibri" w:hAnsi="Calibri" w:cs="Calibri"/>
          <w:sz w:val="24"/>
          <w:szCs w:val="24"/>
          <w:vertAlign w:val="superscript"/>
        </w:rPr>
        <w:t>6</w:t>
      </w:r>
      <w:r w:rsidR="003E2A50" w:rsidRPr="0085315C">
        <w:rPr>
          <w:rFonts w:ascii="Calibri" w:hAnsi="Calibri" w:cs="Calibri"/>
          <w:sz w:val="24"/>
          <w:szCs w:val="24"/>
        </w:rPr>
        <w:t xml:space="preserve"> (tvoří cca 6 % hodnoty aktiv)</w:t>
      </w:r>
      <w:r w:rsidRPr="0085315C">
        <w:rPr>
          <w:rFonts w:ascii="Calibri" w:hAnsi="Calibri" w:cs="Calibri"/>
          <w:sz w:val="24"/>
          <w:szCs w:val="24"/>
        </w:rPr>
        <w:t>. Převést lze jen ty peněžní prostředky, které jsou součástí nerozděleného zisku státního podniku</w:t>
      </w:r>
      <w:r w:rsidRPr="0085315C">
        <w:rPr>
          <w:rStyle w:val="Znakapoznpodarou"/>
          <w:rFonts w:ascii="Calibri" w:hAnsi="Calibri" w:cs="Calibri"/>
          <w:sz w:val="24"/>
          <w:szCs w:val="24"/>
        </w:rPr>
        <w:footnoteReference w:id="8"/>
      </w:r>
      <w:r w:rsidRPr="0085315C">
        <w:rPr>
          <w:rFonts w:ascii="Calibri" w:hAnsi="Calibri" w:cs="Calibri"/>
          <w:sz w:val="24"/>
          <w:szCs w:val="24"/>
        </w:rPr>
        <w:t xml:space="preserve">, přičemž Transgas je </w:t>
      </w:r>
      <w:r w:rsidRPr="0085315C">
        <w:rPr>
          <w:rFonts w:ascii="Calibri" w:hAnsi="Calibri" w:cs="Calibri"/>
          <w:sz w:val="24"/>
          <w:szCs w:val="24"/>
        </w:rPr>
        <w:lastRenderedPageBreak/>
        <w:t xml:space="preserve">dlouhodobě ve ztrátě. Navíc jediný způsob, jakým lze peněžní prostředky státního podniku do </w:t>
      </w:r>
      <w:r w:rsidR="00082D3A" w:rsidRPr="0085315C">
        <w:rPr>
          <w:rFonts w:ascii="Calibri" w:hAnsi="Calibri" w:cs="Calibri"/>
          <w:sz w:val="24"/>
          <w:szCs w:val="24"/>
        </w:rPr>
        <w:t>státního rozpočtu</w:t>
      </w:r>
      <w:r w:rsidRPr="0085315C">
        <w:rPr>
          <w:rFonts w:ascii="Calibri" w:hAnsi="Calibri" w:cs="Calibri"/>
          <w:sz w:val="24"/>
          <w:szCs w:val="24"/>
        </w:rPr>
        <w:t xml:space="preserve"> převést, je </w:t>
      </w:r>
      <w:r w:rsidR="00077CDD" w:rsidRPr="0085315C">
        <w:rPr>
          <w:rFonts w:ascii="Calibri" w:hAnsi="Calibri" w:cs="Calibri"/>
          <w:sz w:val="24"/>
          <w:szCs w:val="24"/>
        </w:rPr>
        <w:t xml:space="preserve">přes </w:t>
      </w:r>
      <w:r w:rsidRPr="0085315C">
        <w:rPr>
          <w:rFonts w:ascii="Calibri" w:hAnsi="Calibri" w:cs="Calibri"/>
          <w:sz w:val="24"/>
          <w:szCs w:val="24"/>
        </w:rPr>
        <w:t xml:space="preserve">fond zakladatele, který </w:t>
      </w:r>
      <w:r w:rsidR="00077CDD" w:rsidRPr="0085315C">
        <w:rPr>
          <w:rFonts w:ascii="Calibri" w:hAnsi="Calibri" w:cs="Calibri"/>
          <w:sz w:val="24"/>
          <w:szCs w:val="24"/>
        </w:rPr>
        <w:t xml:space="preserve">ale </w:t>
      </w:r>
      <w:r w:rsidR="001F600B" w:rsidRPr="0085315C">
        <w:rPr>
          <w:rFonts w:ascii="Calibri" w:hAnsi="Calibri" w:cs="Calibri"/>
          <w:sz w:val="24"/>
          <w:szCs w:val="24"/>
        </w:rPr>
        <w:t>MPO</w:t>
      </w:r>
      <w:r w:rsidRPr="0085315C">
        <w:rPr>
          <w:rFonts w:ascii="Calibri" w:hAnsi="Calibri" w:cs="Calibri"/>
          <w:sz w:val="24"/>
          <w:szCs w:val="24"/>
        </w:rPr>
        <w:t xml:space="preserve"> nezřídil</w:t>
      </w:r>
      <w:r w:rsidR="001F600B" w:rsidRPr="0085315C">
        <w:rPr>
          <w:rFonts w:ascii="Calibri" w:hAnsi="Calibri" w:cs="Calibri"/>
          <w:sz w:val="24"/>
          <w:szCs w:val="24"/>
        </w:rPr>
        <w:t>o</w:t>
      </w:r>
      <w:r w:rsidRPr="0085315C">
        <w:rPr>
          <w:rFonts w:ascii="Calibri" w:hAnsi="Calibri" w:cs="Calibri"/>
          <w:sz w:val="24"/>
          <w:szCs w:val="24"/>
        </w:rPr>
        <w:t xml:space="preserve">. </w:t>
      </w:r>
    </w:p>
    <w:p w14:paraId="0D12E5BA" w14:textId="015C966E" w:rsidR="00E33331" w:rsidRPr="0085315C" w:rsidRDefault="00E33331" w:rsidP="0085315C">
      <w:pPr>
        <w:spacing w:before="120"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5315C">
        <w:rPr>
          <w:rFonts w:ascii="Calibri" w:hAnsi="Calibri" w:cs="Calibri"/>
          <w:b/>
          <w:sz w:val="24"/>
          <w:szCs w:val="24"/>
        </w:rPr>
        <w:t xml:space="preserve">Skutečná činnost </w:t>
      </w:r>
      <w:proofErr w:type="spellStart"/>
      <w:r w:rsidRPr="0085315C">
        <w:rPr>
          <w:rFonts w:ascii="Calibri" w:hAnsi="Calibri" w:cs="Calibri"/>
          <w:b/>
          <w:sz w:val="24"/>
          <w:szCs w:val="24"/>
        </w:rPr>
        <w:t>Transgasu</w:t>
      </w:r>
      <w:proofErr w:type="spellEnd"/>
      <w:r w:rsidRPr="0085315C">
        <w:rPr>
          <w:rFonts w:ascii="Calibri" w:hAnsi="Calibri" w:cs="Calibri"/>
          <w:b/>
          <w:sz w:val="24"/>
          <w:szCs w:val="24"/>
        </w:rPr>
        <w:t xml:space="preserve"> se liší od záměru, kterým MPO zdůvodnilo potřebu vyčlenit tento podnik z privatizace. Transgas se téměř výhradně zaměřuje na správu, prodej, pronájem, v jednom případě i výstavbu nemovitost</w:t>
      </w:r>
      <w:r w:rsidR="0065536D" w:rsidRPr="0085315C">
        <w:rPr>
          <w:rFonts w:ascii="Calibri" w:hAnsi="Calibri" w:cs="Calibri"/>
          <w:b/>
          <w:sz w:val="24"/>
          <w:szCs w:val="24"/>
        </w:rPr>
        <w:t>i</w:t>
      </w:r>
      <w:r w:rsidRPr="0085315C">
        <w:rPr>
          <w:rFonts w:ascii="Calibri" w:hAnsi="Calibri" w:cs="Calibri"/>
          <w:b/>
          <w:sz w:val="24"/>
          <w:szCs w:val="24"/>
        </w:rPr>
        <w:t xml:space="preserve"> a plnění dílčích úkolů, které mu zadává MPO</w:t>
      </w:r>
      <w:r w:rsidR="00171F21" w:rsidRPr="0085315C">
        <w:rPr>
          <w:rFonts w:ascii="Calibri" w:hAnsi="Calibri" w:cs="Calibri"/>
          <w:b/>
          <w:sz w:val="24"/>
          <w:szCs w:val="24"/>
        </w:rPr>
        <w:t xml:space="preserve"> (viz bod IV.</w:t>
      </w:r>
      <w:r w:rsidR="0065536D" w:rsidRPr="0085315C">
        <w:rPr>
          <w:rFonts w:ascii="Calibri" w:hAnsi="Calibri" w:cs="Calibri"/>
          <w:b/>
          <w:sz w:val="24"/>
          <w:szCs w:val="24"/>
        </w:rPr>
        <w:t>3</w:t>
      </w:r>
      <w:r w:rsidR="00610419">
        <w:rPr>
          <w:rFonts w:ascii="Calibri" w:hAnsi="Calibri" w:cs="Calibri"/>
          <w:b/>
          <w:sz w:val="24"/>
          <w:szCs w:val="24"/>
        </w:rPr>
        <w:t xml:space="preserve"> tohoto kontrolního závěru</w:t>
      </w:r>
      <w:r w:rsidR="00171F21" w:rsidRPr="0085315C">
        <w:rPr>
          <w:rFonts w:ascii="Calibri" w:hAnsi="Calibri" w:cs="Calibri"/>
          <w:b/>
          <w:sz w:val="24"/>
          <w:szCs w:val="24"/>
        </w:rPr>
        <w:t>)</w:t>
      </w:r>
      <w:r w:rsidRPr="0085315C">
        <w:rPr>
          <w:rFonts w:ascii="Calibri" w:hAnsi="Calibri" w:cs="Calibri"/>
          <w:b/>
          <w:sz w:val="24"/>
          <w:szCs w:val="24"/>
        </w:rPr>
        <w:t xml:space="preserve">. </w:t>
      </w:r>
      <w:r w:rsidR="00F857A3" w:rsidRPr="0085315C">
        <w:rPr>
          <w:rFonts w:ascii="Calibri" w:hAnsi="Calibri" w:cs="Calibri"/>
          <w:b/>
          <w:sz w:val="24"/>
          <w:szCs w:val="24"/>
        </w:rPr>
        <w:t>Popsané činnosti nespadají do kategorie významných zájmů státu</w:t>
      </w:r>
      <w:r w:rsidR="00E02DC1" w:rsidRPr="0085315C">
        <w:rPr>
          <w:rFonts w:ascii="Calibri" w:hAnsi="Calibri" w:cs="Calibri"/>
          <w:b/>
          <w:sz w:val="24"/>
          <w:szCs w:val="24"/>
        </w:rPr>
        <w:t>.</w:t>
      </w:r>
    </w:p>
    <w:p w14:paraId="5CCEAA3F" w14:textId="76135BC5" w:rsidR="009602AA" w:rsidRPr="00610419" w:rsidRDefault="00610419" w:rsidP="00610419">
      <w:pPr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2. </w:t>
      </w:r>
      <w:proofErr w:type="spellStart"/>
      <w:r w:rsidR="009602AA" w:rsidRPr="00610419">
        <w:rPr>
          <w:rFonts w:ascii="Calibri" w:hAnsi="Calibri" w:cs="Calibri"/>
          <w:b/>
          <w:sz w:val="24"/>
          <w:szCs w:val="24"/>
        </w:rPr>
        <w:t>Jamburgské</w:t>
      </w:r>
      <w:proofErr w:type="spellEnd"/>
      <w:r w:rsidR="009602AA" w:rsidRPr="00610419">
        <w:rPr>
          <w:rFonts w:ascii="Calibri" w:hAnsi="Calibri" w:cs="Calibri"/>
          <w:b/>
          <w:sz w:val="24"/>
          <w:szCs w:val="24"/>
        </w:rPr>
        <w:t xml:space="preserve"> dohody</w:t>
      </w:r>
    </w:p>
    <w:p w14:paraId="7F66248D" w14:textId="77777777" w:rsidR="009602AA" w:rsidRDefault="009602AA" w:rsidP="009602AA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18273E" wp14:editId="1CA64FE4">
                <wp:simplePos x="0" y="0"/>
                <wp:positionH relativeFrom="column">
                  <wp:posOffset>-49005</wp:posOffset>
                </wp:positionH>
                <wp:positionV relativeFrom="paragraph">
                  <wp:posOffset>173714</wp:posOffset>
                </wp:positionV>
                <wp:extent cx="5860111" cy="1391478"/>
                <wp:effectExtent l="0" t="0" r="26670" b="184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13914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9BE0F5" id="Obdélník 3" o:spid="_x0000_s1026" style="position:absolute;margin-left:-3.85pt;margin-top:13.7pt;width:461.45pt;height:109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" fillcolor="#bdd6ee [1300]" strokecolor="#bdd6ee [1300]" strokeweight="1pt"/>
            </w:pict>
          </mc:Fallback>
        </mc:AlternateContent>
      </w:r>
    </w:p>
    <w:p w14:paraId="0C95241F" w14:textId="77777777" w:rsidR="009602AA" w:rsidRPr="00B74EBF" w:rsidRDefault="009602AA" w:rsidP="009602A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74EBF">
        <w:rPr>
          <w:rFonts w:ascii="Calibri" w:eastAsia="Calibri" w:hAnsi="Calibri" w:cs="Calibri"/>
          <w:sz w:val="24"/>
        </w:rPr>
        <w:t>Podle § 4 zákona č. 2/1969 Sb.</w:t>
      </w:r>
      <w:r w:rsidRPr="00B74EBF">
        <w:rPr>
          <w:rStyle w:val="Znakapoznpodarou"/>
          <w:rFonts w:ascii="Calibri" w:eastAsia="Calibri" w:hAnsi="Calibri" w:cs="Calibri"/>
          <w:sz w:val="24"/>
        </w:rPr>
        <w:footnoteReference w:id="9"/>
      </w:r>
      <w:r w:rsidRPr="00B74EBF">
        <w:rPr>
          <w:rFonts w:ascii="Calibri" w:eastAsia="Calibri" w:hAnsi="Calibri" w:cs="Calibri"/>
          <w:sz w:val="24"/>
        </w:rPr>
        <w:t xml:space="preserve"> je ústředním orgánem státní správy pro devizové věci včetně pohledávek a závazků státu vůči zahraničí Ministerstvo financí.</w:t>
      </w:r>
    </w:p>
    <w:p w14:paraId="50976625" w14:textId="77777777" w:rsidR="009602AA" w:rsidRPr="00B74EBF" w:rsidRDefault="009602AA" w:rsidP="009602A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74EBF">
        <w:rPr>
          <w:rFonts w:ascii="Calibri" w:eastAsia="Calibri" w:hAnsi="Calibri" w:cs="Calibri"/>
          <w:sz w:val="24"/>
        </w:rPr>
        <w:t>Podle § 9 odst. 1 zákona č. 219/2000 Sb.</w:t>
      </w:r>
      <w:r w:rsidRPr="00B74EBF">
        <w:rPr>
          <w:rStyle w:val="Znakapoznpodarou"/>
          <w:rFonts w:ascii="Calibri" w:eastAsia="Calibri" w:hAnsi="Calibri" w:cs="Calibri"/>
          <w:sz w:val="24"/>
        </w:rPr>
        <w:footnoteReference w:id="10"/>
      </w:r>
      <w:r w:rsidRPr="00B74EBF">
        <w:rPr>
          <w:rFonts w:ascii="Calibri" w:eastAsia="Calibri" w:hAnsi="Calibri" w:cs="Calibri"/>
          <w:sz w:val="24"/>
        </w:rPr>
        <w:t xml:space="preserve"> přísluší hospodaření s určitým majetkem té organizační složce, která je účetní jednotkou a potřebuje jej k plnění funkcí státu nebo jiných úkolů v rámci své působnosti.</w:t>
      </w:r>
    </w:p>
    <w:p w14:paraId="5B366BB6" w14:textId="58039FCC" w:rsidR="009602AA" w:rsidRPr="00B74EBF" w:rsidRDefault="009602AA" w:rsidP="009602A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74EBF">
        <w:rPr>
          <w:rFonts w:ascii="Calibri" w:eastAsia="Calibri" w:hAnsi="Calibri" w:cs="Calibri"/>
          <w:sz w:val="24"/>
        </w:rPr>
        <w:t>Účetní jednotka může vykazovat ve svém účetnictví skutečnosti, které jsou ve smyslu § 2 odst.</w:t>
      </w:r>
      <w:r w:rsidR="00610419">
        <w:rPr>
          <w:rFonts w:ascii="Calibri" w:eastAsia="Calibri" w:hAnsi="Calibri" w:cs="Calibri"/>
          <w:sz w:val="24"/>
        </w:rPr>
        <w:t> </w:t>
      </w:r>
      <w:r w:rsidRPr="00B74EBF">
        <w:rPr>
          <w:rFonts w:ascii="Calibri" w:eastAsia="Calibri" w:hAnsi="Calibri" w:cs="Calibri"/>
          <w:sz w:val="24"/>
        </w:rPr>
        <w:t>1 zákona č. 563/1991 Sb.</w:t>
      </w:r>
      <w:r w:rsidRPr="00B74EBF">
        <w:rPr>
          <w:rStyle w:val="Znakapoznpodarou"/>
          <w:rFonts w:ascii="Calibri" w:eastAsia="Calibri" w:hAnsi="Calibri" w:cs="Calibri"/>
          <w:sz w:val="24"/>
        </w:rPr>
        <w:footnoteReference w:id="11"/>
      </w:r>
      <w:r w:rsidRPr="00B74EBF">
        <w:rPr>
          <w:rFonts w:ascii="Calibri" w:eastAsia="Calibri" w:hAnsi="Calibri" w:cs="Calibri"/>
          <w:sz w:val="24"/>
        </w:rPr>
        <w:t xml:space="preserve"> předmětem j</w:t>
      </w:r>
      <w:r w:rsidR="0065536D" w:rsidRPr="00B74EBF">
        <w:rPr>
          <w:rFonts w:ascii="Calibri" w:eastAsia="Calibri" w:hAnsi="Calibri" w:cs="Calibri"/>
          <w:sz w:val="24"/>
        </w:rPr>
        <w:t>ejího</w:t>
      </w:r>
      <w:r w:rsidRPr="00B74EBF">
        <w:rPr>
          <w:rFonts w:ascii="Calibri" w:eastAsia="Calibri" w:hAnsi="Calibri" w:cs="Calibri"/>
          <w:sz w:val="24"/>
        </w:rPr>
        <w:t xml:space="preserve"> účetnictví.</w:t>
      </w:r>
    </w:p>
    <w:p w14:paraId="51CF0FE4" w14:textId="77777777" w:rsidR="009602AA" w:rsidRDefault="009602AA" w:rsidP="009602AA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0FA17174" w14:textId="11AA1388" w:rsidR="009602AA" w:rsidRDefault="009602AA" w:rsidP="0085315C">
      <w:pPr>
        <w:spacing w:after="120" w:line="240" w:lineRule="auto"/>
        <w:jc w:val="both"/>
        <w:rPr>
          <w:rFonts w:cstheme="minorHAnsi"/>
          <w:sz w:val="24"/>
        </w:rPr>
      </w:pPr>
      <w:r>
        <w:rPr>
          <w:rFonts w:ascii="Calibri" w:eastAsia="Calibri" w:hAnsi="Calibri" w:cs="Calibri"/>
          <w:sz w:val="24"/>
        </w:rPr>
        <w:t xml:space="preserve">Podstatou tzv. </w:t>
      </w:r>
      <w:proofErr w:type="spellStart"/>
      <w:r w:rsidR="00610419"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z w:val="24"/>
        </w:rPr>
        <w:t>amburgských</w:t>
      </w:r>
      <w:proofErr w:type="spellEnd"/>
      <w:r>
        <w:rPr>
          <w:rFonts w:ascii="Calibri" w:eastAsia="Calibri" w:hAnsi="Calibri" w:cs="Calibri"/>
          <w:sz w:val="24"/>
        </w:rPr>
        <w:t xml:space="preserve"> dohod je </w:t>
      </w:r>
      <w:r w:rsidRPr="00EA0035">
        <w:rPr>
          <w:rFonts w:ascii="Calibri" w:eastAsia="Calibri" w:hAnsi="Calibri" w:cs="Calibri"/>
          <w:i/>
          <w:sz w:val="24"/>
        </w:rPr>
        <w:t xml:space="preserve">Dohoda mezi vládou ČSSR a vládou SSSR o spolupráci při osvojování </w:t>
      </w:r>
      <w:proofErr w:type="spellStart"/>
      <w:r w:rsidRPr="00EA0035">
        <w:rPr>
          <w:rFonts w:ascii="Calibri" w:eastAsia="Calibri" w:hAnsi="Calibri" w:cs="Calibri"/>
          <w:i/>
          <w:sz w:val="24"/>
        </w:rPr>
        <w:t>Jamburgského</w:t>
      </w:r>
      <w:proofErr w:type="spellEnd"/>
      <w:r w:rsidRPr="00EA0035">
        <w:rPr>
          <w:rFonts w:ascii="Calibri" w:eastAsia="Calibri" w:hAnsi="Calibri" w:cs="Calibri"/>
          <w:i/>
          <w:sz w:val="24"/>
        </w:rPr>
        <w:t xml:space="preserve"> naleziště plynu</w:t>
      </w:r>
      <w:r>
        <w:rPr>
          <w:rFonts w:ascii="Calibri" w:eastAsia="Calibri" w:hAnsi="Calibri" w:cs="Calibri"/>
          <w:sz w:val="24"/>
        </w:rPr>
        <w:t xml:space="preserve"> ze dne 16. prosince 1985. </w:t>
      </w:r>
      <w:r w:rsidRPr="00E008BB">
        <w:rPr>
          <w:rFonts w:ascii="Calibri" w:eastAsia="Calibri" w:hAnsi="Calibri" w:cs="Calibri"/>
          <w:sz w:val="24"/>
        </w:rPr>
        <w:t xml:space="preserve">ČSSR </w:t>
      </w:r>
      <w:r w:rsidRPr="00E008BB">
        <w:rPr>
          <w:rFonts w:ascii="Calibri" w:eastAsia="SimSun" w:hAnsi="Calibri" w:cs="Calibri"/>
          <w:bCs/>
          <w:sz w:val="24"/>
          <w:lang w:eastAsia="zh-CN"/>
        </w:rPr>
        <w:t xml:space="preserve">(posléze ČSFR, ČR a SR) </w:t>
      </w:r>
      <w:r w:rsidRPr="00E008BB">
        <w:rPr>
          <w:rFonts w:ascii="Calibri" w:eastAsia="Calibri" w:hAnsi="Calibri" w:cs="Calibri"/>
          <w:sz w:val="24"/>
        </w:rPr>
        <w:t>na základě smlouvy zajišťovala dodávky strojního zařízení pro plynárenský průmysl prostřednictvím s</w:t>
      </w:r>
      <w:r w:rsidR="00610419">
        <w:rPr>
          <w:rFonts w:ascii="Calibri" w:eastAsia="Calibri" w:hAnsi="Calibri" w:cs="Calibri"/>
          <w:sz w:val="24"/>
        </w:rPr>
        <w:t xml:space="preserve">tátního </w:t>
      </w:r>
      <w:r w:rsidRPr="00E008BB">
        <w:rPr>
          <w:rFonts w:ascii="Calibri" w:eastAsia="Calibri" w:hAnsi="Calibri" w:cs="Calibri"/>
          <w:sz w:val="24"/>
        </w:rPr>
        <w:t>p</w:t>
      </w:r>
      <w:r w:rsidR="00610419">
        <w:rPr>
          <w:rFonts w:ascii="Calibri" w:eastAsia="Calibri" w:hAnsi="Calibri" w:cs="Calibri"/>
          <w:sz w:val="24"/>
        </w:rPr>
        <w:t>odniku</w:t>
      </w:r>
      <w:r w:rsidRPr="00E008BB">
        <w:rPr>
          <w:rFonts w:ascii="Calibri" w:eastAsia="Calibri" w:hAnsi="Calibri" w:cs="Calibri"/>
          <w:sz w:val="24"/>
        </w:rPr>
        <w:t xml:space="preserve"> Tranzitní plynovod, později transformovaný na ČPP Transgas, o.</w:t>
      </w:r>
      <w:r>
        <w:rPr>
          <w:rFonts w:ascii="Calibri" w:eastAsia="Calibri" w:hAnsi="Calibri" w:cs="Calibri"/>
          <w:sz w:val="24"/>
        </w:rPr>
        <w:t xml:space="preserve"> </w:t>
      </w:r>
      <w:r w:rsidRPr="00E008BB">
        <w:rPr>
          <w:rFonts w:ascii="Calibri" w:eastAsia="Calibri" w:hAnsi="Calibri" w:cs="Calibri"/>
          <w:sz w:val="24"/>
        </w:rPr>
        <w:t xml:space="preserve">z., po privatizaci části podniku nyní ČPP Transgas, </w:t>
      </w:r>
      <w:proofErr w:type="spellStart"/>
      <w:r w:rsidRPr="00E008BB">
        <w:rPr>
          <w:rFonts w:ascii="Calibri" w:eastAsia="Calibri" w:hAnsi="Calibri" w:cs="Calibri"/>
          <w:sz w:val="24"/>
        </w:rPr>
        <w:t>s.p</w:t>
      </w:r>
      <w:proofErr w:type="spellEnd"/>
      <w:r w:rsidRPr="00E008BB">
        <w:rPr>
          <w:rFonts w:ascii="Calibri" w:eastAsia="Calibri" w:hAnsi="Calibri" w:cs="Calibri"/>
          <w:sz w:val="24"/>
        </w:rPr>
        <w:t>. Financování projektu bylo zajištěno prostřednictvím státního úvěru a státní půjčky poskytované ze státního rozpočtu</w:t>
      </w:r>
      <w:r>
        <w:rPr>
          <w:rFonts w:ascii="Calibri" w:eastAsia="Calibri" w:hAnsi="Calibri" w:cs="Calibri"/>
          <w:sz w:val="24"/>
        </w:rPr>
        <w:t xml:space="preserve">, které tvoří v současnosti závazek </w:t>
      </w:r>
      <w:proofErr w:type="spellStart"/>
      <w:r>
        <w:rPr>
          <w:rFonts w:ascii="Calibri" w:eastAsia="Calibri" w:hAnsi="Calibri" w:cs="Calibri"/>
          <w:sz w:val="24"/>
        </w:rPr>
        <w:t>Transgasu</w:t>
      </w:r>
      <w:proofErr w:type="spellEnd"/>
      <w:r>
        <w:rPr>
          <w:rFonts w:ascii="Calibri" w:eastAsia="Calibri" w:hAnsi="Calibri" w:cs="Calibri"/>
          <w:sz w:val="24"/>
        </w:rPr>
        <w:t xml:space="preserve"> vůči MF</w:t>
      </w:r>
      <w:r w:rsidRPr="00E008BB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ČSSR</w:t>
      </w:r>
      <w:r w:rsidRPr="00E008BB">
        <w:rPr>
          <w:rFonts w:ascii="Calibri" w:eastAsia="Calibri" w:hAnsi="Calibri" w:cs="Calibri"/>
          <w:sz w:val="24"/>
        </w:rPr>
        <w:t>, která měla všechny práce dokončit nejpozději do roku 1994, všechny závazky splnila.</w:t>
      </w:r>
      <w:r>
        <w:rPr>
          <w:rFonts w:ascii="Calibri" w:eastAsia="Calibri" w:hAnsi="Calibri" w:cs="Calibri"/>
          <w:sz w:val="24"/>
        </w:rPr>
        <w:t xml:space="preserve"> </w:t>
      </w:r>
      <w:r w:rsidRPr="00E008BB">
        <w:rPr>
          <w:rFonts w:ascii="Calibri" w:eastAsia="Calibri" w:hAnsi="Calibri" w:cs="Calibri"/>
          <w:sz w:val="24"/>
        </w:rPr>
        <w:t xml:space="preserve">Hlavním závazkem </w:t>
      </w:r>
      <w:r>
        <w:rPr>
          <w:rFonts w:ascii="Calibri" w:eastAsia="Calibri" w:hAnsi="Calibri" w:cs="Calibri"/>
          <w:sz w:val="24"/>
        </w:rPr>
        <w:t>SSSR</w:t>
      </w:r>
      <w:r w:rsidRPr="00E008BB">
        <w:rPr>
          <w:rFonts w:ascii="Calibri" w:eastAsia="Calibri" w:hAnsi="Calibri" w:cs="Calibri"/>
          <w:sz w:val="24"/>
        </w:rPr>
        <w:t xml:space="preserve"> byly dodávky zemního plynu z</w:t>
      </w:r>
      <w:r w:rsidR="0085315C">
        <w:rPr>
          <w:rFonts w:ascii="Calibri" w:eastAsia="Calibri" w:hAnsi="Calibri" w:cs="Calibri"/>
          <w:sz w:val="24"/>
        </w:rPr>
        <w:t> </w:t>
      </w:r>
      <w:proofErr w:type="spellStart"/>
      <w:r w:rsidR="00610419">
        <w:rPr>
          <w:rFonts w:ascii="Calibri" w:eastAsia="Calibri" w:hAnsi="Calibri" w:cs="Calibri"/>
          <w:sz w:val="24"/>
        </w:rPr>
        <w:t>j</w:t>
      </w:r>
      <w:r w:rsidRPr="00E008BB">
        <w:rPr>
          <w:rFonts w:ascii="Calibri" w:eastAsia="Calibri" w:hAnsi="Calibri" w:cs="Calibri"/>
          <w:sz w:val="24"/>
        </w:rPr>
        <w:t>amburgského</w:t>
      </w:r>
      <w:proofErr w:type="spellEnd"/>
      <w:r w:rsidRPr="00E008BB">
        <w:rPr>
          <w:rFonts w:ascii="Calibri" w:eastAsia="Calibri" w:hAnsi="Calibri" w:cs="Calibri"/>
          <w:sz w:val="24"/>
        </w:rPr>
        <w:t xml:space="preserve"> naleziště na západní hranici SSSR a následně do ČSSR. Splnění závazků ze strany SSSR nebylo v plné míře realizováno</w:t>
      </w:r>
      <w:r>
        <w:rPr>
          <w:rFonts w:ascii="Calibri" w:eastAsia="Calibri" w:hAnsi="Calibri" w:cs="Calibri"/>
          <w:sz w:val="24"/>
        </w:rPr>
        <w:t xml:space="preserve">. </w:t>
      </w:r>
      <w:r w:rsidRPr="00E008BB">
        <w:rPr>
          <w:rFonts w:ascii="Calibri" w:eastAsia="SimSun" w:hAnsi="Calibri" w:cs="Calibri"/>
          <w:bCs/>
          <w:sz w:val="24"/>
          <w:lang w:eastAsia="zh-CN"/>
        </w:rPr>
        <w:t>Po rozpadu SSSR přešel dluh na tři nástupnické státy</w:t>
      </w:r>
      <w:r>
        <w:rPr>
          <w:rFonts w:ascii="Calibri" w:eastAsia="SimSun" w:hAnsi="Calibri" w:cs="Calibri"/>
          <w:bCs/>
          <w:sz w:val="24"/>
          <w:lang w:eastAsia="zh-CN"/>
        </w:rPr>
        <w:t xml:space="preserve">: </w:t>
      </w:r>
      <w:r w:rsidRPr="00E008BB">
        <w:rPr>
          <w:rFonts w:ascii="Calibri" w:eastAsia="SimSun" w:hAnsi="Calibri" w:cs="Calibri"/>
          <w:bCs/>
          <w:sz w:val="24"/>
          <w:lang w:eastAsia="zh-CN"/>
        </w:rPr>
        <w:t>Rusko, Ukrajinu a Kazachstán</w:t>
      </w:r>
      <w:r w:rsidRPr="00E008BB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Ruská federace ke dni 6. února 2003 své závazky splnila, Ukrajina a Kazachstán své závazky z tzv. </w:t>
      </w:r>
      <w:proofErr w:type="spellStart"/>
      <w:r w:rsidR="00610419"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z w:val="24"/>
        </w:rPr>
        <w:t>amburgských</w:t>
      </w:r>
      <w:proofErr w:type="spellEnd"/>
      <w:r>
        <w:rPr>
          <w:rFonts w:ascii="Calibri" w:eastAsia="Calibri" w:hAnsi="Calibri" w:cs="Calibri"/>
          <w:sz w:val="24"/>
        </w:rPr>
        <w:t xml:space="preserve"> dohod dodnes nesplnily. </w:t>
      </w:r>
    </w:p>
    <w:p w14:paraId="2FB56C36" w14:textId="44BC0446" w:rsidR="009602AA" w:rsidRPr="007068B9" w:rsidRDefault="00D6152F" w:rsidP="0085315C">
      <w:pPr>
        <w:pStyle w:val="Odstavecseseznamem"/>
        <w:keepNext/>
        <w:spacing w:after="120" w:line="240" w:lineRule="auto"/>
        <w:ind w:left="0"/>
        <w:contextualSpacing w:val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Právo</w:t>
      </w:r>
      <w:r w:rsidR="009602AA" w:rsidRPr="007068B9">
        <w:rPr>
          <w:rFonts w:cstheme="minorHAnsi"/>
          <w:b/>
          <w:sz w:val="24"/>
        </w:rPr>
        <w:t xml:space="preserve"> hospodařit s pohledávkou z</w:t>
      </w:r>
      <w:r w:rsidR="009602AA">
        <w:rPr>
          <w:rFonts w:cstheme="minorHAnsi"/>
          <w:b/>
          <w:sz w:val="24"/>
        </w:rPr>
        <w:t xml:space="preserve"> tzv. </w:t>
      </w:r>
      <w:r w:rsidR="00610419">
        <w:rPr>
          <w:rFonts w:cstheme="minorHAnsi"/>
          <w:b/>
          <w:sz w:val="24"/>
        </w:rPr>
        <w:t>j</w:t>
      </w:r>
      <w:r w:rsidR="009602AA" w:rsidRPr="007068B9">
        <w:rPr>
          <w:rFonts w:cstheme="minorHAnsi"/>
          <w:b/>
          <w:sz w:val="24"/>
        </w:rPr>
        <w:t xml:space="preserve">amburských dohod </w:t>
      </w:r>
      <w:r w:rsidR="009602AA">
        <w:rPr>
          <w:rFonts w:cstheme="minorHAnsi"/>
          <w:b/>
          <w:sz w:val="24"/>
        </w:rPr>
        <w:t xml:space="preserve">nenáleží </w:t>
      </w:r>
      <w:proofErr w:type="spellStart"/>
      <w:r w:rsidR="009602AA">
        <w:rPr>
          <w:rFonts w:cstheme="minorHAnsi"/>
          <w:b/>
          <w:sz w:val="24"/>
        </w:rPr>
        <w:t>Transgasu</w:t>
      </w:r>
      <w:proofErr w:type="spellEnd"/>
    </w:p>
    <w:p w14:paraId="0706FAAE" w14:textId="63C5F967" w:rsidR="009602AA" w:rsidRPr="00EA0035" w:rsidRDefault="009602AA" w:rsidP="0085315C">
      <w:pPr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 w:rsidRPr="00EA0035">
        <w:rPr>
          <w:rFonts w:ascii="Calibri" w:eastAsia="Calibri" w:hAnsi="Calibri" w:cs="Calibri"/>
          <w:sz w:val="24"/>
          <w:szCs w:val="24"/>
        </w:rPr>
        <w:t xml:space="preserve"> účetnictví </w:t>
      </w:r>
      <w:proofErr w:type="spellStart"/>
      <w:r w:rsidRPr="00EA0035">
        <w:rPr>
          <w:rFonts w:ascii="Calibri" w:eastAsia="Calibri" w:hAnsi="Calibri" w:cs="Calibri"/>
          <w:sz w:val="24"/>
          <w:szCs w:val="24"/>
        </w:rPr>
        <w:t>Transgasu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byla v kontrolovaném období </w:t>
      </w:r>
      <w:r w:rsidRPr="00EA0035">
        <w:rPr>
          <w:rFonts w:ascii="Calibri" w:eastAsia="Calibri" w:hAnsi="Calibri" w:cs="Calibri"/>
          <w:sz w:val="24"/>
          <w:szCs w:val="24"/>
        </w:rPr>
        <w:t>vedena pohledávka</w:t>
      </w:r>
      <w:r>
        <w:rPr>
          <w:rFonts w:ascii="Calibri" w:eastAsia="Calibri" w:hAnsi="Calibri" w:cs="Calibri"/>
          <w:sz w:val="24"/>
          <w:szCs w:val="24"/>
        </w:rPr>
        <w:t xml:space="preserve"> z tzv. </w:t>
      </w:r>
      <w:proofErr w:type="spellStart"/>
      <w:r w:rsidR="00D343B5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amburgských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dohod, a to</w:t>
      </w:r>
      <w:r w:rsidRPr="00EA0035">
        <w:rPr>
          <w:rFonts w:ascii="Calibri" w:eastAsia="Calibri" w:hAnsi="Calibri" w:cs="Calibri"/>
          <w:sz w:val="24"/>
          <w:szCs w:val="24"/>
        </w:rPr>
        <w:t xml:space="preserve"> za Ukrajinou a Kazachstánem, a zároveň závazek vůči</w:t>
      </w:r>
      <w:r>
        <w:rPr>
          <w:rFonts w:ascii="Calibri" w:eastAsia="Calibri" w:hAnsi="Calibri" w:cs="Calibri"/>
          <w:sz w:val="24"/>
          <w:szCs w:val="24"/>
        </w:rPr>
        <w:t xml:space="preserve"> MF vycházející z </w:t>
      </w:r>
      <w:proofErr w:type="spellStart"/>
      <w:r w:rsidR="006C4039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amburgských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dohod</w:t>
      </w:r>
      <w:r w:rsidRPr="00EA0035">
        <w:rPr>
          <w:rFonts w:ascii="Calibri" w:eastAsia="Calibri" w:hAnsi="Calibri" w:cs="Calibri"/>
          <w:sz w:val="24"/>
          <w:szCs w:val="24"/>
        </w:rPr>
        <w:t xml:space="preserve">. Hodnota závazku </w:t>
      </w:r>
      <w:r>
        <w:rPr>
          <w:rFonts w:ascii="Calibri" w:eastAsia="Calibri" w:hAnsi="Calibri" w:cs="Calibri"/>
          <w:sz w:val="24"/>
          <w:szCs w:val="24"/>
        </w:rPr>
        <w:t>k 31. prosinci 202</w:t>
      </w:r>
      <w:r w:rsidR="00737510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A0035">
        <w:rPr>
          <w:rFonts w:ascii="Calibri" w:eastAsia="Calibri" w:hAnsi="Calibri" w:cs="Calibri"/>
          <w:sz w:val="24"/>
          <w:szCs w:val="24"/>
        </w:rPr>
        <w:t>vůči</w:t>
      </w:r>
      <w:r w:rsidR="006C4039">
        <w:rPr>
          <w:rFonts w:ascii="Calibri" w:eastAsia="Calibri" w:hAnsi="Calibri" w:cs="Calibri"/>
          <w:sz w:val="24"/>
          <w:szCs w:val="24"/>
        </w:rPr>
        <w:t xml:space="preserve"> </w:t>
      </w:r>
      <w:r w:rsidRPr="00EA0035">
        <w:rPr>
          <w:rFonts w:ascii="Calibri" w:eastAsia="Calibri" w:hAnsi="Calibri" w:cs="Calibri"/>
          <w:sz w:val="24"/>
          <w:szCs w:val="24"/>
        </w:rPr>
        <w:t>MF čin</w:t>
      </w:r>
      <w:r>
        <w:rPr>
          <w:rFonts w:ascii="Calibri" w:eastAsia="Calibri" w:hAnsi="Calibri" w:cs="Calibri"/>
          <w:sz w:val="24"/>
          <w:szCs w:val="24"/>
        </w:rPr>
        <w:t>ila</w:t>
      </w:r>
      <w:r w:rsidRPr="00EA0035">
        <w:rPr>
          <w:rFonts w:ascii="Calibri" w:eastAsia="Calibri" w:hAnsi="Calibri" w:cs="Calibri"/>
          <w:sz w:val="24"/>
          <w:szCs w:val="24"/>
        </w:rPr>
        <w:t xml:space="preserve"> celkem 4 566</w:t>
      </w:r>
      <w:r w:rsidR="006C4039">
        <w:rPr>
          <w:rFonts w:ascii="Calibri" w:eastAsia="Calibri" w:hAnsi="Calibri" w:cs="Calibri"/>
          <w:sz w:val="24"/>
          <w:szCs w:val="24"/>
        </w:rPr>
        <w:t> </w:t>
      </w:r>
      <w:r w:rsidRPr="00EA0035">
        <w:rPr>
          <w:rFonts w:ascii="Calibri" w:eastAsia="Calibri" w:hAnsi="Calibri" w:cs="Calibri"/>
          <w:sz w:val="24"/>
          <w:szCs w:val="24"/>
        </w:rPr>
        <w:t>268</w:t>
      </w:r>
      <w:r w:rsidR="006C4039">
        <w:rPr>
          <w:rFonts w:ascii="Calibri" w:eastAsia="Calibri" w:hAnsi="Calibri" w:cs="Calibri"/>
          <w:sz w:val="24"/>
          <w:szCs w:val="24"/>
        </w:rPr>
        <w:t> </w:t>
      </w:r>
      <w:r w:rsidRPr="00EA0035">
        <w:rPr>
          <w:rFonts w:ascii="Calibri" w:eastAsia="Calibri" w:hAnsi="Calibri" w:cs="Calibri"/>
          <w:sz w:val="24"/>
          <w:szCs w:val="24"/>
        </w:rPr>
        <w:t>tis.</w:t>
      </w:r>
      <w:r w:rsidR="006C4039">
        <w:rPr>
          <w:rFonts w:ascii="Calibri" w:eastAsia="Calibri" w:hAnsi="Calibri" w:cs="Calibri"/>
          <w:sz w:val="24"/>
          <w:szCs w:val="24"/>
        </w:rPr>
        <w:t> </w:t>
      </w:r>
      <w:r w:rsidRPr="00EA0035">
        <w:rPr>
          <w:rFonts w:ascii="Calibri" w:eastAsia="Calibri" w:hAnsi="Calibri" w:cs="Calibri"/>
          <w:sz w:val="24"/>
          <w:szCs w:val="24"/>
        </w:rPr>
        <w:t>Kč, pohledávka za Ukrajinou a Kazachstánem je ve stejné výši</w:t>
      </w:r>
      <w:r w:rsidR="006C4039">
        <w:rPr>
          <w:rFonts w:ascii="Calibri" w:eastAsia="Calibri" w:hAnsi="Calibri" w:cs="Calibri"/>
          <w:sz w:val="24"/>
          <w:szCs w:val="24"/>
        </w:rPr>
        <w:t>,</w:t>
      </w:r>
      <w:r w:rsidRPr="00EA0035">
        <w:rPr>
          <w:rFonts w:ascii="Calibri" w:eastAsia="Calibri" w:hAnsi="Calibri" w:cs="Calibri"/>
          <w:sz w:val="24"/>
          <w:szCs w:val="24"/>
        </w:rPr>
        <w:t xml:space="preserve"> </w:t>
      </w:r>
      <w:r w:rsidR="006C4039">
        <w:rPr>
          <w:rFonts w:ascii="Calibri" w:eastAsia="Calibri" w:hAnsi="Calibri" w:cs="Calibri"/>
          <w:sz w:val="24"/>
          <w:szCs w:val="24"/>
        </w:rPr>
        <w:t>viz</w:t>
      </w:r>
      <w:r w:rsidRPr="00EA0035">
        <w:rPr>
          <w:rFonts w:ascii="Calibri" w:eastAsia="Calibri" w:hAnsi="Calibri" w:cs="Calibri"/>
          <w:sz w:val="24"/>
          <w:szCs w:val="24"/>
        </w:rPr>
        <w:t xml:space="preserve"> tabulk</w:t>
      </w:r>
      <w:r w:rsidR="006C4039">
        <w:rPr>
          <w:rFonts w:ascii="Calibri" w:eastAsia="Calibri" w:hAnsi="Calibri" w:cs="Calibri"/>
          <w:sz w:val="24"/>
          <w:szCs w:val="24"/>
        </w:rPr>
        <w:t>a</w:t>
      </w:r>
      <w:r w:rsidRPr="00EA0035">
        <w:rPr>
          <w:rFonts w:ascii="Calibri" w:eastAsia="Calibri" w:hAnsi="Calibri" w:cs="Calibri"/>
          <w:sz w:val="24"/>
          <w:szCs w:val="24"/>
        </w:rPr>
        <w:t xml:space="preserve"> č. </w:t>
      </w:r>
      <w:r>
        <w:rPr>
          <w:rFonts w:ascii="Calibri" w:eastAsia="Calibri" w:hAnsi="Calibri" w:cs="Calibri"/>
          <w:sz w:val="24"/>
          <w:szCs w:val="24"/>
        </w:rPr>
        <w:t>3</w:t>
      </w:r>
      <w:r w:rsidRPr="00EA0035">
        <w:rPr>
          <w:rFonts w:ascii="Calibri" w:eastAsia="Calibri" w:hAnsi="Calibri" w:cs="Calibri"/>
          <w:sz w:val="24"/>
          <w:szCs w:val="24"/>
        </w:rPr>
        <w:t>:</w:t>
      </w:r>
    </w:p>
    <w:p w14:paraId="5887B2D0" w14:textId="3CFDCCA5" w:rsidR="009602AA" w:rsidRPr="0085315C" w:rsidRDefault="009602AA" w:rsidP="006C4039">
      <w:pPr>
        <w:keepNext/>
        <w:spacing w:after="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85315C">
        <w:rPr>
          <w:rFonts w:ascii="Calibri" w:eastAsia="Calibri" w:hAnsi="Calibri" w:cs="Calibri"/>
          <w:b/>
          <w:sz w:val="24"/>
          <w:szCs w:val="24"/>
        </w:rPr>
        <w:t xml:space="preserve">Tabulka č. 3: Stav pohledávky </w:t>
      </w:r>
      <w:proofErr w:type="spellStart"/>
      <w:r w:rsidRPr="0085315C">
        <w:rPr>
          <w:rFonts w:ascii="Calibri" w:eastAsia="Calibri" w:hAnsi="Calibri" w:cs="Calibri"/>
          <w:b/>
          <w:sz w:val="24"/>
          <w:szCs w:val="24"/>
        </w:rPr>
        <w:t>Transgasu</w:t>
      </w:r>
      <w:proofErr w:type="spellEnd"/>
      <w:r w:rsidRPr="0085315C">
        <w:rPr>
          <w:rFonts w:ascii="Calibri" w:eastAsia="Calibri" w:hAnsi="Calibri" w:cs="Calibri"/>
          <w:b/>
          <w:sz w:val="24"/>
          <w:szCs w:val="24"/>
        </w:rPr>
        <w:t xml:space="preserve"> z </w:t>
      </w:r>
      <w:proofErr w:type="spellStart"/>
      <w:r w:rsidR="006C4039">
        <w:rPr>
          <w:rFonts w:ascii="Calibri" w:eastAsia="Calibri" w:hAnsi="Calibri" w:cs="Calibri"/>
          <w:b/>
          <w:sz w:val="24"/>
          <w:szCs w:val="24"/>
        </w:rPr>
        <w:t>j</w:t>
      </w:r>
      <w:r w:rsidRPr="0085315C">
        <w:rPr>
          <w:rFonts w:ascii="Calibri" w:eastAsia="Calibri" w:hAnsi="Calibri" w:cs="Calibri"/>
          <w:b/>
          <w:sz w:val="24"/>
          <w:szCs w:val="24"/>
        </w:rPr>
        <w:t>amburgských</w:t>
      </w:r>
      <w:proofErr w:type="spellEnd"/>
      <w:r w:rsidRPr="0085315C">
        <w:rPr>
          <w:rFonts w:ascii="Calibri" w:eastAsia="Calibri" w:hAnsi="Calibri" w:cs="Calibri"/>
          <w:b/>
          <w:sz w:val="24"/>
          <w:szCs w:val="24"/>
        </w:rPr>
        <w:t xml:space="preserve"> dohod k 31. prosinci 2020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1985"/>
        <w:gridCol w:w="1276"/>
        <w:gridCol w:w="2409"/>
      </w:tblGrid>
      <w:tr w:rsidR="009602AA" w:rsidRPr="0088353E" w14:paraId="649452EF" w14:textId="77777777" w:rsidTr="0088353E">
        <w:trPr>
          <w:trHeight w:val="283"/>
        </w:trPr>
        <w:tc>
          <w:tcPr>
            <w:tcW w:w="1984" w:type="dxa"/>
            <w:shd w:val="clear" w:color="auto" w:fill="E5F1FF"/>
            <w:noWrap/>
            <w:vAlign w:val="center"/>
          </w:tcPr>
          <w:p w14:paraId="68E3CDD2" w14:textId="77777777" w:rsidR="009602AA" w:rsidRPr="0088353E" w:rsidRDefault="009602AA" w:rsidP="006C403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403" w:type="dxa"/>
            <w:gridSpan w:val="2"/>
            <w:shd w:val="clear" w:color="auto" w:fill="E5F1FF"/>
            <w:vAlign w:val="center"/>
          </w:tcPr>
          <w:p w14:paraId="065BDF96" w14:textId="77777777" w:rsidR="009602AA" w:rsidRPr="0088353E" w:rsidRDefault="009602AA" w:rsidP="006C403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t>z toho: Kazachstán</w:t>
            </w:r>
          </w:p>
        </w:tc>
        <w:tc>
          <w:tcPr>
            <w:tcW w:w="3685" w:type="dxa"/>
            <w:gridSpan w:val="2"/>
            <w:shd w:val="clear" w:color="auto" w:fill="E5F1FF"/>
            <w:vAlign w:val="center"/>
          </w:tcPr>
          <w:p w14:paraId="0D9D3F5C" w14:textId="77777777" w:rsidR="009602AA" w:rsidRPr="0088353E" w:rsidRDefault="009602AA" w:rsidP="006C403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t>z toho: Ukrajina</w:t>
            </w:r>
          </w:p>
        </w:tc>
      </w:tr>
      <w:tr w:rsidR="009602AA" w:rsidRPr="0088353E" w14:paraId="79B36B0F" w14:textId="77777777" w:rsidTr="0088353E">
        <w:trPr>
          <w:trHeight w:val="283"/>
        </w:trPr>
        <w:tc>
          <w:tcPr>
            <w:tcW w:w="1984" w:type="dxa"/>
            <w:shd w:val="clear" w:color="auto" w:fill="E5F1FF"/>
            <w:noWrap/>
            <w:vAlign w:val="center"/>
          </w:tcPr>
          <w:p w14:paraId="293E829A" w14:textId="77777777" w:rsidR="009602AA" w:rsidRPr="0088353E" w:rsidRDefault="009602AA" w:rsidP="006C403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t>v Kč</w:t>
            </w:r>
          </w:p>
        </w:tc>
        <w:tc>
          <w:tcPr>
            <w:tcW w:w="1418" w:type="dxa"/>
            <w:shd w:val="clear" w:color="auto" w:fill="E5F1FF"/>
            <w:vAlign w:val="center"/>
          </w:tcPr>
          <w:p w14:paraId="5E251760" w14:textId="77777777" w:rsidR="009602AA" w:rsidRPr="0088353E" w:rsidRDefault="009602AA" w:rsidP="006C403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  <w:lang w:eastAsia="cs-CZ"/>
              </w:rPr>
            </w:pPr>
            <w:r w:rsidRPr="0088353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t>v URE</w:t>
            </w:r>
            <w:r w:rsidRPr="0088353E">
              <w:rPr>
                <w:rStyle w:val="Znakapoznpodarou"/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footnoteReference w:id="12"/>
            </w:r>
          </w:p>
        </w:tc>
        <w:tc>
          <w:tcPr>
            <w:tcW w:w="1985" w:type="dxa"/>
            <w:shd w:val="clear" w:color="auto" w:fill="E5F1FF"/>
            <w:vAlign w:val="center"/>
          </w:tcPr>
          <w:p w14:paraId="4FFE9803" w14:textId="77777777" w:rsidR="009602AA" w:rsidRPr="0088353E" w:rsidRDefault="009602AA" w:rsidP="006C403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t>v Kč</w:t>
            </w:r>
          </w:p>
        </w:tc>
        <w:tc>
          <w:tcPr>
            <w:tcW w:w="1276" w:type="dxa"/>
            <w:shd w:val="clear" w:color="auto" w:fill="E5F1FF"/>
            <w:vAlign w:val="center"/>
          </w:tcPr>
          <w:p w14:paraId="751A98A2" w14:textId="77777777" w:rsidR="009602AA" w:rsidRPr="0088353E" w:rsidRDefault="009602AA" w:rsidP="006C403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  <w:lang w:eastAsia="cs-CZ"/>
              </w:rPr>
            </w:pPr>
            <w:r w:rsidRPr="0088353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t>v URE</w:t>
            </w:r>
          </w:p>
        </w:tc>
        <w:tc>
          <w:tcPr>
            <w:tcW w:w="2409" w:type="dxa"/>
            <w:shd w:val="clear" w:color="auto" w:fill="E5F1FF"/>
            <w:vAlign w:val="center"/>
          </w:tcPr>
          <w:p w14:paraId="185E6E1F" w14:textId="77777777" w:rsidR="009602AA" w:rsidRPr="0088353E" w:rsidRDefault="009602AA" w:rsidP="006C4039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9602AA" w:rsidRPr="0088353E" w14:paraId="02761309" w14:textId="77777777" w:rsidTr="0088353E">
        <w:trPr>
          <w:trHeight w:val="283"/>
        </w:trPr>
        <w:tc>
          <w:tcPr>
            <w:tcW w:w="1984" w:type="dxa"/>
            <w:noWrap/>
            <w:vAlign w:val="center"/>
            <w:hideMark/>
          </w:tcPr>
          <w:p w14:paraId="731F0972" w14:textId="77777777" w:rsidR="009602AA" w:rsidRPr="0088353E" w:rsidRDefault="009602AA" w:rsidP="006C4039">
            <w:pPr>
              <w:keepNext/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4 566 268 297,97</w:t>
            </w:r>
          </w:p>
        </w:tc>
        <w:tc>
          <w:tcPr>
            <w:tcW w:w="1418" w:type="dxa"/>
            <w:vAlign w:val="center"/>
            <w:hideMark/>
          </w:tcPr>
          <w:p w14:paraId="08BA42F1" w14:textId="77777777" w:rsidR="009602AA" w:rsidRPr="0088353E" w:rsidRDefault="009602AA" w:rsidP="006C4039">
            <w:pPr>
              <w:keepNext/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 xml:space="preserve">156 417 020 </w:t>
            </w:r>
          </w:p>
        </w:tc>
        <w:tc>
          <w:tcPr>
            <w:tcW w:w="1985" w:type="dxa"/>
            <w:vAlign w:val="center"/>
            <w:hideMark/>
          </w:tcPr>
          <w:p w14:paraId="6CA6DA03" w14:textId="77777777" w:rsidR="009602AA" w:rsidRPr="0088353E" w:rsidRDefault="009602AA" w:rsidP="006C4039">
            <w:pPr>
              <w:keepNext/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2 885 776 576,13</w:t>
            </w:r>
          </w:p>
        </w:tc>
        <w:tc>
          <w:tcPr>
            <w:tcW w:w="1276" w:type="dxa"/>
            <w:vAlign w:val="center"/>
            <w:hideMark/>
          </w:tcPr>
          <w:p w14:paraId="58068359" w14:textId="77777777" w:rsidR="009602AA" w:rsidRPr="0088353E" w:rsidRDefault="009602AA" w:rsidP="006C4039">
            <w:pPr>
              <w:keepNext/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91 087 269</w:t>
            </w:r>
          </w:p>
        </w:tc>
        <w:tc>
          <w:tcPr>
            <w:tcW w:w="2409" w:type="dxa"/>
            <w:vAlign w:val="center"/>
            <w:hideMark/>
          </w:tcPr>
          <w:p w14:paraId="0CE9DAA8" w14:textId="77777777" w:rsidR="009602AA" w:rsidRPr="0088353E" w:rsidRDefault="009602AA" w:rsidP="006C4039">
            <w:pPr>
              <w:keepNext/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</w:pPr>
            <w:r w:rsidRPr="0088353E">
              <w:rPr>
                <w:rFonts w:ascii="Calibri" w:eastAsia="Calibri" w:hAnsi="Calibri" w:cs="Calibri"/>
                <w:color w:val="000000"/>
                <w:sz w:val="20"/>
                <w:szCs w:val="20"/>
                <w:lang w:eastAsia="cs-CZ"/>
              </w:rPr>
              <w:t>1 680 491 721,84</w:t>
            </w:r>
          </w:p>
        </w:tc>
      </w:tr>
    </w:tbl>
    <w:p w14:paraId="06C4F5FF" w14:textId="6FA0A2D1" w:rsidR="009602AA" w:rsidRPr="00EA0035" w:rsidRDefault="006C4039" w:rsidP="0085315C">
      <w:pPr>
        <w:spacing w:before="40" w:after="12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Z</w:t>
      </w:r>
      <w:r w:rsidR="009602AA" w:rsidRPr="0085315C">
        <w:rPr>
          <w:rFonts w:ascii="Calibri" w:eastAsia="Calibri" w:hAnsi="Calibri" w:cs="Calibri"/>
          <w:b/>
          <w:sz w:val="20"/>
        </w:rPr>
        <w:t>droj:</w:t>
      </w:r>
      <w:r w:rsidR="009602AA" w:rsidRPr="00EA0035">
        <w:rPr>
          <w:rFonts w:ascii="Calibri" w:eastAsia="Calibri" w:hAnsi="Calibri" w:cs="Calibri"/>
          <w:sz w:val="20"/>
        </w:rPr>
        <w:t xml:space="preserve"> účetnictví </w:t>
      </w:r>
      <w:proofErr w:type="spellStart"/>
      <w:r w:rsidR="009602AA" w:rsidRPr="00EA0035">
        <w:rPr>
          <w:rFonts w:ascii="Calibri" w:eastAsia="Calibri" w:hAnsi="Calibri" w:cs="Calibri"/>
          <w:sz w:val="20"/>
        </w:rPr>
        <w:t>Transgasu</w:t>
      </w:r>
      <w:proofErr w:type="spellEnd"/>
      <w:r w:rsidR="009602AA" w:rsidRPr="00EA0035">
        <w:rPr>
          <w:rFonts w:ascii="Calibri" w:eastAsia="Calibri" w:hAnsi="Calibri" w:cs="Calibri"/>
          <w:sz w:val="20"/>
        </w:rPr>
        <w:t xml:space="preserve">, doklady předané </w:t>
      </w:r>
      <w:proofErr w:type="spellStart"/>
      <w:r w:rsidR="009602AA" w:rsidRPr="00EA0035">
        <w:rPr>
          <w:rFonts w:ascii="Calibri" w:eastAsia="Calibri" w:hAnsi="Calibri" w:cs="Calibri"/>
          <w:sz w:val="20"/>
        </w:rPr>
        <w:t>Transgasem</w:t>
      </w:r>
      <w:proofErr w:type="spellEnd"/>
      <w:r>
        <w:rPr>
          <w:rFonts w:ascii="Calibri" w:eastAsia="Calibri" w:hAnsi="Calibri" w:cs="Calibri"/>
          <w:sz w:val="20"/>
        </w:rPr>
        <w:t>.</w:t>
      </w:r>
    </w:p>
    <w:p w14:paraId="112D708E" w14:textId="4D6F3F15" w:rsidR="009602AA" w:rsidRDefault="009602AA" w:rsidP="0088353E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724843">
        <w:rPr>
          <w:rFonts w:ascii="Calibri" w:eastAsia="Calibri" w:hAnsi="Calibri" w:cs="Calibri"/>
          <w:sz w:val="24"/>
          <w:szCs w:val="24"/>
        </w:rPr>
        <w:lastRenderedPageBreak/>
        <w:t xml:space="preserve">V popisu problematiky </w:t>
      </w:r>
      <w:proofErr w:type="spellStart"/>
      <w:r w:rsidR="006C4039">
        <w:rPr>
          <w:rFonts w:ascii="Calibri" w:eastAsia="Calibri" w:hAnsi="Calibri" w:cs="Calibri"/>
          <w:sz w:val="24"/>
          <w:szCs w:val="24"/>
        </w:rPr>
        <w:t>j</w:t>
      </w:r>
      <w:r w:rsidRPr="00724843">
        <w:rPr>
          <w:rFonts w:ascii="Calibri" w:eastAsia="Calibri" w:hAnsi="Calibri" w:cs="Calibri"/>
          <w:sz w:val="24"/>
          <w:szCs w:val="24"/>
        </w:rPr>
        <w:t>amburgských</w:t>
      </w:r>
      <w:proofErr w:type="spellEnd"/>
      <w:r w:rsidRPr="00724843">
        <w:rPr>
          <w:rFonts w:ascii="Calibri" w:eastAsia="Calibri" w:hAnsi="Calibri" w:cs="Calibri"/>
          <w:sz w:val="24"/>
          <w:szCs w:val="24"/>
        </w:rPr>
        <w:t xml:space="preserve"> dohod v</w:t>
      </w:r>
      <w:r>
        <w:rPr>
          <w:rFonts w:ascii="Calibri" w:eastAsia="Calibri" w:hAnsi="Calibri" w:cs="Calibri"/>
          <w:sz w:val="24"/>
          <w:szCs w:val="24"/>
        </w:rPr>
        <w:t> </w:t>
      </w:r>
      <w:r w:rsidRPr="00724843">
        <w:rPr>
          <w:rFonts w:ascii="Calibri" w:eastAsia="Calibri" w:hAnsi="Calibri" w:cs="Calibri"/>
          <w:sz w:val="24"/>
          <w:szCs w:val="24"/>
        </w:rPr>
        <w:t>důvodové</w:t>
      </w:r>
      <w:r>
        <w:rPr>
          <w:rFonts w:ascii="Calibri" w:eastAsia="Calibri" w:hAnsi="Calibri" w:cs="Calibri"/>
          <w:sz w:val="24"/>
          <w:szCs w:val="24"/>
        </w:rPr>
        <w:t xml:space="preserve"> a předkládací</w:t>
      </w:r>
      <w:r w:rsidRPr="00724843">
        <w:rPr>
          <w:rFonts w:ascii="Calibri" w:eastAsia="Calibri" w:hAnsi="Calibri" w:cs="Calibri"/>
          <w:sz w:val="24"/>
          <w:szCs w:val="24"/>
        </w:rPr>
        <w:t xml:space="preserve"> zprávě k usnesení vlády ze dne 14. ledna 2015 č. 25 je uvedeno, že s</w:t>
      </w:r>
      <w:r>
        <w:rPr>
          <w:rFonts w:ascii="Calibri" w:eastAsia="Calibri" w:hAnsi="Calibri" w:cs="Calibri"/>
          <w:sz w:val="24"/>
          <w:szCs w:val="24"/>
        </w:rPr>
        <w:t> </w:t>
      </w:r>
      <w:r w:rsidRPr="00724843">
        <w:rPr>
          <w:rFonts w:ascii="Calibri" w:eastAsia="Calibri" w:hAnsi="Calibri" w:cs="Calibri"/>
          <w:sz w:val="24"/>
          <w:szCs w:val="24"/>
        </w:rPr>
        <w:t>pohledávk</w:t>
      </w:r>
      <w:r>
        <w:rPr>
          <w:rFonts w:ascii="Calibri" w:eastAsia="Calibri" w:hAnsi="Calibri" w:cs="Calibri"/>
          <w:sz w:val="24"/>
          <w:szCs w:val="24"/>
        </w:rPr>
        <w:t>ou z</w:t>
      </w:r>
      <w:r w:rsidRPr="007248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C4039">
        <w:rPr>
          <w:rFonts w:ascii="Calibri" w:eastAsia="Calibri" w:hAnsi="Calibri" w:cs="Calibri"/>
          <w:sz w:val="24"/>
          <w:szCs w:val="24"/>
        </w:rPr>
        <w:t>j</w:t>
      </w:r>
      <w:r w:rsidRPr="00724843">
        <w:rPr>
          <w:rFonts w:ascii="Calibri" w:eastAsia="Calibri" w:hAnsi="Calibri" w:cs="Calibri"/>
          <w:sz w:val="24"/>
          <w:szCs w:val="24"/>
        </w:rPr>
        <w:t>amburgských</w:t>
      </w:r>
      <w:proofErr w:type="spellEnd"/>
      <w:r w:rsidRPr="00724843">
        <w:rPr>
          <w:rFonts w:ascii="Calibri" w:eastAsia="Calibri" w:hAnsi="Calibri" w:cs="Calibri"/>
          <w:sz w:val="24"/>
          <w:szCs w:val="24"/>
        </w:rPr>
        <w:t xml:space="preserve"> dohod je příslušné hospodařit Ministerstvo financí v souladu se zákonem č. 219/2000 Sb.</w:t>
      </w:r>
      <w:r>
        <w:rPr>
          <w:rStyle w:val="Znakapoznpodarou"/>
          <w:rFonts w:ascii="Calibri" w:eastAsia="Calibri" w:hAnsi="Calibri" w:cs="Calibri"/>
          <w:sz w:val="24"/>
          <w:szCs w:val="24"/>
        </w:rPr>
        <w:footnoteReference w:id="13"/>
      </w:r>
      <w:r w:rsidRPr="00724843">
        <w:rPr>
          <w:rFonts w:ascii="Calibri" w:eastAsia="Calibri" w:hAnsi="Calibri" w:cs="Calibri"/>
          <w:sz w:val="24"/>
          <w:szCs w:val="24"/>
        </w:rPr>
        <w:t xml:space="preserve"> Dále je uvedeno, že Transgas nemá žádné závazky z </w:t>
      </w:r>
      <w:proofErr w:type="spellStart"/>
      <w:r w:rsidR="006C4039">
        <w:rPr>
          <w:rFonts w:ascii="Calibri" w:eastAsia="Calibri" w:hAnsi="Calibri" w:cs="Calibri"/>
          <w:sz w:val="24"/>
          <w:szCs w:val="24"/>
        </w:rPr>
        <w:t>j</w:t>
      </w:r>
      <w:r w:rsidRPr="00724843">
        <w:rPr>
          <w:rFonts w:ascii="Calibri" w:eastAsia="Calibri" w:hAnsi="Calibri" w:cs="Calibri"/>
          <w:sz w:val="24"/>
          <w:szCs w:val="24"/>
        </w:rPr>
        <w:t>amburgských</w:t>
      </w:r>
      <w:proofErr w:type="spellEnd"/>
      <w:r w:rsidRPr="00724843">
        <w:rPr>
          <w:rFonts w:ascii="Calibri" w:eastAsia="Calibri" w:hAnsi="Calibri" w:cs="Calibri"/>
          <w:sz w:val="24"/>
          <w:szCs w:val="24"/>
        </w:rPr>
        <w:t xml:space="preserve"> dohod vůči </w:t>
      </w:r>
      <w:r>
        <w:rPr>
          <w:rFonts w:ascii="Calibri" w:eastAsia="Calibri" w:hAnsi="Calibri" w:cs="Calibri"/>
          <w:sz w:val="24"/>
          <w:szCs w:val="24"/>
        </w:rPr>
        <w:t xml:space="preserve">MF a má roli pouze vedlejšího účastníka, jehož úkolem je asistovat a zajišťovat konkrétní úkoly na straně státu, který reprezentuje MF. </w:t>
      </w:r>
      <w:r w:rsidRPr="00B80ADF">
        <w:rPr>
          <w:rFonts w:ascii="Calibri" w:eastAsia="Calibri" w:hAnsi="Calibri" w:cs="Calibri"/>
          <w:sz w:val="24"/>
        </w:rPr>
        <w:t xml:space="preserve">Dne 31. října 2016 uzavřelo MF a Transgas </w:t>
      </w:r>
      <w:r w:rsidRPr="00B80ADF">
        <w:rPr>
          <w:rFonts w:ascii="Calibri" w:eastAsia="Calibri" w:hAnsi="Calibri" w:cs="Calibri"/>
          <w:i/>
          <w:sz w:val="24"/>
        </w:rPr>
        <w:t xml:space="preserve">Memorandum ke společnému postupu Ministerstva financí a ČPP Transgas, </w:t>
      </w:r>
      <w:proofErr w:type="spellStart"/>
      <w:r w:rsidRPr="00B80ADF">
        <w:rPr>
          <w:rFonts w:ascii="Calibri" w:eastAsia="Calibri" w:hAnsi="Calibri" w:cs="Calibri"/>
          <w:i/>
          <w:sz w:val="24"/>
        </w:rPr>
        <w:t>s.p</w:t>
      </w:r>
      <w:proofErr w:type="spellEnd"/>
      <w:r w:rsidRPr="00B80ADF">
        <w:rPr>
          <w:rFonts w:ascii="Calibri" w:eastAsia="Calibri" w:hAnsi="Calibri" w:cs="Calibri"/>
          <w:i/>
          <w:sz w:val="24"/>
        </w:rPr>
        <w:t>. při správě pohledávek a závazků vyplývajících z </w:t>
      </w:r>
      <w:proofErr w:type="spellStart"/>
      <w:r w:rsidRPr="00B80ADF">
        <w:rPr>
          <w:rFonts w:ascii="Calibri" w:eastAsia="Calibri" w:hAnsi="Calibri" w:cs="Calibri"/>
          <w:i/>
          <w:sz w:val="24"/>
        </w:rPr>
        <w:t>Jamburgských</w:t>
      </w:r>
      <w:proofErr w:type="spellEnd"/>
      <w:r w:rsidRPr="00B80ADF">
        <w:rPr>
          <w:rFonts w:ascii="Calibri" w:eastAsia="Calibri" w:hAnsi="Calibri" w:cs="Calibri"/>
          <w:i/>
          <w:sz w:val="24"/>
        </w:rPr>
        <w:t xml:space="preserve"> dohod a při nakládání s nimi</w:t>
      </w:r>
      <w:r w:rsidRPr="00B80ADF">
        <w:rPr>
          <w:rFonts w:ascii="Calibri" w:eastAsia="Calibri" w:hAnsi="Calibri" w:cs="Calibri"/>
          <w:sz w:val="24"/>
        </w:rPr>
        <w:t xml:space="preserve"> (dále také „Memorandum“). V něm je detailně popsána historie </w:t>
      </w:r>
      <w:proofErr w:type="spellStart"/>
      <w:r w:rsidR="006C4039">
        <w:rPr>
          <w:rFonts w:ascii="Calibri" w:eastAsia="Calibri" w:hAnsi="Calibri" w:cs="Calibri"/>
          <w:sz w:val="24"/>
        </w:rPr>
        <w:t>j</w:t>
      </w:r>
      <w:r w:rsidRPr="00B80ADF">
        <w:rPr>
          <w:rFonts w:ascii="Calibri" w:eastAsia="Calibri" w:hAnsi="Calibri" w:cs="Calibri"/>
          <w:sz w:val="24"/>
        </w:rPr>
        <w:t>amburgských</w:t>
      </w:r>
      <w:proofErr w:type="spellEnd"/>
      <w:r w:rsidRPr="00B80ADF">
        <w:rPr>
          <w:rFonts w:ascii="Calibri" w:eastAsia="Calibri" w:hAnsi="Calibri" w:cs="Calibri"/>
          <w:sz w:val="24"/>
        </w:rPr>
        <w:t xml:space="preserve"> dohod a z toho vznikl</w:t>
      </w:r>
      <w:r>
        <w:rPr>
          <w:rFonts w:ascii="Calibri" w:eastAsia="Calibri" w:hAnsi="Calibri" w:cs="Calibri"/>
          <w:sz w:val="24"/>
        </w:rPr>
        <w:t>á</w:t>
      </w:r>
      <w:r w:rsidRPr="00B80ADF">
        <w:rPr>
          <w:rFonts w:ascii="Calibri" w:eastAsia="Calibri" w:hAnsi="Calibri" w:cs="Calibri"/>
          <w:sz w:val="24"/>
        </w:rPr>
        <w:t xml:space="preserve"> pohledáv</w:t>
      </w:r>
      <w:r>
        <w:rPr>
          <w:rFonts w:ascii="Calibri" w:eastAsia="Calibri" w:hAnsi="Calibri" w:cs="Calibri"/>
          <w:sz w:val="24"/>
        </w:rPr>
        <w:t>ka</w:t>
      </w:r>
      <w:r w:rsidR="00D6152F">
        <w:rPr>
          <w:rFonts w:ascii="Calibri" w:eastAsia="Calibri" w:hAnsi="Calibri" w:cs="Calibri"/>
          <w:sz w:val="24"/>
        </w:rPr>
        <w:t xml:space="preserve"> za Kazachstánem a</w:t>
      </w:r>
      <w:r w:rsidR="0088353E">
        <w:rPr>
          <w:rFonts w:ascii="Calibri" w:eastAsia="Calibri" w:hAnsi="Calibri" w:cs="Calibri"/>
          <w:sz w:val="24"/>
        </w:rPr>
        <w:t> </w:t>
      </w:r>
      <w:r w:rsidR="00D6152F">
        <w:rPr>
          <w:rFonts w:ascii="Calibri" w:eastAsia="Calibri" w:hAnsi="Calibri" w:cs="Calibri"/>
          <w:sz w:val="24"/>
        </w:rPr>
        <w:t>Ukrajinou</w:t>
      </w:r>
      <w:r w:rsidRPr="00B80ADF">
        <w:rPr>
          <w:rFonts w:ascii="Calibri" w:eastAsia="Calibri" w:hAnsi="Calibri" w:cs="Calibri"/>
          <w:sz w:val="24"/>
        </w:rPr>
        <w:t xml:space="preserve"> a závaz</w:t>
      </w:r>
      <w:r>
        <w:rPr>
          <w:rFonts w:ascii="Calibri" w:eastAsia="Calibri" w:hAnsi="Calibri" w:cs="Calibri"/>
          <w:sz w:val="24"/>
        </w:rPr>
        <w:t>e</w:t>
      </w:r>
      <w:r w:rsidRPr="00B80ADF">
        <w:rPr>
          <w:rFonts w:ascii="Calibri" w:eastAsia="Calibri" w:hAnsi="Calibri" w:cs="Calibri"/>
          <w:sz w:val="24"/>
        </w:rPr>
        <w:t>k</w:t>
      </w:r>
      <w:r>
        <w:rPr>
          <w:rFonts w:ascii="Calibri" w:eastAsia="Calibri" w:hAnsi="Calibri" w:cs="Calibri"/>
          <w:sz w:val="24"/>
        </w:rPr>
        <w:t xml:space="preserve"> vůči MF</w:t>
      </w:r>
      <w:r w:rsidRPr="00B80ADF">
        <w:rPr>
          <w:rFonts w:ascii="Calibri" w:eastAsia="Calibri" w:hAnsi="Calibri" w:cs="Calibri"/>
          <w:sz w:val="24"/>
        </w:rPr>
        <w:t>. Memorandum potvrzuje, že Kazachstán</w:t>
      </w:r>
      <w:r w:rsidR="00D6152F">
        <w:rPr>
          <w:rFonts w:ascii="Calibri" w:eastAsia="Calibri" w:hAnsi="Calibri" w:cs="Calibri"/>
          <w:sz w:val="24"/>
        </w:rPr>
        <w:t xml:space="preserve"> i</w:t>
      </w:r>
      <w:r w:rsidR="006C4039">
        <w:rPr>
          <w:rFonts w:ascii="Calibri" w:eastAsia="Calibri" w:hAnsi="Calibri" w:cs="Calibri"/>
          <w:sz w:val="24"/>
        </w:rPr>
        <w:t> </w:t>
      </w:r>
      <w:r w:rsidR="00D6152F" w:rsidRPr="00B80ADF">
        <w:rPr>
          <w:rFonts w:ascii="Calibri" w:eastAsia="Calibri" w:hAnsi="Calibri" w:cs="Calibri"/>
          <w:sz w:val="24"/>
        </w:rPr>
        <w:t xml:space="preserve">Ukrajina </w:t>
      </w:r>
      <w:r w:rsidRPr="00B80ADF">
        <w:rPr>
          <w:rFonts w:ascii="Calibri" w:eastAsia="Calibri" w:hAnsi="Calibri" w:cs="Calibri"/>
          <w:sz w:val="24"/>
        </w:rPr>
        <w:t>své závazky do doby jeho uzavření nesplnily a že řešení pohledáv</w:t>
      </w:r>
      <w:r>
        <w:rPr>
          <w:rFonts w:ascii="Calibri" w:eastAsia="Calibri" w:hAnsi="Calibri" w:cs="Calibri"/>
          <w:sz w:val="24"/>
        </w:rPr>
        <w:t>ek</w:t>
      </w:r>
      <w:r w:rsidRPr="00B80ADF">
        <w:rPr>
          <w:rFonts w:ascii="Calibri" w:eastAsia="Calibri" w:hAnsi="Calibri" w:cs="Calibri"/>
          <w:sz w:val="24"/>
        </w:rPr>
        <w:t xml:space="preserve"> bude vycházet z reálné situace, která v</w:t>
      </w:r>
      <w:r w:rsidR="00B30957">
        <w:rPr>
          <w:rFonts w:ascii="Calibri" w:eastAsia="Calibri" w:hAnsi="Calibri" w:cs="Calibri"/>
          <w:sz w:val="24"/>
        </w:rPr>
        <w:t> </w:t>
      </w:r>
      <w:r w:rsidRPr="00B80ADF">
        <w:rPr>
          <w:rFonts w:ascii="Calibri" w:eastAsia="Calibri" w:hAnsi="Calibri" w:cs="Calibri"/>
          <w:sz w:val="24"/>
        </w:rPr>
        <w:t>oblasti</w:t>
      </w:r>
      <w:r w:rsidR="00B30957">
        <w:rPr>
          <w:rFonts w:ascii="Calibri" w:eastAsia="Calibri" w:hAnsi="Calibri" w:cs="Calibri"/>
          <w:sz w:val="24"/>
        </w:rPr>
        <w:t xml:space="preserve"> tzv.</w:t>
      </w:r>
      <w:r w:rsidRPr="00B80ADF">
        <w:rPr>
          <w:rFonts w:ascii="Calibri" w:eastAsia="Calibri" w:hAnsi="Calibri" w:cs="Calibri"/>
          <w:sz w:val="24"/>
        </w:rPr>
        <w:t xml:space="preserve"> </w:t>
      </w:r>
      <w:proofErr w:type="spellStart"/>
      <w:r w:rsidR="006C4039">
        <w:rPr>
          <w:rFonts w:ascii="Calibri" w:eastAsia="Calibri" w:hAnsi="Calibri" w:cs="Calibri"/>
          <w:sz w:val="24"/>
        </w:rPr>
        <w:t>j</w:t>
      </w:r>
      <w:r w:rsidRPr="00B80ADF">
        <w:rPr>
          <w:rFonts w:ascii="Calibri" w:eastAsia="Calibri" w:hAnsi="Calibri" w:cs="Calibri"/>
          <w:sz w:val="24"/>
        </w:rPr>
        <w:t>amburgských</w:t>
      </w:r>
      <w:proofErr w:type="spellEnd"/>
      <w:r w:rsidRPr="00B80ADF">
        <w:rPr>
          <w:rFonts w:ascii="Calibri" w:eastAsia="Calibri" w:hAnsi="Calibri" w:cs="Calibri"/>
          <w:sz w:val="24"/>
        </w:rPr>
        <w:t xml:space="preserve"> dohod existuje.</w:t>
      </w:r>
      <w:r>
        <w:rPr>
          <w:rFonts w:ascii="Calibri" w:eastAsia="Calibri" w:hAnsi="Calibri" w:cs="Calibri"/>
          <w:sz w:val="24"/>
        </w:rPr>
        <w:t xml:space="preserve"> Z Memoranda dále vyplývá, že dlužníky v této situaci jsou Kazachstán a Ukrajina a věřitelem je Česká republika, tedy přímo stát, který reprezentuje MF v souladu se zákonem č. 2/1969 Sb. a zákonem č. 219/2000 Sb. Role </w:t>
      </w:r>
      <w:proofErr w:type="spellStart"/>
      <w:r>
        <w:rPr>
          <w:rFonts w:ascii="Calibri" w:eastAsia="Calibri" w:hAnsi="Calibri" w:cs="Calibri"/>
          <w:sz w:val="24"/>
        </w:rPr>
        <w:t>Transgasu</w:t>
      </w:r>
      <w:proofErr w:type="spellEnd"/>
      <w:r>
        <w:rPr>
          <w:rFonts w:ascii="Calibri" w:eastAsia="Calibri" w:hAnsi="Calibri" w:cs="Calibri"/>
          <w:sz w:val="24"/>
        </w:rPr>
        <w:t xml:space="preserve"> je dle Memoranda pouze v poskytování dokladů, písemností a informací, kterými Transgas k této problematice disponuje.</w:t>
      </w:r>
    </w:p>
    <w:p w14:paraId="00CC864A" w14:textId="3FD3DE6C" w:rsidR="008C43F3" w:rsidRDefault="009602AA" w:rsidP="0088353E">
      <w:pPr>
        <w:spacing w:after="120" w:line="240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>Skutečnost, že příslušnost hospodařit s pohledávkou náleží MF</w:t>
      </w:r>
      <w:r w:rsidR="006C4039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potvrdila i </w:t>
      </w:r>
      <w:r w:rsidRPr="008E4380">
        <w:rPr>
          <w:rFonts w:ascii="Calibri" w:eastAsia="Calibri" w:hAnsi="Calibri" w:cs="Calibri"/>
          <w:sz w:val="24"/>
        </w:rPr>
        <w:t>právní analýz</w:t>
      </w:r>
      <w:r>
        <w:rPr>
          <w:rFonts w:ascii="Calibri" w:eastAsia="Calibri" w:hAnsi="Calibri" w:cs="Calibri"/>
          <w:sz w:val="24"/>
        </w:rPr>
        <w:t>a zpracovaná dne 27. srpna 2014</w:t>
      </w:r>
      <w:r>
        <w:rPr>
          <w:rStyle w:val="Znakapoznpodarou"/>
          <w:rFonts w:ascii="Calibri" w:eastAsia="Calibri" w:hAnsi="Calibri" w:cs="Calibri"/>
          <w:sz w:val="24"/>
        </w:rPr>
        <w:footnoteReference w:id="14"/>
      </w:r>
      <w:r>
        <w:rPr>
          <w:rFonts w:ascii="Calibri" w:eastAsia="Calibri" w:hAnsi="Calibri" w:cs="Calibri"/>
          <w:sz w:val="24"/>
        </w:rPr>
        <w:t xml:space="preserve"> pro Transgas. Následně dne 3. října 2014 proběhlo jednání mezi </w:t>
      </w:r>
      <w:r>
        <w:rPr>
          <w:rFonts w:cstheme="minorHAnsi"/>
          <w:sz w:val="24"/>
          <w:szCs w:val="24"/>
        </w:rPr>
        <w:t xml:space="preserve">MF, MZV, MPO a ČPP Transgas, </w:t>
      </w:r>
      <w:proofErr w:type="spellStart"/>
      <w:r>
        <w:rPr>
          <w:rFonts w:cstheme="minorHAnsi"/>
          <w:sz w:val="24"/>
          <w:szCs w:val="24"/>
        </w:rPr>
        <w:t>s.p</w:t>
      </w:r>
      <w:proofErr w:type="spellEnd"/>
      <w:r>
        <w:rPr>
          <w:rFonts w:cstheme="minorHAnsi"/>
          <w:sz w:val="24"/>
          <w:szCs w:val="24"/>
        </w:rPr>
        <w:t>.</w:t>
      </w:r>
      <w:r w:rsidR="00C33C6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kde byla příslušnost MF hospodařit s pohledávkou konstatována</w:t>
      </w:r>
      <w:r>
        <w:rPr>
          <w:rStyle w:val="Znakapoznpodarou"/>
          <w:rFonts w:cstheme="minorHAnsi"/>
          <w:sz w:val="24"/>
          <w:szCs w:val="24"/>
        </w:rPr>
        <w:footnoteReference w:id="15"/>
      </w:r>
      <w:r>
        <w:rPr>
          <w:rFonts w:cstheme="minorHAns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</w:rPr>
        <w:t xml:space="preserve">Stejně tak v příloze </w:t>
      </w:r>
      <w:r w:rsidRPr="008E4380">
        <w:rPr>
          <w:rFonts w:ascii="Calibri" w:eastAsia="Calibri" w:hAnsi="Calibri" w:cs="Calibri"/>
          <w:sz w:val="24"/>
        </w:rPr>
        <w:t>účetní závěr</w:t>
      </w:r>
      <w:r>
        <w:rPr>
          <w:rFonts w:ascii="Calibri" w:eastAsia="Calibri" w:hAnsi="Calibri" w:cs="Calibri"/>
          <w:sz w:val="24"/>
        </w:rPr>
        <w:t xml:space="preserve">ky </w:t>
      </w:r>
      <w:proofErr w:type="spellStart"/>
      <w:r>
        <w:rPr>
          <w:rFonts w:ascii="Calibri" w:eastAsia="Calibri" w:hAnsi="Calibri" w:cs="Calibri"/>
          <w:sz w:val="24"/>
        </w:rPr>
        <w:t>Transgasu</w:t>
      </w:r>
      <w:proofErr w:type="spellEnd"/>
      <w:r w:rsidRPr="008E4380">
        <w:rPr>
          <w:rFonts w:ascii="Calibri" w:eastAsia="Calibri" w:hAnsi="Calibri" w:cs="Calibri"/>
          <w:sz w:val="24"/>
        </w:rPr>
        <w:t xml:space="preserve"> z roku 2014 je konstatováno, že</w:t>
      </w:r>
      <w:r>
        <w:rPr>
          <w:rFonts w:ascii="Calibri" w:eastAsia="Calibri" w:hAnsi="Calibri" w:cs="Calibri"/>
          <w:sz w:val="24"/>
        </w:rPr>
        <w:t>: „</w:t>
      </w:r>
      <w:r w:rsidR="001D5F68">
        <w:rPr>
          <w:rFonts w:ascii="Calibri" w:eastAsia="Calibri" w:hAnsi="Calibri" w:cs="Calibri"/>
          <w:sz w:val="24"/>
        </w:rPr>
        <w:t>... </w:t>
      </w:r>
      <w:r w:rsidRPr="005012E1">
        <w:rPr>
          <w:rFonts w:ascii="Calibri" w:eastAsia="Calibri" w:hAnsi="Calibri" w:cs="Calibri"/>
          <w:i/>
          <w:sz w:val="24"/>
        </w:rPr>
        <w:t>pohledávka z </w:t>
      </w:r>
      <w:proofErr w:type="spellStart"/>
      <w:r w:rsidRPr="005012E1">
        <w:rPr>
          <w:rFonts w:ascii="Calibri" w:eastAsia="Calibri" w:hAnsi="Calibri" w:cs="Calibri"/>
          <w:i/>
          <w:sz w:val="24"/>
        </w:rPr>
        <w:t>Jamburgských</w:t>
      </w:r>
      <w:proofErr w:type="spellEnd"/>
      <w:r w:rsidRPr="005012E1">
        <w:rPr>
          <w:rFonts w:ascii="Calibri" w:eastAsia="Calibri" w:hAnsi="Calibri" w:cs="Calibri"/>
          <w:i/>
          <w:sz w:val="24"/>
        </w:rPr>
        <w:t xml:space="preserve"> dohod není pohledávkou, se kterou je příslušný hospodařit ČPP Transgas, </w:t>
      </w:r>
      <w:proofErr w:type="spellStart"/>
      <w:r w:rsidRPr="005012E1">
        <w:rPr>
          <w:rFonts w:ascii="Calibri" w:eastAsia="Calibri" w:hAnsi="Calibri" w:cs="Calibri"/>
          <w:i/>
          <w:sz w:val="24"/>
        </w:rPr>
        <w:t>s.p</w:t>
      </w:r>
      <w:proofErr w:type="spellEnd"/>
      <w:r w:rsidRPr="005012E1">
        <w:rPr>
          <w:rFonts w:ascii="Calibri" w:eastAsia="Calibri" w:hAnsi="Calibri" w:cs="Calibri"/>
          <w:i/>
          <w:sz w:val="24"/>
        </w:rPr>
        <w:t>., ale jedná se o pohledávku státu, se kterou je příslušné hospodařit MF na základě zákona č. 219/2000 Sb.</w:t>
      </w:r>
      <w:r w:rsidRPr="001D5F68">
        <w:rPr>
          <w:rFonts w:ascii="Calibri" w:eastAsia="Calibri" w:hAnsi="Calibri" w:cs="Calibri"/>
          <w:sz w:val="24"/>
        </w:rPr>
        <w:t>“</w:t>
      </w:r>
      <w:r w:rsidR="008C43F3">
        <w:rPr>
          <w:rFonts w:ascii="Calibri" w:eastAsia="Calibri" w:hAnsi="Calibri" w:cs="Calibri"/>
          <w:i/>
          <w:sz w:val="24"/>
        </w:rPr>
        <w:t xml:space="preserve"> </w:t>
      </w:r>
    </w:p>
    <w:p w14:paraId="1C117EF3" w14:textId="3E08AE40" w:rsidR="009602AA" w:rsidRDefault="008C43F3" w:rsidP="0088353E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Účetní závěrka státního podniku musí být dle zákona č. 77/1997 Sb. ověřena auditorem. </w:t>
      </w:r>
      <w:r w:rsidRPr="008C43F3">
        <w:rPr>
          <w:rFonts w:ascii="Calibri" w:eastAsia="Calibri" w:hAnsi="Calibri" w:cs="Calibri"/>
          <w:sz w:val="24"/>
        </w:rPr>
        <w:t>V auditu účetních závěrek z let 2014 až 2020</w:t>
      </w:r>
      <w:r>
        <w:rPr>
          <w:rFonts w:ascii="Calibri" w:eastAsia="Calibri" w:hAnsi="Calibri" w:cs="Calibri"/>
          <w:sz w:val="24"/>
        </w:rPr>
        <w:t xml:space="preserve"> není uvedena výhrada, auditor neodhalil v účetnictví </w:t>
      </w:r>
      <w:proofErr w:type="spellStart"/>
      <w:r>
        <w:rPr>
          <w:rFonts w:ascii="Calibri" w:eastAsia="Calibri" w:hAnsi="Calibri" w:cs="Calibri"/>
          <w:sz w:val="24"/>
        </w:rPr>
        <w:t>Transgasu</w:t>
      </w:r>
      <w:proofErr w:type="spellEnd"/>
      <w:r>
        <w:rPr>
          <w:rFonts w:ascii="Calibri" w:eastAsia="Calibri" w:hAnsi="Calibri" w:cs="Calibri"/>
          <w:sz w:val="24"/>
        </w:rPr>
        <w:t xml:space="preserve"> neoprávněně vedenou pohledávku z tzv. </w:t>
      </w:r>
      <w:proofErr w:type="spellStart"/>
      <w:r w:rsidR="001D5F68">
        <w:rPr>
          <w:rFonts w:ascii="Calibri" w:eastAsia="Calibri" w:hAnsi="Calibri" w:cs="Calibri"/>
          <w:sz w:val="24"/>
        </w:rPr>
        <w:t>j</w:t>
      </w:r>
      <w:r>
        <w:rPr>
          <w:rFonts w:ascii="Calibri" w:eastAsia="Calibri" w:hAnsi="Calibri" w:cs="Calibri"/>
          <w:sz w:val="24"/>
        </w:rPr>
        <w:t>amburgských</w:t>
      </w:r>
      <w:proofErr w:type="spellEnd"/>
      <w:r>
        <w:rPr>
          <w:rFonts w:ascii="Calibri" w:eastAsia="Calibri" w:hAnsi="Calibri" w:cs="Calibri"/>
          <w:sz w:val="24"/>
        </w:rPr>
        <w:t xml:space="preserve"> dohod.</w:t>
      </w:r>
    </w:p>
    <w:p w14:paraId="663FF489" w14:textId="6E119EFF" w:rsidR="009602AA" w:rsidRPr="00A10FF7" w:rsidRDefault="009602AA" w:rsidP="0088353E">
      <w:pPr>
        <w:spacing w:after="120" w:line="240" w:lineRule="auto"/>
        <w:jc w:val="both"/>
        <w:rPr>
          <w:rFonts w:ascii="Calibri" w:eastAsia="Calibri" w:hAnsi="Calibri" w:cs="Calibri"/>
          <w:b/>
          <w:sz w:val="24"/>
        </w:rPr>
      </w:pPr>
      <w:r w:rsidRPr="00A10FF7">
        <w:rPr>
          <w:rFonts w:ascii="Calibri" w:eastAsia="Calibri" w:hAnsi="Calibri" w:cs="Calibri"/>
          <w:b/>
          <w:sz w:val="24"/>
        </w:rPr>
        <w:t xml:space="preserve">Transgas </w:t>
      </w:r>
      <w:r w:rsidR="00DA2E00">
        <w:rPr>
          <w:rFonts w:ascii="Calibri" w:eastAsia="Calibri" w:hAnsi="Calibri" w:cs="Calibri"/>
          <w:b/>
          <w:sz w:val="24"/>
        </w:rPr>
        <w:t>nemá právo</w:t>
      </w:r>
      <w:r w:rsidRPr="00A10FF7">
        <w:rPr>
          <w:rFonts w:ascii="Calibri" w:eastAsia="Calibri" w:hAnsi="Calibri" w:cs="Calibri"/>
          <w:b/>
          <w:sz w:val="24"/>
        </w:rPr>
        <w:t xml:space="preserve"> hospodařit s pohledávkou z tzv. </w:t>
      </w:r>
      <w:proofErr w:type="spellStart"/>
      <w:r w:rsidR="001D5F68">
        <w:rPr>
          <w:rFonts w:ascii="Calibri" w:eastAsia="Calibri" w:hAnsi="Calibri" w:cs="Calibri"/>
          <w:b/>
          <w:sz w:val="24"/>
        </w:rPr>
        <w:t>j</w:t>
      </w:r>
      <w:r w:rsidRPr="00A10FF7">
        <w:rPr>
          <w:rFonts w:ascii="Calibri" w:eastAsia="Calibri" w:hAnsi="Calibri" w:cs="Calibri"/>
          <w:b/>
          <w:sz w:val="24"/>
        </w:rPr>
        <w:t>amburgských</w:t>
      </w:r>
      <w:proofErr w:type="spellEnd"/>
      <w:r w:rsidRPr="00A10FF7">
        <w:rPr>
          <w:rFonts w:ascii="Calibri" w:eastAsia="Calibri" w:hAnsi="Calibri" w:cs="Calibri"/>
          <w:b/>
          <w:sz w:val="24"/>
        </w:rPr>
        <w:t xml:space="preserve"> dohod a vede ji v účetnictví a rozvaze neoprávněně. Hospodařit s touto pohledávkou přísluší MF podle § 4 zákona č. 2/1969 Sb.</w:t>
      </w:r>
    </w:p>
    <w:p w14:paraId="78BF83EA" w14:textId="77777777" w:rsidR="009602AA" w:rsidRPr="007068B9" w:rsidRDefault="009602AA" w:rsidP="0088353E">
      <w:pPr>
        <w:keepNext/>
        <w:spacing w:after="12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</w:t>
      </w:r>
      <w:r w:rsidRPr="007068B9">
        <w:rPr>
          <w:rFonts w:ascii="Calibri" w:eastAsia="Calibri" w:hAnsi="Calibri" w:cs="Calibri"/>
          <w:b/>
          <w:sz w:val="24"/>
        </w:rPr>
        <w:t>ktiv</w:t>
      </w:r>
      <w:r>
        <w:rPr>
          <w:rFonts w:ascii="Calibri" w:eastAsia="Calibri" w:hAnsi="Calibri" w:cs="Calibri"/>
          <w:b/>
          <w:sz w:val="24"/>
        </w:rPr>
        <w:t>a</w:t>
      </w:r>
      <w:r w:rsidRPr="007068B9">
        <w:rPr>
          <w:rFonts w:ascii="Calibri" w:eastAsia="Calibri" w:hAnsi="Calibri" w:cs="Calibri"/>
          <w:b/>
          <w:sz w:val="24"/>
        </w:rPr>
        <w:t xml:space="preserve"> a pasiv</w:t>
      </w:r>
      <w:r>
        <w:rPr>
          <w:rFonts w:ascii="Calibri" w:eastAsia="Calibri" w:hAnsi="Calibri" w:cs="Calibri"/>
          <w:b/>
          <w:sz w:val="24"/>
        </w:rPr>
        <w:t>a</w:t>
      </w:r>
      <w:r w:rsidRPr="007068B9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Transgasu</w:t>
      </w:r>
      <w:proofErr w:type="spellEnd"/>
      <w:r>
        <w:rPr>
          <w:rFonts w:ascii="Calibri" w:eastAsia="Calibri" w:hAnsi="Calibri" w:cs="Calibri"/>
          <w:b/>
          <w:sz w:val="24"/>
        </w:rPr>
        <w:t xml:space="preserve"> jsou nadhodnocena </w:t>
      </w:r>
      <w:r w:rsidRPr="007068B9">
        <w:rPr>
          <w:rFonts w:ascii="Calibri" w:eastAsia="Calibri" w:hAnsi="Calibri" w:cs="Calibri"/>
          <w:b/>
          <w:sz w:val="24"/>
        </w:rPr>
        <w:t>o 4,6 mld. Kč</w:t>
      </w:r>
    </w:p>
    <w:p w14:paraId="0C7C58EC" w14:textId="61810CE4" w:rsidR="009602AA" w:rsidRPr="008E4380" w:rsidRDefault="009602AA" w:rsidP="0088353E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  <w:r w:rsidRPr="008E4380">
        <w:rPr>
          <w:rFonts w:ascii="Calibri" w:eastAsia="Calibri" w:hAnsi="Calibri" w:cs="Calibri"/>
          <w:sz w:val="24"/>
        </w:rPr>
        <w:t>Tím, že Transgas vede v účetní rozvaze pohledáv</w:t>
      </w:r>
      <w:r>
        <w:rPr>
          <w:rFonts w:ascii="Calibri" w:eastAsia="Calibri" w:hAnsi="Calibri" w:cs="Calibri"/>
          <w:sz w:val="24"/>
        </w:rPr>
        <w:t>ku</w:t>
      </w:r>
      <w:r w:rsidRPr="008E4380">
        <w:rPr>
          <w:rFonts w:ascii="Calibri" w:eastAsia="Calibri" w:hAnsi="Calibri" w:cs="Calibri"/>
          <w:sz w:val="24"/>
        </w:rPr>
        <w:t xml:space="preserve"> a související závaz</w:t>
      </w:r>
      <w:r>
        <w:rPr>
          <w:rFonts w:ascii="Calibri" w:eastAsia="Calibri" w:hAnsi="Calibri" w:cs="Calibri"/>
          <w:sz w:val="24"/>
        </w:rPr>
        <w:t>e</w:t>
      </w:r>
      <w:r w:rsidRPr="008E4380">
        <w:rPr>
          <w:rFonts w:ascii="Calibri" w:eastAsia="Calibri" w:hAnsi="Calibri" w:cs="Calibri"/>
          <w:sz w:val="24"/>
        </w:rPr>
        <w:t>k z </w:t>
      </w:r>
      <w:proofErr w:type="spellStart"/>
      <w:r w:rsidR="001D5F68">
        <w:rPr>
          <w:rFonts w:ascii="Calibri" w:eastAsia="Calibri" w:hAnsi="Calibri" w:cs="Calibri"/>
          <w:sz w:val="24"/>
        </w:rPr>
        <w:t>j</w:t>
      </w:r>
      <w:r w:rsidRPr="008E4380">
        <w:rPr>
          <w:rFonts w:ascii="Calibri" w:eastAsia="Calibri" w:hAnsi="Calibri" w:cs="Calibri"/>
          <w:sz w:val="24"/>
        </w:rPr>
        <w:t>amburgských</w:t>
      </w:r>
      <w:proofErr w:type="spellEnd"/>
      <w:r w:rsidRPr="008E4380">
        <w:rPr>
          <w:rFonts w:ascii="Calibri" w:eastAsia="Calibri" w:hAnsi="Calibri" w:cs="Calibri"/>
          <w:sz w:val="24"/>
        </w:rPr>
        <w:t xml:space="preserve"> dohod, aniž by </w:t>
      </w:r>
      <w:r>
        <w:rPr>
          <w:rFonts w:ascii="Calibri" w:eastAsia="Calibri" w:hAnsi="Calibri" w:cs="Calibri"/>
          <w:sz w:val="24"/>
        </w:rPr>
        <w:t>měl právo s nimi</w:t>
      </w:r>
      <w:r w:rsidRPr="008E4380">
        <w:rPr>
          <w:rFonts w:ascii="Calibri" w:eastAsia="Calibri" w:hAnsi="Calibri" w:cs="Calibri"/>
          <w:sz w:val="24"/>
        </w:rPr>
        <w:t xml:space="preserve"> hospodařit, vykazuje skutečnosti, které nejsou ve smyslu § 2 odst. 1 zákona č. 563/1991 Sb. předmětem jeho účetnictví. Tím Transgas zkresluje hodnotu aktiv a pasiv, </w:t>
      </w:r>
      <w:r>
        <w:rPr>
          <w:rFonts w:ascii="Calibri" w:eastAsia="Calibri" w:hAnsi="Calibri" w:cs="Calibri"/>
          <w:sz w:val="24"/>
        </w:rPr>
        <w:t xml:space="preserve">a to výrazně, protože </w:t>
      </w:r>
      <w:r w:rsidRPr="008E4380">
        <w:rPr>
          <w:rFonts w:ascii="Calibri" w:eastAsia="Calibri" w:hAnsi="Calibri" w:cs="Calibri"/>
          <w:sz w:val="24"/>
        </w:rPr>
        <w:t>pohledávk</w:t>
      </w:r>
      <w:r>
        <w:rPr>
          <w:rFonts w:ascii="Calibri" w:eastAsia="Calibri" w:hAnsi="Calibri" w:cs="Calibri"/>
          <w:sz w:val="24"/>
        </w:rPr>
        <w:t>a</w:t>
      </w:r>
      <w:r w:rsidRPr="008E4380">
        <w:rPr>
          <w:rFonts w:ascii="Calibri" w:eastAsia="Calibri" w:hAnsi="Calibri" w:cs="Calibri"/>
          <w:sz w:val="24"/>
        </w:rPr>
        <w:t xml:space="preserve"> a závaz</w:t>
      </w:r>
      <w:r>
        <w:rPr>
          <w:rFonts w:ascii="Calibri" w:eastAsia="Calibri" w:hAnsi="Calibri" w:cs="Calibri"/>
          <w:sz w:val="24"/>
        </w:rPr>
        <w:t>ek</w:t>
      </w:r>
      <w:r w:rsidRPr="008E4380">
        <w:rPr>
          <w:rFonts w:ascii="Calibri" w:eastAsia="Calibri" w:hAnsi="Calibri" w:cs="Calibri"/>
          <w:sz w:val="24"/>
        </w:rPr>
        <w:t xml:space="preserve"> z </w:t>
      </w:r>
      <w:proofErr w:type="spellStart"/>
      <w:r w:rsidR="008638FC">
        <w:rPr>
          <w:rFonts w:ascii="Calibri" w:eastAsia="Calibri" w:hAnsi="Calibri" w:cs="Calibri"/>
          <w:sz w:val="24"/>
        </w:rPr>
        <w:t>j</w:t>
      </w:r>
      <w:r w:rsidRPr="008E4380">
        <w:rPr>
          <w:rFonts w:ascii="Calibri" w:eastAsia="Calibri" w:hAnsi="Calibri" w:cs="Calibri"/>
          <w:sz w:val="24"/>
        </w:rPr>
        <w:t>amburgských</w:t>
      </w:r>
      <w:proofErr w:type="spellEnd"/>
      <w:r w:rsidRPr="008E4380">
        <w:rPr>
          <w:rFonts w:ascii="Calibri" w:eastAsia="Calibri" w:hAnsi="Calibri" w:cs="Calibri"/>
          <w:sz w:val="24"/>
        </w:rPr>
        <w:t xml:space="preserve"> dohod ve výši 4 566</w:t>
      </w:r>
      <w:r w:rsidR="008638FC">
        <w:rPr>
          <w:rFonts w:ascii="Calibri" w:eastAsia="Calibri" w:hAnsi="Calibri" w:cs="Calibri"/>
          <w:sz w:val="24"/>
        </w:rPr>
        <w:t> </w:t>
      </w:r>
      <w:r w:rsidRPr="008E4380">
        <w:rPr>
          <w:rFonts w:ascii="Calibri" w:eastAsia="Calibri" w:hAnsi="Calibri" w:cs="Calibri"/>
          <w:sz w:val="24"/>
        </w:rPr>
        <w:t>268</w:t>
      </w:r>
      <w:r w:rsidR="008638FC">
        <w:rPr>
          <w:rFonts w:ascii="Calibri" w:eastAsia="Calibri" w:hAnsi="Calibri" w:cs="Calibri"/>
          <w:sz w:val="24"/>
        </w:rPr>
        <w:t> </w:t>
      </w:r>
      <w:r w:rsidRPr="008E4380">
        <w:rPr>
          <w:rFonts w:ascii="Calibri" w:eastAsia="Calibri" w:hAnsi="Calibri" w:cs="Calibri"/>
          <w:sz w:val="24"/>
        </w:rPr>
        <w:t>tis.</w:t>
      </w:r>
      <w:r w:rsidR="008638FC">
        <w:rPr>
          <w:rFonts w:ascii="Calibri" w:eastAsia="Calibri" w:hAnsi="Calibri" w:cs="Calibri"/>
          <w:sz w:val="24"/>
        </w:rPr>
        <w:t> </w:t>
      </w:r>
      <w:r w:rsidRPr="008E4380">
        <w:rPr>
          <w:rFonts w:ascii="Calibri" w:eastAsia="Calibri" w:hAnsi="Calibri" w:cs="Calibri"/>
          <w:sz w:val="24"/>
        </w:rPr>
        <w:t>Kč tvořily v letech 2017</w:t>
      </w:r>
      <w:r>
        <w:rPr>
          <w:rFonts w:ascii="Calibri" w:eastAsia="Calibri" w:hAnsi="Calibri" w:cs="Calibri"/>
          <w:sz w:val="24"/>
        </w:rPr>
        <w:t xml:space="preserve"> až </w:t>
      </w:r>
      <w:r w:rsidRPr="008E4380">
        <w:rPr>
          <w:rFonts w:ascii="Calibri" w:eastAsia="Calibri" w:hAnsi="Calibri" w:cs="Calibri"/>
          <w:sz w:val="24"/>
        </w:rPr>
        <w:t>2020 průměrně 90,8 % aktiv a pasiv státního podniku.</w:t>
      </w:r>
    </w:p>
    <w:p w14:paraId="628A38B1" w14:textId="1E7EEFCF" w:rsidR="009602AA" w:rsidRPr="0088353E" w:rsidRDefault="009602AA" w:rsidP="0088353E">
      <w:pPr>
        <w:keepNext/>
        <w:spacing w:after="40" w:line="240" w:lineRule="auto"/>
        <w:ind w:left="1418" w:hanging="1418"/>
        <w:rPr>
          <w:rFonts w:ascii="Calibri" w:eastAsia="Calibri" w:hAnsi="Calibri" w:cs="Calibri"/>
          <w:b/>
          <w:sz w:val="24"/>
          <w:szCs w:val="24"/>
        </w:rPr>
      </w:pPr>
      <w:r w:rsidRPr="0088353E">
        <w:rPr>
          <w:rFonts w:ascii="Calibri" w:eastAsia="Calibri" w:hAnsi="Calibri" w:cs="Calibri"/>
          <w:b/>
          <w:sz w:val="24"/>
          <w:szCs w:val="24"/>
        </w:rPr>
        <w:lastRenderedPageBreak/>
        <w:t xml:space="preserve">Tabulka č. 4: </w:t>
      </w:r>
      <w:r w:rsidR="0088353E">
        <w:rPr>
          <w:rFonts w:ascii="Calibri" w:eastAsia="Calibri" w:hAnsi="Calibri" w:cs="Calibri"/>
          <w:b/>
          <w:sz w:val="24"/>
          <w:szCs w:val="24"/>
        </w:rPr>
        <w:tab/>
      </w:r>
      <w:r w:rsidRPr="0088353E">
        <w:rPr>
          <w:rFonts w:ascii="Calibri" w:eastAsia="Calibri" w:hAnsi="Calibri" w:cs="Calibri"/>
          <w:b/>
          <w:sz w:val="24"/>
          <w:szCs w:val="24"/>
        </w:rPr>
        <w:t xml:space="preserve">Poměr vykazované hodnoty aktiv a pasiv </w:t>
      </w:r>
      <w:proofErr w:type="spellStart"/>
      <w:r w:rsidRPr="0088353E">
        <w:rPr>
          <w:rFonts w:ascii="Calibri" w:eastAsia="Calibri" w:hAnsi="Calibri" w:cs="Calibri"/>
          <w:b/>
          <w:sz w:val="24"/>
          <w:szCs w:val="24"/>
        </w:rPr>
        <w:t>Transgasu</w:t>
      </w:r>
      <w:proofErr w:type="spellEnd"/>
      <w:r w:rsidRPr="0088353E">
        <w:rPr>
          <w:rFonts w:ascii="Calibri" w:eastAsia="Calibri" w:hAnsi="Calibri" w:cs="Calibri"/>
          <w:b/>
          <w:sz w:val="24"/>
          <w:szCs w:val="24"/>
        </w:rPr>
        <w:t xml:space="preserve"> a pohledávky z</w:t>
      </w:r>
      <w:r w:rsidR="00B30957" w:rsidRPr="0088353E">
        <w:rPr>
          <w:rFonts w:ascii="Calibri" w:eastAsia="Calibri" w:hAnsi="Calibri" w:cs="Calibri"/>
          <w:b/>
          <w:sz w:val="24"/>
          <w:szCs w:val="24"/>
        </w:rPr>
        <w:t> tzv.</w:t>
      </w:r>
      <w:r w:rsidR="0088353E">
        <w:rPr>
          <w:rFonts w:ascii="Calibri" w:eastAsia="Calibri" w:hAnsi="Calibri" w:cs="Calibri"/>
          <w:b/>
          <w:sz w:val="24"/>
          <w:szCs w:val="24"/>
        </w:rPr>
        <w:t> </w:t>
      </w:r>
      <w:proofErr w:type="spellStart"/>
      <w:r w:rsidR="008638FC">
        <w:rPr>
          <w:rFonts w:ascii="Calibri" w:eastAsia="Calibri" w:hAnsi="Calibri" w:cs="Calibri"/>
          <w:b/>
          <w:sz w:val="24"/>
          <w:szCs w:val="24"/>
        </w:rPr>
        <w:t>j</w:t>
      </w:r>
      <w:r w:rsidRPr="0088353E">
        <w:rPr>
          <w:rFonts w:ascii="Calibri" w:eastAsia="Calibri" w:hAnsi="Calibri" w:cs="Calibri"/>
          <w:b/>
          <w:sz w:val="24"/>
          <w:szCs w:val="24"/>
        </w:rPr>
        <w:t>amburgských</w:t>
      </w:r>
      <w:proofErr w:type="spellEnd"/>
      <w:r w:rsidRPr="0088353E">
        <w:rPr>
          <w:rFonts w:ascii="Calibri" w:eastAsia="Calibri" w:hAnsi="Calibri" w:cs="Calibri"/>
          <w:b/>
          <w:sz w:val="24"/>
          <w:szCs w:val="24"/>
        </w:rPr>
        <w:t xml:space="preserve"> dohod</w:t>
      </w:r>
    </w:p>
    <w:tbl>
      <w:tblPr>
        <w:tblW w:w="9072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75"/>
        <w:gridCol w:w="1276"/>
        <w:gridCol w:w="1276"/>
        <w:gridCol w:w="1276"/>
      </w:tblGrid>
      <w:tr w:rsidR="009602AA" w:rsidRPr="0088353E" w14:paraId="05A00F71" w14:textId="77777777" w:rsidTr="0088353E">
        <w:trPr>
          <w:trHeight w:val="283"/>
        </w:trPr>
        <w:tc>
          <w:tcPr>
            <w:tcW w:w="3969" w:type="dxa"/>
            <w:shd w:val="clear" w:color="auto" w:fill="E5F1FF"/>
            <w:noWrap/>
            <w:vAlign w:val="center"/>
            <w:hideMark/>
          </w:tcPr>
          <w:p w14:paraId="6BADBA03" w14:textId="77777777" w:rsidR="009602AA" w:rsidRPr="0088353E" w:rsidRDefault="009602AA" w:rsidP="0088353E">
            <w:pPr>
              <w:keepNext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5F1FF"/>
            <w:noWrap/>
            <w:vAlign w:val="center"/>
            <w:hideMark/>
          </w:tcPr>
          <w:p w14:paraId="02C5EB85" w14:textId="77777777" w:rsidR="009602AA" w:rsidRPr="0088353E" w:rsidRDefault="009602AA" w:rsidP="0088353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2017</w:t>
            </w:r>
          </w:p>
        </w:tc>
        <w:tc>
          <w:tcPr>
            <w:tcW w:w="1276" w:type="dxa"/>
            <w:shd w:val="clear" w:color="auto" w:fill="E5F1FF"/>
            <w:noWrap/>
            <w:vAlign w:val="center"/>
            <w:hideMark/>
          </w:tcPr>
          <w:p w14:paraId="7DE90C7A" w14:textId="77777777" w:rsidR="009602AA" w:rsidRPr="0088353E" w:rsidRDefault="009602AA" w:rsidP="0088353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E5F1FF"/>
            <w:noWrap/>
            <w:vAlign w:val="center"/>
            <w:hideMark/>
          </w:tcPr>
          <w:p w14:paraId="7090A93E" w14:textId="77777777" w:rsidR="009602AA" w:rsidRPr="0088353E" w:rsidRDefault="009602AA" w:rsidP="0088353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E5F1FF"/>
            <w:noWrap/>
            <w:vAlign w:val="center"/>
            <w:hideMark/>
          </w:tcPr>
          <w:p w14:paraId="78B9A947" w14:textId="77777777" w:rsidR="009602AA" w:rsidRPr="0088353E" w:rsidRDefault="009602AA" w:rsidP="0088353E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2020</w:t>
            </w:r>
          </w:p>
        </w:tc>
      </w:tr>
      <w:tr w:rsidR="009602AA" w:rsidRPr="0088353E" w14:paraId="419CE956" w14:textId="77777777" w:rsidTr="0088353E">
        <w:trPr>
          <w:trHeight w:val="283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87D2542" w14:textId="06C2A78D" w:rsidR="009602AA" w:rsidRPr="0088353E" w:rsidRDefault="008638FC" w:rsidP="0088353E">
            <w:pPr>
              <w:keepNext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9602AA" w:rsidRPr="0088353E">
              <w:rPr>
                <w:rFonts w:ascii="Calibri" w:eastAsia="Calibri" w:hAnsi="Calibri" w:cs="Calibri"/>
                <w:sz w:val="20"/>
                <w:szCs w:val="20"/>
              </w:rPr>
              <w:t xml:space="preserve">ktiva/pasiva </w:t>
            </w:r>
            <w:proofErr w:type="spellStart"/>
            <w:r w:rsidR="009602AA" w:rsidRPr="0088353E">
              <w:rPr>
                <w:rFonts w:ascii="Calibri" w:eastAsia="Calibri" w:hAnsi="Calibri" w:cs="Calibri"/>
                <w:sz w:val="20"/>
                <w:szCs w:val="20"/>
              </w:rPr>
              <w:t>Transgasu</w:t>
            </w:r>
            <w:proofErr w:type="spellEnd"/>
            <w:r w:rsidR="009602AA" w:rsidRPr="0088353E">
              <w:rPr>
                <w:rFonts w:ascii="Calibri" w:eastAsia="Calibri" w:hAnsi="Calibri" w:cs="Calibri"/>
                <w:sz w:val="20"/>
                <w:szCs w:val="20"/>
              </w:rPr>
              <w:t xml:space="preserve"> (v tis. Kč)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0B528F" w14:textId="77777777" w:rsidR="009602AA" w:rsidRPr="0088353E" w:rsidRDefault="009602AA" w:rsidP="0088353E">
            <w:pPr>
              <w:keepNext/>
              <w:spacing w:after="0" w:line="240" w:lineRule="auto"/>
              <w:ind w:right="284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Cs/>
                <w:sz w:val="20"/>
                <w:szCs w:val="20"/>
              </w:rPr>
              <w:t>5 060 488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6AFBE8" w14:textId="77777777" w:rsidR="009602AA" w:rsidRPr="0088353E" w:rsidRDefault="009602AA" w:rsidP="0088353E">
            <w:pPr>
              <w:keepNext/>
              <w:spacing w:after="0" w:line="240" w:lineRule="auto"/>
              <w:ind w:right="284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Cs/>
                <w:sz w:val="20"/>
                <w:szCs w:val="20"/>
              </w:rPr>
              <w:t>5 055 313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EE9D1" w14:textId="77777777" w:rsidR="009602AA" w:rsidRPr="0088353E" w:rsidRDefault="009602AA" w:rsidP="0088353E">
            <w:pPr>
              <w:keepNext/>
              <w:spacing w:after="0" w:line="240" w:lineRule="auto"/>
              <w:ind w:right="284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Cs/>
                <w:sz w:val="20"/>
                <w:szCs w:val="20"/>
              </w:rPr>
              <w:t>4 999 638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CDE67" w14:textId="77777777" w:rsidR="009602AA" w:rsidRPr="0088353E" w:rsidRDefault="009602AA" w:rsidP="0088353E">
            <w:pPr>
              <w:keepNext/>
              <w:spacing w:after="0" w:line="240" w:lineRule="auto"/>
              <w:ind w:right="284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Cs/>
                <w:sz w:val="20"/>
                <w:szCs w:val="20"/>
              </w:rPr>
              <w:t>5 000 691</w:t>
            </w:r>
          </w:p>
        </w:tc>
      </w:tr>
      <w:tr w:rsidR="009602AA" w:rsidRPr="0088353E" w14:paraId="6EB53136" w14:textId="77777777" w:rsidTr="0088353E">
        <w:trPr>
          <w:trHeight w:val="283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B072DE" w14:textId="74A28D68" w:rsidR="009602AA" w:rsidRPr="0088353E" w:rsidRDefault="008638FC" w:rsidP="0088353E">
            <w:pPr>
              <w:keepNext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9602AA" w:rsidRPr="0088353E">
              <w:rPr>
                <w:rFonts w:ascii="Calibri" w:eastAsia="Calibri" w:hAnsi="Calibri" w:cs="Calibri"/>
                <w:sz w:val="20"/>
                <w:szCs w:val="20"/>
              </w:rPr>
              <w:t xml:space="preserve">ohledávka/závazek </w:t>
            </w:r>
            <w:proofErr w:type="spellStart"/>
            <w:r w:rsidR="009602AA" w:rsidRPr="0088353E">
              <w:rPr>
                <w:rFonts w:ascii="Calibri" w:eastAsia="Calibri" w:hAnsi="Calibri" w:cs="Calibri"/>
                <w:sz w:val="20"/>
                <w:szCs w:val="20"/>
              </w:rPr>
              <w:t>Jamburg</w:t>
            </w:r>
            <w:proofErr w:type="spellEnd"/>
            <w:r w:rsidR="009602AA" w:rsidRPr="0088353E">
              <w:rPr>
                <w:rFonts w:ascii="Calibri" w:eastAsia="Calibri" w:hAnsi="Calibri" w:cs="Calibri"/>
                <w:sz w:val="20"/>
                <w:szCs w:val="20"/>
              </w:rPr>
              <w:t xml:space="preserve"> (v tis. Kč)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337454" w14:textId="77777777" w:rsidR="009602AA" w:rsidRPr="0088353E" w:rsidRDefault="009602AA" w:rsidP="0088353E">
            <w:pPr>
              <w:keepNext/>
              <w:spacing w:after="0" w:line="240" w:lineRule="auto"/>
              <w:ind w:right="2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sz w:val="20"/>
                <w:szCs w:val="20"/>
              </w:rPr>
              <w:t>4 566 268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02B7E0" w14:textId="77777777" w:rsidR="009602AA" w:rsidRPr="0088353E" w:rsidRDefault="009602AA" w:rsidP="0088353E">
            <w:pPr>
              <w:keepNext/>
              <w:spacing w:after="0" w:line="240" w:lineRule="auto"/>
              <w:ind w:right="2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sz w:val="20"/>
                <w:szCs w:val="20"/>
              </w:rPr>
              <w:t>4 566 268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54BB82" w14:textId="77777777" w:rsidR="009602AA" w:rsidRPr="0088353E" w:rsidRDefault="009602AA" w:rsidP="0088353E">
            <w:pPr>
              <w:keepNext/>
              <w:spacing w:after="0" w:line="240" w:lineRule="auto"/>
              <w:ind w:right="2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sz w:val="20"/>
                <w:szCs w:val="20"/>
              </w:rPr>
              <w:t>4 566 268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AA275E" w14:textId="77777777" w:rsidR="009602AA" w:rsidRPr="0088353E" w:rsidRDefault="009602AA" w:rsidP="0088353E">
            <w:pPr>
              <w:keepNext/>
              <w:spacing w:after="0" w:line="240" w:lineRule="auto"/>
              <w:ind w:right="2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sz w:val="20"/>
                <w:szCs w:val="20"/>
              </w:rPr>
              <w:t>4 566 268</w:t>
            </w:r>
          </w:p>
        </w:tc>
      </w:tr>
      <w:tr w:rsidR="009602AA" w:rsidRPr="0088353E" w14:paraId="5002AC0D" w14:textId="77777777" w:rsidTr="0088353E">
        <w:trPr>
          <w:trHeight w:val="283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82DEA37" w14:textId="1B17D009" w:rsidR="009602AA" w:rsidRPr="0088353E" w:rsidRDefault="008638FC" w:rsidP="0088353E">
            <w:pPr>
              <w:keepNext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</w:t>
            </w:r>
            <w:r w:rsidR="009602AA"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odíl pohledávky/závazku </w:t>
            </w:r>
            <w:proofErr w:type="spellStart"/>
            <w:r w:rsidR="009602AA"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Jamburg</w:t>
            </w:r>
            <w:proofErr w:type="spellEnd"/>
            <w:r w:rsidR="009602AA"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na aktivech/pasivech podniku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 </w:t>
            </w:r>
            <w:r w:rsidR="009602AA"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%)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7F14B9" w14:textId="77777777" w:rsidR="009602AA" w:rsidRPr="0088353E" w:rsidRDefault="009602AA" w:rsidP="0088353E">
            <w:pPr>
              <w:keepNext/>
              <w:spacing w:after="0" w:line="240" w:lineRule="auto"/>
              <w:ind w:right="28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90,23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4AE7C2" w14:textId="77777777" w:rsidR="009602AA" w:rsidRPr="0088353E" w:rsidRDefault="009602AA" w:rsidP="0088353E">
            <w:pPr>
              <w:keepNext/>
              <w:spacing w:after="0" w:line="240" w:lineRule="auto"/>
              <w:ind w:right="28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90,33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A9BC32" w14:textId="77777777" w:rsidR="009602AA" w:rsidRPr="0088353E" w:rsidRDefault="009602AA" w:rsidP="0088353E">
            <w:pPr>
              <w:keepNext/>
              <w:spacing w:after="0" w:line="240" w:lineRule="auto"/>
              <w:ind w:right="28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91,33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A57EEB" w14:textId="77777777" w:rsidR="009602AA" w:rsidRPr="0088353E" w:rsidRDefault="009602AA" w:rsidP="0088353E">
            <w:pPr>
              <w:keepNext/>
              <w:spacing w:after="0" w:line="240" w:lineRule="auto"/>
              <w:ind w:right="28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53E">
              <w:rPr>
                <w:rFonts w:ascii="Calibri" w:eastAsia="Calibri" w:hAnsi="Calibri" w:cs="Calibri"/>
                <w:b/>
                <w:sz w:val="20"/>
                <w:szCs w:val="20"/>
              </w:rPr>
              <w:t>91,31</w:t>
            </w:r>
          </w:p>
        </w:tc>
      </w:tr>
    </w:tbl>
    <w:p w14:paraId="118F4EC9" w14:textId="7B94A97B" w:rsidR="009602AA" w:rsidRPr="009869E0" w:rsidRDefault="008638FC" w:rsidP="0088353E">
      <w:pPr>
        <w:spacing w:before="40" w:after="0" w:line="24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Z</w:t>
      </w:r>
      <w:r w:rsidR="009602AA" w:rsidRPr="0088353E">
        <w:rPr>
          <w:rFonts w:ascii="Calibri" w:eastAsia="Calibri" w:hAnsi="Calibri" w:cs="Calibri"/>
          <w:b/>
          <w:sz w:val="20"/>
        </w:rPr>
        <w:t xml:space="preserve">droj: </w:t>
      </w:r>
      <w:r w:rsidR="009602AA" w:rsidRPr="009869E0">
        <w:rPr>
          <w:rFonts w:ascii="Calibri" w:eastAsia="Calibri" w:hAnsi="Calibri" w:cs="Calibri"/>
          <w:sz w:val="20"/>
        </w:rPr>
        <w:t xml:space="preserve">účetní závěrky </w:t>
      </w:r>
      <w:proofErr w:type="spellStart"/>
      <w:r w:rsidR="009602AA" w:rsidRPr="009869E0">
        <w:rPr>
          <w:rFonts w:ascii="Calibri" w:eastAsia="Calibri" w:hAnsi="Calibri" w:cs="Calibri"/>
          <w:sz w:val="20"/>
        </w:rPr>
        <w:t>Transgasu</w:t>
      </w:r>
      <w:proofErr w:type="spellEnd"/>
      <w:r w:rsidR="009602AA" w:rsidRPr="009869E0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za roky </w:t>
      </w:r>
      <w:r w:rsidR="009602AA" w:rsidRPr="009869E0">
        <w:rPr>
          <w:rFonts w:ascii="Calibri" w:eastAsia="Calibri" w:hAnsi="Calibri" w:cs="Calibri"/>
          <w:sz w:val="20"/>
        </w:rPr>
        <w:t>2017</w:t>
      </w:r>
      <w:r w:rsidR="009602AA">
        <w:rPr>
          <w:rFonts w:ascii="Calibri" w:eastAsia="Calibri" w:hAnsi="Calibri" w:cs="Calibri"/>
          <w:sz w:val="20"/>
        </w:rPr>
        <w:t xml:space="preserve"> až </w:t>
      </w:r>
      <w:r w:rsidR="009602AA" w:rsidRPr="009869E0">
        <w:rPr>
          <w:rFonts w:ascii="Calibri" w:eastAsia="Calibri" w:hAnsi="Calibri" w:cs="Calibri"/>
          <w:sz w:val="20"/>
        </w:rPr>
        <w:t>2020</w:t>
      </w:r>
      <w:r w:rsidR="009602AA">
        <w:rPr>
          <w:rFonts w:ascii="Calibri" w:eastAsia="Calibri" w:hAnsi="Calibri" w:cs="Calibri"/>
          <w:sz w:val="20"/>
        </w:rPr>
        <w:t>.</w:t>
      </w:r>
    </w:p>
    <w:p w14:paraId="1C2B2ADD" w14:textId="7D7FF33F" w:rsidR="009602AA" w:rsidRPr="00572D60" w:rsidRDefault="009602AA" w:rsidP="00572D60">
      <w:pPr>
        <w:spacing w:before="120"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72D60">
        <w:rPr>
          <w:rFonts w:ascii="Calibri" w:eastAsia="Calibri" w:hAnsi="Calibri" w:cs="Calibri"/>
          <w:b/>
          <w:sz w:val="24"/>
          <w:szCs w:val="24"/>
        </w:rPr>
        <w:t>Neoprávněné vedení pohledávky a závazku v účetnictví a tím nadhodnocení aktiv a pasiv Transgas v rozporu s ustanovením § 30 odst. 1 zákona č. 563/1991 Sb.</w:t>
      </w:r>
      <w:r w:rsidRPr="00572D60">
        <w:rPr>
          <w:rStyle w:val="Znakapoznpodarou"/>
          <w:rFonts w:ascii="Calibri" w:eastAsia="Calibri" w:hAnsi="Calibri" w:cs="Calibri"/>
          <w:b/>
          <w:sz w:val="24"/>
          <w:szCs w:val="24"/>
        </w:rPr>
        <w:footnoteReference w:id="16"/>
      </w:r>
      <w:r w:rsidRPr="00572D60">
        <w:rPr>
          <w:rFonts w:ascii="Calibri" w:eastAsia="Calibri" w:hAnsi="Calibri" w:cs="Calibri"/>
          <w:b/>
          <w:sz w:val="24"/>
          <w:szCs w:val="24"/>
        </w:rPr>
        <w:t xml:space="preserve"> nezjistil ani při provádění inventarizace majetku a závazků.</w:t>
      </w:r>
    </w:p>
    <w:p w14:paraId="7F72DFC0" w14:textId="1ABC42E3" w:rsidR="001A36DC" w:rsidRPr="008638FC" w:rsidRDefault="008638FC" w:rsidP="008638F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3. </w:t>
      </w:r>
      <w:r w:rsidR="00676F21" w:rsidRPr="008638FC">
        <w:rPr>
          <w:rFonts w:ascii="Calibri" w:hAnsi="Calibri" w:cs="Calibri"/>
          <w:b/>
          <w:sz w:val="24"/>
          <w:szCs w:val="24"/>
        </w:rPr>
        <w:t>Úloha</w:t>
      </w:r>
      <w:r w:rsidR="00E33331" w:rsidRPr="008638FC">
        <w:rPr>
          <w:rFonts w:ascii="Calibri" w:hAnsi="Calibri" w:cs="Calibri"/>
          <w:b/>
          <w:sz w:val="24"/>
          <w:szCs w:val="24"/>
        </w:rPr>
        <w:t xml:space="preserve"> MPO jako zakladatele</w:t>
      </w:r>
    </w:p>
    <w:p w14:paraId="63E3C282" w14:textId="1281948D" w:rsidR="004F5CCA" w:rsidRPr="00572D60" w:rsidRDefault="008D4C09" w:rsidP="00BB3AD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2D60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2C91BC" wp14:editId="29FAEDEF">
                <wp:simplePos x="0" y="0"/>
                <wp:positionH relativeFrom="column">
                  <wp:posOffset>-25152</wp:posOffset>
                </wp:positionH>
                <wp:positionV relativeFrom="paragraph">
                  <wp:posOffset>156955</wp:posOffset>
                </wp:positionV>
                <wp:extent cx="5931674" cy="898497"/>
                <wp:effectExtent l="0" t="0" r="12065" b="1651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674" cy="8984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CEDAD" id="Obdélník 4" o:spid="_x0000_s1026" style="position:absolute;margin-left:-2pt;margin-top:12.35pt;width:467.05pt;height:70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" fillcolor="#bdd6ee [1300]" strokecolor="#bdd6ee [1300]" strokeweight="1pt"/>
            </w:pict>
          </mc:Fallback>
        </mc:AlternateContent>
      </w:r>
    </w:p>
    <w:p w14:paraId="63069848" w14:textId="30A3C5CD" w:rsidR="00F857A3" w:rsidRPr="00B74EBF" w:rsidRDefault="00F857A3" w:rsidP="00F857A3">
      <w:pPr>
        <w:pStyle w:val="Default"/>
        <w:jc w:val="both"/>
        <w:rPr>
          <w:rFonts w:asciiTheme="minorHAnsi" w:hAnsiTheme="minorHAnsi" w:cstheme="minorHAnsi"/>
        </w:rPr>
      </w:pPr>
      <w:r w:rsidRPr="00B74EBF">
        <w:rPr>
          <w:rFonts w:asciiTheme="minorHAnsi" w:hAnsiTheme="minorHAnsi" w:cstheme="minorHAnsi"/>
          <w:color w:val="auto"/>
        </w:rPr>
        <w:t xml:space="preserve">Vláda svým </w:t>
      </w:r>
      <w:r w:rsidR="00C267DC" w:rsidRPr="00B74EBF">
        <w:rPr>
          <w:rFonts w:asciiTheme="minorHAnsi" w:hAnsiTheme="minorHAnsi" w:cstheme="minorHAnsi"/>
          <w:color w:val="auto"/>
        </w:rPr>
        <w:t>u</w:t>
      </w:r>
      <w:r w:rsidRPr="00B74EBF">
        <w:rPr>
          <w:rFonts w:asciiTheme="minorHAnsi" w:hAnsiTheme="minorHAnsi" w:cstheme="minorHAnsi"/>
          <w:color w:val="auto"/>
        </w:rPr>
        <w:t xml:space="preserve">snesením </w:t>
      </w:r>
      <w:r w:rsidR="00C267DC" w:rsidRPr="00B74EBF">
        <w:rPr>
          <w:rFonts w:asciiTheme="minorHAnsi" w:hAnsiTheme="minorHAnsi" w:cstheme="minorHAnsi"/>
          <w:color w:val="auto"/>
        </w:rPr>
        <w:t xml:space="preserve">ze </w:t>
      </w:r>
      <w:r w:rsidRPr="00B74EBF">
        <w:rPr>
          <w:rFonts w:asciiTheme="minorHAnsi" w:hAnsiTheme="minorHAnsi" w:cstheme="minorHAnsi"/>
          <w:color w:val="auto"/>
        </w:rPr>
        <w:t xml:space="preserve">dne 17. února 2020 č. 115 schválila </w:t>
      </w:r>
      <w:r w:rsidRPr="008638FC">
        <w:rPr>
          <w:rFonts w:asciiTheme="minorHAnsi" w:hAnsiTheme="minorHAnsi" w:cstheme="minorHAnsi"/>
          <w:i/>
          <w:color w:val="auto"/>
        </w:rPr>
        <w:t>Strategii vlastnické politiky státu</w:t>
      </w:r>
      <w:r w:rsidRPr="00B74EBF">
        <w:rPr>
          <w:rFonts w:asciiTheme="minorHAnsi" w:hAnsiTheme="minorHAnsi" w:cstheme="minorHAnsi"/>
          <w:color w:val="auto"/>
        </w:rPr>
        <w:t xml:space="preserve"> a uložila členům vlády postupovat </w:t>
      </w:r>
      <w:r w:rsidRPr="00B74EBF">
        <w:rPr>
          <w:rFonts w:asciiTheme="minorHAnsi" w:hAnsiTheme="minorHAnsi" w:cstheme="minorHAnsi"/>
        </w:rPr>
        <w:t>při výkonu vlastnických práv státu k majetkovým účastem v</w:t>
      </w:r>
      <w:r w:rsidR="008638FC" w:rsidRPr="00B74EBF">
        <w:rPr>
          <w:rFonts w:asciiTheme="minorHAnsi" w:hAnsiTheme="minorHAnsi" w:cstheme="minorHAnsi"/>
        </w:rPr>
        <w:t> </w:t>
      </w:r>
      <w:r w:rsidRPr="00B74EBF">
        <w:rPr>
          <w:rFonts w:asciiTheme="minorHAnsi" w:hAnsiTheme="minorHAnsi" w:cstheme="minorHAnsi"/>
        </w:rPr>
        <w:t xml:space="preserve">obchodních společnostech a při výkonu zakladatelských činností v souladu se </w:t>
      </w:r>
      <w:r w:rsidR="008638FC">
        <w:rPr>
          <w:rFonts w:asciiTheme="minorHAnsi" w:hAnsiTheme="minorHAnsi" w:cstheme="minorHAnsi"/>
        </w:rPr>
        <w:t>s</w:t>
      </w:r>
      <w:r w:rsidRPr="00B74EBF">
        <w:rPr>
          <w:rFonts w:asciiTheme="minorHAnsi" w:hAnsiTheme="minorHAnsi" w:cstheme="minorHAnsi"/>
        </w:rPr>
        <w:t>trategií a</w:t>
      </w:r>
      <w:r w:rsidR="008638FC" w:rsidRPr="00B74EBF">
        <w:rPr>
          <w:rFonts w:asciiTheme="minorHAnsi" w:hAnsiTheme="minorHAnsi" w:cstheme="minorHAnsi"/>
        </w:rPr>
        <w:t> </w:t>
      </w:r>
      <w:r w:rsidRPr="00B74EBF">
        <w:rPr>
          <w:rFonts w:asciiTheme="minorHAnsi" w:hAnsiTheme="minorHAnsi" w:cstheme="minorHAnsi"/>
        </w:rPr>
        <w:t xml:space="preserve">aplikovat jednotlivá opatření v rámci své působnosti a v mezích platné legislativy.  </w:t>
      </w:r>
    </w:p>
    <w:p w14:paraId="7DBE8002" w14:textId="77777777" w:rsidR="00F857A3" w:rsidRDefault="00F857A3" w:rsidP="00F857A3">
      <w:pPr>
        <w:spacing w:after="0" w:line="240" w:lineRule="auto"/>
        <w:ind w:left="284" w:hanging="284"/>
        <w:jc w:val="both"/>
        <w:rPr>
          <w:rFonts w:cstheme="minorHAnsi"/>
          <w:b/>
          <w:sz w:val="24"/>
        </w:rPr>
      </w:pPr>
    </w:p>
    <w:p w14:paraId="116E7E70" w14:textId="77777777" w:rsidR="00F857A3" w:rsidRPr="007068B9" w:rsidRDefault="00F857A3" w:rsidP="00572D60">
      <w:pPr>
        <w:pStyle w:val="Default"/>
        <w:keepNext/>
        <w:spacing w:after="120"/>
        <w:jc w:val="both"/>
        <w:rPr>
          <w:rFonts w:asciiTheme="minorHAnsi" w:hAnsiTheme="minorHAnsi" w:cstheme="minorHAnsi"/>
          <w:b/>
        </w:rPr>
      </w:pPr>
      <w:r w:rsidRPr="007068B9">
        <w:rPr>
          <w:rFonts w:asciiTheme="minorHAnsi" w:hAnsiTheme="minorHAnsi" w:cstheme="minorHAnsi"/>
          <w:b/>
        </w:rPr>
        <w:t xml:space="preserve">Nezbytnost </w:t>
      </w:r>
      <w:r>
        <w:rPr>
          <w:rFonts w:asciiTheme="minorHAnsi" w:hAnsiTheme="minorHAnsi" w:cstheme="minorHAnsi"/>
          <w:b/>
        </w:rPr>
        <w:t xml:space="preserve">existence </w:t>
      </w:r>
      <w:proofErr w:type="spellStart"/>
      <w:r w:rsidRPr="007068B9">
        <w:rPr>
          <w:rFonts w:asciiTheme="minorHAnsi" w:hAnsiTheme="minorHAnsi" w:cstheme="minorHAnsi"/>
          <w:b/>
        </w:rPr>
        <w:t>Transgasu</w:t>
      </w:r>
      <w:proofErr w:type="spellEnd"/>
      <w:r w:rsidRPr="007068B9">
        <w:rPr>
          <w:rFonts w:asciiTheme="minorHAnsi" w:hAnsiTheme="minorHAnsi" w:cstheme="minorHAnsi"/>
          <w:b/>
        </w:rPr>
        <w:t xml:space="preserve"> není prokázána</w:t>
      </w:r>
    </w:p>
    <w:p w14:paraId="5BE094D4" w14:textId="77777777" w:rsidR="00F22C5B" w:rsidRDefault="00F857A3" w:rsidP="00F857A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Dle </w:t>
      </w:r>
      <w:r w:rsidRPr="00B74EBF">
        <w:rPr>
          <w:rFonts w:cstheme="minorHAnsi"/>
          <w:i/>
          <w:sz w:val="24"/>
        </w:rPr>
        <w:t>Strategie vlastnické politiky státu</w:t>
      </w:r>
      <w:r>
        <w:rPr>
          <w:rFonts w:cstheme="minorHAnsi"/>
          <w:sz w:val="24"/>
        </w:rPr>
        <w:t xml:space="preserve"> lze zařadit státní podnik do kategorie</w:t>
      </w:r>
      <w:r w:rsidR="00F22C5B">
        <w:rPr>
          <w:rFonts w:cstheme="minorHAnsi"/>
          <w:sz w:val="24"/>
        </w:rPr>
        <w:t>:</w:t>
      </w:r>
    </w:p>
    <w:p w14:paraId="09211BCA" w14:textId="77777777" w:rsidR="00F22C5B" w:rsidRPr="008638FC" w:rsidRDefault="00F857A3" w:rsidP="008638FC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</w:rPr>
      </w:pPr>
      <w:r w:rsidRPr="00B74EBF">
        <w:rPr>
          <w:rFonts w:cstheme="minorHAnsi"/>
          <w:sz w:val="24"/>
        </w:rPr>
        <w:t xml:space="preserve">strategický, </w:t>
      </w:r>
    </w:p>
    <w:p w14:paraId="04EC2F27" w14:textId="6E17E347" w:rsidR="00F22C5B" w:rsidRPr="008638FC" w:rsidRDefault="00F857A3" w:rsidP="008638FC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</w:rPr>
      </w:pPr>
      <w:r w:rsidRPr="00B74EBF">
        <w:rPr>
          <w:rFonts w:cstheme="minorHAnsi"/>
          <w:sz w:val="24"/>
        </w:rPr>
        <w:t>nezbytný pro činnost resortu</w:t>
      </w:r>
      <w:r w:rsidR="006E2573" w:rsidRPr="00B74EBF">
        <w:rPr>
          <w:rFonts w:cstheme="minorHAnsi"/>
          <w:sz w:val="24"/>
        </w:rPr>
        <w:t>,</w:t>
      </w:r>
      <w:r w:rsidRPr="008638FC">
        <w:rPr>
          <w:rFonts w:cstheme="minorHAnsi"/>
          <w:sz w:val="24"/>
        </w:rPr>
        <w:t xml:space="preserve"> </w:t>
      </w:r>
    </w:p>
    <w:p w14:paraId="0247750B" w14:textId="77777777" w:rsidR="005012E1" w:rsidRPr="008638FC" w:rsidRDefault="00F22C5B" w:rsidP="008638FC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</w:rPr>
      </w:pPr>
      <w:r w:rsidRPr="008638FC">
        <w:rPr>
          <w:rFonts w:cstheme="minorHAnsi"/>
          <w:sz w:val="24"/>
        </w:rPr>
        <w:t>z</w:t>
      </w:r>
      <w:r w:rsidR="00F857A3" w:rsidRPr="00B74EBF">
        <w:rPr>
          <w:rFonts w:cstheme="minorHAnsi"/>
          <w:sz w:val="24"/>
        </w:rPr>
        <w:t>bytný pro činnost resortu.</w:t>
      </w:r>
      <w:r w:rsidR="00F857A3" w:rsidRPr="008638FC">
        <w:rPr>
          <w:rFonts w:cstheme="minorHAnsi"/>
          <w:sz w:val="24"/>
        </w:rPr>
        <w:t xml:space="preserve"> </w:t>
      </w:r>
    </w:p>
    <w:p w14:paraId="45EB3FB2" w14:textId="3840F4F0" w:rsidR="00F8463E" w:rsidRDefault="00F857A3" w:rsidP="00572D60">
      <w:pPr>
        <w:spacing w:before="120" w:after="120" w:line="240" w:lineRule="auto"/>
        <w:jc w:val="both"/>
        <w:rPr>
          <w:rFonts w:cstheme="minorHAnsi"/>
          <w:sz w:val="24"/>
        </w:rPr>
      </w:pPr>
      <w:r w:rsidRPr="005012E1">
        <w:rPr>
          <w:rFonts w:cstheme="minorHAnsi"/>
          <w:sz w:val="24"/>
        </w:rPr>
        <w:t>MPO klasifikovalo Transgas jako nezbytný pro činnost resortu, přestože provozuje téměř výhradně realitní činnost. V průběhu kontroly MPO několikrát sdělilo, že jediným důvodem (a</w:t>
      </w:r>
      <w:r w:rsidR="008638FC">
        <w:rPr>
          <w:rFonts w:cstheme="minorHAnsi"/>
          <w:sz w:val="24"/>
        </w:rPr>
        <w:t> </w:t>
      </w:r>
      <w:r w:rsidRPr="005012E1">
        <w:rPr>
          <w:rFonts w:cstheme="minorHAnsi"/>
          <w:sz w:val="24"/>
        </w:rPr>
        <w:t xml:space="preserve">to pouze dočasným) pro zařazení státního podniku do kategorie </w:t>
      </w:r>
      <w:r w:rsidRPr="005012E1">
        <w:rPr>
          <w:rFonts w:cstheme="minorHAnsi"/>
          <w:i/>
          <w:sz w:val="24"/>
        </w:rPr>
        <w:t>nezbytný pro činnost re</w:t>
      </w:r>
      <w:r w:rsidR="00542759">
        <w:rPr>
          <w:rFonts w:cstheme="minorHAnsi"/>
          <w:i/>
          <w:sz w:val="24"/>
        </w:rPr>
        <w:t>s</w:t>
      </w:r>
      <w:r w:rsidRPr="005012E1">
        <w:rPr>
          <w:rFonts w:cstheme="minorHAnsi"/>
          <w:i/>
          <w:sz w:val="24"/>
        </w:rPr>
        <w:t>ortu</w:t>
      </w:r>
      <w:r w:rsidRPr="005012E1">
        <w:rPr>
          <w:rFonts w:cstheme="minorHAnsi"/>
          <w:sz w:val="24"/>
        </w:rPr>
        <w:t xml:space="preserve"> je existence pohledávky z tzv. </w:t>
      </w:r>
      <w:proofErr w:type="spellStart"/>
      <w:r w:rsidR="008638FC">
        <w:rPr>
          <w:rFonts w:cstheme="minorHAnsi"/>
          <w:sz w:val="24"/>
        </w:rPr>
        <w:t>j</w:t>
      </w:r>
      <w:r w:rsidRPr="005012E1">
        <w:rPr>
          <w:rFonts w:cstheme="minorHAnsi"/>
          <w:sz w:val="24"/>
        </w:rPr>
        <w:t>amburgských</w:t>
      </w:r>
      <w:proofErr w:type="spellEnd"/>
      <w:r w:rsidRPr="005012E1">
        <w:rPr>
          <w:rFonts w:cstheme="minorHAnsi"/>
          <w:sz w:val="24"/>
        </w:rPr>
        <w:t xml:space="preserve"> dohod v účetnictví </w:t>
      </w:r>
      <w:proofErr w:type="spellStart"/>
      <w:r w:rsidRPr="005012E1">
        <w:rPr>
          <w:rFonts w:cstheme="minorHAnsi"/>
          <w:sz w:val="24"/>
        </w:rPr>
        <w:t>Transgasu</w:t>
      </w:r>
      <w:proofErr w:type="spellEnd"/>
      <w:r w:rsidRPr="005012E1">
        <w:rPr>
          <w:rFonts w:cstheme="minorHAnsi"/>
          <w:sz w:val="24"/>
        </w:rPr>
        <w:t xml:space="preserve">. Jinak by byl tento podnik označen jako zbytný. Zbytné podniky by dle </w:t>
      </w:r>
      <w:r w:rsidRPr="005012E1">
        <w:rPr>
          <w:rFonts w:cstheme="minorHAnsi"/>
          <w:i/>
          <w:sz w:val="24"/>
        </w:rPr>
        <w:t>Strategie vlastnické politiky státu</w:t>
      </w:r>
      <w:r w:rsidRPr="005012E1">
        <w:rPr>
          <w:rFonts w:cstheme="minorHAnsi"/>
          <w:sz w:val="24"/>
        </w:rPr>
        <w:t xml:space="preserve"> měly být prodány či zlikvidovány. </w:t>
      </w:r>
    </w:p>
    <w:p w14:paraId="1749A50A" w14:textId="651BC8EA" w:rsidR="00F857A3" w:rsidRPr="005012E1" w:rsidRDefault="00F857A3" w:rsidP="00572D60">
      <w:pPr>
        <w:spacing w:after="120" w:line="240" w:lineRule="auto"/>
        <w:jc w:val="both"/>
        <w:rPr>
          <w:rFonts w:cstheme="minorHAnsi"/>
          <w:b/>
          <w:sz w:val="24"/>
        </w:rPr>
      </w:pPr>
      <w:r w:rsidRPr="005012E1">
        <w:rPr>
          <w:rFonts w:cstheme="minorHAnsi"/>
          <w:b/>
          <w:sz w:val="24"/>
        </w:rPr>
        <w:t xml:space="preserve">NKÚ zjistil, že pohledávka z tzv. </w:t>
      </w:r>
      <w:proofErr w:type="spellStart"/>
      <w:r w:rsidR="008638FC">
        <w:rPr>
          <w:rFonts w:cstheme="minorHAnsi"/>
          <w:b/>
          <w:sz w:val="24"/>
        </w:rPr>
        <w:t>j</w:t>
      </w:r>
      <w:r w:rsidRPr="005012E1">
        <w:rPr>
          <w:rFonts w:cstheme="minorHAnsi"/>
          <w:b/>
          <w:sz w:val="24"/>
        </w:rPr>
        <w:t>amburgských</w:t>
      </w:r>
      <w:proofErr w:type="spellEnd"/>
      <w:r w:rsidRPr="005012E1">
        <w:rPr>
          <w:rFonts w:cstheme="minorHAnsi"/>
          <w:b/>
          <w:sz w:val="24"/>
        </w:rPr>
        <w:t xml:space="preserve"> dohod je vedena v účetnictví </w:t>
      </w:r>
      <w:proofErr w:type="spellStart"/>
      <w:r w:rsidRPr="005012E1">
        <w:rPr>
          <w:rFonts w:cstheme="minorHAnsi"/>
          <w:b/>
          <w:sz w:val="24"/>
        </w:rPr>
        <w:t>Transgasu</w:t>
      </w:r>
      <w:proofErr w:type="spellEnd"/>
      <w:r w:rsidRPr="005012E1">
        <w:rPr>
          <w:rFonts w:cstheme="minorHAnsi"/>
          <w:b/>
          <w:sz w:val="24"/>
        </w:rPr>
        <w:t xml:space="preserve"> neoprávněně (</w:t>
      </w:r>
      <w:r w:rsidR="008638FC">
        <w:rPr>
          <w:rFonts w:cstheme="minorHAnsi"/>
          <w:b/>
          <w:sz w:val="24"/>
        </w:rPr>
        <w:t xml:space="preserve">podrobněji </w:t>
      </w:r>
      <w:r w:rsidRPr="005012E1">
        <w:rPr>
          <w:rFonts w:cstheme="minorHAnsi"/>
          <w:b/>
          <w:sz w:val="24"/>
        </w:rPr>
        <w:t xml:space="preserve">popsáno </w:t>
      </w:r>
      <w:r w:rsidR="008638FC">
        <w:rPr>
          <w:rFonts w:cstheme="minorHAnsi"/>
          <w:b/>
          <w:sz w:val="24"/>
        </w:rPr>
        <w:t xml:space="preserve">výše </w:t>
      </w:r>
      <w:r w:rsidRPr="005012E1">
        <w:rPr>
          <w:rFonts w:cstheme="minorHAnsi"/>
          <w:b/>
          <w:sz w:val="24"/>
        </w:rPr>
        <w:t xml:space="preserve">v bodě </w:t>
      </w:r>
      <w:r w:rsidR="005012E1">
        <w:rPr>
          <w:rFonts w:cstheme="minorHAnsi"/>
          <w:b/>
          <w:sz w:val="24"/>
        </w:rPr>
        <w:t>IV.</w:t>
      </w:r>
      <w:r w:rsidR="0090793E">
        <w:rPr>
          <w:rFonts w:cstheme="minorHAnsi"/>
          <w:b/>
          <w:sz w:val="24"/>
        </w:rPr>
        <w:t>2</w:t>
      </w:r>
      <w:r w:rsidRPr="005012E1">
        <w:rPr>
          <w:rFonts w:cstheme="minorHAnsi"/>
          <w:b/>
          <w:sz w:val="24"/>
        </w:rPr>
        <w:t xml:space="preserve">). </w:t>
      </w:r>
      <w:r w:rsidR="00191D5C">
        <w:rPr>
          <w:rFonts w:cstheme="minorHAnsi"/>
          <w:b/>
          <w:sz w:val="24"/>
        </w:rPr>
        <w:t xml:space="preserve">Tím odpadá jediný </w:t>
      </w:r>
      <w:r w:rsidR="00DA2E00">
        <w:rPr>
          <w:rFonts w:cstheme="minorHAnsi"/>
          <w:b/>
          <w:sz w:val="24"/>
        </w:rPr>
        <w:t xml:space="preserve">významný </w:t>
      </w:r>
      <w:r w:rsidR="00191D5C">
        <w:rPr>
          <w:rFonts w:cstheme="minorHAnsi"/>
          <w:b/>
          <w:sz w:val="24"/>
        </w:rPr>
        <w:t xml:space="preserve">důvod existence </w:t>
      </w:r>
      <w:proofErr w:type="spellStart"/>
      <w:r w:rsidR="00191D5C">
        <w:rPr>
          <w:rFonts w:cstheme="minorHAnsi"/>
          <w:b/>
          <w:sz w:val="24"/>
        </w:rPr>
        <w:t>Transgasu</w:t>
      </w:r>
      <w:proofErr w:type="spellEnd"/>
      <w:r w:rsidR="00191D5C">
        <w:rPr>
          <w:rFonts w:cstheme="minorHAnsi"/>
          <w:b/>
          <w:sz w:val="24"/>
        </w:rPr>
        <w:t>.</w:t>
      </w:r>
      <w:r w:rsidRPr="005012E1">
        <w:rPr>
          <w:rFonts w:cstheme="minorHAnsi"/>
          <w:b/>
          <w:sz w:val="24"/>
        </w:rPr>
        <w:t xml:space="preserve">  </w:t>
      </w:r>
    </w:p>
    <w:p w14:paraId="485E30F5" w14:textId="0E9C51F9" w:rsidR="00F857A3" w:rsidRPr="007068B9" w:rsidRDefault="00F857A3" w:rsidP="00572D60">
      <w:pPr>
        <w:keepNext/>
        <w:spacing w:after="120" w:line="240" w:lineRule="auto"/>
        <w:ind w:left="284" w:hanging="284"/>
        <w:jc w:val="both"/>
        <w:rPr>
          <w:rFonts w:cstheme="minorHAnsi"/>
          <w:b/>
          <w:sz w:val="24"/>
        </w:rPr>
      </w:pPr>
      <w:r w:rsidRPr="007068B9">
        <w:rPr>
          <w:rFonts w:cstheme="minorHAnsi"/>
          <w:b/>
          <w:sz w:val="24"/>
        </w:rPr>
        <w:t xml:space="preserve">MPO využívá Transgas k řešení </w:t>
      </w:r>
      <w:r w:rsidR="006455BF">
        <w:rPr>
          <w:rFonts w:cstheme="minorHAnsi"/>
          <w:b/>
          <w:sz w:val="24"/>
        </w:rPr>
        <w:t>dílčích úkolů</w:t>
      </w:r>
      <w:r w:rsidRPr="007068B9">
        <w:rPr>
          <w:rFonts w:cstheme="minorHAnsi"/>
          <w:b/>
          <w:sz w:val="24"/>
        </w:rPr>
        <w:t xml:space="preserve"> v re</w:t>
      </w:r>
      <w:r>
        <w:rPr>
          <w:rFonts w:cstheme="minorHAnsi"/>
          <w:b/>
          <w:sz w:val="24"/>
        </w:rPr>
        <w:t>s</w:t>
      </w:r>
      <w:r w:rsidRPr="007068B9">
        <w:rPr>
          <w:rFonts w:cstheme="minorHAnsi"/>
          <w:b/>
          <w:sz w:val="24"/>
        </w:rPr>
        <w:t>ortu</w:t>
      </w:r>
    </w:p>
    <w:p w14:paraId="046ABF34" w14:textId="75F79491" w:rsidR="00F857A3" w:rsidRPr="007068B9" w:rsidRDefault="00F857A3" w:rsidP="00572D60">
      <w:p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068B9">
        <w:rPr>
          <w:rFonts w:ascii="Calibri" w:eastAsia="Calibri" w:hAnsi="Calibri" w:cs="Times New Roman"/>
          <w:sz w:val="24"/>
          <w:szCs w:val="24"/>
        </w:rPr>
        <w:t>Na základě usnesení vlády ze dne 5. dubna 2017 č. 269</w:t>
      </w:r>
      <w:r w:rsidRPr="00447767">
        <w:rPr>
          <w:vertAlign w:val="superscript"/>
        </w:rPr>
        <w:footnoteReference w:id="17"/>
      </w:r>
      <w:r w:rsidRPr="007068B9">
        <w:rPr>
          <w:rFonts w:ascii="Calibri" w:eastAsia="Calibri" w:hAnsi="Calibri" w:cs="Times New Roman"/>
          <w:sz w:val="24"/>
          <w:szCs w:val="24"/>
        </w:rPr>
        <w:t xml:space="preserve"> a usnesení vlády ze dne 24. července 2017 č. 560</w:t>
      </w:r>
      <w:r w:rsidRPr="00447767">
        <w:rPr>
          <w:vertAlign w:val="superscript"/>
        </w:rPr>
        <w:footnoteReference w:id="18"/>
      </w:r>
      <w:r w:rsidRPr="007068B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ministr průmyslu a obchodu uložil </w:t>
      </w:r>
      <w:proofErr w:type="spellStart"/>
      <w:r w:rsidRPr="007068B9">
        <w:rPr>
          <w:rFonts w:ascii="Calibri" w:eastAsia="Calibri" w:hAnsi="Calibri" w:cs="Times New Roman"/>
          <w:sz w:val="24"/>
          <w:szCs w:val="24"/>
        </w:rPr>
        <w:t>Transgas</w:t>
      </w:r>
      <w:r>
        <w:rPr>
          <w:rFonts w:ascii="Calibri" w:eastAsia="Calibri" w:hAnsi="Calibri" w:cs="Times New Roman"/>
          <w:sz w:val="24"/>
          <w:szCs w:val="24"/>
        </w:rPr>
        <w:t>u</w:t>
      </w:r>
      <w:proofErr w:type="spellEnd"/>
      <w:r w:rsidRPr="007068B9">
        <w:rPr>
          <w:rFonts w:ascii="Calibri" w:eastAsia="Calibri" w:hAnsi="Calibri" w:cs="Times New Roman"/>
          <w:sz w:val="24"/>
          <w:szCs w:val="24"/>
        </w:rPr>
        <w:t xml:space="preserve">, aby založil obchodní společnost </w:t>
      </w:r>
      <w:r w:rsidRPr="007068B9">
        <w:rPr>
          <w:rFonts w:ascii="Calibri" w:eastAsia="Calibri" w:hAnsi="Calibri" w:cs="Times New Roman"/>
          <w:sz w:val="24"/>
          <w:szCs w:val="24"/>
        </w:rPr>
        <w:lastRenderedPageBreak/>
        <w:t>(české SPV</w:t>
      </w:r>
      <w:r w:rsidRPr="00447767">
        <w:rPr>
          <w:vertAlign w:val="superscript"/>
        </w:rPr>
        <w:footnoteReference w:id="19"/>
      </w:r>
      <w:r w:rsidRPr="007068B9">
        <w:rPr>
          <w:rFonts w:ascii="Calibri" w:eastAsia="Calibri" w:hAnsi="Calibri" w:cs="Times New Roman"/>
          <w:sz w:val="24"/>
          <w:szCs w:val="24"/>
        </w:rPr>
        <w:t xml:space="preserve">), která současně založí v Turecku podle tureckého práva dceřinou společnost (turecké SPV) za účelem řešení problematiky obchodního případu </w:t>
      </w:r>
      <w:proofErr w:type="spellStart"/>
      <w:r w:rsidRPr="007068B9">
        <w:rPr>
          <w:rFonts w:ascii="Calibri" w:eastAsia="Calibri" w:hAnsi="Calibri" w:cs="Times New Roman"/>
          <w:sz w:val="24"/>
          <w:szCs w:val="24"/>
        </w:rPr>
        <w:t>Adularya</w:t>
      </w:r>
      <w:proofErr w:type="spellEnd"/>
      <w:r w:rsidRPr="007068B9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7068B9">
        <w:rPr>
          <w:rFonts w:ascii="Calibri" w:eastAsia="Calibri" w:hAnsi="Calibri" w:cs="Times New Roman"/>
          <w:sz w:val="24"/>
          <w:szCs w:val="24"/>
        </w:rPr>
        <w:t>Yunus</w:t>
      </w:r>
      <w:proofErr w:type="spellEnd"/>
      <w:r w:rsidRPr="007068B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7068B9">
        <w:rPr>
          <w:rFonts w:ascii="Calibri" w:eastAsia="Calibri" w:hAnsi="Calibri" w:cs="Times New Roman"/>
          <w:sz w:val="24"/>
          <w:szCs w:val="24"/>
        </w:rPr>
        <w:t>Emre</w:t>
      </w:r>
      <w:proofErr w:type="spellEnd"/>
      <w:r w:rsidRPr="007068B9">
        <w:rPr>
          <w:rFonts w:ascii="Calibri" w:eastAsia="Calibri" w:hAnsi="Calibri" w:cs="Times New Roman"/>
          <w:sz w:val="24"/>
          <w:szCs w:val="24"/>
        </w:rPr>
        <w:t xml:space="preserve"> v Turecku. Jednalo se o nefungující elektrárnu, na kterou poskytla Česká exportní banka</w:t>
      </w:r>
      <w:r w:rsidR="00AB62CA">
        <w:rPr>
          <w:rFonts w:ascii="Calibri" w:eastAsia="Calibri" w:hAnsi="Calibri" w:cs="Times New Roman"/>
          <w:sz w:val="24"/>
          <w:szCs w:val="24"/>
        </w:rPr>
        <w:t>,</w:t>
      </w:r>
      <w:r w:rsidRPr="007068B9">
        <w:rPr>
          <w:rFonts w:ascii="Calibri" w:eastAsia="Calibri" w:hAnsi="Calibri" w:cs="Times New Roman"/>
          <w:sz w:val="24"/>
          <w:szCs w:val="24"/>
        </w:rPr>
        <w:t xml:space="preserve"> a.s.</w:t>
      </w:r>
      <w:r w:rsidR="00AB62CA">
        <w:rPr>
          <w:rFonts w:ascii="Calibri" w:eastAsia="Calibri" w:hAnsi="Calibri" w:cs="Times New Roman"/>
          <w:sz w:val="24"/>
          <w:szCs w:val="24"/>
        </w:rPr>
        <w:t>,</w:t>
      </w:r>
      <w:r w:rsidRPr="007068B9">
        <w:rPr>
          <w:rFonts w:ascii="Calibri" w:eastAsia="Calibri" w:hAnsi="Calibri" w:cs="Times New Roman"/>
          <w:sz w:val="24"/>
          <w:szCs w:val="24"/>
        </w:rPr>
        <w:t xml:space="preserve"> úvěr ve výši 11,7 mld. Kč</w:t>
      </w:r>
      <w:r w:rsidR="00C564A3">
        <w:rPr>
          <w:rFonts w:ascii="Calibri" w:eastAsia="Calibri" w:hAnsi="Calibri" w:cs="Times New Roman"/>
          <w:sz w:val="24"/>
          <w:szCs w:val="24"/>
        </w:rPr>
        <w:t>,</w:t>
      </w:r>
      <w:r w:rsidRPr="007068B9">
        <w:rPr>
          <w:rFonts w:ascii="Calibri" w:eastAsia="Calibri" w:hAnsi="Calibri" w:cs="Times New Roman"/>
          <w:sz w:val="24"/>
          <w:szCs w:val="24"/>
        </w:rPr>
        <w:t xml:space="preserve"> pojištěný Exportní a garanční pojišťovací společností</w:t>
      </w:r>
      <w:r w:rsidR="00AB62CA">
        <w:rPr>
          <w:rFonts w:ascii="Calibri" w:eastAsia="Calibri" w:hAnsi="Calibri" w:cs="Times New Roman"/>
          <w:sz w:val="24"/>
          <w:szCs w:val="24"/>
        </w:rPr>
        <w:t>,</w:t>
      </w:r>
      <w:r w:rsidRPr="007068B9">
        <w:rPr>
          <w:rFonts w:ascii="Calibri" w:eastAsia="Calibri" w:hAnsi="Calibri" w:cs="Times New Roman"/>
          <w:sz w:val="24"/>
          <w:szCs w:val="24"/>
        </w:rPr>
        <w:t xml:space="preserve"> a.s. (dále také „EGAP“). Založení dceřiných společností bylo podmíněno kladným výsledkem studie proveditelnosti, kterou nechal zpracovat EGAP. Transgas připravil </w:t>
      </w:r>
      <w:r>
        <w:rPr>
          <w:rFonts w:ascii="Calibri" w:eastAsia="Calibri" w:hAnsi="Calibri" w:cs="Times New Roman"/>
          <w:sz w:val="24"/>
          <w:szCs w:val="24"/>
        </w:rPr>
        <w:t>založení dceřiných společností</w:t>
      </w:r>
      <w:r w:rsidRPr="007068B9">
        <w:rPr>
          <w:rFonts w:ascii="Calibri" w:eastAsia="Calibri" w:hAnsi="Calibri" w:cs="Times New Roman"/>
          <w:sz w:val="24"/>
          <w:szCs w:val="24"/>
        </w:rPr>
        <w:t xml:space="preserve">, avšak k realizaci nikdy nedošlo, neboť MPO </w:t>
      </w:r>
      <w:r>
        <w:rPr>
          <w:rFonts w:ascii="Calibri" w:eastAsia="Calibri" w:hAnsi="Calibri" w:cs="Times New Roman"/>
          <w:sz w:val="24"/>
          <w:szCs w:val="24"/>
        </w:rPr>
        <w:t xml:space="preserve">dne </w:t>
      </w:r>
      <w:r w:rsidRPr="007068B9">
        <w:rPr>
          <w:rFonts w:ascii="Calibri" w:eastAsia="Calibri" w:hAnsi="Calibri" w:cs="Times New Roman"/>
          <w:sz w:val="24"/>
          <w:szCs w:val="24"/>
        </w:rPr>
        <w:t xml:space="preserve">13. prosince 2017 </w:t>
      </w:r>
      <w:r>
        <w:rPr>
          <w:rFonts w:ascii="Calibri" w:eastAsia="Calibri" w:hAnsi="Calibri" w:cs="Times New Roman"/>
          <w:sz w:val="24"/>
          <w:szCs w:val="24"/>
        </w:rPr>
        <w:t xml:space="preserve">informovalo </w:t>
      </w:r>
      <w:r w:rsidRPr="007068B9">
        <w:rPr>
          <w:rFonts w:ascii="Calibri" w:eastAsia="Calibri" w:hAnsi="Calibri" w:cs="Times New Roman"/>
          <w:sz w:val="24"/>
          <w:szCs w:val="24"/>
        </w:rPr>
        <w:t xml:space="preserve">Transgas o negativním výsledku studie proveditelnosti tohoto řešení a uložilo mu zastavit veškerou činnost v této oblasti. </w:t>
      </w:r>
    </w:p>
    <w:p w14:paraId="43980A62" w14:textId="360B7D88" w:rsidR="00F857A3" w:rsidRPr="00572D60" w:rsidRDefault="00F857A3" w:rsidP="00572D60">
      <w:pPr>
        <w:spacing w:before="120" w:after="12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572D60">
        <w:rPr>
          <w:rFonts w:ascii="Calibri" w:hAnsi="Calibri" w:cs="Calibri"/>
          <w:color w:val="000000" w:themeColor="text1"/>
          <w:sz w:val="24"/>
          <w:szCs w:val="24"/>
        </w:rPr>
        <w:t>V roce 2020 po dohodě s MPO začal Transgas realizovat záměr vybudovat novou administrativně zkušební budovu v areálu Brno</w:t>
      </w:r>
      <w:r w:rsidR="00AB62CA">
        <w:rPr>
          <w:rFonts w:ascii="Calibri" w:hAnsi="Calibri" w:cs="Calibri"/>
          <w:color w:val="000000" w:themeColor="text1"/>
          <w:sz w:val="24"/>
          <w:szCs w:val="24"/>
        </w:rPr>
        <w:t>-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Černovice, a to pro společnost </w:t>
      </w:r>
      <w:proofErr w:type="spellStart"/>
      <w:r w:rsidRPr="00572D60">
        <w:rPr>
          <w:rFonts w:ascii="Calibri" w:hAnsi="Calibri" w:cs="Calibri"/>
          <w:color w:val="000000" w:themeColor="text1"/>
          <w:sz w:val="24"/>
          <w:szCs w:val="24"/>
        </w:rPr>
        <w:t>Qualiform</w:t>
      </w:r>
      <w:proofErr w:type="spellEnd"/>
      <w:r w:rsidR="00744F6A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a.s., která je dceřinou společností Technického a zkušebního ústavu stavebního Praha, </w:t>
      </w:r>
      <w:proofErr w:type="spellStart"/>
      <w:r w:rsidRPr="00572D60">
        <w:rPr>
          <w:rFonts w:ascii="Calibri" w:hAnsi="Calibri" w:cs="Calibri"/>
          <w:color w:val="000000" w:themeColor="text1"/>
          <w:sz w:val="24"/>
          <w:szCs w:val="24"/>
        </w:rPr>
        <w:t>s.p</w:t>
      </w:r>
      <w:proofErr w:type="spellEnd"/>
      <w:r w:rsidRPr="00572D60">
        <w:rPr>
          <w:rFonts w:ascii="Calibri" w:hAnsi="Calibri" w:cs="Calibri"/>
          <w:color w:val="000000" w:themeColor="text1"/>
          <w:sz w:val="24"/>
          <w:szCs w:val="24"/>
        </w:rPr>
        <w:t>., jehož zakladatelem je rovněž MPO. V</w:t>
      </w:r>
      <w:r w:rsidRPr="0057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 době kontroly NKÚ </w:t>
      </w:r>
      <w:r w:rsidR="006455BF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>zadal</w:t>
      </w:r>
      <w:r w:rsidR="008278DD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012E1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>Transgas</w:t>
      </w:r>
      <w:r w:rsidRPr="0057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278DD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zpracovat </w:t>
      </w:r>
      <w:r w:rsidRPr="00572D60">
        <w:rPr>
          <w:rFonts w:ascii="Calibri" w:eastAsia="Calibri" w:hAnsi="Calibri" w:cs="Calibri"/>
          <w:color w:val="000000" w:themeColor="text1"/>
          <w:sz w:val="24"/>
          <w:szCs w:val="24"/>
        </w:rPr>
        <w:t>projektov</w:t>
      </w:r>
      <w:r w:rsidR="005012E1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>ou</w:t>
      </w:r>
      <w:r w:rsidRPr="0057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dokumentac</w:t>
      </w:r>
      <w:r w:rsidR="005012E1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57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této budovy</w:t>
      </w:r>
      <w:r w:rsidR="005012E1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externí</w:t>
      </w:r>
      <w:r w:rsidR="0090793E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>mu</w:t>
      </w:r>
      <w:r w:rsidR="005012E1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dodavatel</w:t>
      </w:r>
      <w:r w:rsidR="0090793E" w:rsidRPr="00572D60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00572D6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6FC6114" w14:textId="6420CE92" w:rsidR="00E33331" w:rsidRPr="00572D60" w:rsidRDefault="00B07498" w:rsidP="00572D60">
      <w:pPr>
        <w:keepNext/>
        <w:spacing w:before="120" w:after="12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72D60">
        <w:rPr>
          <w:rFonts w:ascii="Calibri" w:hAnsi="Calibri" w:cs="Calibri"/>
          <w:b/>
          <w:color w:val="000000" w:themeColor="text1"/>
          <w:sz w:val="24"/>
          <w:szCs w:val="24"/>
        </w:rPr>
        <w:t>Plnění povinností zakladatele</w:t>
      </w:r>
    </w:p>
    <w:p w14:paraId="59D64F95" w14:textId="0F75B660" w:rsidR="00E33331" w:rsidRPr="00572D60" w:rsidRDefault="00E33331" w:rsidP="00572D60">
      <w:pPr>
        <w:spacing w:before="120" w:after="12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Základní povinnosti MPO </w:t>
      </w:r>
      <w:r w:rsidR="009D2566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při výkonu funkce 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>zakladatele státního podniku určuje zákon o</w:t>
      </w:r>
      <w:r w:rsidR="00572D6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>státním podniku</w:t>
      </w:r>
      <w:r w:rsidRPr="00572D60">
        <w:rPr>
          <w:rStyle w:val="Znakapoznpodarou"/>
          <w:rFonts w:ascii="Calibri" w:hAnsi="Calibri" w:cs="Calibri"/>
          <w:color w:val="000000" w:themeColor="text1"/>
          <w:sz w:val="24"/>
          <w:szCs w:val="24"/>
        </w:rPr>
        <w:footnoteReference w:id="20"/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>. MPO vydalo zakládací listinu</w:t>
      </w:r>
      <w:r w:rsidRPr="00572D60">
        <w:rPr>
          <w:rStyle w:val="Znakapoznpodarou"/>
          <w:rFonts w:ascii="Calibri" w:hAnsi="Calibri" w:cs="Calibri"/>
          <w:color w:val="000000" w:themeColor="text1"/>
          <w:sz w:val="24"/>
          <w:szCs w:val="24"/>
        </w:rPr>
        <w:footnoteReference w:id="21"/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státního podniku, ve které uvádí základní údaje o státním podniku. Zakládací listina mimo jiné vymezuje majetek, se kterým má </w:t>
      </w:r>
      <w:r w:rsidR="001A1E60" w:rsidRPr="00572D60">
        <w:rPr>
          <w:rFonts w:ascii="Calibri" w:hAnsi="Calibri" w:cs="Calibri"/>
          <w:color w:val="000000" w:themeColor="text1"/>
          <w:sz w:val="24"/>
          <w:szCs w:val="24"/>
        </w:rPr>
        <w:t>státní podnik</w:t>
      </w:r>
      <w:r w:rsidR="00D6152F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právo</w:t>
      </w:r>
      <w:r w:rsidR="001A1E60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hospodařit. MPO dále vydalo </w:t>
      </w:r>
      <w:r w:rsidR="00744F6A"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>tatut státního podniku, který mimo jiné upravuje pravidla usměrňování hospodářské činnosti podniku, pravidla kontrolní činnosti zakladatele a</w:t>
      </w:r>
      <w:r w:rsidR="00744F6A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>zásady pro nakládání s majetkem podniku. Podle článku I</w:t>
      </w:r>
      <w:r w:rsidR="005012E1" w:rsidRPr="00572D60">
        <w:rPr>
          <w:rFonts w:ascii="Calibri" w:hAnsi="Calibri" w:cs="Calibri"/>
          <w:color w:val="000000" w:themeColor="text1"/>
          <w:sz w:val="24"/>
          <w:szCs w:val="24"/>
        </w:rPr>
        <w:t>V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744F6A">
        <w:rPr>
          <w:rFonts w:ascii="Calibri" w:hAnsi="Calibri" w:cs="Calibri"/>
          <w:color w:val="000000" w:themeColor="text1"/>
          <w:sz w:val="24"/>
          <w:szCs w:val="24"/>
        </w:rPr>
        <w:t>s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tatutu státního podniku ČPP Transgas je předmětem </w:t>
      </w:r>
      <w:r w:rsidR="001A1E60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jeho 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>podnikání správa majetkových účastí, vypořádání restitučních nároků, výroba, obchod a služby neuvedené v přílohách 1 až 3 živnostenského zákona, pronájem nemovitostí, bytů a nebytových prostor, převody, přechody a výkon vlastnických a</w:t>
      </w:r>
      <w:r w:rsidR="00572D60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>jiných práv k majetku ČR, realitní činnost, správa a údržba nemovitostí, poskytování technických služeb a zprostředkování obchodu a služeb.</w:t>
      </w:r>
    </w:p>
    <w:p w14:paraId="75D9B7A3" w14:textId="203BA387" w:rsidR="00D255CD" w:rsidRPr="00572D60" w:rsidRDefault="00D255CD" w:rsidP="00572D60">
      <w:pPr>
        <w:spacing w:before="120"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572D60">
        <w:rPr>
          <w:rFonts w:ascii="Calibri" w:hAnsi="Calibri" w:cs="Calibri"/>
          <w:color w:val="000000" w:themeColor="text1"/>
          <w:sz w:val="24"/>
          <w:szCs w:val="24"/>
        </w:rPr>
        <w:t>Mezi základní povinnosti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MPO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stanovené zákonem,</w:t>
      </w:r>
      <w:r w:rsidR="00E95F59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resp.</w:t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95F59" w:rsidRPr="00572D60">
        <w:rPr>
          <w:rFonts w:ascii="Calibri" w:hAnsi="Calibri" w:cs="Calibri"/>
          <w:color w:val="000000" w:themeColor="text1"/>
          <w:sz w:val="24"/>
          <w:szCs w:val="24"/>
        </w:rPr>
        <w:t>metodickým pokynem pro výkon funkce zakladatele</w:t>
      </w:r>
      <w:r w:rsidR="00E95F59" w:rsidRPr="00572D60">
        <w:rPr>
          <w:rStyle w:val="Znakapoznpodarou"/>
          <w:rFonts w:ascii="Calibri" w:hAnsi="Calibri" w:cs="Calibri"/>
          <w:color w:val="000000" w:themeColor="text1"/>
          <w:sz w:val="24"/>
          <w:szCs w:val="24"/>
        </w:rPr>
        <w:footnoteReference w:id="22"/>
      </w:r>
      <w:r w:rsidRPr="00572D60">
        <w:rPr>
          <w:rFonts w:ascii="Calibri" w:hAnsi="Calibri" w:cs="Calibri"/>
          <w:color w:val="000000" w:themeColor="text1"/>
          <w:sz w:val="24"/>
          <w:szCs w:val="24"/>
        </w:rPr>
        <w:t>, patří kontrola hospodaření státního podniku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>. MPO vykonává</w:t>
      </w:r>
      <w:r w:rsidR="00FA60D6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kontrolu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prostřednictvím dozorčí rady, která je </w:t>
      </w:r>
      <w:r w:rsidR="00FA60D6" w:rsidRPr="00572D60">
        <w:rPr>
          <w:rFonts w:ascii="Calibri" w:hAnsi="Calibri" w:cs="Calibri"/>
          <w:color w:val="000000" w:themeColor="text1"/>
          <w:sz w:val="24"/>
          <w:szCs w:val="24"/>
        </w:rPr>
        <w:t>k dohledu nad státním podnikem zřízena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FA60D6" w:rsidRPr="00572D60">
        <w:rPr>
          <w:rFonts w:ascii="Calibri" w:hAnsi="Calibri" w:cs="Calibri"/>
          <w:color w:val="000000" w:themeColor="text1"/>
          <w:sz w:val="24"/>
          <w:szCs w:val="24"/>
        </w:rPr>
        <w:t>Dozorčí rada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schvaluje vešker</w:t>
      </w:r>
      <w:r w:rsidR="002A7A86" w:rsidRPr="00572D60">
        <w:rPr>
          <w:rFonts w:ascii="Calibri" w:hAnsi="Calibri" w:cs="Calibri"/>
          <w:color w:val="000000" w:themeColor="text1"/>
          <w:sz w:val="24"/>
          <w:szCs w:val="24"/>
        </w:rPr>
        <w:t>á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jednání státního podniku, ve vymezených případech pak její rozhodnutí musí schválit MPO.</w:t>
      </w:r>
      <w:r w:rsidR="00E95F59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Jedná 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se zejména o případy nakládání s určeným majetkem státního podniku (prodej, pronájem </w:t>
      </w:r>
      <w:r w:rsidR="002A7A86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majetku, výsledky hospodaření 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>apod.).</w:t>
      </w:r>
      <w:r w:rsidR="00E95F59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F6EF3" w:rsidRPr="00572D60">
        <w:rPr>
          <w:rFonts w:ascii="Calibri" w:hAnsi="Calibri" w:cs="Calibri"/>
          <w:color w:val="000000" w:themeColor="text1"/>
          <w:sz w:val="24"/>
          <w:szCs w:val="24"/>
        </w:rPr>
        <w:t>Dozorčí rada jednou ročně předkládá MPO zprávu o své kontrolní činnosti vzhledem ke státnímu podniku</w:t>
      </w:r>
      <w:r w:rsidR="002A7A86" w:rsidRPr="00572D60">
        <w:rPr>
          <w:rFonts w:ascii="Calibri" w:hAnsi="Calibri" w:cs="Calibri"/>
          <w:color w:val="000000" w:themeColor="text1"/>
          <w:sz w:val="24"/>
          <w:szCs w:val="24"/>
        </w:rPr>
        <w:t xml:space="preserve">, ke které se MPO vyjadřuje. </w:t>
      </w:r>
    </w:p>
    <w:p w14:paraId="7B69C493" w14:textId="763E6FFF" w:rsidR="006B0B71" w:rsidRPr="00D929AD" w:rsidRDefault="00D929AD" w:rsidP="00D929AD">
      <w:pPr>
        <w:keepNext/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4. </w:t>
      </w:r>
      <w:r w:rsidR="006B0B71" w:rsidRPr="00D929AD">
        <w:rPr>
          <w:rFonts w:ascii="Calibri" w:eastAsia="Calibri" w:hAnsi="Calibri" w:cs="Calibri"/>
          <w:b/>
          <w:sz w:val="24"/>
          <w:szCs w:val="24"/>
        </w:rPr>
        <w:t xml:space="preserve">Výsledek hospodaření </w:t>
      </w:r>
      <w:proofErr w:type="spellStart"/>
      <w:r w:rsidR="006B0B71" w:rsidRPr="00D929AD">
        <w:rPr>
          <w:rFonts w:ascii="Calibri" w:eastAsia="Calibri" w:hAnsi="Calibri" w:cs="Calibri"/>
          <w:b/>
          <w:sz w:val="24"/>
          <w:szCs w:val="24"/>
        </w:rPr>
        <w:t>Transgasu</w:t>
      </w:r>
      <w:proofErr w:type="spellEnd"/>
    </w:p>
    <w:p w14:paraId="47A5BDC2" w14:textId="78919DDD" w:rsidR="003F4CFC" w:rsidRPr="00572D60" w:rsidRDefault="003F4CFC" w:rsidP="00572D60">
      <w:pPr>
        <w:keepNext/>
        <w:spacing w:before="120"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72D60">
        <w:rPr>
          <w:rFonts w:ascii="Calibri" w:eastAsia="Calibri" w:hAnsi="Calibri" w:cs="Calibri"/>
          <w:b/>
          <w:sz w:val="24"/>
          <w:szCs w:val="24"/>
        </w:rPr>
        <w:t xml:space="preserve">Transgas </w:t>
      </w:r>
      <w:r w:rsidR="00A3422A" w:rsidRPr="00572D60">
        <w:rPr>
          <w:rFonts w:ascii="Calibri" w:eastAsia="Calibri" w:hAnsi="Calibri" w:cs="Calibri"/>
          <w:b/>
          <w:sz w:val="24"/>
          <w:szCs w:val="24"/>
        </w:rPr>
        <w:t>byl</w:t>
      </w:r>
      <w:r w:rsidRPr="00572D60">
        <w:rPr>
          <w:rFonts w:ascii="Calibri" w:eastAsia="Calibri" w:hAnsi="Calibri" w:cs="Calibri"/>
          <w:b/>
          <w:sz w:val="24"/>
          <w:szCs w:val="24"/>
        </w:rPr>
        <w:t xml:space="preserve"> v letech 2016 až 2020 ve ztrátě, která kumulovaně čin</w:t>
      </w:r>
      <w:r w:rsidR="0058730B" w:rsidRPr="00572D60">
        <w:rPr>
          <w:rFonts w:ascii="Calibri" w:eastAsia="Calibri" w:hAnsi="Calibri" w:cs="Calibri"/>
          <w:b/>
          <w:sz w:val="24"/>
          <w:szCs w:val="24"/>
        </w:rPr>
        <w:t>ila</w:t>
      </w:r>
      <w:r w:rsidRPr="00572D60">
        <w:rPr>
          <w:rFonts w:ascii="Calibri" w:eastAsia="Calibri" w:hAnsi="Calibri" w:cs="Calibri"/>
          <w:b/>
          <w:sz w:val="24"/>
          <w:szCs w:val="24"/>
        </w:rPr>
        <w:t xml:space="preserve"> 22,8 mil. Kč</w:t>
      </w:r>
      <w:r w:rsidR="00391960" w:rsidRPr="00572D60">
        <w:rPr>
          <w:rFonts w:ascii="Calibri" w:eastAsia="Calibri" w:hAnsi="Calibri" w:cs="Calibri"/>
          <w:b/>
          <w:sz w:val="24"/>
          <w:szCs w:val="24"/>
        </w:rPr>
        <w:t>.</w:t>
      </w:r>
    </w:p>
    <w:p w14:paraId="09A2A83E" w14:textId="47059767" w:rsidR="00532556" w:rsidRPr="00572D60" w:rsidRDefault="00532556" w:rsidP="00D929AD">
      <w:pPr>
        <w:keepNext/>
        <w:tabs>
          <w:tab w:val="right" w:pos="9072"/>
        </w:tabs>
        <w:spacing w:before="120" w:after="4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72D60">
        <w:rPr>
          <w:rFonts w:ascii="Calibri" w:eastAsia="Calibri" w:hAnsi="Calibri" w:cs="Calibri"/>
          <w:b/>
          <w:sz w:val="24"/>
          <w:szCs w:val="24"/>
        </w:rPr>
        <w:t xml:space="preserve">Tabulka č. </w:t>
      </w:r>
      <w:r w:rsidR="00375FD1" w:rsidRPr="00572D60">
        <w:rPr>
          <w:rFonts w:ascii="Calibri" w:eastAsia="Calibri" w:hAnsi="Calibri" w:cs="Calibri"/>
          <w:b/>
          <w:sz w:val="24"/>
          <w:szCs w:val="24"/>
        </w:rPr>
        <w:t>5</w:t>
      </w:r>
      <w:r w:rsidRPr="00572D60">
        <w:rPr>
          <w:rFonts w:ascii="Calibri" w:eastAsia="Calibri" w:hAnsi="Calibri" w:cs="Calibri"/>
          <w:b/>
          <w:sz w:val="24"/>
          <w:szCs w:val="24"/>
        </w:rPr>
        <w:t xml:space="preserve">: Výsledek hospodaření </w:t>
      </w:r>
      <w:proofErr w:type="spellStart"/>
      <w:r w:rsidRPr="00572D60">
        <w:rPr>
          <w:rFonts w:ascii="Calibri" w:eastAsia="Calibri" w:hAnsi="Calibri" w:cs="Calibri"/>
          <w:b/>
          <w:sz w:val="24"/>
          <w:szCs w:val="24"/>
        </w:rPr>
        <w:t>Transgasu</w:t>
      </w:r>
      <w:proofErr w:type="spellEnd"/>
      <w:r w:rsidRPr="00572D6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929AD">
        <w:rPr>
          <w:rFonts w:ascii="Calibri" w:eastAsia="Calibri" w:hAnsi="Calibri" w:cs="Calibri"/>
          <w:b/>
          <w:sz w:val="24"/>
          <w:szCs w:val="24"/>
        </w:rPr>
        <w:tab/>
      </w:r>
      <w:r w:rsidRPr="00572D60">
        <w:rPr>
          <w:rFonts w:ascii="Calibri" w:eastAsia="Calibri" w:hAnsi="Calibri" w:cs="Calibri"/>
          <w:b/>
          <w:sz w:val="24"/>
          <w:szCs w:val="24"/>
        </w:rPr>
        <w:t>(v tis. Kč)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157"/>
        <w:gridCol w:w="1158"/>
        <w:gridCol w:w="1157"/>
        <w:gridCol w:w="1158"/>
        <w:gridCol w:w="1157"/>
        <w:gridCol w:w="1158"/>
      </w:tblGrid>
      <w:tr w:rsidR="003F4CFC" w:rsidRPr="00572D60" w14:paraId="4D9C9491" w14:textId="584245D5" w:rsidTr="00572D60">
        <w:trPr>
          <w:trHeight w:val="283"/>
        </w:trPr>
        <w:tc>
          <w:tcPr>
            <w:tcW w:w="2127" w:type="dxa"/>
            <w:shd w:val="clear" w:color="auto" w:fill="E5F1FF"/>
            <w:vAlign w:val="center"/>
          </w:tcPr>
          <w:p w14:paraId="401D016E" w14:textId="77777777" w:rsidR="003F4CFC" w:rsidRPr="00572D60" w:rsidRDefault="003F4CFC" w:rsidP="00572D60">
            <w:pPr>
              <w:keepNext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57" w:type="dxa"/>
            <w:shd w:val="clear" w:color="auto" w:fill="E5F1FF"/>
            <w:vAlign w:val="center"/>
          </w:tcPr>
          <w:p w14:paraId="33CCA790" w14:textId="77777777" w:rsidR="003F4CFC" w:rsidRPr="00572D60" w:rsidRDefault="003F4CFC" w:rsidP="00572D60">
            <w:pPr>
              <w:keepNext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158" w:type="dxa"/>
            <w:shd w:val="clear" w:color="auto" w:fill="E5F1FF"/>
            <w:vAlign w:val="center"/>
          </w:tcPr>
          <w:p w14:paraId="4D45078B" w14:textId="77777777" w:rsidR="003F4CFC" w:rsidRPr="00572D60" w:rsidRDefault="003F4CFC" w:rsidP="00572D60">
            <w:pPr>
              <w:keepNext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157" w:type="dxa"/>
            <w:shd w:val="clear" w:color="auto" w:fill="E5F1FF"/>
            <w:vAlign w:val="center"/>
          </w:tcPr>
          <w:p w14:paraId="6C3F3D3B" w14:textId="77777777" w:rsidR="003F4CFC" w:rsidRPr="00572D60" w:rsidRDefault="003F4CFC" w:rsidP="00572D60">
            <w:pPr>
              <w:keepNext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158" w:type="dxa"/>
            <w:shd w:val="clear" w:color="auto" w:fill="E5F1FF"/>
            <w:vAlign w:val="center"/>
          </w:tcPr>
          <w:p w14:paraId="511CE330" w14:textId="77777777" w:rsidR="003F4CFC" w:rsidRPr="00572D60" w:rsidRDefault="003F4CFC" w:rsidP="00572D60">
            <w:pPr>
              <w:keepNext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157" w:type="dxa"/>
            <w:shd w:val="clear" w:color="auto" w:fill="E5F1FF"/>
            <w:vAlign w:val="center"/>
          </w:tcPr>
          <w:p w14:paraId="5C4491DC" w14:textId="77777777" w:rsidR="003F4CFC" w:rsidRPr="00572D60" w:rsidRDefault="003F4CFC" w:rsidP="00572D60">
            <w:pPr>
              <w:keepNext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158" w:type="dxa"/>
            <w:shd w:val="clear" w:color="auto" w:fill="E5F1FF"/>
            <w:vAlign w:val="center"/>
          </w:tcPr>
          <w:p w14:paraId="017DDC84" w14:textId="231AE1D4" w:rsidR="003F4CFC" w:rsidRPr="00572D60" w:rsidRDefault="003F4CFC" w:rsidP="00572D60">
            <w:pPr>
              <w:keepNext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Celkem</w:t>
            </w:r>
          </w:p>
        </w:tc>
      </w:tr>
      <w:tr w:rsidR="003F4CFC" w:rsidRPr="00572D60" w14:paraId="55C45BD6" w14:textId="72308730" w:rsidTr="00572D60">
        <w:trPr>
          <w:trHeight w:val="28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4687" w14:textId="77777777" w:rsidR="003F4CFC" w:rsidRPr="00572D60" w:rsidRDefault="003F4CFC" w:rsidP="00572D60">
            <w:pPr>
              <w:keepNext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sz w:val="20"/>
                <w:szCs w:val="20"/>
                <w:lang w:eastAsia="cs-CZ"/>
              </w:rPr>
              <w:t>Výnosy celkem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F2D" w14:textId="77777777" w:rsidR="003F4CFC" w:rsidRPr="00572D60" w:rsidRDefault="003F4CFC" w:rsidP="00572D60">
            <w:pPr>
              <w:keepNext/>
              <w:ind w:right="5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s-CZ"/>
              </w:rPr>
              <w:t>10 298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EBCA" w14:textId="77777777" w:rsidR="003F4CFC" w:rsidRPr="00572D60" w:rsidRDefault="003F4CFC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25 117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76113" w14:textId="77777777" w:rsidR="003F4CFC" w:rsidRPr="00572D60" w:rsidRDefault="003F4CFC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14 769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3F4B0" w14:textId="77777777" w:rsidR="003F4CFC" w:rsidRPr="00572D60" w:rsidRDefault="003F4CFC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14 619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ED52A" w14:textId="77777777" w:rsidR="003F4CFC" w:rsidRPr="00572D60" w:rsidRDefault="003F4CFC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13 541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4ABF31A0" w14:textId="0D96FC23" w:rsidR="003F4CFC" w:rsidRPr="00572D60" w:rsidRDefault="003F4CFC" w:rsidP="00572D60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25F1A" w:rsidRPr="00572D60" w14:paraId="7C4E4FEA" w14:textId="77777777" w:rsidTr="00572D60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1CB37118" w14:textId="77777777" w:rsidR="00625F1A" w:rsidRPr="00572D60" w:rsidRDefault="00625F1A" w:rsidP="00572D60">
            <w:pPr>
              <w:keepNext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sz w:val="20"/>
                <w:szCs w:val="20"/>
                <w:lang w:eastAsia="cs-CZ"/>
              </w:rPr>
              <w:t>Náklady celkem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0661E3" w14:textId="77777777" w:rsidR="00625F1A" w:rsidRPr="00572D60" w:rsidRDefault="00625F1A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21 225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EE615D6" w14:textId="77777777" w:rsidR="00625F1A" w:rsidRPr="00572D60" w:rsidRDefault="00625F1A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s-CZ"/>
              </w:rPr>
              <w:t>29 626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E07A73" w14:textId="77777777" w:rsidR="00625F1A" w:rsidRPr="00572D60" w:rsidRDefault="00625F1A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s-CZ"/>
              </w:rPr>
              <w:t>19 298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DC66118" w14:textId="77777777" w:rsidR="00625F1A" w:rsidRPr="00572D60" w:rsidRDefault="00625F1A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s-CZ"/>
              </w:rPr>
              <w:t>16 471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E87D552" w14:textId="77777777" w:rsidR="00625F1A" w:rsidRPr="00572D60" w:rsidRDefault="00625F1A" w:rsidP="00572D60">
            <w:pPr>
              <w:keepNext/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s-CZ"/>
              </w:rPr>
              <w:t>14 567</w:t>
            </w:r>
          </w:p>
        </w:tc>
        <w:tc>
          <w:tcPr>
            <w:tcW w:w="1158" w:type="dxa"/>
            <w:vAlign w:val="center"/>
          </w:tcPr>
          <w:p w14:paraId="7C0F9183" w14:textId="0C1E9DC3" w:rsidR="00625F1A" w:rsidRPr="00572D60" w:rsidRDefault="00625F1A" w:rsidP="00572D60">
            <w:pPr>
              <w:keepNext/>
              <w:ind w:right="57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F4CFC" w:rsidRPr="00572D60" w14:paraId="24E6F731" w14:textId="23DFA443" w:rsidTr="00572D60">
        <w:trPr>
          <w:trHeight w:val="283"/>
        </w:trPr>
        <w:tc>
          <w:tcPr>
            <w:tcW w:w="2127" w:type="dxa"/>
            <w:vAlign w:val="center"/>
          </w:tcPr>
          <w:p w14:paraId="07E5A20E" w14:textId="77777777" w:rsidR="003F4CFC" w:rsidRPr="00572D60" w:rsidRDefault="003F4CFC" w:rsidP="00572D60">
            <w:pPr>
              <w:keepNext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72D60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Výsledek hospodaření za účetní období</w:t>
            </w:r>
          </w:p>
        </w:tc>
        <w:tc>
          <w:tcPr>
            <w:tcW w:w="1157" w:type="dxa"/>
            <w:vAlign w:val="center"/>
          </w:tcPr>
          <w:p w14:paraId="0F86ABE3" w14:textId="31E2443D" w:rsidR="003F4CFC" w:rsidRPr="00572D60" w:rsidRDefault="00D929AD" w:rsidP="00572D60">
            <w:pPr>
              <w:keepNext/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−</w:t>
            </w:r>
            <w:r w:rsidR="003F4CFC" w:rsidRPr="00572D6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10 927</w:t>
            </w:r>
          </w:p>
        </w:tc>
        <w:tc>
          <w:tcPr>
            <w:tcW w:w="1158" w:type="dxa"/>
            <w:vAlign w:val="center"/>
          </w:tcPr>
          <w:p w14:paraId="3C7CE1CC" w14:textId="506096F3" w:rsidR="003F4CFC" w:rsidRPr="00572D60" w:rsidRDefault="00D929AD" w:rsidP="00572D60">
            <w:pPr>
              <w:keepNext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−</w:t>
            </w:r>
            <w:r w:rsidR="003F4CFC" w:rsidRPr="00572D6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4 509</w:t>
            </w:r>
          </w:p>
        </w:tc>
        <w:tc>
          <w:tcPr>
            <w:tcW w:w="1157" w:type="dxa"/>
            <w:vAlign w:val="center"/>
          </w:tcPr>
          <w:p w14:paraId="1DEF1E80" w14:textId="248BCA5C" w:rsidR="003F4CFC" w:rsidRPr="00572D60" w:rsidRDefault="00D929AD" w:rsidP="00572D60">
            <w:pPr>
              <w:keepNext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−</w:t>
            </w:r>
            <w:r w:rsidR="003F4CFC" w:rsidRPr="00572D6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4 529</w:t>
            </w:r>
          </w:p>
        </w:tc>
        <w:tc>
          <w:tcPr>
            <w:tcW w:w="1158" w:type="dxa"/>
            <w:vAlign w:val="center"/>
          </w:tcPr>
          <w:p w14:paraId="7971C5F3" w14:textId="21DEFC59" w:rsidR="003F4CFC" w:rsidRPr="00572D60" w:rsidRDefault="00D929AD" w:rsidP="00572D60">
            <w:pPr>
              <w:keepNext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−</w:t>
            </w:r>
            <w:r w:rsidR="003F4CFC" w:rsidRPr="00572D6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1 852</w:t>
            </w:r>
          </w:p>
        </w:tc>
        <w:tc>
          <w:tcPr>
            <w:tcW w:w="1157" w:type="dxa"/>
            <w:vAlign w:val="center"/>
          </w:tcPr>
          <w:p w14:paraId="1CC3F6FD" w14:textId="02839C68" w:rsidR="003F4CFC" w:rsidRPr="00572D60" w:rsidRDefault="00D929AD" w:rsidP="00572D60">
            <w:pPr>
              <w:keepNext/>
              <w:ind w:right="57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−</w:t>
            </w:r>
            <w:r w:rsidR="003F4CFC" w:rsidRPr="00572D6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1 026</w:t>
            </w:r>
          </w:p>
        </w:tc>
        <w:tc>
          <w:tcPr>
            <w:tcW w:w="1158" w:type="dxa"/>
            <w:vAlign w:val="center"/>
          </w:tcPr>
          <w:p w14:paraId="55AD6FB6" w14:textId="0E13EC7E" w:rsidR="003F4CFC" w:rsidRPr="00572D60" w:rsidRDefault="00D929AD" w:rsidP="00572D60">
            <w:pPr>
              <w:keepNext/>
              <w:ind w:right="57"/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−</w:t>
            </w:r>
            <w:r w:rsidR="003F4CFC" w:rsidRPr="00572D60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22 843</w:t>
            </w:r>
          </w:p>
        </w:tc>
      </w:tr>
    </w:tbl>
    <w:p w14:paraId="4BA5DDE1" w14:textId="2D6465C9" w:rsidR="00532556" w:rsidRDefault="00D929AD" w:rsidP="00572D60">
      <w:pPr>
        <w:spacing w:before="40" w:after="0" w:line="240" w:lineRule="auto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b/>
          <w:sz w:val="20"/>
        </w:rPr>
        <w:t>Z</w:t>
      </w:r>
      <w:r w:rsidR="00532556" w:rsidRPr="00572D60">
        <w:rPr>
          <w:rFonts w:ascii="Calibri" w:eastAsia="Calibri" w:hAnsi="Calibri"/>
          <w:b/>
          <w:sz w:val="20"/>
        </w:rPr>
        <w:t xml:space="preserve">droj: </w:t>
      </w:r>
      <w:r w:rsidR="00532556" w:rsidRPr="00931333">
        <w:rPr>
          <w:rFonts w:ascii="Calibri" w:eastAsia="Calibri" w:hAnsi="Calibri"/>
          <w:sz w:val="20"/>
        </w:rPr>
        <w:t>účetní záznamy</w:t>
      </w:r>
      <w:r w:rsidR="001A1E60">
        <w:rPr>
          <w:rFonts w:ascii="Calibri" w:eastAsia="Calibri" w:hAnsi="Calibri"/>
          <w:sz w:val="20"/>
        </w:rPr>
        <w:t xml:space="preserve"> a výroční zprávy</w:t>
      </w:r>
      <w:r w:rsidR="00532556" w:rsidRPr="00931333">
        <w:rPr>
          <w:rFonts w:ascii="Calibri" w:eastAsia="Calibri" w:hAnsi="Calibri"/>
          <w:sz w:val="20"/>
        </w:rPr>
        <w:t xml:space="preserve"> ČPP Transgas, </w:t>
      </w:r>
      <w:proofErr w:type="spellStart"/>
      <w:r w:rsidR="00532556" w:rsidRPr="00931333">
        <w:rPr>
          <w:rFonts w:ascii="Calibri" w:eastAsia="Calibri" w:hAnsi="Calibri"/>
          <w:sz w:val="20"/>
        </w:rPr>
        <w:t>s.p</w:t>
      </w:r>
      <w:proofErr w:type="spellEnd"/>
      <w:r w:rsidR="00532556" w:rsidRPr="00931333">
        <w:rPr>
          <w:rFonts w:ascii="Calibri" w:eastAsia="Calibri" w:hAnsi="Calibri"/>
          <w:sz w:val="20"/>
        </w:rPr>
        <w:t>.</w:t>
      </w:r>
    </w:p>
    <w:p w14:paraId="1EE26235" w14:textId="61D761AC" w:rsidR="006538AA" w:rsidRDefault="006538AA" w:rsidP="00572D60">
      <w:pPr>
        <w:spacing w:before="120" w:after="120" w:line="240" w:lineRule="auto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 xml:space="preserve">Výnosy </w:t>
      </w:r>
      <w:proofErr w:type="spellStart"/>
      <w:r>
        <w:rPr>
          <w:rFonts w:ascii="Calibri" w:eastAsia="Calibri" w:hAnsi="Calibri"/>
          <w:sz w:val="24"/>
        </w:rPr>
        <w:t>Transgasu</w:t>
      </w:r>
      <w:proofErr w:type="spellEnd"/>
      <w:r>
        <w:rPr>
          <w:rFonts w:ascii="Calibri" w:eastAsia="Calibri" w:hAnsi="Calibri"/>
          <w:sz w:val="24"/>
        </w:rPr>
        <w:t xml:space="preserve"> tvoří </w:t>
      </w:r>
      <w:r w:rsidR="00BD1636">
        <w:rPr>
          <w:rFonts w:ascii="Calibri" w:eastAsia="Calibri" w:hAnsi="Calibri"/>
          <w:sz w:val="24"/>
        </w:rPr>
        <w:t xml:space="preserve">příjmy z </w:t>
      </w:r>
      <w:r>
        <w:rPr>
          <w:rFonts w:ascii="Calibri" w:eastAsia="Calibri" w:hAnsi="Calibri"/>
          <w:sz w:val="24"/>
        </w:rPr>
        <w:t>pronájm</w:t>
      </w:r>
      <w:r w:rsidR="00BD1636">
        <w:rPr>
          <w:rFonts w:ascii="Calibri" w:eastAsia="Calibri" w:hAnsi="Calibri"/>
          <w:sz w:val="24"/>
        </w:rPr>
        <w:t>u</w:t>
      </w:r>
      <w:r>
        <w:rPr>
          <w:rFonts w:ascii="Calibri" w:eastAsia="Calibri" w:hAnsi="Calibri"/>
          <w:sz w:val="24"/>
        </w:rPr>
        <w:t xml:space="preserve"> a prodej</w:t>
      </w:r>
      <w:r w:rsidR="00BD1636">
        <w:rPr>
          <w:rFonts w:ascii="Calibri" w:eastAsia="Calibri" w:hAnsi="Calibri"/>
          <w:sz w:val="24"/>
        </w:rPr>
        <w:t>e</w:t>
      </w:r>
      <w:r>
        <w:rPr>
          <w:rFonts w:ascii="Calibri" w:eastAsia="Calibri" w:hAnsi="Calibri"/>
          <w:sz w:val="24"/>
        </w:rPr>
        <w:t xml:space="preserve"> nemovitého majetku a úroky z uložených peněžních prostředků </w:t>
      </w:r>
      <w:r w:rsidR="00B07498">
        <w:rPr>
          <w:rFonts w:ascii="Calibri" w:eastAsia="Calibri" w:hAnsi="Calibri"/>
          <w:sz w:val="24"/>
        </w:rPr>
        <w:t>na bankovních účtech</w:t>
      </w:r>
      <w:r>
        <w:rPr>
          <w:rFonts w:ascii="Calibri" w:eastAsia="Calibri" w:hAnsi="Calibri"/>
          <w:sz w:val="24"/>
        </w:rPr>
        <w:t>. Od roku 2017 mají výnosy klesající tendenci, jak je uvedeno v tabulce č. 5.</w:t>
      </w:r>
    </w:p>
    <w:p w14:paraId="1B562FD0" w14:textId="73246676" w:rsidR="00240B36" w:rsidRDefault="00240B36" w:rsidP="00572D60">
      <w:pPr>
        <w:spacing w:before="120" w:after="120" w:line="240" w:lineRule="auto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V současné době Transgas pronajímá areály Praha</w:t>
      </w:r>
      <w:r w:rsidR="00D929AD">
        <w:rPr>
          <w:rFonts w:ascii="Calibri" w:eastAsia="Calibri" w:hAnsi="Calibri"/>
          <w:sz w:val="24"/>
        </w:rPr>
        <w:t>-</w:t>
      </w:r>
      <w:r>
        <w:rPr>
          <w:rFonts w:ascii="Calibri" w:eastAsia="Calibri" w:hAnsi="Calibri"/>
          <w:sz w:val="24"/>
        </w:rPr>
        <w:t>Holešovice a Brno</w:t>
      </w:r>
      <w:r w:rsidR="00D929AD">
        <w:rPr>
          <w:rFonts w:ascii="Calibri" w:eastAsia="Calibri" w:hAnsi="Calibri"/>
          <w:sz w:val="24"/>
        </w:rPr>
        <w:t>-</w:t>
      </w:r>
      <w:r>
        <w:rPr>
          <w:rFonts w:ascii="Calibri" w:eastAsia="Calibri" w:hAnsi="Calibri"/>
          <w:sz w:val="24"/>
        </w:rPr>
        <w:t xml:space="preserve">Černovice. </w:t>
      </w:r>
    </w:p>
    <w:p w14:paraId="2368531F" w14:textId="567BA5FE" w:rsidR="00240B36" w:rsidRDefault="00240B36" w:rsidP="00572D60">
      <w:pPr>
        <w:spacing w:before="120" w:after="120" w:line="240" w:lineRule="auto"/>
        <w:jc w:val="both"/>
        <w:rPr>
          <w:rFonts w:ascii="Calibri" w:eastAsia="Calibri" w:hAnsi="Calibri"/>
          <w:sz w:val="24"/>
        </w:rPr>
      </w:pPr>
      <w:r w:rsidRPr="005012E1">
        <w:rPr>
          <w:rFonts w:ascii="Calibri" w:eastAsia="Calibri" w:hAnsi="Calibri"/>
          <w:b/>
          <w:sz w:val="24"/>
        </w:rPr>
        <w:t>Areál v Praze</w:t>
      </w:r>
      <w:r>
        <w:rPr>
          <w:rFonts w:ascii="Calibri" w:eastAsia="Calibri" w:hAnsi="Calibri"/>
          <w:sz w:val="24"/>
        </w:rPr>
        <w:t xml:space="preserve"> je pronajat od 1. října 2018 za 80 tis. Kč bez DPH měsíčně</w:t>
      </w:r>
      <w:r>
        <w:rPr>
          <w:rStyle w:val="Znakapoznpodarou"/>
          <w:rFonts w:ascii="Calibri" w:eastAsia="Calibri" w:hAnsi="Calibri"/>
          <w:sz w:val="24"/>
        </w:rPr>
        <w:footnoteReference w:id="23"/>
      </w:r>
      <w:r>
        <w:rPr>
          <w:rFonts w:ascii="Calibri" w:eastAsia="Calibri" w:hAnsi="Calibri"/>
          <w:sz w:val="24"/>
        </w:rPr>
        <w:t xml:space="preserve"> na dobu </w:t>
      </w:r>
      <w:r w:rsidR="00D929AD">
        <w:rPr>
          <w:rFonts w:ascii="Calibri" w:eastAsia="Calibri" w:hAnsi="Calibri"/>
          <w:sz w:val="24"/>
        </w:rPr>
        <w:t>šesti</w:t>
      </w:r>
      <w:r>
        <w:rPr>
          <w:rFonts w:ascii="Calibri" w:eastAsia="Calibri" w:hAnsi="Calibri"/>
          <w:sz w:val="24"/>
        </w:rPr>
        <w:t xml:space="preserve"> let</w:t>
      </w:r>
      <w:r w:rsidR="008D11F1" w:rsidRPr="008D11F1">
        <w:rPr>
          <w:rFonts w:ascii="Calibri" w:eastAsia="Calibri" w:hAnsi="Calibri"/>
          <w:sz w:val="24"/>
        </w:rPr>
        <w:t xml:space="preserve"> </w:t>
      </w:r>
      <w:r w:rsidR="008D11F1">
        <w:rPr>
          <w:rFonts w:ascii="Calibri" w:eastAsia="Calibri" w:hAnsi="Calibri"/>
          <w:sz w:val="24"/>
        </w:rPr>
        <w:t>obchodní společnosti</w:t>
      </w:r>
      <w:r>
        <w:rPr>
          <w:rFonts w:ascii="Calibri" w:eastAsia="Calibri" w:hAnsi="Calibri"/>
          <w:sz w:val="24"/>
        </w:rPr>
        <w:t xml:space="preserve">. Nájemce má dle smlouvy areál opravit a rekonstruovat po předchozím schválení prací </w:t>
      </w:r>
      <w:proofErr w:type="spellStart"/>
      <w:r>
        <w:rPr>
          <w:rFonts w:ascii="Calibri" w:eastAsia="Calibri" w:hAnsi="Calibri"/>
          <w:sz w:val="24"/>
        </w:rPr>
        <w:t>Transgasem</w:t>
      </w:r>
      <w:proofErr w:type="spellEnd"/>
      <w:r>
        <w:rPr>
          <w:rFonts w:ascii="Calibri" w:eastAsia="Calibri" w:hAnsi="Calibri"/>
          <w:sz w:val="24"/>
        </w:rPr>
        <w:t xml:space="preserve"> za maximálně 18,1 mil. Kč bez DPH. NKÚ ověřil, že Transgas opravy a rekonstrukce areálu schvaluje. K 31. prosinci 2020 bylo ze strany nájemce proinvestováno 16,4 mil. Kč.</w:t>
      </w:r>
    </w:p>
    <w:p w14:paraId="299DCB75" w14:textId="5699E864" w:rsidR="00240B36" w:rsidRDefault="00240B36" w:rsidP="00572D60">
      <w:pPr>
        <w:spacing w:before="120" w:after="120" w:line="240" w:lineRule="auto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 xml:space="preserve">V areálu </w:t>
      </w:r>
      <w:r w:rsidRPr="005012E1">
        <w:rPr>
          <w:rFonts w:ascii="Calibri" w:eastAsia="Calibri" w:hAnsi="Calibri"/>
          <w:b/>
          <w:sz w:val="24"/>
        </w:rPr>
        <w:t>Brno</w:t>
      </w:r>
      <w:r w:rsidR="00D929AD">
        <w:rPr>
          <w:rFonts w:ascii="Calibri" w:eastAsia="Calibri" w:hAnsi="Calibri"/>
          <w:b/>
          <w:sz w:val="24"/>
        </w:rPr>
        <w:t>-</w:t>
      </w:r>
      <w:r w:rsidRPr="005012E1">
        <w:rPr>
          <w:rFonts w:ascii="Calibri" w:eastAsia="Calibri" w:hAnsi="Calibri"/>
          <w:b/>
          <w:sz w:val="24"/>
        </w:rPr>
        <w:t>Černovice</w:t>
      </w:r>
      <w:r>
        <w:rPr>
          <w:rFonts w:ascii="Calibri" w:eastAsia="Calibri" w:hAnsi="Calibri"/>
          <w:sz w:val="24"/>
        </w:rPr>
        <w:t xml:space="preserve"> </w:t>
      </w:r>
      <w:r w:rsidR="001A1E60">
        <w:rPr>
          <w:rFonts w:ascii="Calibri" w:eastAsia="Calibri" w:hAnsi="Calibri"/>
          <w:sz w:val="24"/>
        </w:rPr>
        <w:t xml:space="preserve">pronajímá </w:t>
      </w:r>
      <w:r>
        <w:rPr>
          <w:rFonts w:ascii="Calibri" w:eastAsia="Calibri" w:hAnsi="Calibri"/>
          <w:sz w:val="24"/>
        </w:rPr>
        <w:t xml:space="preserve">Transgas </w:t>
      </w:r>
      <w:r w:rsidR="001A1E60">
        <w:rPr>
          <w:rFonts w:ascii="Calibri" w:eastAsia="Calibri" w:hAnsi="Calibri"/>
          <w:sz w:val="24"/>
        </w:rPr>
        <w:t>je</w:t>
      </w:r>
      <w:r>
        <w:rPr>
          <w:rFonts w:ascii="Calibri" w:eastAsia="Calibri" w:hAnsi="Calibri"/>
          <w:sz w:val="24"/>
        </w:rPr>
        <w:t xml:space="preserve">dnotlivé plochy, budovy, sklady a kanceláře různým nájemcům. </w:t>
      </w:r>
      <w:r w:rsidR="0078697B">
        <w:rPr>
          <w:rFonts w:ascii="Calibri" w:eastAsia="Calibri" w:hAnsi="Calibri"/>
          <w:sz w:val="24"/>
        </w:rPr>
        <w:t xml:space="preserve">Výnosy z nájmů převyšují náklady na jeho provoz, údržbu a dílčí opravy. V současné době Transgas plánuje po dohodě s MPO, Technickým a zkušebním ústavem stavebním Praha, </w:t>
      </w:r>
      <w:proofErr w:type="spellStart"/>
      <w:r w:rsidR="0078697B">
        <w:rPr>
          <w:rFonts w:ascii="Calibri" w:eastAsia="Calibri" w:hAnsi="Calibri"/>
          <w:sz w:val="24"/>
        </w:rPr>
        <w:t>s.p</w:t>
      </w:r>
      <w:proofErr w:type="spellEnd"/>
      <w:r w:rsidR="0078697B">
        <w:rPr>
          <w:rFonts w:ascii="Calibri" w:eastAsia="Calibri" w:hAnsi="Calibri"/>
          <w:sz w:val="24"/>
        </w:rPr>
        <w:t>.</w:t>
      </w:r>
      <w:r w:rsidR="00D929AD">
        <w:rPr>
          <w:rFonts w:ascii="Calibri" w:eastAsia="Calibri" w:hAnsi="Calibri"/>
          <w:sz w:val="24"/>
        </w:rPr>
        <w:t>,</w:t>
      </w:r>
      <w:r w:rsidR="0078697B">
        <w:rPr>
          <w:rFonts w:ascii="Calibri" w:eastAsia="Calibri" w:hAnsi="Calibri"/>
          <w:sz w:val="24"/>
        </w:rPr>
        <w:t xml:space="preserve"> a jeho dceřinou společností </w:t>
      </w:r>
      <w:proofErr w:type="spellStart"/>
      <w:r w:rsidR="0078697B">
        <w:rPr>
          <w:rFonts w:ascii="Calibri" w:eastAsia="Calibri" w:hAnsi="Calibri"/>
          <w:sz w:val="24"/>
        </w:rPr>
        <w:t>Qualiform</w:t>
      </w:r>
      <w:proofErr w:type="spellEnd"/>
      <w:r w:rsidR="00D929AD">
        <w:rPr>
          <w:rFonts w:ascii="Calibri" w:eastAsia="Calibri" w:hAnsi="Calibri"/>
          <w:sz w:val="24"/>
        </w:rPr>
        <w:t>,</w:t>
      </w:r>
      <w:r w:rsidR="0078697B">
        <w:rPr>
          <w:rFonts w:ascii="Calibri" w:eastAsia="Calibri" w:hAnsi="Calibri"/>
          <w:sz w:val="24"/>
        </w:rPr>
        <w:t xml:space="preserve"> a.s.</w:t>
      </w:r>
      <w:r w:rsidR="00D929AD">
        <w:rPr>
          <w:rFonts w:ascii="Calibri" w:eastAsia="Calibri" w:hAnsi="Calibri"/>
          <w:sz w:val="24"/>
        </w:rPr>
        <w:t>,</w:t>
      </w:r>
      <w:r w:rsidR="0078697B">
        <w:rPr>
          <w:rFonts w:ascii="Calibri" w:eastAsia="Calibri" w:hAnsi="Calibri"/>
          <w:sz w:val="24"/>
        </w:rPr>
        <w:t xml:space="preserve"> výstavbu</w:t>
      </w:r>
      <w:r w:rsidR="00CB6858">
        <w:rPr>
          <w:rFonts w:ascii="Calibri" w:eastAsia="Calibri" w:hAnsi="Calibri"/>
          <w:sz w:val="24"/>
        </w:rPr>
        <w:t xml:space="preserve"> budovy</w:t>
      </w:r>
      <w:r w:rsidR="0078697B">
        <w:rPr>
          <w:rFonts w:ascii="Calibri" w:eastAsia="Calibri" w:hAnsi="Calibri"/>
          <w:sz w:val="24"/>
        </w:rPr>
        <w:t xml:space="preserve"> administrativně zkušebního centra, které by bylo z větší části pronajímáno právě společnosti </w:t>
      </w:r>
      <w:proofErr w:type="spellStart"/>
      <w:r w:rsidR="0078697B">
        <w:rPr>
          <w:rFonts w:ascii="Calibri" w:eastAsia="Calibri" w:hAnsi="Calibri"/>
          <w:sz w:val="24"/>
        </w:rPr>
        <w:t>Qualiform</w:t>
      </w:r>
      <w:proofErr w:type="spellEnd"/>
      <w:r w:rsidR="00D929AD">
        <w:rPr>
          <w:rFonts w:ascii="Calibri" w:eastAsia="Calibri" w:hAnsi="Calibri"/>
          <w:sz w:val="24"/>
        </w:rPr>
        <w:t>,</w:t>
      </w:r>
      <w:r w:rsidR="0078697B">
        <w:rPr>
          <w:rFonts w:ascii="Calibri" w:eastAsia="Calibri" w:hAnsi="Calibri"/>
          <w:sz w:val="24"/>
        </w:rPr>
        <w:t xml:space="preserve"> a.s. V době ukončení kontroly</w:t>
      </w:r>
      <w:r w:rsidR="00CB6858">
        <w:rPr>
          <w:rFonts w:ascii="Calibri" w:eastAsia="Calibri" w:hAnsi="Calibri"/>
          <w:sz w:val="24"/>
        </w:rPr>
        <w:t xml:space="preserve"> NKÚ</w:t>
      </w:r>
      <w:r w:rsidR="0078697B">
        <w:rPr>
          <w:rFonts w:ascii="Calibri" w:eastAsia="Calibri" w:hAnsi="Calibri"/>
          <w:sz w:val="24"/>
        </w:rPr>
        <w:t xml:space="preserve"> </w:t>
      </w:r>
      <w:r w:rsidR="00055153">
        <w:rPr>
          <w:rFonts w:ascii="Calibri" w:eastAsia="Calibri" w:hAnsi="Calibri"/>
          <w:sz w:val="24"/>
        </w:rPr>
        <w:t>zadal</w:t>
      </w:r>
      <w:r w:rsidR="008278DD">
        <w:rPr>
          <w:rFonts w:ascii="Calibri" w:eastAsia="Calibri" w:hAnsi="Calibri"/>
          <w:sz w:val="24"/>
        </w:rPr>
        <w:t xml:space="preserve"> Transgas </w:t>
      </w:r>
      <w:r w:rsidR="005012E1">
        <w:rPr>
          <w:rFonts w:ascii="Calibri" w:eastAsia="Calibri" w:hAnsi="Calibri"/>
          <w:sz w:val="24"/>
        </w:rPr>
        <w:t>zpracov</w:t>
      </w:r>
      <w:r w:rsidR="008278DD">
        <w:rPr>
          <w:rFonts w:ascii="Calibri" w:eastAsia="Calibri" w:hAnsi="Calibri"/>
          <w:sz w:val="24"/>
        </w:rPr>
        <w:t>at</w:t>
      </w:r>
      <w:r w:rsidR="0078697B">
        <w:rPr>
          <w:rFonts w:ascii="Calibri" w:eastAsia="Calibri" w:hAnsi="Calibri"/>
          <w:sz w:val="24"/>
        </w:rPr>
        <w:t xml:space="preserve"> projektov</w:t>
      </w:r>
      <w:r w:rsidR="005012E1">
        <w:rPr>
          <w:rFonts w:ascii="Calibri" w:eastAsia="Calibri" w:hAnsi="Calibri"/>
          <w:sz w:val="24"/>
        </w:rPr>
        <w:t>ou</w:t>
      </w:r>
      <w:r w:rsidR="0078697B">
        <w:rPr>
          <w:rFonts w:ascii="Calibri" w:eastAsia="Calibri" w:hAnsi="Calibri"/>
          <w:sz w:val="24"/>
        </w:rPr>
        <w:t xml:space="preserve"> dokumentac</w:t>
      </w:r>
      <w:r w:rsidR="005012E1">
        <w:rPr>
          <w:rFonts w:ascii="Calibri" w:eastAsia="Calibri" w:hAnsi="Calibri"/>
          <w:sz w:val="24"/>
        </w:rPr>
        <w:t>i externím</w:t>
      </w:r>
      <w:r w:rsidR="00D6152F">
        <w:rPr>
          <w:rFonts w:ascii="Calibri" w:eastAsia="Calibri" w:hAnsi="Calibri"/>
          <w:sz w:val="24"/>
        </w:rPr>
        <w:t>u</w:t>
      </w:r>
      <w:r w:rsidR="005012E1">
        <w:rPr>
          <w:rFonts w:ascii="Calibri" w:eastAsia="Calibri" w:hAnsi="Calibri"/>
          <w:sz w:val="24"/>
        </w:rPr>
        <w:t xml:space="preserve"> dodavatel</w:t>
      </w:r>
      <w:r w:rsidR="00D6152F">
        <w:rPr>
          <w:rFonts w:ascii="Calibri" w:eastAsia="Calibri" w:hAnsi="Calibri"/>
          <w:sz w:val="24"/>
        </w:rPr>
        <w:t>i</w:t>
      </w:r>
      <w:r w:rsidR="0078697B">
        <w:rPr>
          <w:rFonts w:ascii="Calibri" w:eastAsia="Calibri" w:hAnsi="Calibri"/>
          <w:sz w:val="24"/>
        </w:rPr>
        <w:t>.</w:t>
      </w:r>
    </w:p>
    <w:p w14:paraId="28BD7DDD" w14:textId="65F2C6FA" w:rsidR="002B3111" w:rsidRDefault="004F424D" w:rsidP="00572D60">
      <w:pPr>
        <w:spacing w:before="120" w:after="120" w:line="240" w:lineRule="auto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Za kontrolované období prodal Transgas nemovitý majetek za 20,6 mil. Kč. Při prodeji nemovitého majetku musí Transgas nejprve</w:t>
      </w:r>
      <w:r w:rsidR="00495ED7">
        <w:rPr>
          <w:rFonts w:ascii="Calibri" w:eastAsia="Calibri" w:hAnsi="Calibri"/>
          <w:sz w:val="24"/>
        </w:rPr>
        <w:t xml:space="preserve"> takový majetek nabídnout jako nepotřebný </w:t>
      </w:r>
      <w:r>
        <w:rPr>
          <w:rFonts w:ascii="Calibri" w:eastAsia="Calibri" w:hAnsi="Calibri"/>
          <w:sz w:val="24"/>
        </w:rPr>
        <w:t xml:space="preserve">prostřednictvím </w:t>
      </w:r>
      <w:r w:rsidRPr="00B74EBF">
        <w:rPr>
          <w:rFonts w:ascii="Calibri" w:eastAsia="Calibri" w:hAnsi="Calibri"/>
          <w:i/>
          <w:sz w:val="24"/>
        </w:rPr>
        <w:t>Portálu veřejné správy</w:t>
      </w:r>
      <w:r w:rsidR="00495ED7">
        <w:rPr>
          <w:rStyle w:val="Znakapoznpodarou"/>
          <w:rFonts w:ascii="Calibri" w:eastAsia="Calibri" w:hAnsi="Calibri"/>
          <w:sz w:val="24"/>
        </w:rPr>
        <w:footnoteReference w:id="24"/>
      </w:r>
      <w:r>
        <w:rPr>
          <w:rFonts w:ascii="Calibri" w:eastAsia="Calibri" w:hAnsi="Calibri"/>
          <w:sz w:val="24"/>
        </w:rPr>
        <w:t>, aby dal možnost organizačním složkám státu či jiným státním organizacím tuto nemovitost bezúplatně převzít. Při kontrole NKÚ zjistil, že v případě prodeje dvou pozemků</w:t>
      </w:r>
      <w:r w:rsidR="00495ED7">
        <w:rPr>
          <w:rStyle w:val="Znakapoznpodarou"/>
          <w:rFonts w:ascii="Calibri" w:eastAsia="Calibri" w:hAnsi="Calibri"/>
          <w:sz w:val="24"/>
        </w:rPr>
        <w:footnoteReference w:id="25"/>
      </w:r>
      <w:r>
        <w:rPr>
          <w:rFonts w:ascii="Calibri" w:eastAsia="Calibri" w:hAnsi="Calibri"/>
          <w:sz w:val="24"/>
        </w:rPr>
        <w:t xml:space="preserve"> </w:t>
      </w:r>
      <w:r w:rsidR="00495ED7">
        <w:rPr>
          <w:rFonts w:ascii="Calibri" w:eastAsia="Calibri" w:hAnsi="Calibri"/>
          <w:sz w:val="24"/>
        </w:rPr>
        <w:t xml:space="preserve">nezveřejnil na </w:t>
      </w:r>
      <w:r w:rsidR="00495ED7" w:rsidRPr="00B74EBF">
        <w:rPr>
          <w:rFonts w:ascii="Calibri" w:eastAsia="Calibri" w:hAnsi="Calibri"/>
          <w:i/>
          <w:sz w:val="24"/>
        </w:rPr>
        <w:t>Portálu veřejné správy</w:t>
      </w:r>
      <w:r w:rsidR="00495ED7">
        <w:rPr>
          <w:rFonts w:ascii="Calibri" w:eastAsia="Calibri" w:hAnsi="Calibri"/>
          <w:sz w:val="24"/>
        </w:rPr>
        <w:t xml:space="preserve"> informaci o</w:t>
      </w:r>
      <w:r w:rsidR="00504E17">
        <w:rPr>
          <w:rFonts w:ascii="Calibri" w:eastAsia="Calibri" w:hAnsi="Calibri"/>
          <w:sz w:val="24"/>
        </w:rPr>
        <w:t> </w:t>
      </w:r>
      <w:r w:rsidR="00495ED7">
        <w:rPr>
          <w:rFonts w:ascii="Calibri" w:eastAsia="Calibri" w:hAnsi="Calibri"/>
          <w:sz w:val="24"/>
        </w:rPr>
        <w:t>nepotřebnosti nemovitého majetku a rovnou tyto pozemky prodal</w:t>
      </w:r>
      <w:r w:rsidR="00C367E5">
        <w:rPr>
          <w:rFonts w:ascii="Calibri" w:eastAsia="Calibri" w:hAnsi="Calibri"/>
          <w:sz w:val="24"/>
        </w:rPr>
        <w:t xml:space="preserve"> za částku 224 tis. Kč</w:t>
      </w:r>
      <w:r w:rsidR="00495ED7">
        <w:rPr>
          <w:rFonts w:ascii="Calibri" w:eastAsia="Calibri" w:hAnsi="Calibri"/>
          <w:sz w:val="24"/>
        </w:rPr>
        <w:t xml:space="preserve">. Nepostupoval tak v souladu s ustanovením </w:t>
      </w:r>
      <w:r w:rsidR="00CB6858">
        <w:rPr>
          <w:rFonts w:ascii="Calibri" w:eastAsia="Calibri" w:hAnsi="Calibri"/>
          <w:sz w:val="24"/>
        </w:rPr>
        <w:t>§17</w:t>
      </w:r>
      <w:r w:rsidR="00B07498">
        <w:rPr>
          <w:rFonts w:ascii="Calibri" w:eastAsia="Calibri" w:hAnsi="Calibri"/>
          <w:sz w:val="24"/>
        </w:rPr>
        <w:t>c</w:t>
      </w:r>
      <w:r w:rsidR="00CB6858">
        <w:rPr>
          <w:rFonts w:ascii="Calibri" w:eastAsia="Calibri" w:hAnsi="Calibri"/>
          <w:sz w:val="24"/>
        </w:rPr>
        <w:t xml:space="preserve"> </w:t>
      </w:r>
      <w:r w:rsidR="00495ED7">
        <w:rPr>
          <w:rFonts w:ascii="Calibri" w:eastAsia="Calibri" w:hAnsi="Calibri"/>
          <w:sz w:val="24"/>
        </w:rPr>
        <w:t>odst. 1 zákona č. 77/1997 Sb.</w:t>
      </w:r>
    </w:p>
    <w:p w14:paraId="3EF51AE2" w14:textId="74B972A1" w:rsidR="00495ED7" w:rsidRDefault="00495ED7" w:rsidP="00BB3AD0">
      <w:pPr>
        <w:spacing w:after="0" w:line="240" w:lineRule="auto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 xml:space="preserve">Náklady na provoz </w:t>
      </w:r>
      <w:proofErr w:type="spellStart"/>
      <w:r>
        <w:rPr>
          <w:rFonts w:ascii="Calibri" w:eastAsia="Calibri" w:hAnsi="Calibri"/>
          <w:sz w:val="24"/>
        </w:rPr>
        <w:t>Transgasu</w:t>
      </w:r>
      <w:proofErr w:type="spellEnd"/>
      <w:r>
        <w:rPr>
          <w:rFonts w:ascii="Calibri" w:eastAsia="Calibri" w:hAnsi="Calibri"/>
          <w:sz w:val="24"/>
        </w:rPr>
        <w:t xml:space="preserve"> od roku 2017 klesají, avšak jejich pokles není dostatečný, aby vyrovnal pokles výnosů</w:t>
      </w:r>
      <w:r w:rsidR="00C367E5"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 xml:space="preserve"> </w:t>
      </w:r>
      <w:r w:rsidR="00C367E5">
        <w:rPr>
          <w:rFonts w:ascii="Calibri" w:eastAsia="Calibri" w:hAnsi="Calibri"/>
          <w:sz w:val="24"/>
        </w:rPr>
        <w:t>D</w:t>
      </w:r>
      <w:r>
        <w:rPr>
          <w:rFonts w:ascii="Calibri" w:eastAsia="Calibri" w:hAnsi="Calibri"/>
          <w:sz w:val="24"/>
        </w:rPr>
        <w:t xml:space="preserve">ůsledkem je ztrátové hospodaření </w:t>
      </w:r>
      <w:proofErr w:type="spellStart"/>
      <w:r>
        <w:rPr>
          <w:rFonts w:ascii="Calibri" w:eastAsia="Calibri" w:hAnsi="Calibri"/>
          <w:sz w:val="24"/>
        </w:rPr>
        <w:t>Transgasu</w:t>
      </w:r>
      <w:proofErr w:type="spellEnd"/>
      <w:r w:rsidR="00363517">
        <w:rPr>
          <w:rFonts w:ascii="Calibri" w:eastAsia="Calibri" w:hAnsi="Calibri"/>
          <w:sz w:val="24"/>
        </w:rPr>
        <w:t xml:space="preserve"> (</w:t>
      </w:r>
      <w:r w:rsidR="00590425">
        <w:rPr>
          <w:rFonts w:ascii="Calibri" w:eastAsia="Calibri" w:hAnsi="Calibri"/>
          <w:sz w:val="24"/>
        </w:rPr>
        <w:t xml:space="preserve">viz </w:t>
      </w:r>
      <w:r w:rsidR="00363517">
        <w:rPr>
          <w:rFonts w:ascii="Calibri" w:eastAsia="Calibri" w:hAnsi="Calibri"/>
          <w:sz w:val="24"/>
        </w:rPr>
        <w:t>tabulka č. 5)</w:t>
      </w:r>
      <w:r>
        <w:rPr>
          <w:rFonts w:ascii="Calibri" w:eastAsia="Calibri" w:hAnsi="Calibri"/>
          <w:sz w:val="24"/>
        </w:rPr>
        <w:t xml:space="preserve">. </w:t>
      </w:r>
      <w:r w:rsidR="000A5836">
        <w:rPr>
          <w:rFonts w:ascii="Calibri" w:eastAsia="Calibri" w:hAnsi="Calibri"/>
          <w:sz w:val="24"/>
        </w:rPr>
        <w:t xml:space="preserve">Při kontrole nákladů NKÚ zjistil </w:t>
      </w:r>
      <w:r w:rsidR="00B412B0">
        <w:rPr>
          <w:rFonts w:ascii="Calibri" w:eastAsia="Calibri" w:hAnsi="Calibri"/>
          <w:sz w:val="24"/>
        </w:rPr>
        <w:t>dvě pochybení</w:t>
      </w:r>
      <w:r w:rsidR="005C6E73">
        <w:rPr>
          <w:rFonts w:ascii="Calibri" w:eastAsia="Calibri" w:hAnsi="Calibri"/>
          <w:sz w:val="24"/>
        </w:rPr>
        <w:t xml:space="preserve"> v oblasti pořizování služeb</w:t>
      </w:r>
      <w:r w:rsidR="00C367E5">
        <w:rPr>
          <w:rFonts w:ascii="Calibri" w:eastAsia="Calibri" w:hAnsi="Calibri"/>
          <w:sz w:val="24"/>
        </w:rPr>
        <w:t>:</w:t>
      </w:r>
      <w:r w:rsidR="00B412B0">
        <w:rPr>
          <w:rFonts w:ascii="Calibri" w:eastAsia="Calibri" w:hAnsi="Calibri"/>
          <w:sz w:val="24"/>
        </w:rPr>
        <w:t xml:space="preserve"> </w:t>
      </w:r>
    </w:p>
    <w:p w14:paraId="5404701B" w14:textId="435D192A" w:rsidR="00B412B0" w:rsidRDefault="00B412B0" w:rsidP="00504E17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 xml:space="preserve">Při prodeji majetku v roce 2017 v SRN v obci Schwarzenberg (objekt bývalé školy) </w:t>
      </w:r>
      <w:r w:rsidR="001A1E60">
        <w:rPr>
          <w:rFonts w:ascii="Calibri" w:eastAsia="Calibri" w:hAnsi="Calibri"/>
          <w:sz w:val="24"/>
        </w:rPr>
        <w:t xml:space="preserve">Transgas </w:t>
      </w:r>
      <w:r>
        <w:rPr>
          <w:rFonts w:ascii="Calibri" w:eastAsia="Calibri" w:hAnsi="Calibri"/>
          <w:sz w:val="24"/>
        </w:rPr>
        <w:t>spolupracoval s</w:t>
      </w:r>
      <w:r w:rsidR="002E3F4C">
        <w:rPr>
          <w:rFonts w:ascii="Calibri" w:eastAsia="Calibri" w:hAnsi="Calibri"/>
          <w:sz w:val="24"/>
        </w:rPr>
        <w:t> </w:t>
      </w:r>
      <w:r>
        <w:rPr>
          <w:rFonts w:ascii="Calibri" w:eastAsia="Calibri" w:hAnsi="Calibri"/>
          <w:sz w:val="24"/>
        </w:rPr>
        <w:t>právníkem</w:t>
      </w:r>
      <w:r w:rsidR="002E3F4C">
        <w:rPr>
          <w:rFonts w:ascii="Calibri" w:eastAsia="Calibri" w:hAnsi="Calibri"/>
          <w:sz w:val="24"/>
        </w:rPr>
        <w:t xml:space="preserve"> – specialistou na zahraniční transakce</w:t>
      </w:r>
      <w:r>
        <w:rPr>
          <w:rFonts w:ascii="Calibri" w:eastAsia="Calibri" w:hAnsi="Calibri"/>
          <w:sz w:val="24"/>
        </w:rPr>
        <w:t xml:space="preserve">, se kterým neměl uzavřenou smlouvu. Přesto Transgas v roce 2017 a 2018 uhradil </w:t>
      </w:r>
      <w:r w:rsidR="00CB6858">
        <w:rPr>
          <w:rFonts w:ascii="Calibri" w:eastAsia="Calibri" w:hAnsi="Calibri"/>
          <w:sz w:val="24"/>
        </w:rPr>
        <w:t>zmíněnému právníkovi</w:t>
      </w:r>
      <w:r>
        <w:rPr>
          <w:rFonts w:ascii="Calibri" w:eastAsia="Calibri" w:hAnsi="Calibri"/>
          <w:sz w:val="24"/>
        </w:rPr>
        <w:t xml:space="preserve"> 180 063,40 Kč bez DPH za právní služby. NKÚ kontrolou ověřil, že služby spojené s prodejem majetku ve Schwarzenbergu právník poskytl, avšak z důvodu neexistence smluvního vztahu nelze </w:t>
      </w:r>
      <w:r w:rsidR="001A1E60">
        <w:rPr>
          <w:rFonts w:ascii="Calibri" w:eastAsia="Calibri" w:hAnsi="Calibri"/>
          <w:sz w:val="24"/>
        </w:rPr>
        <w:t>výši</w:t>
      </w:r>
      <w:r>
        <w:rPr>
          <w:rFonts w:ascii="Calibri" w:eastAsia="Calibri" w:hAnsi="Calibri"/>
          <w:sz w:val="24"/>
        </w:rPr>
        <w:t xml:space="preserve"> fakturace ověřit. Tento postup </w:t>
      </w:r>
      <w:proofErr w:type="spellStart"/>
      <w:r>
        <w:rPr>
          <w:rFonts w:ascii="Calibri" w:eastAsia="Calibri" w:hAnsi="Calibri"/>
          <w:sz w:val="24"/>
        </w:rPr>
        <w:t>Transgasu</w:t>
      </w:r>
      <w:proofErr w:type="spellEnd"/>
      <w:r>
        <w:rPr>
          <w:rFonts w:ascii="Calibri" w:eastAsia="Calibri" w:hAnsi="Calibri"/>
          <w:sz w:val="24"/>
        </w:rPr>
        <w:t xml:space="preserve"> hodnotí NKÚ jako netransparentní. </w:t>
      </w:r>
    </w:p>
    <w:p w14:paraId="68F63C18" w14:textId="69201ED9" w:rsidR="001E4BA5" w:rsidRDefault="00B412B0" w:rsidP="00504E17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lastRenderedPageBreak/>
        <w:t xml:space="preserve">Vybraní zaměstnanci </w:t>
      </w:r>
      <w:proofErr w:type="spellStart"/>
      <w:r>
        <w:rPr>
          <w:rFonts w:ascii="Calibri" w:eastAsia="Calibri" w:hAnsi="Calibri"/>
          <w:sz w:val="24"/>
        </w:rPr>
        <w:t>Transgasu</w:t>
      </w:r>
      <w:proofErr w:type="spellEnd"/>
      <w:r>
        <w:rPr>
          <w:rFonts w:ascii="Calibri" w:eastAsia="Calibri" w:hAnsi="Calibri"/>
          <w:sz w:val="24"/>
        </w:rPr>
        <w:t xml:space="preserve"> využívají služební vozidla na základě smlouvy se státním podnikem i k soukromým účelům. V jednom případě však Transgas</w:t>
      </w:r>
      <w:r w:rsidR="001A1E60">
        <w:rPr>
          <w:rFonts w:ascii="Calibri" w:eastAsia="Calibri" w:hAnsi="Calibri"/>
          <w:sz w:val="24"/>
        </w:rPr>
        <w:t>,</w:t>
      </w:r>
      <w:r>
        <w:rPr>
          <w:rFonts w:ascii="Calibri" w:eastAsia="Calibri" w:hAnsi="Calibri"/>
          <w:sz w:val="24"/>
        </w:rPr>
        <w:t xml:space="preserve"> v rozporu se smlouvou</w:t>
      </w:r>
      <w:r w:rsidR="00CB6858">
        <w:rPr>
          <w:rFonts w:ascii="Calibri" w:eastAsia="Calibri" w:hAnsi="Calibri"/>
          <w:sz w:val="24"/>
        </w:rPr>
        <w:t xml:space="preserve"> se zaměstnancem</w:t>
      </w:r>
      <w:r w:rsidR="001A1E60">
        <w:rPr>
          <w:rFonts w:ascii="Calibri" w:eastAsia="Calibri" w:hAnsi="Calibri"/>
          <w:sz w:val="24"/>
        </w:rPr>
        <w:t>,</w:t>
      </w:r>
      <w:r>
        <w:rPr>
          <w:rFonts w:ascii="Calibri" w:eastAsia="Calibri" w:hAnsi="Calibri"/>
          <w:sz w:val="24"/>
        </w:rPr>
        <w:t xml:space="preserve"> hradí hlídané parkovací stání</w:t>
      </w:r>
      <w:r w:rsidR="001A1E60">
        <w:rPr>
          <w:rFonts w:ascii="Calibri" w:eastAsia="Calibri" w:hAnsi="Calibri"/>
          <w:sz w:val="24"/>
        </w:rPr>
        <w:t xml:space="preserve"> služebního vozidla</w:t>
      </w:r>
      <w:r>
        <w:rPr>
          <w:rFonts w:ascii="Calibri" w:eastAsia="Calibri" w:hAnsi="Calibri"/>
          <w:sz w:val="24"/>
        </w:rPr>
        <w:t xml:space="preserve"> v místě trvalého bydliště zaměstnance</w:t>
      </w:r>
      <w:r w:rsidR="001E4BA5">
        <w:rPr>
          <w:rFonts w:ascii="Calibri" w:eastAsia="Calibri" w:hAnsi="Calibri"/>
          <w:sz w:val="24"/>
        </w:rPr>
        <w:t>, přestože má tyto náklady platit zaměstnanec.</w:t>
      </w:r>
      <w:r>
        <w:rPr>
          <w:rFonts w:ascii="Calibri" w:eastAsia="Calibri" w:hAnsi="Calibri"/>
          <w:sz w:val="24"/>
        </w:rPr>
        <w:t xml:space="preserve"> </w:t>
      </w:r>
      <w:r w:rsidR="001E4BA5">
        <w:rPr>
          <w:rFonts w:ascii="Calibri" w:eastAsia="Calibri" w:hAnsi="Calibri"/>
          <w:sz w:val="24"/>
        </w:rPr>
        <w:t xml:space="preserve">Od 1. ledna 2012 do 31. srpna 2021 Transgas uhradil 118 220 Kč včetně DPH, čímž se dopustil nehospodárného nakládání s peněžními prostředky </w:t>
      </w:r>
      <w:proofErr w:type="spellStart"/>
      <w:r w:rsidR="001E4BA5">
        <w:rPr>
          <w:rFonts w:ascii="Calibri" w:eastAsia="Calibri" w:hAnsi="Calibri"/>
          <w:sz w:val="24"/>
        </w:rPr>
        <w:t>Transgasu</w:t>
      </w:r>
      <w:proofErr w:type="spellEnd"/>
      <w:r w:rsidR="001E4BA5">
        <w:rPr>
          <w:rFonts w:ascii="Calibri" w:eastAsia="Calibri" w:hAnsi="Calibri"/>
          <w:sz w:val="24"/>
        </w:rPr>
        <w:t>.</w:t>
      </w:r>
    </w:p>
    <w:p w14:paraId="203A87E4" w14:textId="6617708D" w:rsidR="005A26BC" w:rsidRPr="00504E17" w:rsidRDefault="001E4BA5" w:rsidP="00504E17">
      <w:pPr>
        <w:spacing w:before="120" w:after="120" w:line="240" w:lineRule="auto"/>
        <w:jc w:val="both"/>
        <w:rPr>
          <w:rFonts w:ascii="Calibri" w:eastAsia="Calibri" w:hAnsi="Calibri"/>
          <w:sz w:val="24"/>
          <w:szCs w:val="24"/>
        </w:rPr>
      </w:pPr>
      <w:r w:rsidRPr="00504E17">
        <w:rPr>
          <w:rFonts w:ascii="Calibri" w:eastAsia="Calibri" w:hAnsi="Calibri"/>
          <w:sz w:val="24"/>
          <w:szCs w:val="24"/>
        </w:rPr>
        <w:t xml:space="preserve">Součástí nákladů </w:t>
      </w:r>
      <w:proofErr w:type="spellStart"/>
      <w:r w:rsidRPr="00504E17">
        <w:rPr>
          <w:rFonts w:ascii="Calibri" w:eastAsia="Calibri" w:hAnsi="Calibri"/>
          <w:sz w:val="24"/>
          <w:szCs w:val="24"/>
        </w:rPr>
        <w:t>Transgasu</w:t>
      </w:r>
      <w:proofErr w:type="spellEnd"/>
      <w:r w:rsidRPr="00504E17">
        <w:rPr>
          <w:rFonts w:ascii="Calibri" w:eastAsia="Calibri" w:hAnsi="Calibri"/>
          <w:sz w:val="24"/>
          <w:szCs w:val="24"/>
        </w:rPr>
        <w:t xml:space="preserve"> jsou</w:t>
      </w:r>
      <w:r w:rsidR="005A26BC" w:rsidRPr="00504E17">
        <w:rPr>
          <w:rFonts w:ascii="Calibri" w:eastAsia="Calibri" w:hAnsi="Calibri"/>
          <w:sz w:val="24"/>
          <w:szCs w:val="24"/>
        </w:rPr>
        <w:t xml:space="preserve"> mzdy a </w:t>
      </w:r>
      <w:r w:rsidRPr="00504E17">
        <w:rPr>
          <w:rFonts w:ascii="Calibri" w:eastAsia="Calibri" w:hAnsi="Calibri"/>
          <w:sz w:val="24"/>
          <w:szCs w:val="24"/>
        </w:rPr>
        <w:t>zaměstnanecké benefity</w:t>
      </w:r>
      <w:r w:rsidR="005A26BC" w:rsidRPr="00504E17">
        <w:rPr>
          <w:rStyle w:val="Znakapoznpodarou"/>
          <w:rFonts w:ascii="Calibri" w:eastAsia="Calibri" w:hAnsi="Calibri"/>
          <w:sz w:val="24"/>
          <w:szCs w:val="24"/>
        </w:rPr>
        <w:footnoteReference w:id="26"/>
      </w:r>
      <w:r w:rsidRPr="00504E17">
        <w:rPr>
          <w:rFonts w:ascii="Calibri" w:eastAsia="Calibri" w:hAnsi="Calibri"/>
          <w:sz w:val="24"/>
          <w:szCs w:val="24"/>
        </w:rPr>
        <w:t xml:space="preserve">. </w:t>
      </w:r>
      <w:r w:rsidR="005A26BC" w:rsidRPr="00504E17">
        <w:rPr>
          <w:rFonts w:ascii="Calibri" w:eastAsia="Calibri" w:hAnsi="Calibri"/>
          <w:sz w:val="24"/>
          <w:szCs w:val="24"/>
        </w:rPr>
        <w:t xml:space="preserve">V roce 2017 měl Transgas </w:t>
      </w:r>
      <w:r w:rsidR="00C367E5" w:rsidRPr="00504E17">
        <w:rPr>
          <w:rFonts w:ascii="Calibri" w:eastAsia="Calibri" w:hAnsi="Calibri"/>
          <w:sz w:val="24"/>
          <w:szCs w:val="24"/>
        </w:rPr>
        <w:t>osm</w:t>
      </w:r>
      <w:r w:rsidR="005A26BC" w:rsidRPr="00504E17">
        <w:rPr>
          <w:rFonts w:ascii="Calibri" w:eastAsia="Calibri" w:hAnsi="Calibri"/>
          <w:sz w:val="24"/>
          <w:szCs w:val="24"/>
        </w:rPr>
        <w:t xml:space="preserve"> zaměstnanců, v letech 2018 a 2019 devět zaměstnanců a v roce 2020 osm zaměstnanců. </w:t>
      </w:r>
      <w:r w:rsidR="001A1E60" w:rsidRPr="00504E17">
        <w:rPr>
          <w:rFonts w:ascii="Calibri" w:eastAsia="Calibri" w:hAnsi="Calibri"/>
          <w:sz w:val="24"/>
          <w:szCs w:val="24"/>
        </w:rPr>
        <w:t>Od roku 2017 do roku 2020 vzrostly</w:t>
      </w:r>
      <w:r w:rsidR="005A26BC" w:rsidRPr="00504E17">
        <w:rPr>
          <w:rFonts w:ascii="Calibri" w:eastAsia="Calibri" w:hAnsi="Calibri"/>
          <w:sz w:val="24"/>
          <w:szCs w:val="24"/>
        </w:rPr>
        <w:t xml:space="preserve"> mzdové náklady</w:t>
      </w:r>
      <w:r w:rsidR="005A26BC" w:rsidRPr="00504E17">
        <w:rPr>
          <w:rStyle w:val="Znakapoznpodarou"/>
          <w:rFonts w:ascii="Calibri" w:eastAsia="Calibri" w:hAnsi="Calibri"/>
          <w:sz w:val="24"/>
          <w:szCs w:val="24"/>
        </w:rPr>
        <w:footnoteReference w:id="27"/>
      </w:r>
      <w:r w:rsidR="005A26BC" w:rsidRPr="00504E17">
        <w:rPr>
          <w:rFonts w:ascii="Calibri" w:eastAsia="Calibri" w:hAnsi="Calibri"/>
          <w:sz w:val="24"/>
          <w:szCs w:val="24"/>
        </w:rPr>
        <w:t xml:space="preserve"> o 11 % na cca 5 mil. Kč</w:t>
      </w:r>
      <w:r w:rsidR="008278DD" w:rsidRPr="00504E17">
        <w:rPr>
          <w:rFonts w:ascii="Calibri" w:eastAsia="Calibri" w:hAnsi="Calibri"/>
          <w:sz w:val="24"/>
          <w:szCs w:val="24"/>
        </w:rPr>
        <w:t xml:space="preserve"> ročně</w:t>
      </w:r>
      <w:r w:rsidR="005A26BC" w:rsidRPr="00504E17">
        <w:rPr>
          <w:rFonts w:ascii="Calibri" w:eastAsia="Calibri" w:hAnsi="Calibri"/>
          <w:sz w:val="24"/>
          <w:szCs w:val="24"/>
        </w:rPr>
        <w:t>. Ve stejném období vzrostla i výše prostředků vynaložených na zaměstnanecké benefity</w:t>
      </w:r>
      <w:r w:rsidR="007B0133" w:rsidRPr="00504E17">
        <w:rPr>
          <w:rStyle w:val="Znakapoznpodarou"/>
          <w:rFonts w:ascii="Calibri" w:eastAsia="Calibri" w:hAnsi="Calibri"/>
          <w:sz w:val="24"/>
          <w:szCs w:val="24"/>
        </w:rPr>
        <w:footnoteReference w:id="28"/>
      </w:r>
      <w:r w:rsidR="005A26BC" w:rsidRPr="00504E17">
        <w:rPr>
          <w:rFonts w:ascii="Calibri" w:eastAsia="Calibri" w:hAnsi="Calibri"/>
          <w:sz w:val="24"/>
          <w:szCs w:val="24"/>
        </w:rPr>
        <w:t xml:space="preserve">, a to z 58 600 Kč na 70 500 Kč na </w:t>
      </w:r>
      <w:r w:rsidR="00B3025F" w:rsidRPr="00504E17">
        <w:rPr>
          <w:rFonts w:ascii="Calibri" w:eastAsia="Calibri" w:hAnsi="Calibri"/>
          <w:sz w:val="24"/>
          <w:szCs w:val="24"/>
        </w:rPr>
        <w:t xml:space="preserve">jednoho </w:t>
      </w:r>
      <w:r w:rsidR="001A1E60" w:rsidRPr="00504E17">
        <w:rPr>
          <w:rFonts w:ascii="Calibri" w:eastAsia="Calibri" w:hAnsi="Calibri"/>
          <w:sz w:val="24"/>
          <w:szCs w:val="24"/>
        </w:rPr>
        <w:t>zaměstnance</w:t>
      </w:r>
      <w:r w:rsidR="00C367E5" w:rsidRPr="00504E17">
        <w:rPr>
          <w:rFonts w:ascii="Calibri" w:eastAsia="Calibri" w:hAnsi="Calibri"/>
          <w:sz w:val="24"/>
          <w:szCs w:val="24"/>
        </w:rPr>
        <w:t xml:space="preserve"> ročně</w:t>
      </w:r>
      <w:r w:rsidR="005A26BC" w:rsidRPr="00504E17">
        <w:rPr>
          <w:rFonts w:ascii="Calibri" w:eastAsia="Calibri" w:hAnsi="Calibri"/>
          <w:sz w:val="24"/>
          <w:szCs w:val="24"/>
        </w:rPr>
        <w:t>. A to vše přesto, že Transgas</w:t>
      </w:r>
      <w:r w:rsidR="001A1E60" w:rsidRPr="00504E17">
        <w:rPr>
          <w:rFonts w:ascii="Calibri" w:eastAsia="Calibri" w:hAnsi="Calibri"/>
          <w:sz w:val="24"/>
          <w:szCs w:val="24"/>
        </w:rPr>
        <w:t xml:space="preserve"> je</w:t>
      </w:r>
      <w:r w:rsidR="005A26BC" w:rsidRPr="00504E17">
        <w:rPr>
          <w:rFonts w:ascii="Calibri" w:eastAsia="Calibri" w:hAnsi="Calibri"/>
          <w:sz w:val="24"/>
          <w:szCs w:val="24"/>
        </w:rPr>
        <w:t xml:space="preserve"> v letech 201</w:t>
      </w:r>
      <w:r w:rsidR="00186682" w:rsidRPr="00504E17">
        <w:rPr>
          <w:rFonts w:ascii="Calibri" w:eastAsia="Calibri" w:hAnsi="Calibri"/>
          <w:sz w:val="24"/>
          <w:szCs w:val="24"/>
        </w:rPr>
        <w:t>6</w:t>
      </w:r>
      <w:r w:rsidR="005A26BC" w:rsidRPr="00504E17">
        <w:rPr>
          <w:rFonts w:ascii="Calibri" w:eastAsia="Calibri" w:hAnsi="Calibri"/>
          <w:sz w:val="24"/>
          <w:szCs w:val="24"/>
        </w:rPr>
        <w:t xml:space="preserve"> </w:t>
      </w:r>
      <w:r w:rsidR="00E10C82" w:rsidRPr="00504E17">
        <w:rPr>
          <w:rFonts w:ascii="Calibri" w:eastAsia="Calibri" w:hAnsi="Calibri"/>
          <w:sz w:val="24"/>
          <w:szCs w:val="24"/>
        </w:rPr>
        <w:t>až</w:t>
      </w:r>
      <w:r w:rsidR="005A26BC" w:rsidRPr="00504E17">
        <w:rPr>
          <w:rFonts w:ascii="Calibri" w:eastAsia="Calibri" w:hAnsi="Calibri"/>
          <w:sz w:val="24"/>
          <w:szCs w:val="24"/>
        </w:rPr>
        <w:t xml:space="preserve"> 2020 trvale ve ztrátě.</w:t>
      </w:r>
      <w:r w:rsidR="00EF3852" w:rsidRPr="00504E17">
        <w:rPr>
          <w:rFonts w:ascii="Calibri" w:eastAsia="Calibri" w:hAnsi="Calibri"/>
          <w:sz w:val="24"/>
          <w:szCs w:val="24"/>
        </w:rPr>
        <w:t xml:space="preserve"> K</w:t>
      </w:r>
      <w:r w:rsidR="007B0133" w:rsidRPr="00504E17">
        <w:rPr>
          <w:rFonts w:ascii="Calibri" w:eastAsia="Calibri" w:hAnsi="Calibri"/>
          <w:sz w:val="24"/>
          <w:szCs w:val="24"/>
        </w:rPr>
        <w:t>e ztrátovému hospodaření</w:t>
      </w:r>
      <w:r w:rsidR="00EF3852" w:rsidRPr="00504E17">
        <w:rPr>
          <w:rFonts w:ascii="Calibri" w:eastAsia="Calibri" w:hAnsi="Calibri"/>
          <w:sz w:val="24"/>
          <w:szCs w:val="24"/>
        </w:rPr>
        <w:t xml:space="preserve"> přispívá také fakt, že Transgas sídlí</w:t>
      </w:r>
      <w:r w:rsidR="0060425F" w:rsidRPr="00504E17">
        <w:rPr>
          <w:rFonts w:ascii="Calibri" w:eastAsia="Calibri" w:hAnsi="Calibri"/>
          <w:sz w:val="24"/>
          <w:szCs w:val="24"/>
        </w:rPr>
        <w:t xml:space="preserve"> </w:t>
      </w:r>
      <w:r w:rsidR="006116EC" w:rsidRPr="00504E17">
        <w:rPr>
          <w:rFonts w:ascii="Calibri" w:eastAsia="Calibri" w:hAnsi="Calibri"/>
          <w:sz w:val="24"/>
          <w:szCs w:val="24"/>
        </w:rPr>
        <w:t xml:space="preserve">v </w:t>
      </w:r>
      <w:r w:rsidR="00EF3852" w:rsidRPr="00504E17">
        <w:rPr>
          <w:rFonts w:ascii="Calibri" w:eastAsia="Calibri" w:hAnsi="Calibri"/>
          <w:sz w:val="24"/>
          <w:szCs w:val="24"/>
        </w:rPr>
        <w:t xml:space="preserve">pronajatých prostorách. </w:t>
      </w:r>
      <w:r w:rsidR="00E10C82" w:rsidRPr="00504E17">
        <w:rPr>
          <w:rFonts w:ascii="Calibri" w:eastAsia="Calibri" w:hAnsi="Calibri"/>
          <w:sz w:val="24"/>
          <w:szCs w:val="24"/>
        </w:rPr>
        <w:t>Výše n</w:t>
      </w:r>
      <w:r w:rsidR="00EF3852" w:rsidRPr="00504E17">
        <w:rPr>
          <w:rFonts w:ascii="Calibri" w:eastAsia="Calibri" w:hAnsi="Calibri"/>
          <w:sz w:val="24"/>
          <w:szCs w:val="24"/>
        </w:rPr>
        <w:t>ájemné</w:t>
      </w:r>
      <w:r w:rsidR="00E10C82" w:rsidRPr="00504E17">
        <w:rPr>
          <w:rFonts w:ascii="Calibri" w:eastAsia="Calibri" w:hAnsi="Calibri"/>
          <w:sz w:val="24"/>
          <w:szCs w:val="24"/>
        </w:rPr>
        <w:t>ho</w:t>
      </w:r>
      <w:r w:rsidR="00EF3852" w:rsidRPr="00504E17">
        <w:rPr>
          <w:rFonts w:ascii="Calibri" w:eastAsia="Calibri" w:hAnsi="Calibri"/>
          <w:sz w:val="24"/>
          <w:szCs w:val="24"/>
        </w:rPr>
        <w:t xml:space="preserve"> </w:t>
      </w:r>
      <w:r w:rsidR="001D138D" w:rsidRPr="00504E17">
        <w:rPr>
          <w:rFonts w:ascii="Calibri" w:eastAsia="Calibri" w:hAnsi="Calibri"/>
          <w:sz w:val="24"/>
          <w:szCs w:val="24"/>
        </w:rPr>
        <w:t>za kancel</w:t>
      </w:r>
      <w:r w:rsidR="00C73EE3" w:rsidRPr="00504E17">
        <w:rPr>
          <w:rFonts w:ascii="Calibri" w:eastAsia="Calibri" w:hAnsi="Calibri"/>
          <w:sz w:val="24"/>
          <w:szCs w:val="24"/>
        </w:rPr>
        <w:t xml:space="preserve">ářské prostory </w:t>
      </w:r>
      <w:r w:rsidR="00EF3852" w:rsidRPr="00504E17">
        <w:rPr>
          <w:rFonts w:ascii="Calibri" w:eastAsia="Calibri" w:hAnsi="Calibri"/>
          <w:sz w:val="24"/>
          <w:szCs w:val="24"/>
        </w:rPr>
        <w:t xml:space="preserve">a stání pro čtyři služební automobily </w:t>
      </w:r>
      <w:r w:rsidR="00C73EE3" w:rsidRPr="00504E17">
        <w:rPr>
          <w:rFonts w:ascii="Calibri" w:eastAsia="Calibri" w:hAnsi="Calibri"/>
          <w:sz w:val="24"/>
          <w:szCs w:val="24"/>
        </w:rPr>
        <w:t xml:space="preserve">v jednotlivých letech </w:t>
      </w:r>
      <w:r w:rsidR="00E10C82" w:rsidRPr="00504E17">
        <w:rPr>
          <w:rFonts w:ascii="Calibri" w:eastAsia="Calibri" w:hAnsi="Calibri"/>
          <w:sz w:val="24"/>
          <w:szCs w:val="24"/>
        </w:rPr>
        <w:t xml:space="preserve">je uvedena v </w:t>
      </w:r>
      <w:r w:rsidR="00C73EE3" w:rsidRPr="00504E17">
        <w:rPr>
          <w:rFonts w:ascii="Calibri" w:eastAsia="Calibri" w:hAnsi="Calibri"/>
          <w:sz w:val="24"/>
          <w:szCs w:val="24"/>
        </w:rPr>
        <w:t>tabul</w:t>
      </w:r>
      <w:r w:rsidR="00E10C82" w:rsidRPr="00504E17">
        <w:rPr>
          <w:rFonts w:ascii="Calibri" w:eastAsia="Calibri" w:hAnsi="Calibri"/>
          <w:sz w:val="24"/>
          <w:szCs w:val="24"/>
        </w:rPr>
        <w:t>ce</w:t>
      </w:r>
      <w:r w:rsidR="00C73EE3" w:rsidRPr="00504E17">
        <w:rPr>
          <w:rFonts w:ascii="Calibri" w:eastAsia="Calibri" w:hAnsi="Calibri"/>
          <w:sz w:val="24"/>
          <w:szCs w:val="24"/>
        </w:rPr>
        <w:t xml:space="preserve"> č. </w:t>
      </w:r>
      <w:r w:rsidR="00F23837" w:rsidRPr="00504E17">
        <w:rPr>
          <w:rFonts w:ascii="Calibri" w:eastAsia="Calibri" w:hAnsi="Calibri"/>
          <w:sz w:val="24"/>
          <w:szCs w:val="24"/>
        </w:rPr>
        <w:t>6</w:t>
      </w:r>
      <w:r w:rsidR="00D6152F" w:rsidRPr="00504E17">
        <w:rPr>
          <w:rFonts w:ascii="Calibri" w:eastAsia="Calibri" w:hAnsi="Calibri"/>
          <w:sz w:val="24"/>
          <w:szCs w:val="24"/>
        </w:rPr>
        <w:t>,</w:t>
      </w:r>
      <w:r w:rsidR="00C73EE3" w:rsidRPr="00504E17">
        <w:rPr>
          <w:rFonts w:ascii="Calibri" w:eastAsia="Calibri" w:hAnsi="Calibri"/>
          <w:sz w:val="24"/>
          <w:szCs w:val="24"/>
        </w:rPr>
        <w:t xml:space="preserve"> </w:t>
      </w:r>
      <w:r w:rsidR="00D6152F" w:rsidRPr="00504E17">
        <w:rPr>
          <w:rFonts w:ascii="Calibri" w:eastAsia="Calibri" w:hAnsi="Calibri"/>
          <w:sz w:val="24"/>
          <w:szCs w:val="24"/>
        </w:rPr>
        <w:t>kdy za</w:t>
      </w:r>
      <w:r w:rsidR="0060425F" w:rsidRPr="00504E17">
        <w:rPr>
          <w:rFonts w:ascii="Calibri" w:eastAsia="Calibri" w:hAnsi="Calibri"/>
          <w:sz w:val="24"/>
          <w:szCs w:val="24"/>
        </w:rPr>
        <w:t xml:space="preserve"> období 2017 </w:t>
      </w:r>
      <w:r w:rsidR="00E10C82" w:rsidRPr="00504E17">
        <w:rPr>
          <w:rFonts w:ascii="Calibri" w:eastAsia="Calibri" w:hAnsi="Calibri"/>
          <w:sz w:val="24"/>
          <w:szCs w:val="24"/>
        </w:rPr>
        <w:t>až</w:t>
      </w:r>
      <w:r w:rsidR="0060425F" w:rsidRPr="00504E17">
        <w:rPr>
          <w:rFonts w:ascii="Calibri" w:eastAsia="Calibri" w:hAnsi="Calibri"/>
          <w:sz w:val="24"/>
          <w:szCs w:val="24"/>
        </w:rPr>
        <w:t xml:space="preserve"> 2020 Transgas zaplatil </w:t>
      </w:r>
      <w:r w:rsidR="00D6152F" w:rsidRPr="00504E17">
        <w:rPr>
          <w:rFonts w:ascii="Calibri" w:eastAsia="Calibri" w:hAnsi="Calibri"/>
          <w:sz w:val="24"/>
          <w:szCs w:val="24"/>
        </w:rPr>
        <w:t xml:space="preserve">celkem </w:t>
      </w:r>
      <w:r w:rsidR="006A5D24" w:rsidRPr="00504E17">
        <w:rPr>
          <w:rFonts w:ascii="Calibri" w:eastAsia="Calibri" w:hAnsi="Calibri"/>
          <w:sz w:val="24"/>
          <w:szCs w:val="24"/>
        </w:rPr>
        <w:t>5,9</w:t>
      </w:r>
      <w:r w:rsidR="0060425F" w:rsidRPr="00504E17">
        <w:rPr>
          <w:rFonts w:ascii="Calibri" w:eastAsia="Calibri" w:hAnsi="Calibri"/>
          <w:sz w:val="24"/>
          <w:szCs w:val="24"/>
        </w:rPr>
        <w:t xml:space="preserve"> mil. Kč.</w:t>
      </w:r>
    </w:p>
    <w:p w14:paraId="3EA77AD0" w14:textId="44115B48" w:rsidR="00672127" w:rsidRPr="00504E17" w:rsidRDefault="00672127" w:rsidP="00504E17">
      <w:pPr>
        <w:tabs>
          <w:tab w:val="right" w:pos="9072"/>
        </w:tabs>
        <w:spacing w:before="120" w:after="40" w:line="240" w:lineRule="auto"/>
        <w:jc w:val="both"/>
        <w:rPr>
          <w:rFonts w:ascii="Calibri" w:eastAsia="Calibri" w:hAnsi="Calibri"/>
          <w:b/>
          <w:sz w:val="24"/>
          <w:szCs w:val="24"/>
        </w:rPr>
      </w:pPr>
      <w:r w:rsidRPr="00504E17">
        <w:rPr>
          <w:rFonts w:ascii="Calibri" w:eastAsia="Calibri" w:hAnsi="Calibri"/>
          <w:b/>
          <w:sz w:val="24"/>
          <w:szCs w:val="24"/>
        </w:rPr>
        <w:t xml:space="preserve">Tabulka č. </w:t>
      </w:r>
      <w:r w:rsidR="00F23837" w:rsidRPr="00504E17">
        <w:rPr>
          <w:rFonts w:ascii="Calibri" w:eastAsia="Calibri" w:hAnsi="Calibri"/>
          <w:b/>
          <w:sz w:val="24"/>
          <w:szCs w:val="24"/>
        </w:rPr>
        <w:t>6</w:t>
      </w:r>
      <w:r w:rsidRPr="00504E17">
        <w:rPr>
          <w:rFonts w:ascii="Calibri" w:eastAsia="Calibri" w:hAnsi="Calibri"/>
          <w:b/>
          <w:sz w:val="24"/>
          <w:szCs w:val="24"/>
        </w:rPr>
        <w:t xml:space="preserve">: </w:t>
      </w:r>
      <w:r w:rsidR="0060425F" w:rsidRPr="00504E17">
        <w:rPr>
          <w:rFonts w:ascii="Calibri" w:eastAsia="Calibri" w:hAnsi="Calibri"/>
          <w:b/>
          <w:sz w:val="24"/>
          <w:szCs w:val="24"/>
        </w:rPr>
        <w:t xml:space="preserve">Nájemné sídla </w:t>
      </w:r>
      <w:r w:rsidR="00C73EE3" w:rsidRPr="00504E17">
        <w:rPr>
          <w:rFonts w:ascii="Calibri" w:eastAsia="Calibri" w:hAnsi="Calibri"/>
          <w:b/>
          <w:sz w:val="24"/>
          <w:szCs w:val="24"/>
        </w:rPr>
        <w:t xml:space="preserve">včetně parkovacích míst </w:t>
      </w:r>
      <w:proofErr w:type="spellStart"/>
      <w:r w:rsidR="0060425F" w:rsidRPr="00504E17">
        <w:rPr>
          <w:rFonts w:ascii="Calibri" w:eastAsia="Calibri" w:hAnsi="Calibri"/>
          <w:b/>
          <w:sz w:val="24"/>
          <w:szCs w:val="24"/>
        </w:rPr>
        <w:t>Transgasu</w:t>
      </w:r>
      <w:proofErr w:type="spellEnd"/>
      <w:r w:rsidRPr="00504E17">
        <w:rPr>
          <w:rFonts w:ascii="Calibri" w:eastAsia="Calibri" w:hAnsi="Calibri"/>
          <w:b/>
          <w:sz w:val="24"/>
          <w:szCs w:val="24"/>
        </w:rPr>
        <w:t xml:space="preserve"> </w:t>
      </w:r>
      <w:r w:rsidR="00504E17">
        <w:rPr>
          <w:rFonts w:ascii="Calibri" w:eastAsia="Calibri" w:hAnsi="Calibri"/>
          <w:b/>
          <w:sz w:val="24"/>
          <w:szCs w:val="24"/>
        </w:rPr>
        <w:tab/>
      </w:r>
      <w:r w:rsidRPr="00504E17">
        <w:rPr>
          <w:rFonts w:ascii="Calibri" w:eastAsia="Calibri" w:hAnsi="Calibri"/>
          <w:b/>
          <w:sz w:val="24"/>
          <w:szCs w:val="24"/>
        </w:rPr>
        <w:t>(</w:t>
      </w:r>
      <w:r w:rsidR="0060425F" w:rsidRPr="00504E17">
        <w:rPr>
          <w:rFonts w:ascii="Calibri" w:eastAsia="Calibri" w:hAnsi="Calibri"/>
          <w:b/>
          <w:sz w:val="24"/>
          <w:szCs w:val="24"/>
        </w:rPr>
        <w:t>v</w:t>
      </w:r>
      <w:r w:rsidRPr="00504E17">
        <w:rPr>
          <w:rFonts w:ascii="Calibri" w:eastAsia="Calibri" w:hAnsi="Calibri"/>
          <w:b/>
          <w:sz w:val="24"/>
          <w:szCs w:val="24"/>
        </w:rPr>
        <w:t xml:space="preserve"> Kč)</w:t>
      </w:r>
    </w:p>
    <w:tbl>
      <w:tblPr>
        <w:tblStyle w:val="Mkatabulky"/>
        <w:tblW w:w="9070" w:type="dxa"/>
        <w:tblInd w:w="-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1417"/>
        <w:gridCol w:w="1417"/>
        <w:gridCol w:w="1701"/>
      </w:tblGrid>
      <w:tr w:rsidR="00672127" w:rsidRPr="00504E17" w14:paraId="4B2809BA" w14:textId="77777777" w:rsidTr="00504E17">
        <w:trPr>
          <w:trHeight w:val="283"/>
        </w:trPr>
        <w:tc>
          <w:tcPr>
            <w:tcW w:w="1701" w:type="dxa"/>
            <w:shd w:val="clear" w:color="auto" w:fill="E5F1FF"/>
          </w:tcPr>
          <w:p w14:paraId="3A1F602B" w14:textId="77777777" w:rsidR="00672127" w:rsidRPr="00504E17" w:rsidRDefault="00672127" w:rsidP="003E2A50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shd w:val="clear" w:color="auto" w:fill="E5F1FF"/>
            <w:vAlign w:val="center"/>
          </w:tcPr>
          <w:p w14:paraId="3AFE9CF4" w14:textId="77777777" w:rsidR="00672127" w:rsidRPr="00504E17" w:rsidRDefault="00672127" w:rsidP="00C367E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54D81056" w14:textId="77777777" w:rsidR="00672127" w:rsidRPr="00504E17" w:rsidRDefault="00672127" w:rsidP="00C367E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7FF788F5" w14:textId="77777777" w:rsidR="00672127" w:rsidRPr="00504E17" w:rsidRDefault="00672127" w:rsidP="00C367E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564E176A" w14:textId="77777777" w:rsidR="00672127" w:rsidRPr="00504E17" w:rsidRDefault="00672127" w:rsidP="00C367E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701" w:type="dxa"/>
            <w:shd w:val="clear" w:color="auto" w:fill="E5F1FF"/>
            <w:vAlign w:val="center"/>
          </w:tcPr>
          <w:p w14:paraId="0CE51374" w14:textId="33B65EE8" w:rsidR="00672127" w:rsidRPr="00504E17" w:rsidRDefault="00672127" w:rsidP="00504E1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Celkem</w:t>
            </w:r>
            <w:r w:rsidR="0060425F"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 </w:t>
            </w:r>
            <w:r w:rsid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br/>
            </w:r>
            <w:r w:rsidR="0060425F"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2017 </w:t>
            </w:r>
            <w:r w:rsidR="00E10C82"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až</w:t>
            </w:r>
            <w:r w:rsidR="0060425F" w:rsidRPr="00504E17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 2020</w:t>
            </w:r>
          </w:p>
        </w:tc>
      </w:tr>
      <w:tr w:rsidR="00672127" w:rsidRPr="00504E17" w14:paraId="0BC50A6A" w14:textId="77777777" w:rsidTr="00504E17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A0A1470" w14:textId="69751AF1" w:rsidR="00672127" w:rsidRPr="00504E17" w:rsidRDefault="00590425" w:rsidP="00504E17">
            <w:pPr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sz w:val="20"/>
                <w:szCs w:val="20"/>
                <w:lang w:eastAsia="cs-CZ"/>
              </w:rPr>
              <w:t>V</w:t>
            </w:r>
            <w:r w:rsidR="0060425F" w:rsidRPr="00504E17">
              <w:rPr>
                <w:rFonts w:ascii="Calibri" w:hAnsi="Calibri" w:cs="Calibri"/>
                <w:sz w:val="20"/>
                <w:szCs w:val="20"/>
                <w:lang w:eastAsia="cs-CZ"/>
              </w:rPr>
              <w:t>ýše nájemného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56E2B" w14:textId="4885C155" w:rsidR="00672127" w:rsidRPr="00504E17" w:rsidRDefault="00672127" w:rsidP="00504E1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04E17">
              <w:rPr>
                <w:rFonts w:ascii="Calibri" w:eastAsia="Calibri" w:hAnsi="Calibri" w:cs="Calibri"/>
                <w:sz w:val="20"/>
                <w:szCs w:val="20"/>
              </w:rPr>
              <w:t>1 633 105,21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05744" w14:textId="6CDDC6AC" w:rsidR="00672127" w:rsidRPr="00504E17" w:rsidRDefault="00672127" w:rsidP="00504E1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04E17">
              <w:rPr>
                <w:rFonts w:ascii="Calibri" w:eastAsia="Calibri" w:hAnsi="Calibri" w:cs="Calibri"/>
                <w:sz w:val="20"/>
                <w:szCs w:val="20"/>
              </w:rPr>
              <w:t>1 580 577,96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3097E8" w14:textId="2654B3B1" w:rsidR="00672127" w:rsidRPr="00504E17" w:rsidRDefault="00672127" w:rsidP="00504E1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04E17">
              <w:rPr>
                <w:rFonts w:ascii="Calibri" w:eastAsia="Calibri" w:hAnsi="Calibri" w:cs="Calibri"/>
                <w:sz w:val="20"/>
                <w:szCs w:val="20"/>
              </w:rPr>
              <w:t>1 336 287,01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06EB4" w14:textId="790EFDE2" w:rsidR="00672127" w:rsidRPr="00504E17" w:rsidRDefault="00672127" w:rsidP="00504E17">
            <w:pPr>
              <w:ind w:right="57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504E17">
              <w:rPr>
                <w:rFonts w:ascii="Calibri" w:eastAsia="Calibri" w:hAnsi="Calibri" w:cs="Calibri"/>
                <w:sz w:val="20"/>
                <w:szCs w:val="20"/>
              </w:rPr>
              <w:t>1 361 507,77</w:t>
            </w:r>
          </w:p>
        </w:tc>
        <w:tc>
          <w:tcPr>
            <w:tcW w:w="1701" w:type="dxa"/>
            <w:vAlign w:val="center"/>
          </w:tcPr>
          <w:p w14:paraId="47E3DDE9" w14:textId="47B443F3" w:rsidR="00672127" w:rsidRPr="00504E17" w:rsidRDefault="0060425F" w:rsidP="00504E17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504E17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5 911 477,95</w:t>
            </w:r>
          </w:p>
        </w:tc>
      </w:tr>
    </w:tbl>
    <w:p w14:paraId="5D2F3180" w14:textId="4C978EDA" w:rsidR="001E4BA5" w:rsidRPr="00375FD1" w:rsidRDefault="00590425" w:rsidP="00504E17">
      <w:pPr>
        <w:spacing w:before="40" w:after="0" w:line="240" w:lineRule="auto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b/>
          <w:sz w:val="20"/>
        </w:rPr>
        <w:t>Z</w:t>
      </w:r>
      <w:r w:rsidR="00375FD1" w:rsidRPr="00504E17">
        <w:rPr>
          <w:rFonts w:ascii="Calibri" w:eastAsia="Calibri" w:hAnsi="Calibri"/>
          <w:b/>
          <w:sz w:val="20"/>
        </w:rPr>
        <w:t>droj:</w:t>
      </w:r>
      <w:r w:rsidR="00375FD1" w:rsidRPr="00375FD1">
        <w:rPr>
          <w:rFonts w:ascii="Calibri" w:eastAsia="Calibri" w:hAnsi="Calibri"/>
          <w:sz w:val="20"/>
        </w:rPr>
        <w:t xml:space="preserve"> účetnictví </w:t>
      </w:r>
      <w:proofErr w:type="spellStart"/>
      <w:r w:rsidR="00375FD1" w:rsidRPr="00375FD1">
        <w:rPr>
          <w:rFonts w:ascii="Calibri" w:eastAsia="Calibri" w:hAnsi="Calibri"/>
          <w:sz w:val="20"/>
        </w:rPr>
        <w:t>Transgasu</w:t>
      </w:r>
      <w:proofErr w:type="spellEnd"/>
      <w:r w:rsidR="00465829">
        <w:rPr>
          <w:rFonts w:ascii="Calibri" w:eastAsia="Calibri" w:hAnsi="Calibri"/>
          <w:sz w:val="20"/>
        </w:rPr>
        <w:t>.</w:t>
      </w:r>
    </w:p>
    <w:p w14:paraId="2F0698EC" w14:textId="77777777" w:rsidR="007D58CF" w:rsidRPr="00504E17" w:rsidRDefault="007D58CF" w:rsidP="00BB3AD0">
      <w:pPr>
        <w:spacing w:after="0" w:line="240" w:lineRule="auto"/>
        <w:jc w:val="both"/>
        <w:rPr>
          <w:rFonts w:ascii="Calibri" w:eastAsia="Calibri" w:hAnsi="Calibri"/>
          <w:sz w:val="24"/>
        </w:rPr>
      </w:pPr>
    </w:p>
    <w:p w14:paraId="34E29510" w14:textId="77777777" w:rsidR="008278DD" w:rsidRPr="00504E17" w:rsidRDefault="008278DD" w:rsidP="00BB3AD0">
      <w:pPr>
        <w:spacing w:after="0" w:line="240" w:lineRule="auto"/>
        <w:jc w:val="both"/>
        <w:rPr>
          <w:rFonts w:ascii="Calibri" w:eastAsia="Calibri" w:hAnsi="Calibri"/>
          <w:sz w:val="24"/>
        </w:rPr>
      </w:pPr>
    </w:p>
    <w:p w14:paraId="6371D1CF" w14:textId="514524C2" w:rsidR="00F70EFE" w:rsidRPr="00F70EFE" w:rsidRDefault="00F70EFE" w:rsidP="00504E17">
      <w:pPr>
        <w:keepNext/>
        <w:spacing w:after="60" w:line="240" w:lineRule="auto"/>
        <w:jc w:val="both"/>
        <w:rPr>
          <w:rFonts w:ascii="Calibri" w:eastAsia="Calibri" w:hAnsi="Calibri"/>
          <w:b/>
          <w:sz w:val="24"/>
        </w:rPr>
      </w:pPr>
      <w:r w:rsidRPr="00F70EFE">
        <w:rPr>
          <w:rFonts w:ascii="Calibri" w:eastAsia="Calibri" w:hAnsi="Calibri"/>
          <w:b/>
          <w:sz w:val="24"/>
        </w:rPr>
        <w:t>Seznam zkratek</w:t>
      </w:r>
    </w:p>
    <w:p w14:paraId="15C998FC" w14:textId="67AA875F" w:rsidR="00C3585B" w:rsidRDefault="00C3585B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/>
          <w:sz w:val="24"/>
        </w:rPr>
        <w:t>EGAP</w:t>
      </w:r>
      <w:r>
        <w:rPr>
          <w:rFonts w:ascii="Calibri" w:eastAsia="Calibri" w:hAnsi="Calibri"/>
          <w:sz w:val="24"/>
        </w:rPr>
        <w:tab/>
      </w:r>
      <w:r w:rsidRPr="007068B9">
        <w:rPr>
          <w:rFonts w:ascii="Calibri" w:eastAsia="Calibri" w:hAnsi="Calibri" w:cs="Times New Roman"/>
          <w:sz w:val="24"/>
          <w:szCs w:val="24"/>
        </w:rPr>
        <w:t>Exportní a garanční pojišťovací společnost</w:t>
      </w:r>
      <w:r w:rsidR="00590425">
        <w:rPr>
          <w:rFonts w:ascii="Calibri" w:eastAsia="Calibri" w:hAnsi="Calibri" w:cs="Times New Roman"/>
          <w:sz w:val="24"/>
          <w:szCs w:val="24"/>
        </w:rPr>
        <w:t>,</w:t>
      </w:r>
      <w:r w:rsidRPr="007068B9">
        <w:rPr>
          <w:rFonts w:ascii="Calibri" w:eastAsia="Calibri" w:hAnsi="Calibri" w:cs="Times New Roman"/>
          <w:sz w:val="24"/>
          <w:szCs w:val="24"/>
        </w:rPr>
        <w:t xml:space="preserve"> a.s.</w:t>
      </w:r>
    </w:p>
    <w:p w14:paraId="188DFDB4" w14:textId="5417C73C" w:rsidR="00C367E5" w:rsidRDefault="00C367E5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proofErr w:type="spellStart"/>
      <w:r>
        <w:rPr>
          <w:rFonts w:ascii="Calibri" w:eastAsia="Calibri" w:hAnsi="Calibri"/>
          <w:sz w:val="24"/>
        </w:rPr>
        <w:t>k.ú</w:t>
      </w:r>
      <w:proofErr w:type="spellEnd"/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katastrální území</w:t>
      </w:r>
    </w:p>
    <w:p w14:paraId="4C863D50" w14:textId="58519C66" w:rsidR="00C3585B" w:rsidRDefault="00C3585B" w:rsidP="00590425">
      <w:pPr>
        <w:keepNext/>
        <w:spacing w:after="60" w:line="240" w:lineRule="auto"/>
        <w:ind w:left="1701" w:hanging="1701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Memorandum</w:t>
      </w:r>
      <w:r w:rsidRPr="00C3585B">
        <w:t xml:space="preserve"> </w:t>
      </w:r>
      <w:r>
        <w:tab/>
      </w:r>
      <w:proofErr w:type="spellStart"/>
      <w:r w:rsidRPr="00B74EBF">
        <w:rPr>
          <w:rFonts w:ascii="Calibri" w:eastAsia="Calibri" w:hAnsi="Calibri"/>
          <w:i/>
          <w:sz w:val="24"/>
        </w:rPr>
        <w:t>Memorandum</w:t>
      </w:r>
      <w:proofErr w:type="spellEnd"/>
      <w:r w:rsidRPr="00B74EBF">
        <w:rPr>
          <w:rFonts w:ascii="Calibri" w:eastAsia="Calibri" w:hAnsi="Calibri"/>
          <w:i/>
          <w:sz w:val="24"/>
        </w:rPr>
        <w:t xml:space="preserve"> ke společnému postupu Ministerstva financí a ČPP Transgas, </w:t>
      </w:r>
      <w:proofErr w:type="spellStart"/>
      <w:r w:rsidRPr="00B74EBF">
        <w:rPr>
          <w:rFonts w:ascii="Calibri" w:eastAsia="Calibri" w:hAnsi="Calibri"/>
          <w:i/>
          <w:sz w:val="24"/>
        </w:rPr>
        <w:t>s.p</w:t>
      </w:r>
      <w:proofErr w:type="spellEnd"/>
      <w:r w:rsidRPr="00B74EBF">
        <w:rPr>
          <w:rFonts w:ascii="Calibri" w:eastAsia="Calibri" w:hAnsi="Calibri"/>
          <w:i/>
          <w:sz w:val="24"/>
        </w:rPr>
        <w:t>.</w:t>
      </w:r>
      <w:r w:rsidR="00526BA8">
        <w:rPr>
          <w:rFonts w:ascii="Calibri" w:eastAsia="Calibri" w:hAnsi="Calibri"/>
          <w:i/>
          <w:sz w:val="24"/>
        </w:rPr>
        <w:t>,</w:t>
      </w:r>
      <w:r w:rsidRPr="00B74EBF">
        <w:rPr>
          <w:rFonts w:ascii="Calibri" w:eastAsia="Calibri" w:hAnsi="Calibri"/>
          <w:i/>
          <w:sz w:val="24"/>
        </w:rPr>
        <w:t xml:space="preserve"> při správě pohledávek a závazků vyplývajících z</w:t>
      </w:r>
      <w:r w:rsidR="00504E17" w:rsidRPr="00B74EBF">
        <w:rPr>
          <w:rFonts w:ascii="Calibri" w:eastAsia="Calibri" w:hAnsi="Calibri"/>
          <w:i/>
          <w:sz w:val="24"/>
        </w:rPr>
        <w:t> </w:t>
      </w:r>
      <w:proofErr w:type="spellStart"/>
      <w:r w:rsidRPr="00B74EBF">
        <w:rPr>
          <w:rFonts w:ascii="Calibri" w:eastAsia="Calibri" w:hAnsi="Calibri"/>
          <w:i/>
          <w:sz w:val="24"/>
        </w:rPr>
        <w:t>Jamburgských</w:t>
      </w:r>
      <w:proofErr w:type="spellEnd"/>
      <w:r w:rsidRPr="00B74EBF">
        <w:rPr>
          <w:rFonts w:ascii="Calibri" w:eastAsia="Calibri" w:hAnsi="Calibri"/>
          <w:i/>
          <w:sz w:val="24"/>
        </w:rPr>
        <w:t xml:space="preserve"> dohod a</w:t>
      </w:r>
      <w:r w:rsidR="009233C4">
        <w:rPr>
          <w:rFonts w:ascii="Calibri" w:eastAsia="Calibri" w:hAnsi="Calibri"/>
          <w:i/>
          <w:sz w:val="24"/>
        </w:rPr>
        <w:t> </w:t>
      </w:r>
      <w:r w:rsidRPr="00B74EBF">
        <w:rPr>
          <w:rFonts w:ascii="Calibri" w:eastAsia="Calibri" w:hAnsi="Calibri"/>
          <w:i/>
          <w:sz w:val="24"/>
        </w:rPr>
        <w:t>při nakládání s nimi</w:t>
      </w:r>
    </w:p>
    <w:p w14:paraId="4A5F5CF7" w14:textId="3E5DDB4C" w:rsidR="00F70EFE" w:rsidRDefault="00F70EFE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MF</w:t>
      </w:r>
      <w:r>
        <w:rPr>
          <w:rFonts w:ascii="Calibri" w:eastAsia="Calibri" w:hAnsi="Calibri"/>
          <w:sz w:val="24"/>
        </w:rPr>
        <w:tab/>
        <w:t>Ministerstvo financí</w:t>
      </w:r>
    </w:p>
    <w:p w14:paraId="08CAF4A8" w14:textId="34D87840" w:rsidR="00F70EFE" w:rsidRDefault="00F70EFE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MPO</w:t>
      </w:r>
      <w:r>
        <w:rPr>
          <w:rFonts w:ascii="Calibri" w:eastAsia="Calibri" w:hAnsi="Calibri"/>
          <w:sz w:val="24"/>
        </w:rPr>
        <w:tab/>
        <w:t>Ministerstvo průmyslu a obchodu</w:t>
      </w:r>
    </w:p>
    <w:p w14:paraId="77C4DC3D" w14:textId="1BD3BCD1" w:rsidR="00F70EFE" w:rsidRDefault="00F70EFE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MZV</w:t>
      </w:r>
      <w:r>
        <w:rPr>
          <w:rFonts w:ascii="Calibri" w:eastAsia="Calibri" w:hAnsi="Calibri"/>
          <w:sz w:val="24"/>
        </w:rPr>
        <w:tab/>
        <w:t>Ministerstvo zahraničních věcí</w:t>
      </w:r>
    </w:p>
    <w:p w14:paraId="488877C9" w14:textId="745551E5" w:rsidR="00F70EFE" w:rsidRDefault="00F70EFE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NKÚ</w:t>
      </w:r>
      <w:r>
        <w:rPr>
          <w:rFonts w:ascii="Calibri" w:eastAsia="Calibri" w:hAnsi="Calibri"/>
          <w:sz w:val="24"/>
        </w:rPr>
        <w:tab/>
        <w:t>Nejvyšší kontrolní úřad</w:t>
      </w:r>
    </w:p>
    <w:p w14:paraId="6FF96E70" w14:textId="41A396E4" w:rsidR="00C367E5" w:rsidRDefault="00C367E5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proofErr w:type="spellStart"/>
      <w:r>
        <w:rPr>
          <w:rFonts w:ascii="Calibri" w:eastAsia="Calibri" w:hAnsi="Calibri"/>
          <w:sz w:val="24"/>
        </w:rPr>
        <w:t>o.z</w:t>
      </w:r>
      <w:proofErr w:type="spellEnd"/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odštěpný závod</w:t>
      </w:r>
    </w:p>
    <w:p w14:paraId="226F8A54" w14:textId="6D503256" w:rsidR="00F70EFE" w:rsidRDefault="00F70EFE" w:rsidP="00590425">
      <w:pPr>
        <w:keepNext/>
        <w:spacing w:after="60" w:line="240" w:lineRule="auto"/>
        <w:ind w:left="1701" w:hanging="1701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SPV</w:t>
      </w:r>
      <w:r>
        <w:rPr>
          <w:rFonts w:ascii="Calibri" w:eastAsia="Calibri" w:hAnsi="Calibri"/>
          <w:sz w:val="24"/>
        </w:rPr>
        <w:tab/>
      </w:r>
      <w:proofErr w:type="spellStart"/>
      <w:r w:rsidR="008A0E0D" w:rsidRPr="00F302EC">
        <w:rPr>
          <w:rFonts w:ascii="Calibri" w:eastAsia="Calibri" w:hAnsi="Calibri"/>
          <w:sz w:val="24"/>
        </w:rPr>
        <w:t>s</w:t>
      </w:r>
      <w:r w:rsidRPr="00F302EC">
        <w:rPr>
          <w:rFonts w:ascii="Calibri" w:eastAsia="Calibri" w:hAnsi="Calibri"/>
          <w:sz w:val="24"/>
        </w:rPr>
        <w:t>pecial</w:t>
      </w:r>
      <w:proofErr w:type="spellEnd"/>
      <w:r w:rsidRPr="00F302EC">
        <w:rPr>
          <w:rFonts w:ascii="Calibri" w:eastAsia="Calibri" w:hAnsi="Calibri"/>
          <w:sz w:val="24"/>
        </w:rPr>
        <w:t xml:space="preserve"> </w:t>
      </w:r>
      <w:proofErr w:type="spellStart"/>
      <w:r w:rsidRPr="00F302EC">
        <w:rPr>
          <w:rFonts w:ascii="Calibri" w:eastAsia="Calibri" w:hAnsi="Calibri"/>
          <w:sz w:val="24"/>
        </w:rPr>
        <w:t>purpose</w:t>
      </w:r>
      <w:proofErr w:type="spellEnd"/>
      <w:r w:rsidRPr="00F302EC">
        <w:rPr>
          <w:rFonts w:ascii="Calibri" w:eastAsia="Calibri" w:hAnsi="Calibri"/>
          <w:sz w:val="24"/>
        </w:rPr>
        <w:t xml:space="preserve"> </w:t>
      </w:r>
      <w:proofErr w:type="spellStart"/>
      <w:r w:rsidRPr="00F302EC">
        <w:rPr>
          <w:rFonts w:ascii="Calibri" w:eastAsia="Calibri" w:hAnsi="Calibri"/>
          <w:sz w:val="24"/>
        </w:rPr>
        <w:t>vehicle</w:t>
      </w:r>
      <w:proofErr w:type="spellEnd"/>
      <w:r>
        <w:rPr>
          <w:rFonts w:ascii="Calibri" w:eastAsia="Calibri" w:hAnsi="Calibri"/>
          <w:sz w:val="24"/>
        </w:rPr>
        <w:t xml:space="preserve"> (volně přeloženo jako společnost zvláštního určení)</w:t>
      </w:r>
    </w:p>
    <w:p w14:paraId="62195C33" w14:textId="50616B4D" w:rsidR="00C367E5" w:rsidRDefault="00C367E5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proofErr w:type="spellStart"/>
      <w:r>
        <w:rPr>
          <w:rFonts w:ascii="Calibri" w:eastAsia="Calibri" w:hAnsi="Calibri"/>
          <w:sz w:val="24"/>
        </w:rPr>
        <w:t>s.p</w:t>
      </w:r>
      <w:proofErr w:type="spellEnd"/>
      <w:r>
        <w:rPr>
          <w:rFonts w:ascii="Calibri" w:eastAsia="Calibri" w:hAnsi="Calibri"/>
          <w:sz w:val="24"/>
        </w:rPr>
        <w:t>.</w:t>
      </w:r>
      <w:r>
        <w:rPr>
          <w:rFonts w:ascii="Calibri" w:eastAsia="Calibri" w:hAnsi="Calibri"/>
          <w:sz w:val="24"/>
        </w:rPr>
        <w:tab/>
        <w:t>státní podnik</w:t>
      </w:r>
    </w:p>
    <w:p w14:paraId="25BB6A49" w14:textId="3BE07B1A" w:rsidR="00F70EFE" w:rsidRDefault="00F70EFE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Transgas</w:t>
      </w:r>
      <w:r>
        <w:rPr>
          <w:rFonts w:ascii="Calibri" w:eastAsia="Calibri" w:hAnsi="Calibri"/>
          <w:sz w:val="24"/>
        </w:rPr>
        <w:tab/>
        <w:t xml:space="preserve">ČPP Transgas, </w:t>
      </w:r>
      <w:proofErr w:type="spellStart"/>
      <w:r>
        <w:rPr>
          <w:rFonts w:ascii="Calibri" w:eastAsia="Calibri" w:hAnsi="Calibri"/>
          <w:sz w:val="24"/>
        </w:rPr>
        <w:t>s.p</w:t>
      </w:r>
      <w:proofErr w:type="spellEnd"/>
      <w:r>
        <w:rPr>
          <w:rFonts w:ascii="Calibri" w:eastAsia="Calibri" w:hAnsi="Calibri"/>
          <w:sz w:val="24"/>
        </w:rPr>
        <w:t>.</w:t>
      </w:r>
    </w:p>
    <w:p w14:paraId="4ED2D9AB" w14:textId="6C609D2D" w:rsidR="00F70EFE" w:rsidRDefault="00F70EFE" w:rsidP="00590425">
      <w:pPr>
        <w:keepNext/>
        <w:spacing w:after="60" w:line="240" w:lineRule="auto"/>
        <w:ind w:left="1701" w:hanging="1701"/>
        <w:jc w:val="both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URE</w:t>
      </w:r>
      <w:r>
        <w:rPr>
          <w:rFonts w:ascii="Calibri" w:eastAsia="Calibri" w:hAnsi="Calibri"/>
          <w:sz w:val="24"/>
        </w:rPr>
        <w:tab/>
        <w:t xml:space="preserve">pomocné, smluvně </w:t>
      </w:r>
      <w:proofErr w:type="spellStart"/>
      <w:r>
        <w:rPr>
          <w:rFonts w:ascii="Calibri" w:eastAsia="Calibri" w:hAnsi="Calibri"/>
          <w:sz w:val="24"/>
        </w:rPr>
        <w:t>přepočitatelné</w:t>
      </w:r>
      <w:proofErr w:type="spellEnd"/>
      <w:r>
        <w:rPr>
          <w:rFonts w:ascii="Calibri" w:eastAsia="Calibri" w:hAnsi="Calibri"/>
          <w:sz w:val="24"/>
        </w:rPr>
        <w:t xml:space="preserve"> jednotky</w:t>
      </w:r>
    </w:p>
    <w:p w14:paraId="338C4D80" w14:textId="2885EA6A" w:rsidR="00495ED7" w:rsidRDefault="00495ED7" w:rsidP="00BB3AD0">
      <w:pPr>
        <w:spacing w:after="0" w:line="240" w:lineRule="auto"/>
        <w:jc w:val="both"/>
        <w:rPr>
          <w:rFonts w:ascii="Calibri" w:eastAsia="Calibri" w:hAnsi="Calibri"/>
          <w:sz w:val="24"/>
        </w:rPr>
      </w:pPr>
    </w:p>
    <w:sectPr w:rsidR="00495ED7" w:rsidSect="009233C4">
      <w:footerReference w:type="first" r:id="rId15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2DEA" w14:textId="77777777" w:rsidR="008638FC" w:rsidRDefault="008638FC" w:rsidP="001E1138">
      <w:pPr>
        <w:spacing w:after="0" w:line="240" w:lineRule="auto"/>
      </w:pPr>
      <w:r>
        <w:separator/>
      </w:r>
    </w:p>
  </w:endnote>
  <w:endnote w:type="continuationSeparator" w:id="0">
    <w:p w14:paraId="7FFDF0DD" w14:textId="77777777" w:rsidR="008638FC" w:rsidRDefault="008638FC" w:rsidP="001E1138">
      <w:pPr>
        <w:spacing w:after="0" w:line="240" w:lineRule="auto"/>
      </w:pPr>
      <w:r>
        <w:continuationSeparator/>
      </w:r>
    </w:p>
  </w:endnote>
  <w:endnote w:type="continuationNotice" w:id="1">
    <w:p w14:paraId="58527B84" w14:textId="77777777" w:rsidR="009233C4" w:rsidRDefault="00923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5348657"/>
      <w:docPartObj>
        <w:docPartGallery w:val="Page Numbers (Bottom of Page)"/>
        <w:docPartUnique/>
      </w:docPartObj>
    </w:sdtPr>
    <w:sdtEndPr/>
    <w:sdtContent>
      <w:p w14:paraId="0B8A45B7" w14:textId="57373D15" w:rsidR="008638FC" w:rsidRDefault="008638FC" w:rsidP="0012538D">
        <w:pPr>
          <w:pStyle w:val="Zpat"/>
          <w:jc w:val="center"/>
        </w:pPr>
        <w:r w:rsidRPr="00464D52">
          <w:rPr>
            <w:sz w:val="24"/>
            <w:szCs w:val="24"/>
          </w:rPr>
          <w:fldChar w:fldCharType="begin"/>
        </w:r>
        <w:r w:rsidRPr="00464D52">
          <w:rPr>
            <w:sz w:val="24"/>
            <w:szCs w:val="24"/>
          </w:rPr>
          <w:instrText>PAGE   \* MERGEFORMAT</w:instrText>
        </w:r>
        <w:r w:rsidRPr="00464D5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16</w:t>
        </w:r>
        <w:r w:rsidRPr="00464D52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E8201" w14:textId="0E14D7BF" w:rsidR="008638FC" w:rsidRPr="009233C4" w:rsidRDefault="008638FC" w:rsidP="009233C4">
    <w:pPr>
      <w:pStyle w:val="Zpat"/>
      <w:jc w:val="cen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61897" w14:textId="77777777" w:rsidR="00526BA8" w:rsidRPr="00BF25EA" w:rsidRDefault="00526BA8" w:rsidP="00BF2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2696" w14:textId="77777777" w:rsidR="008638FC" w:rsidRDefault="008638FC" w:rsidP="001E1138">
      <w:pPr>
        <w:spacing w:after="0" w:line="240" w:lineRule="auto"/>
      </w:pPr>
      <w:r>
        <w:separator/>
      </w:r>
    </w:p>
  </w:footnote>
  <w:footnote w:type="continuationSeparator" w:id="0">
    <w:p w14:paraId="658A10D8" w14:textId="77777777" w:rsidR="008638FC" w:rsidRDefault="008638FC" w:rsidP="001E1138">
      <w:pPr>
        <w:spacing w:after="0" w:line="240" w:lineRule="auto"/>
      </w:pPr>
      <w:r>
        <w:continuationSeparator/>
      </w:r>
    </w:p>
  </w:footnote>
  <w:footnote w:type="continuationNotice" w:id="1">
    <w:p w14:paraId="76373F70" w14:textId="77777777" w:rsidR="009233C4" w:rsidRDefault="009233C4">
      <w:pPr>
        <w:spacing w:after="0" w:line="240" w:lineRule="auto"/>
      </w:pPr>
    </w:p>
  </w:footnote>
  <w:footnote w:id="2">
    <w:p w14:paraId="4D8F27D6" w14:textId="1167403F" w:rsidR="008638FC" w:rsidRDefault="008638FC" w:rsidP="003D6A4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 odst. 1 zákona č. 77/1997 Sb., o státním podniku.</w:t>
      </w:r>
    </w:p>
  </w:footnote>
  <w:footnote w:id="3">
    <w:p w14:paraId="547B979D" w14:textId="164EAF85" w:rsidR="008638FC" w:rsidRPr="00026B85" w:rsidRDefault="008638FC" w:rsidP="003D6A4F">
      <w:pPr>
        <w:pStyle w:val="Textpoznpodarou"/>
        <w:ind w:left="284" w:hanging="284"/>
      </w:pPr>
      <w:r w:rsidRPr="00026B85">
        <w:rPr>
          <w:rStyle w:val="Znakapoznpodarou"/>
        </w:rPr>
        <w:footnoteRef/>
      </w:r>
      <w:r w:rsidRPr="00026B85">
        <w:t xml:space="preserve"> </w:t>
      </w:r>
      <w:r>
        <w:tab/>
      </w:r>
      <w:r w:rsidRPr="00026B85">
        <w:rPr>
          <w:rFonts w:ascii="Calibri" w:eastAsia="Calibri" w:hAnsi="Calibri" w:cs="Calibri"/>
        </w:rPr>
        <w:t xml:space="preserve">Podstatou tzv. </w:t>
      </w:r>
      <w:r>
        <w:rPr>
          <w:rFonts w:ascii="Calibri" w:eastAsia="Calibri" w:hAnsi="Calibri" w:cs="Calibri"/>
        </w:rPr>
        <w:t>j</w:t>
      </w:r>
      <w:r w:rsidRPr="00026B85">
        <w:rPr>
          <w:rFonts w:ascii="Calibri" w:eastAsia="Calibri" w:hAnsi="Calibri" w:cs="Calibri"/>
        </w:rPr>
        <w:t xml:space="preserve">amburgských dohod je </w:t>
      </w:r>
      <w:r w:rsidRPr="00026B85">
        <w:rPr>
          <w:rFonts w:ascii="Calibri" w:eastAsia="Calibri" w:hAnsi="Calibri" w:cs="Calibri"/>
          <w:i/>
        </w:rPr>
        <w:t>Dohoda mezi vládou ČSSR a vládou SSSR o spolupráci při osvojování Jamburgského naleziště plynu</w:t>
      </w:r>
      <w:r w:rsidRPr="00026B85">
        <w:rPr>
          <w:rFonts w:ascii="Calibri" w:eastAsia="Calibri" w:hAnsi="Calibri" w:cs="Calibri"/>
        </w:rPr>
        <w:t xml:space="preserve"> ze dne 16. prosince 1985</w:t>
      </w:r>
      <w:r>
        <w:rPr>
          <w:rFonts w:ascii="Calibri" w:eastAsia="Calibri" w:hAnsi="Calibri" w:cs="Calibri"/>
        </w:rPr>
        <w:t>. Podrobněji v kapitole IV.2 tohoto kontrolního závěru.</w:t>
      </w:r>
    </w:p>
  </w:footnote>
  <w:footnote w:id="4">
    <w:p w14:paraId="61416A77" w14:textId="440E3B95" w:rsidR="008638FC" w:rsidRDefault="008638FC" w:rsidP="00E57AEC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Určený majetek je součástí zakládací listiny (§ 4 odst. 3 písm. d zákona č. 77/1997 Sb.). Pro nakládání s určeným majetkem je nutný předchozí souhlas zakladatele (MPO).</w:t>
      </w:r>
    </w:p>
  </w:footnote>
  <w:footnote w:id="5">
    <w:p w14:paraId="5CF023FC" w14:textId="13236542" w:rsidR="008638FC" w:rsidRDefault="008638FC" w:rsidP="0085315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Usnesení vlády ze dne 17. února 2020 č. 115, </w:t>
      </w:r>
      <w:r w:rsidRPr="00B74EBF">
        <w:rPr>
          <w:i/>
        </w:rPr>
        <w:t>o Strategii vlastnické politiky státu</w:t>
      </w:r>
      <w:r>
        <w:t>.</w:t>
      </w:r>
    </w:p>
  </w:footnote>
  <w:footnote w:id="6">
    <w:p w14:paraId="2903DB47" w14:textId="67CA5B02" w:rsidR="008638FC" w:rsidRPr="0085315C" w:rsidRDefault="008638FC" w:rsidP="0085315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85315C">
        <w:rPr>
          <w:rStyle w:val="Znakapoznpodarou"/>
          <w:rFonts w:ascii="Calibri" w:hAnsi="Calibri" w:cs="Calibri"/>
        </w:rPr>
        <w:footnoteRef/>
      </w:r>
      <w:r w:rsidRPr="008531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5315C">
        <w:rPr>
          <w:rFonts w:ascii="Calibri" w:hAnsi="Calibri" w:cs="Calibri"/>
        </w:rPr>
        <w:t>Usnesení vlády ze dne 14. ledna 2015 č. 25</w:t>
      </w:r>
      <w:r>
        <w:rPr>
          <w:rFonts w:ascii="Calibri" w:hAnsi="Calibri" w:cs="Calibri"/>
        </w:rPr>
        <w:t>,</w:t>
      </w:r>
      <w:r w:rsidRPr="0085315C">
        <w:rPr>
          <w:rFonts w:ascii="Calibri" w:hAnsi="Calibri" w:cs="Calibri"/>
        </w:rPr>
        <w:t xml:space="preserve"> </w:t>
      </w:r>
      <w:r w:rsidRPr="00B74EBF">
        <w:rPr>
          <w:rFonts w:ascii="Calibri" w:hAnsi="Calibri" w:cs="Calibri"/>
          <w:i/>
        </w:rPr>
        <w:t>k návrhu vyjmutí ČPP Transgas, s.p. z privatizace v souladu s § 5 zákona č. 92/1991 Sb., o podmínkách převodu majetku státu na jiné osoby, ve znění pozdějších předpisů</w:t>
      </w:r>
      <w:r w:rsidRPr="0085315C">
        <w:rPr>
          <w:rFonts w:ascii="Calibri" w:hAnsi="Calibri" w:cs="Calibri"/>
        </w:rPr>
        <w:t>.</w:t>
      </w:r>
    </w:p>
  </w:footnote>
  <w:footnote w:id="7">
    <w:p w14:paraId="13FFE9F1" w14:textId="648906B6" w:rsidR="008638FC" w:rsidRPr="0085315C" w:rsidRDefault="008638FC" w:rsidP="0085315C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85315C">
        <w:rPr>
          <w:rStyle w:val="Znakapoznpodarou"/>
          <w:rFonts w:ascii="Calibri" w:hAnsi="Calibri" w:cs="Calibri"/>
        </w:rPr>
        <w:footnoteRef/>
      </w:r>
      <w:r w:rsidRPr="008531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85315C">
        <w:rPr>
          <w:rFonts w:ascii="Calibri" w:hAnsi="Calibri" w:cs="Calibri"/>
        </w:rPr>
        <w:t>Návrh na vyjmutí ČPP Transgas, s.p.</w:t>
      </w:r>
      <w:r>
        <w:rPr>
          <w:rFonts w:ascii="Calibri" w:hAnsi="Calibri" w:cs="Calibri"/>
        </w:rPr>
        <w:t>,</w:t>
      </w:r>
      <w:r w:rsidRPr="0085315C">
        <w:rPr>
          <w:rFonts w:ascii="Calibri" w:hAnsi="Calibri" w:cs="Calibri"/>
        </w:rPr>
        <w:t xml:space="preserve"> z privatizace v souladu s § 5 zákona č. 92/1991 Sb., o podmínkách převodu majetku státu na jiné osoby, ve znění pozdějších předpisů. Předkladatel MPO, čj. MPO 42304/14/10300/01000.</w:t>
      </w:r>
    </w:p>
  </w:footnote>
  <w:footnote w:id="8">
    <w:p w14:paraId="5BBE9066" w14:textId="1F60E31C" w:rsidR="008638FC" w:rsidRPr="0085315C" w:rsidRDefault="008638FC" w:rsidP="0085315C">
      <w:pPr>
        <w:pStyle w:val="Textpoznpodarou"/>
        <w:ind w:left="284" w:hanging="284"/>
        <w:rPr>
          <w:rFonts w:ascii="Calibri" w:hAnsi="Calibri" w:cs="Calibri"/>
        </w:rPr>
      </w:pPr>
      <w:r w:rsidRPr="0085315C">
        <w:rPr>
          <w:rStyle w:val="Znakapoznpodarou"/>
          <w:rFonts w:ascii="Calibri" w:hAnsi="Calibri" w:cs="Calibri"/>
        </w:rPr>
        <w:footnoteRef/>
      </w:r>
      <w:r w:rsidRPr="008531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Ustanovení </w:t>
      </w:r>
      <w:r w:rsidRPr="0085315C">
        <w:rPr>
          <w:rFonts w:ascii="Calibri" w:hAnsi="Calibri" w:cs="Calibri"/>
        </w:rPr>
        <w:t>§ 19 odst. 4 zákona č. 77/1997 Sb., o státním podniku.</w:t>
      </w:r>
    </w:p>
  </w:footnote>
  <w:footnote w:id="9">
    <w:p w14:paraId="3353938E" w14:textId="6873AAAA" w:rsidR="008638FC" w:rsidRDefault="008638FC" w:rsidP="0088353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2/1969 Sb., o zřízení ministerstvech a jiných ústředních orgánů státní správy České republiky.</w:t>
      </w:r>
    </w:p>
  </w:footnote>
  <w:footnote w:id="10">
    <w:p w14:paraId="28506B21" w14:textId="009313B5" w:rsidR="008638FC" w:rsidRDefault="008638FC" w:rsidP="0088353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219/2000 Sb., o </w:t>
      </w:r>
      <w:r w:rsidRPr="00046183">
        <w:t>majetku České republiky a jejím vystupování v právních vztazích</w:t>
      </w:r>
      <w:r>
        <w:t>.</w:t>
      </w:r>
    </w:p>
  </w:footnote>
  <w:footnote w:id="11">
    <w:p w14:paraId="302AA1D6" w14:textId="6666983C" w:rsidR="008638FC" w:rsidRDefault="008638FC" w:rsidP="0088353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563/1991 Sb., o účetnictví.</w:t>
      </w:r>
    </w:p>
  </w:footnote>
  <w:footnote w:id="12">
    <w:p w14:paraId="6E8F6834" w14:textId="08EB1C3A" w:rsidR="008638FC" w:rsidRDefault="008638FC" w:rsidP="001D5F6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URE – pomocné, smluvené přepočitatelné jednotky.</w:t>
      </w:r>
    </w:p>
  </w:footnote>
  <w:footnote w:id="13">
    <w:p w14:paraId="0E9D8E73" w14:textId="2ED860E5" w:rsidR="008638FC" w:rsidRDefault="008638FC" w:rsidP="001D5F6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219/2000 Sb., o </w:t>
      </w:r>
      <w:r w:rsidRPr="00046183">
        <w:t>majetku České republiky a jejím vystupování v právních vztazích</w:t>
      </w:r>
      <w:r>
        <w:t>.</w:t>
      </w:r>
    </w:p>
  </w:footnote>
  <w:footnote w:id="14">
    <w:p w14:paraId="4D6E997C" w14:textId="3E0C5AA0" w:rsidR="008638FC" w:rsidRDefault="008638FC" w:rsidP="001D5F6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1757F">
        <w:t>Některé další poznatky o právní povaze pohledávek vyplývajících z tzv. jamburgských smluv a spravovaných ČPP Transgas, s.p</w:t>
      </w:r>
      <w:r>
        <w:t>, zpracovala advokátní kancelář pro ČPP Transgas, s.p., dne 27. srpna 2014.</w:t>
      </w:r>
    </w:p>
  </w:footnote>
  <w:footnote w:id="15">
    <w:p w14:paraId="2702FD5E" w14:textId="3E09F168" w:rsidR="008638FC" w:rsidRDefault="008638FC" w:rsidP="001D5F6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Výsledek jednání je uveden v důvodové zprávě k návrhu usnesení vlády </w:t>
      </w:r>
      <w:r w:rsidRPr="00CB3F6F">
        <w:rPr>
          <w:i/>
        </w:rPr>
        <w:t>Návrh na vyjmutí ČPP Transgas, s. p. z</w:t>
      </w:r>
      <w:r>
        <w:rPr>
          <w:i/>
        </w:rPr>
        <w:t> </w:t>
      </w:r>
      <w:r w:rsidRPr="00CB3F6F">
        <w:rPr>
          <w:i/>
        </w:rPr>
        <w:t>privatizace v souladu s § 5 zákona č. 92/1991 Sb., o podmínkách převodu majetku státu na jiné osoby, ve znění pozdějších předpisů.</w:t>
      </w:r>
      <w:r>
        <w:t xml:space="preserve"> Předkladatel MPO, čj. </w:t>
      </w:r>
      <w:r w:rsidRPr="00D036CC">
        <w:t>MPO 42304/14/10300/01000</w:t>
      </w:r>
      <w:r>
        <w:t>.</w:t>
      </w:r>
    </w:p>
  </w:footnote>
  <w:footnote w:id="16">
    <w:p w14:paraId="38BED864" w14:textId="5CB6228C" w:rsidR="008638FC" w:rsidRPr="00AB62CA" w:rsidRDefault="008638FC" w:rsidP="00572D60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Ustanovení § 30 odst. 1 zákona č. 563/1991 Sb</w:t>
      </w:r>
      <w:r w:rsidRPr="00193724">
        <w:rPr>
          <w:i/>
        </w:rPr>
        <w:t>.</w:t>
      </w:r>
      <w:r>
        <w:rPr>
          <w:i/>
        </w:rPr>
        <w:t xml:space="preserve">, </w:t>
      </w:r>
      <w:r>
        <w:t>o účetnictví</w:t>
      </w:r>
      <w:r w:rsidRPr="00193724">
        <w:rPr>
          <w:i/>
        </w:rPr>
        <w:t xml:space="preserve">: </w:t>
      </w:r>
      <w:r w:rsidRPr="00AB62CA">
        <w:t>„</w:t>
      </w:r>
      <w:r w:rsidRPr="00193724">
        <w:rPr>
          <w:i/>
        </w:rPr>
        <w:t>(1) Účetní jednotky zjišťují při inventarizaci skutečné stavy majetku a závazků a zaznamenávají je v inventurních soupisech. Tyto stavy zjišťují a) fyzickou inventurou u</w:t>
      </w:r>
      <w:r>
        <w:rPr>
          <w:i/>
        </w:rPr>
        <w:t> </w:t>
      </w:r>
      <w:r w:rsidRPr="00193724">
        <w:rPr>
          <w:i/>
        </w:rPr>
        <w:t>majetku, u kterého lze vizuálně zjistit jeho existenci, nebo b) dokladovou inventurou u závazků a</w:t>
      </w:r>
      <w:r>
        <w:rPr>
          <w:i/>
        </w:rPr>
        <w:t> </w:t>
      </w:r>
      <w:r w:rsidRPr="00193724">
        <w:rPr>
          <w:i/>
        </w:rPr>
        <w:t>majetku, u</w:t>
      </w:r>
      <w:r>
        <w:rPr>
          <w:i/>
        </w:rPr>
        <w:t> </w:t>
      </w:r>
      <w:r w:rsidRPr="00193724">
        <w:rPr>
          <w:i/>
        </w:rPr>
        <w:t>kterého nelze vizuálně zjistit jeho existenci, a to včetně jiných aktiv, jiných pasiv a skutečností účtovaných v</w:t>
      </w:r>
      <w:r>
        <w:rPr>
          <w:i/>
        </w:rPr>
        <w:t> </w:t>
      </w:r>
      <w:r w:rsidRPr="00193724">
        <w:rPr>
          <w:i/>
        </w:rPr>
        <w:t>knize podrozvahových účtů.</w:t>
      </w:r>
      <w:r w:rsidRPr="00AB62CA">
        <w:t>“</w:t>
      </w:r>
    </w:p>
  </w:footnote>
  <w:footnote w:id="17">
    <w:p w14:paraId="3AD31C61" w14:textId="4143AFE3" w:rsidR="008638FC" w:rsidRDefault="008638FC" w:rsidP="00572D60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Usnesení vlády ze dne 5. dubna 2017 č. 269</w:t>
      </w:r>
      <w:r w:rsidR="00AA3566">
        <w:t>,</w:t>
      </w:r>
      <w:r>
        <w:t xml:space="preserve"> </w:t>
      </w:r>
      <w:r w:rsidRPr="00B74EBF">
        <w:rPr>
          <w:i/>
        </w:rPr>
        <w:t>k návrhu dalšího postupu ve vztahu k obchodnímu případu Adularya/Yunus Emre v Turecku</w:t>
      </w:r>
      <w:r>
        <w:t>.</w:t>
      </w:r>
    </w:p>
  </w:footnote>
  <w:footnote w:id="18">
    <w:p w14:paraId="4FF499B7" w14:textId="37CF2A7B" w:rsidR="008638FC" w:rsidRPr="00AA3566" w:rsidRDefault="008638FC" w:rsidP="00572D60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Usnesení vlády ze dne 24. července 2017 č. 560</w:t>
      </w:r>
      <w:r w:rsidR="00AA3566">
        <w:t>,</w:t>
      </w:r>
      <w:r>
        <w:t xml:space="preserve"> </w:t>
      </w:r>
      <w:r w:rsidRPr="00B74EBF">
        <w:rPr>
          <w:i/>
        </w:rPr>
        <w:t>k informaci o dalším postupu ve vztahu k obchodnímu případu Adularya/Yunus Emre v Turecku a o změně usnesení vlády ze dne 5. dubna 2017 č. 269</w:t>
      </w:r>
      <w:r w:rsidR="00AA3566">
        <w:t>.</w:t>
      </w:r>
    </w:p>
  </w:footnote>
  <w:footnote w:id="19">
    <w:p w14:paraId="7975640C" w14:textId="219D934B" w:rsidR="008638FC" w:rsidRDefault="008638FC" w:rsidP="00572D60">
      <w:pPr>
        <w:spacing w:after="0"/>
        <w:ind w:left="284" w:hanging="284"/>
        <w:jc w:val="both"/>
      </w:pPr>
      <w:r w:rsidRPr="00447767">
        <w:rPr>
          <w:rStyle w:val="Znakapoznpodarou"/>
          <w:rFonts w:cs="Calibri"/>
          <w:sz w:val="20"/>
        </w:rPr>
        <w:footnoteRef/>
      </w:r>
      <w:r w:rsidRPr="00447767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ab/>
      </w:r>
      <w:proofErr w:type="spellStart"/>
      <w:r w:rsidRPr="00F302EC">
        <w:rPr>
          <w:rFonts w:eastAsia="Calibri" w:cs="Calibri"/>
          <w:sz w:val="20"/>
        </w:rPr>
        <w:t>Special</w:t>
      </w:r>
      <w:proofErr w:type="spellEnd"/>
      <w:r w:rsidRPr="00F302EC">
        <w:rPr>
          <w:rFonts w:eastAsia="Calibri" w:cs="Calibri"/>
          <w:sz w:val="20"/>
        </w:rPr>
        <w:t xml:space="preserve"> </w:t>
      </w:r>
      <w:proofErr w:type="spellStart"/>
      <w:r w:rsidRPr="00F302EC">
        <w:rPr>
          <w:rFonts w:eastAsia="Calibri" w:cs="Calibri"/>
          <w:sz w:val="20"/>
        </w:rPr>
        <w:t>purpose</w:t>
      </w:r>
      <w:proofErr w:type="spellEnd"/>
      <w:r w:rsidRPr="00F302EC">
        <w:rPr>
          <w:rFonts w:eastAsia="Calibri" w:cs="Calibri"/>
          <w:sz w:val="20"/>
        </w:rPr>
        <w:t xml:space="preserve"> </w:t>
      </w:r>
      <w:proofErr w:type="spellStart"/>
      <w:r w:rsidRPr="00F302EC">
        <w:rPr>
          <w:rFonts w:eastAsia="Calibri" w:cs="Calibri"/>
          <w:sz w:val="20"/>
        </w:rPr>
        <w:t>vehicle</w:t>
      </w:r>
      <w:proofErr w:type="spellEnd"/>
      <w:r w:rsidRPr="00447767">
        <w:rPr>
          <w:rFonts w:eastAsia="Calibri" w:cs="Calibri"/>
          <w:sz w:val="20"/>
        </w:rPr>
        <w:t xml:space="preserve"> (volně přeloženo jako společnost zvláštního určení)</w:t>
      </w:r>
      <w:r w:rsidR="00AA3566">
        <w:rPr>
          <w:rFonts w:eastAsia="Calibri" w:cs="Calibri"/>
          <w:sz w:val="20"/>
        </w:rPr>
        <w:t>.</w:t>
      </w:r>
    </w:p>
  </w:footnote>
  <w:footnote w:id="20">
    <w:p w14:paraId="6C89EEB5" w14:textId="6ADCD3C7" w:rsidR="008638FC" w:rsidRDefault="008638FC" w:rsidP="00572D6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AA3566">
        <w:t xml:space="preserve">Ustanovení </w:t>
      </w:r>
      <w:r>
        <w:t>§ 15 zákona č. 77/1997 Sb., o státním podniku.</w:t>
      </w:r>
    </w:p>
  </w:footnote>
  <w:footnote w:id="21">
    <w:p w14:paraId="029789F9" w14:textId="7A459EC1" w:rsidR="008638FC" w:rsidRDefault="008638FC" w:rsidP="00572D6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AA3566">
        <w:t xml:space="preserve">Ustanovení </w:t>
      </w:r>
      <w:r>
        <w:t>§ 4 zákona č. 77/1997 Sb., o státním podniku.</w:t>
      </w:r>
    </w:p>
  </w:footnote>
  <w:footnote w:id="22">
    <w:p w14:paraId="218B1F45" w14:textId="238FD028" w:rsidR="008638FC" w:rsidRDefault="008638FC" w:rsidP="00572D60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Opatření č. 24/2016 ministra průmyslu a obchodu, kterým se upravuje metodický postup při výkonu zakladatelské funkce MPO vůči státním podnikům, ze dne 23. prosince 2016.</w:t>
      </w:r>
    </w:p>
  </w:footnote>
  <w:footnote w:id="23">
    <w:p w14:paraId="5857E68F" w14:textId="02DFAF4F" w:rsidR="008638FC" w:rsidRDefault="008638FC" w:rsidP="00504E1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První rok nájmu bylo nájemné 30 tis. Kč bez DPH měsíčně.</w:t>
      </w:r>
    </w:p>
  </w:footnote>
  <w:footnote w:id="24">
    <w:p w14:paraId="6C186D9F" w14:textId="54B72E36" w:rsidR="008638FC" w:rsidRDefault="008638FC" w:rsidP="00504E1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590425">
        <w:t xml:space="preserve">Ustanovení </w:t>
      </w:r>
      <w:r>
        <w:t>§ 17c zákona č. 77/1997 Sb., o státním podniku.</w:t>
      </w:r>
    </w:p>
  </w:footnote>
  <w:footnote w:id="25">
    <w:p w14:paraId="112478D1" w14:textId="635C8828" w:rsidR="008638FC" w:rsidRDefault="008638FC" w:rsidP="00504E1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="00590425">
        <w:t xml:space="preserve">Pozemky </w:t>
      </w:r>
      <w:r w:rsidRPr="00206552">
        <w:rPr>
          <w:rFonts w:cstheme="minorHAnsi"/>
        </w:rPr>
        <w:t>p.</w:t>
      </w:r>
      <w:r w:rsidR="00590425">
        <w:rPr>
          <w:rFonts w:cstheme="minorHAnsi"/>
        </w:rPr>
        <w:t> </w:t>
      </w:r>
      <w:r w:rsidRPr="00206552">
        <w:rPr>
          <w:rFonts w:cstheme="minorHAnsi"/>
        </w:rPr>
        <w:t xml:space="preserve">č. 3964/24 </w:t>
      </w:r>
      <w:r>
        <w:rPr>
          <w:rFonts w:cstheme="minorHAnsi"/>
        </w:rPr>
        <w:t>–</w:t>
      </w:r>
      <w:r w:rsidRPr="00206552">
        <w:rPr>
          <w:rFonts w:cstheme="minorHAnsi"/>
        </w:rPr>
        <w:t xml:space="preserve"> </w:t>
      </w:r>
      <w:r>
        <w:rPr>
          <w:rFonts w:cstheme="minorHAnsi"/>
        </w:rPr>
        <w:t>k.</w:t>
      </w:r>
      <w:r w:rsidR="00590425">
        <w:rPr>
          <w:rFonts w:cstheme="minorHAnsi"/>
        </w:rPr>
        <w:t> </w:t>
      </w:r>
      <w:r>
        <w:rPr>
          <w:rFonts w:cstheme="minorHAnsi"/>
        </w:rPr>
        <w:t>ú.</w:t>
      </w:r>
      <w:r w:rsidRPr="00206552">
        <w:rPr>
          <w:rFonts w:cstheme="minorHAnsi"/>
        </w:rPr>
        <w:t xml:space="preserve"> Chomutov a p.</w:t>
      </w:r>
      <w:r w:rsidR="00590425">
        <w:rPr>
          <w:rFonts w:cstheme="minorHAnsi"/>
        </w:rPr>
        <w:t> </w:t>
      </w:r>
      <w:r w:rsidRPr="00206552">
        <w:rPr>
          <w:rFonts w:cstheme="minorHAnsi"/>
        </w:rPr>
        <w:t xml:space="preserve">č. 1727/5 </w:t>
      </w:r>
      <w:r>
        <w:rPr>
          <w:rFonts w:cstheme="minorHAnsi"/>
        </w:rPr>
        <w:t>–</w:t>
      </w:r>
      <w:r w:rsidRPr="00206552">
        <w:rPr>
          <w:rFonts w:cstheme="minorHAnsi"/>
        </w:rPr>
        <w:t xml:space="preserve"> </w:t>
      </w:r>
      <w:r>
        <w:rPr>
          <w:rFonts w:cstheme="minorHAnsi"/>
        </w:rPr>
        <w:t>k.</w:t>
      </w:r>
      <w:r w:rsidR="00590425">
        <w:rPr>
          <w:rFonts w:cstheme="minorHAnsi"/>
        </w:rPr>
        <w:t> </w:t>
      </w:r>
      <w:r>
        <w:rPr>
          <w:rFonts w:cstheme="minorHAnsi"/>
        </w:rPr>
        <w:t>ú.</w:t>
      </w:r>
      <w:r w:rsidRPr="00206552">
        <w:rPr>
          <w:rFonts w:cstheme="minorHAnsi"/>
        </w:rPr>
        <w:t xml:space="preserve"> Zvěstov</w:t>
      </w:r>
      <w:r>
        <w:rPr>
          <w:rFonts w:cstheme="minorHAnsi"/>
        </w:rPr>
        <w:t>.</w:t>
      </w:r>
    </w:p>
  </w:footnote>
  <w:footnote w:id="26">
    <w:p w14:paraId="3D08DDBC" w14:textId="0935018C" w:rsidR="008638FC" w:rsidRDefault="008638FC" w:rsidP="00504E1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 xml:space="preserve">Jedná se o mj. o </w:t>
      </w:r>
      <w:r w:rsidRPr="005A26BC">
        <w:t>příspěvky na kulturu, tělovýchovu, závodní stravování, rekreaci prostřednictvím cestovní kanceláře, penzijní připojištění a příspěvek na stravování</w:t>
      </w:r>
      <w:r>
        <w:t>.</w:t>
      </w:r>
    </w:p>
  </w:footnote>
  <w:footnote w:id="27">
    <w:p w14:paraId="4A055553" w14:textId="51890A23" w:rsidR="008638FC" w:rsidRDefault="008638FC" w:rsidP="00504E1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Bez zákonných sociálních a zdravotních odvodů; údaje jsou dostupné v účetních závěrkách.</w:t>
      </w:r>
    </w:p>
  </w:footnote>
  <w:footnote w:id="28">
    <w:p w14:paraId="68DAC343" w14:textId="1156B5FD" w:rsidR="008638FC" w:rsidRDefault="008638FC" w:rsidP="00504E1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Část benefitů byla placena z fondu kulturních a sociálních potřeb, v kontrolovaném období to bylo průměrně 49 % vynaložených peněžních prostředků.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BC7"/>
    <w:multiLevelType w:val="hybridMultilevel"/>
    <w:tmpl w:val="4E0808EE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A67C89"/>
    <w:multiLevelType w:val="hybridMultilevel"/>
    <w:tmpl w:val="F248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435"/>
    <w:multiLevelType w:val="hybridMultilevel"/>
    <w:tmpl w:val="8670E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919"/>
    <w:multiLevelType w:val="hybridMultilevel"/>
    <w:tmpl w:val="2D3A97C0"/>
    <w:lvl w:ilvl="0" w:tplc="04050017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D3D2B3C"/>
    <w:multiLevelType w:val="hybridMultilevel"/>
    <w:tmpl w:val="7A988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7981"/>
    <w:multiLevelType w:val="hybridMultilevel"/>
    <w:tmpl w:val="C77A246C"/>
    <w:lvl w:ilvl="0" w:tplc="BB568A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5D2"/>
    <w:multiLevelType w:val="hybridMultilevel"/>
    <w:tmpl w:val="81A07246"/>
    <w:lvl w:ilvl="0" w:tplc="0405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4445FEC"/>
    <w:multiLevelType w:val="hybridMultilevel"/>
    <w:tmpl w:val="AED82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26DE"/>
    <w:multiLevelType w:val="hybridMultilevel"/>
    <w:tmpl w:val="A1F012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330A0"/>
    <w:multiLevelType w:val="hybridMultilevel"/>
    <w:tmpl w:val="559A6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C3F94"/>
    <w:multiLevelType w:val="hybridMultilevel"/>
    <w:tmpl w:val="C9CA0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32D0B"/>
    <w:multiLevelType w:val="hybridMultilevel"/>
    <w:tmpl w:val="71541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C2E58"/>
    <w:multiLevelType w:val="hybridMultilevel"/>
    <w:tmpl w:val="6BA0462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59B71CD6"/>
    <w:multiLevelType w:val="multilevel"/>
    <w:tmpl w:val="6B5039CA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C0553EE"/>
    <w:multiLevelType w:val="hybridMultilevel"/>
    <w:tmpl w:val="3F60C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416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F5A1EA2"/>
    <w:multiLevelType w:val="hybridMultilevel"/>
    <w:tmpl w:val="B35E9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5"/>
  </w:num>
  <w:num w:numId="5">
    <w:abstractNumId w:val="11"/>
  </w:num>
  <w:num w:numId="6">
    <w:abstractNumId w:val="1"/>
  </w:num>
  <w:num w:numId="7">
    <w:abstractNumId w:val="14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9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NotTrackMoves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38"/>
    <w:rsid w:val="000022F1"/>
    <w:rsid w:val="00002A70"/>
    <w:rsid w:val="00005062"/>
    <w:rsid w:val="00005D7E"/>
    <w:rsid w:val="00006832"/>
    <w:rsid w:val="00006A2B"/>
    <w:rsid w:val="00006AFC"/>
    <w:rsid w:val="0001003B"/>
    <w:rsid w:val="0001144E"/>
    <w:rsid w:val="000139F8"/>
    <w:rsid w:val="00014469"/>
    <w:rsid w:val="00021208"/>
    <w:rsid w:val="00023FA9"/>
    <w:rsid w:val="000257A5"/>
    <w:rsid w:val="00025B04"/>
    <w:rsid w:val="00026B85"/>
    <w:rsid w:val="00027D3E"/>
    <w:rsid w:val="00030037"/>
    <w:rsid w:val="0003059E"/>
    <w:rsid w:val="00031492"/>
    <w:rsid w:val="00031A3F"/>
    <w:rsid w:val="000336A6"/>
    <w:rsid w:val="0003520D"/>
    <w:rsid w:val="0003607D"/>
    <w:rsid w:val="00036397"/>
    <w:rsid w:val="00037886"/>
    <w:rsid w:val="000411EE"/>
    <w:rsid w:val="00041535"/>
    <w:rsid w:val="000419DF"/>
    <w:rsid w:val="00042809"/>
    <w:rsid w:val="00044C5D"/>
    <w:rsid w:val="000456F8"/>
    <w:rsid w:val="00045F16"/>
    <w:rsid w:val="00046183"/>
    <w:rsid w:val="00046774"/>
    <w:rsid w:val="00050085"/>
    <w:rsid w:val="00051375"/>
    <w:rsid w:val="0005140D"/>
    <w:rsid w:val="0005143D"/>
    <w:rsid w:val="000524AF"/>
    <w:rsid w:val="00055153"/>
    <w:rsid w:val="000553E2"/>
    <w:rsid w:val="00055E62"/>
    <w:rsid w:val="00056987"/>
    <w:rsid w:val="00056DEC"/>
    <w:rsid w:val="00056EAD"/>
    <w:rsid w:val="000623CD"/>
    <w:rsid w:val="00062E08"/>
    <w:rsid w:val="0006475B"/>
    <w:rsid w:val="00067131"/>
    <w:rsid w:val="00071FB4"/>
    <w:rsid w:val="000721E9"/>
    <w:rsid w:val="0007261F"/>
    <w:rsid w:val="000730B6"/>
    <w:rsid w:val="00074E5F"/>
    <w:rsid w:val="000751A0"/>
    <w:rsid w:val="00077A2A"/>
    <w:rsid w:val="00077CDD"/>
    <w:rsid w:val="00082D3A"/>
    <w:rsid w:val="00085502"/>
    <w:rsid w:val="00085E9E"/>
    <w:rsid w:val="00086969"/>
    <w:rsid w:val="00086D8C"/>
    <w:rsid w:val="00087C93"/>
    <w:rsid w:val="00096456"/>
    <w:rsid w:val="00096A0B"/>
    <w:rsid w:val="000978EE"/>
    <w:rsid w:val="000A11AE"/>
    <w:rsid w:val="000A5836"/>
    <w:rsid w:val="000A5D5E"/>
    <w:rsid w:val="000A6177"/>
    <w:rsid w:val="000B12C5"/>
    <w:rsid w:val="000B1645"/>
    <w:rsid w:val="000B168F"/>
    <w:rsid w:val="000B16F9"/>
    <w:rsid w:val="000B2C73"/>
    <w:rsid w:val="000B4A8E"/>
    <w:rsid w:val="000B5134"/>
    <w:rsid w:val="000B6920"/>
    <w:rsid w:val="000C15AE"/>
    <w:rsid w:val="000C3BE9"/>
    <w:rsid w:val="000C410B"/>
    <w:rsid w:val="000C5599"/>
    <w:rsid w:val="000D03A2"/>
    <w:rsid w:val="000D0DCD"/>
    <w:rsid w:val="000D3B0A"/>
    <w:rsid w:val="000D52C7"/>
    <w:rsid w:val="000D6AC8"/>
    <w:rsid w:val="000D7D5C"/>
    <w:rsid w:val="000E0DF8"/>
    <w:rsid w:val="000E13AC"/>
    <w:rsid w:val="000E1B29"/>
    <w:rsid w:val="000E1B93"/>
    <w:rsid w:val="000E1BD6"/>
    <w:rsid w:val="000E1D9D"/>
    <w:rsid w:val="000E272E"/>
    <w:rsid w:val="000E2809"/>
    <w:rsid w:val="000E2CF9"/>
    <w:rsid w:val="000E4603"/>
    <w:rsid w:val="000E4634"/>
    <w:rsid w:val="000E611B"/>
    <w:rsid w:val="000E71BD"/>
    <w:rsid w:val="000F0AB5"/>
    <w:rsid w:val="0010032B"/>
    <w:rsid w:val="00100C02"/>
    <w:rsid w:val="00101FFB"/>
    <w:rsid w:val="00110253"/>
    <w:rsid w:val="00110C7E"/>
    <w:rsid w:val="00111622"/>
    <w:rsid w:val="0011167A"/>
    <w:rsid w:val="00112821"/>
    <w:rsid w:val="00113E3E"/>
    <w:rsid w:val="001165D1"/>
    <w:rsid w:val="00117912"/>
    <w:rsid w:val="00122AE5"/>
    <w:rsid w:val="00124251"/>
    <w:rsid w:val="0012434E"/>
    <w:rsid w:val="00124B61"/>
    <w:rsid w:val="0012538D"/>
    <w:rsid w:val="001310E4"/>
    <w:rsid w:val="00131D28"/>
    <w:rsid w:val="0013397D"/>
    <w:rsid w:val="00140825"/>
    <w:rsid w:val="00146177"/>
    <w:rsid w:val="0015065E"/>
    <w:rsid w:val="001508A4"/>
    <w:rsid w:val="00151B8F"/>
    <w:rsid w:val="00153F36"/>
    <w:rsid w:val="001547C2"/>
    <w:rsid w:val="0015492D"/>
    <w:rsid w:val="00156C16"/>
    <w:rsid w:val="0016200D"/>
    <w:rsid w:val="0016213B"/>
    <w:rsid w:val="00163129"/>
    <w:rsid w:val="00163F66"/>
    <w:rsid w:val="00165FB9"/>
    <w:rsid w:val="00167623"/>
    <w:rsid w:val="00167C00"/>
    <w:rsid w:val="00171F21"/>
    <w:rsid w:val="0017205D"/>
    <w:rsid w:val="001724FD"/>
    <w:rsid w:val="001738E2"/>
    <w:rsid w:val="00176040"/>
    <w:rsid w:val="00176309"/>
    <w:rsid w:val="00176E3C"/>
    <w:rsid w:val="00180F33"/>
    <w:rsid w:val="001815BE"/>
    <w:rsid w:val="00181980"/>
    <w:rsid w:val="00184094"/>
    <w:rsid w:val="00184678"/>
    <w:rsid w:val="0018573B"/>
    <w:rsid w:val="00186552"/>
    <w:rsid w:val="00186682"/>
    <w:rsid w:val="00186CA0"/>
    <w:rsid w:val="0019105A"/>
    <w:rsid w:val="00191D5C"/>
    <w:rsid w:val="0019294A"/>
    <w:rsid w:val="00193157"/>
    <w:rsid w:val="00193724"/>
    <w:rsid w:val="001952B2"/>
    <w:rsid w:val="00195981"/>
    <w:rsid w:val="00195E62"/>
    <w:rsid w:val="0019621A"/>
    <w:rsid w:val="00196E1D"/>
    <w:rsid w:val="00196F61"/>
    <w:rsid w:val="001972CC"/>
    <w:rsid w:val="00197E88"/>
    <w:rsid w:val="001A0AD7"/>
    <w:rsid w:val="001A18FB"/>
    <w:rsid w:val="001A1E60"/>
    <w:rsid w:val="001A2010"/>
    <w:rsid w:val="001A36DC"/>
    <w:rsid w:val="001A3C81"/>
    <w:rsid w:val="001A6BA6"/>
    <w:rsid w:val="001A71EA"/>
    <w:rsid w:val="001B015D"/>
    <w:rsid w:val="001B1251"/>
    <w:rsid w:val="001B1E9B"/>
    <w:rsid w:val="001B1FD3"/>
    <w:rsid w:val="001B30A9"/>
    <w:rsid w:val="001B36FB"/>
    <w:rsid w:val="001B3C0A"/>
    <w:rsid w:val="001C01FB"/>
    <w:rsid w:val="001C0C8F"/>
    <w:rsid w:val="001C2D95"/>
    <w:rsid w:val="001C32D3"/>
    <w:rsid w:val="001C4703"/>
    <w:rsid w:val="001C6023"/>
    <w:rsid w:val="001C6B47"/>
    <w:rsid w:val="001D0161"/>
    <w:rsid w:val="001D138D"/>
    <w:rsid w:val="001D1592"/>
    <w:rsid w:val="001D1BE1"/>
    <w:rsid w:val="001D3CA9"/>
    <w:rsid w:val="001D4E1E"/>
    <w:rsid w:val="001D5F68"/>
    <w:rsid w:val="001D7862"/>
    <w:rsid w:val="001D7E7D"/>
    <w:rsid w:val="001E1138"/>
    <w:rsid w:val="001E1D6C"/>
    <w:rsid w:val="001E4BA5"/>
    <w:rsid w:val="001E5371"/>
    <w:rsid w:val="001E69F9"/>
    <w:rsid w:val="001F00F6"/>
    <w:rsid w:val="001F22B0"/>
    <w:rsid w:val="001F26FF"/>
    <w:rsid w:val="001F35DA"/>
    <w:rsid w:val="001F448D"/>
    <w:rsid w:val="001F5FFB"/>
    <w:rsid w:val="001F600B"/>
    <w:rsid w:val="001F6B71"/>
    <w:rsid w:val="001F74DD"/>
    <w:rsid w:val="002006A2"/>
    <w:rsid w:val="00201977"/>
    <w:rsid w:val="00202821"/>
    <w:rsid w:val="00206108"/>
    <w:rsid w:val="00206552"/>
    <w:rsid w:val="00206A15"/>
    <w:rsid w:val="00207BCC"/>
    <w:rsid w:val="00210A07"/>
    <w:rsid w:val="00217124"/>
    <w:rsid w:val="002172FA"/>
    <w:rsid w:val="0022074E"/>
    <w:rsid w:val="00222B8B"/>
    <w:rsid w:val="00223915"/>
    <w:rsid w:val="00223E04"/>
    <w:rsid w:val="002255A2"/>
    <w:rsid w:val="0022589F"/>
    <w:rsid w:val="00225968"/>
    <w:rsid w:val="00226407"/>
    <w:rsid w:val="00226478"/>
    <w:rsid w:val="002273CF"/>
    <w:rsid w:val="00230A43"/>
    <w:rsid w:val="0023715F"/>
    <w:rsid w:val="0023722C"/>
    <w:rsid w:val="00237D5F"/>
    <w:rsid w:val="00240B36"/>
    <w:rsid w:val="0024180B"/>
    <w:rsid w:val="002440B7"/>
    <w:rsid w:val="00244DE2"/>
    <w:rsid w:val="00250C65"/>
    <w:rsid w:val="00252432"/>
    <w:rsid w:val="002528D0"/>
    <w:rsid w:val="00252C43"/>
    <w:rsid w:val="002538C1"/>
    <w:rsid w:val="00254621"/>
    <w:rsid w:val="002549E1"/>
    <w:rsid w:val="00257420"/>
    <w:rsid w:val="00257FE6"/>
    <w:rsid w:val="0026066F"/>
    <w:rsid w:val="00263D76"/>
    <w:rsid w:val="00266A03"/>
    <w:rsid w:val="00266A52"/>
    <w:rsid w:val="002711FC"/>
    <w:rsid w:val="00272340"/>
    <w:rsid w:val="00273DA3"/>
    <w:rsid w:val="00274FE6"/>
    <w:rsid w:val="0027584B"/>
    <w:rsid w:val="00275AF0"/>
    <w:rsid w:val="0027615A"/>
    <w:rsid w:val="00277773"/>
    <w:rsid w:val="00282CDB"/>
    <w:rsid w:val="00284901"/>
    <w:rsid w:val="00284FD3"/>
    <w:rsid w:val="00285D71"/>
    <w:rsid w:val="00291508"/>
    <w:rsid w:val="00291CEB"/>
    <w:rsid w:val="0029269A"/>
    <w:rsid w:val="00294FAA"/>
    <w:rsid w:val="00295BDC"/>
    <w:rsid w:val="0029644E"/>
    <w:rsid w:val="0029647B"/>
    <w:rsid w:val="00297531"/>
    <w:rsid w:val="002A01D6"/>
    <w:rsid w:val="002A058A"/>
    <w:rsid w:val="002A2972"/>
    <w:rsid w:val="002A7A86"/>
    <w:rsid w:val="002B0A10"/>
    <w:rsid w:val="002B1FCC"/>
    <w:rsid w:val="002B2D97"/>
    <w:rsid w:val="002B3111"/>
    <w:rsid w:val="002B44BE"/>
    <w:rsid w:val="002C0BBB"/>
    <w:rsid w:val="002C11AC"/>
    <w:rsid w:val="002C2058"/>
    <w:rsid w:val="002C424A"/>
    <w:rsid w:val="002D06F5"/>
    <w:rsid w:val="002D17F6"/>
    <w:rsid w:val="002D357D"/>
    <w:rsid w:val="002D54D4"/>
    <w:rsid w:val="002D6110"/>
    <w:rsid w:val="002E0D93"/>
    <w:rsid w:val="002E3F4C"/>
    <w:rsid w:val="002E4D3A"/>
    <w:rsid w:val="002E540A"/>
    <w:rsid w:val="002F0ED2"/>
    <w:rsid w:val="002F122F"/>
    <w:rsid w:val="002F3C9C"/>
    <w:rsid w:val="002F45DC"/>
    <w:rsid w:val="002F5483"/>
    <w:rsid w:val="002F5D11"/>
    <w:rsid w:val="002F7CE2"/>
    <w:rsid w:val="00302AC7"/>
    <w:rsid w:val="00302E0B"/>
    <w:rsid w:val="003040D0"/>
    <w:rsid w:val="00304732"/>
    <w:rsid w:val="00306294"/>
    <w:rsid w:val="00306658"/>
    <w:rsid w:val="00310FBE"/>
    <w:rsid w:val="00311021"/>
    <w:rsid w:val="003153CF"/>
    <w:rsid w:val="003174BE"/>
    <w:rsid w:val="00320ABC"/>
    <w:rsid w:val="00324034"/>
    <w:rsid w:val="0032588A"/>
    <w:rsid w:val="003300A5"/>
    <w:rsid w:val="00332DE4"/>
    <w:rsid w:val="003331BC"/>
    <w:rsid w:val="00335798"/>
    <w:rsid w:val="00340FEE"/>
    <w:rsid w:val="003447EE"/>
    <w:rsid w:val="00346E5D"/>
    <w:rsid w:val="00347873"/>
    <w:rsid w:val="00347DEC"/>
    <w:rsid w:val="00347E54"/>
    <w:rsid w:val="00350C5D"/>
    <w:rsid w:val="00351621"/>
    <w:rsid w:val="00351B81"/>
    <w:rsid w:val="003577CC"/>
    <w:rsid w:val="00363004"/>
    <w:rsid w:val="00363517"/>
    <w:rsid w:val="00363B5F"/>
    <w:rsid w:val="003649DB"/>
    <w:rsid w:val="00364F50"/>
    <w:rsid w:val="00370E8C"/>
    <w:rsid w:val="00371098"/>
    <w:rsid w:val="003716F2"/>
    <w:rsid w:val="00371EAD"/>
    <w:rsid w:val="00371EBF"/>
    <w:rsid w:val="0037388A"/>
    <w:rsid w:val="00373900"/>
    <w:rsid w:val="0037463C"/>
    <w:rsid w:val="00375133"/>
    <w:rsid w:val="00375FC2"/>
    <w:rsid w:val="00375FD1"/>
    <w:rsid w:val="00380851"/>
    <w:rsid w:val="003869EF"/>
    <w:rsid w:val="00387358"/>
    <w:rsid w:val="00387674"/>
    <w:rsid w:val="00390685"/>
    <w:rsid w:val="00391960"/>
    <w:rsid w:val="0039470C"/>
    <w:rsid w:val="00397A0B"/>
    <w:rsid w:val="003A0BB2"/>
    <w:rsid w:val="003A0F33"/>
    <w:rsid w:val="003A224D"/>
    <w:rsid w:val="003A2EC6"/>
    <w:rsid w:val="003A3528"/>
    <w:rsid w:val="003A38BA"/>
    <w:rsid w:val="003A4C7C"/>
    <w:rsid w:val="003B0084"/>
    <w:rsid w:val="003B157A"/>
    <w:rsid w:val="003B1F1D"/>
    <w:rsid w:val="003B22F5"/>
    <w:rsid w:val="003B3DEC"/>
    <w:rsid w:val="003B5ED1"/>
    <w:rsid w:val="003B651A"/>
    <w:rsid w:val="003B66E4"/>
    <w:rsid w:val="003B6EE0"/>
    <w:rsid w:val="003B75D3"/>
    <w:rsid w:val="003B7610"/>
    <w:rsid w:val="003B7B2D"/>
    <w:rsid w:val="003C20A4"/>
    <w:rsid w:val="003C42C5"/>
    <w:rsid w:val="003C622E"/>
    <w:rsid w:val="003D0C44"/>
    <w:rsid w:val="003D1EAB"/>
    <w:rsid w:val="003D44D6"/>
    <w:rsid w:val="003D549C"/>
    <w:rsid w:val="003D6A4F"/>
    <w:rsid w:val="003D7A7A"/>
    <w:rsid w:val="003E0AA1"/>
    <w:rsid w:val="003E0DF0"/>
    <w:rsid w:val="003E13E7"/>
    <w:rsid w:val="003E2A50"/>
    <w:rsid w:val="003E3B78"/>
    <w:rsid w:val="003E7AE2"/>
    <w:rsid w:val="003F0504"/>
    <w:rsid w:val="003F08BE"/>
    <w:rsid w:val="003F0F28"/>
    <w:rsid w:val="003F42B4"/>
    <w:rsid w:val="003F442B"/>
    <w:rsid w:val="003F4CFC"/>
    <w:rsid w:val="003F6B7A"/>
    <w:rsid w:val="003F6E09"/>
    <w:rsid w:val="004015E0"/>
    <w:rsid w:val="00401E0F"/>
    <w:rsid w:val="00403209"/>
    <w:rsid w:val="00403FBB"/>
    <w:rsid w:val="00405EE0"/>
    <w:rsid w:val="00412A0B"/>
    <w:rsid w:val="00413957"/>
    <w:rsid w:val="004140D0"/>
    <w:rsid w:val="00415558"/>
    <w:rsid w:val="00420588"/>
    <w:rsid w:val="004220E6"/>
    <w:rsid w:val="00422963"/>
    <w:rsid w:val="00422AA0"/>
    <w:rsid w:val="00425BF6"/>
    <w:rsid w:val="00426196"/>
    <w:rsid w:val="00430A06"/>
    <w:rsid w:val="00430FF5"/>
    <w:rsid w:val="00436077"/>
    <w:rsid w:val="00437C16"/>
    <w:rsid w:val="00440955"/>
    <w:rsid w:val="0044129D"/>
    <w:rsid w:val="00441734"/>
    <w:rsid w:val="004423C0"/>
    <w:rsid w:val="00442D0A"/>
    <w:rsid w:val="0044396D"/>
    <w:rsid w:val="00443B09"/>
    <w:rsid w:val="004458A4"/>
    <w:rsid w:val="0044604C"/>
    <w:rsid w:val="00446349"/>
    <w:rsid w:val="00447767"/>
    <w:rsid w:val="00453DF7"/>
    <w:rsid w:val="00453F86"/>
    <w:rsid w:val="004555F2"/>
    <w:rsid w:val="00455903"/>
    <w:rsid w:val="004561DB"/>
    <w:rsid w:val="00457936"/>
    <w:rsid w:val="00457F41"/>
    <w:rsid w:val="004615E8"/>
    <w:rsid w:val="0046234B"/>
    <w:rsid w:val="004638B6"/>
    <w:rsid w:val="0046433E"/>
    <w:rsid w:val="004647BE"/>
    <w:rsid w:val="00464D52"/>
    <w:rsid w:val="00465829"/>
    <w:rsid w:val="00466169"/>
    <w:rsid w:val="004661AE"/>
    <w:rsid w:val="00466618"/>
    <w:rsid w:val="00467D19"/>
    <w:rsid w:val="00471E13"/>
    <w:rsid w:val="00476403"/>
    <w:rsid w:val="00477647"/>
    <w:rsid w:val="00477A20"/>
    <w:rsid w:val="00484CCB"/>
    <w:rsid w:val="00487692"/>
    <w:rsid w:val="00487E87"/>
    <w:rsid w:val="00490AB8"/>
    <w:rsid w:val="00495ED7"/>
    <w:rsid w:val="004968D4"/>
    <w:rsid w:val="00497844"/>
    <w:rsid w:val="00497F91"/>
    <w:rsid w:val="004A3C62"/>
    <w:rsid w:val="004A3D65"/>
    <w:rsid w:val="004A645E"/>
    <w:rsid w:val="004A64CA"/>
    <w:rsid w:val="004A7EBB"/>
    <w:rsid w:val="004B10CE"/>
    <w:rsid w:val="004B1B1D"/>
    <w:rsid w:val="004B3374"/>
    <w:rsid w:val="004B3F47"/>
    <w:rsid w:val="004B500D"/>
    <w:rsid w:val="004B70D5"/>
    <w:rsid w:val="004C0904"/>
    <w:rsid w:val="004C5024"/>
    <w:rsid w:val="004C57C9"/>
    <w:rsid w:val="004C655B"/>
    <w:rsid w:val="004C6D94"/>
    <w:rsid w:val="004C75BB"/>
    <w:rsid w:val="004D2C89"/>
    <w:rsid w:val="004D3645"/>
    <w:rsid w:val="004D75A3"/>
    <w:rsid w:val="004E07EF"/>
    <w:rsid w:val="004E6FCA"/>
    <w:rsid w:val="004E7818"/>
    <w:rsid w:val="004F0482"/>
    <w:rsid w:val="004F1042"/>
    <w:rsid w:val="004F115B"/>
    <w:rsid w:val="004F1581"/>
    <w:rsid w:val="004F17C3"/>
    <w:rsid w:val="004F3015"/>
    <w:rsid w:val="004F424D"/>
    <w:rsid w:val="004F4D30"/>
    <w:rsid w:val="004F5CCA"/>
    <w:rsid w:val="004F600F"/>
    <w:rsid w:val="004F6B3B"/>
    <w:rsid w:val="004F77B9"/>
    <w:rsid w:val="00500015"/>
    <w:rsid w:val="005012E1"/>
    <w:rsid w:val="005028C8"/>
    <w:rsid w:val="0050294A"/>
    <w:rsid w:val="0050328F"/>
    <w:rsid w:val="00504272"/>
    <w:rsid w:val="00504DD4"/>
    <w:rsid w:val="00504E17"/>
    <w:rsid w:val="00506071"/>
    <w:rsid w:val="00507DC1"/>
    <w:rsid w:val="00510110"/>
    <w:rsid w:val="00512340"/>
    <w:rsid w:val="005123CB"/>
    <w:rsid w:val="00512DB5"/>
    <w:rsid w:val="0051442A"/>
    <w:rsid w:val="00515A63"/>
    <w:rsid w:val="00515C3A"/>
    <w:rsid w:val="005165E9"/>
    <w:rsid w:val="00516CC7"/>
    <w:rsid w:val="00520AF4"/>
    <w:rsid w:val="005226C0"/>
    <w:rsid w:val="00526466"/>
    <w:rsid w:val="00526BA8"/>
    <w:rsid w:val="0052798E"/>
    <w:rsid w:val="00531884"/>
    <w:rsid w:val="00531D02"/>
    <w:rsid w:val="00531F38"/>
    <w:rsid w:val="00532556"/>
    <w:rsid w:val="00533D81"/>
    <w:rsid w:val="00534576"/>
    <w:rsid w:val="00534AE6"/>
    <w:rsid w:val="00536CCD"/>
    <w:rsid w:val="005371C8"/>
    <w:rsid w:val="0054171B"/>
    <w:rsid w:val="00541EF4"/>
    <w:rsid w:val="0054268E"/>
    <w:rsid w:val="00542759"/>
    <w:rsid w:val="00545201"/>
    <w:rsid w:val="005463FB"/>
    <w:rsid w:val="00546FAB"/>
    <w:rsid w:val="0054752F"/>
    <w:rsid w:val="00552253"/>
    <w:rsid w:val="005530EB"/>
    <w:rsid w:val="00553CF9"/>
    <w:rsid w:val="005552F0"/>
    <w:rsid w:val="005560C8"/>
    <w:rsid w:val="0055721C"/>
    <w:rsid w:val="00560D04"/>
    <w:rsid w:val="005624FC"/>
    <w:rsid w:val="0056262A"/>
    <w:rsid w:val="0056343A"/>
    <w:rsid w:val="00564582"/>
    <w:rsid w:val="00564FD1"/>
    <w:rsid w:val="00570230"/>
    <w:rsid w:val="00571842"/>
    <w:rsid w:val="00572D60"/>
    <w:rsid w:val="0057316D"/>
    <w:rsid w:val="005731A1"/>
    <w:rsid w:val="00573C9F"/>
    <w:rsid w:val="0057455C"/>
    <w:rsid w:val="005747C2"/>
    <w:rsid w:val="00575982"/>
    <w:rsid w:val="00576987"/>
    <w:rsid w:val="005803D9"/>
    <w:rsid w:val="005806A1"/>
    <w:rsid w:val="00580752"/>
    <w:rsid w:val="005811B5"/>
    <w:rsid w:val="00583AEE"/>
    <w:rsid w:val="00583F64"/>
    <w:rsid w:val="00585C87"/>
    <w:rsid w:val="0058730B"/>
    <w:rsid w:val="00587AD7"/>
    <w:rsid w:val="00590425"/>
    <w:rsid w:val="00590456"/>
    <w:rsid w:val="00590C5B"/>
    <w:rsid w:val="00591E7F"/>
    <w:rsid w:val="00592108"/>
    <w:rsid w:val="00592562"/>
    <w:rsid w:val="0059319E"/>
    <w:rsid w:val="00596C95"/>
    <w:rsid w:val="00597EAA"/>
    <w:rsid w:val="005A1B0A"/>
    <w:rsid w:val="005A26B6"/>
    <w:rsid w:val="005A26BC"/>
    <w:rsid w:val="005A26EC"/>
    <w:rsid w:val="005A7791"/>
    <w:rsid w:val="005B064C"/>
    <w:rsid w:val="005B0FCE"/>
    <w:rsid w:val="005B1875"/>
    <w:rsid w:val="005B251A"/>
    <w:rsid w:val="005B3531"/>
    <w:rsid w:val="005B3F13"/>
    <w:rsid w:val="005B4D7F"/>
    <w:rsid w:val="005B4D86"/>
    <w:rsid w:val="005B70B6"/>
    <w:rsid w:val="005C0652"/>
    <w:rsid w:val="005C08D1"/>
    <w:rsid w:val="005C17D2"/>
    <w:rsid w:val="005C4E17"/>
    <w:rsid w:val="005C5A87"/>
    <w:rsid w:val="005C6C5D"/>
    <w:rsid w:val="005C6E73"/>
    <w:rsid w:val="005C7A47"/>
    <w:rsid w:val="005D12B3"/>
    <w:rsid w:val="005D24D2"/>
    <w:rsid w:val="005D31CC"/>
    <w:rsid w:val="005D34BA"/>
    <w:rsid w:val="005D42F0"/>
    <w:rsid w:val="005D646D"/>
    <w:rsid w:val="005E1F18"/>
    <w:rsid w:val="005E2B45"/>
    <w:rsid w:val="005E5ABF"/>
    <w:rsid w:val="005E69BC"/>
    <w:rsid w:val="005E6EF9"/>
    <w:rsid w:val="005E7CDF"/>
    <w:rsid w:val="005E7E83"/>
    <w:rsid w:val="005F16FE"/>
    <w:rsid w:val="005F1F0A"/>
    <w:rsid w:val="005F376F"/>
    <w:rsid w:val="005F4260"/>
    <w:rsid w:val="005F45A0"/>
    <w:rsid w:val="005F5517"/>
    <w:rsid w:val="005F6247"/>
    <w:rsid w:val="005F7836"/>
    <w:rsid w:val="00601052"/>
    <w:rsid w:val="0060293F"/>
    <w:rsid w:val="00602CF8"/>
    <w:rsid w:val="00602F6A"/>
    <w:rsid w:val="00604193"/>
    <w:rsid w:val="0060425F"/>
    <w:rsid w:val="0060706C"/>
    <w:rsid w:val="00607C06"/>
    <w:rsid w:val="00607CCB"/>
    <w:rsid w:val="00610419"/>
    <w:rsid w:val="0061141B"/>
    <w:rsid w:val="006116EC"/>
    <w:rsid w:val="006144B7"/>
    <w:rsid w:val="00614C70"/>
    <w:rsid w:val="00614E6B"/>
    <w:rsid w:val="006165FB"/>
    <w:rsid w:val="00621D4C"/>
    <w:rsid w:val="006235AA"/>
    <w:rsid w:val="00624215"/>
    <w:rsid w:val="00625ADD"/>
    <w:rsid w:val="00625AF2"/>
    <w:rsid w:val="00625F1A"/>
    <w:rsid w:val="00626081"/>
    <w:rsid w:val="006267DF"/>
    <w:rsid w:val="006328F4"/>
    <w:rsid w:val="0064074D"/>
    <w:rsid w:val="00642749"/>
    <w:rsid w:val="00643D00"/>
    <w:rsid w:val="00644C5D"/>
    <w:rsid w:val="006455BF"/>
    <w:rsid w:val="00646196"/>
    <w:rsid w:val="00646D85"/>
    <w:rsid w:val="006471E1"/>
    <w:rsid w:val="006479B7"/>
    <w:rsid w:val="0065020F"/>
    <w:rsid w:val="00650CD2"/>
    <w:rsid w:val="006538AA"/>
    <w:rsid w:val="0065424E"/>
    <w:rsid w:val="006544EA"/>
    <w:rsid w:val="006546A1"/>
    <w:rsid w:val="0065483A"/>
    <w:rsid w:val="0065536D"/>
    <w:rsid w:val="00656649"/>
    <w:rsid w:val="006574AB"/>
    <w:rsid w:val="00661AAD"/>
    <w:rsid w:val="00663250"/>
    <w:rsid w:val="00664151"/>
    <w:rsid w:val="0066454C"/>
    <w:rsid w:val="00667EE3"/>
    <w:rsid w:val="00672127"/>
    <w:rsid w:val="0067286F"/>
    <w:rsid w:val="0067505C"/>
    <w:rsid w:val="00675626"/>
    <w:rsid w:val="006764DB"/>
    <w:rsid w:val="006765C9"/>
    <w:rsid w:val="0067691D"/>
    <w:rsid w:val="00676F21"/>
    <w:rsid w:val="00680D66"/>
    <w:rsid w:val="00681131"/>
    <w:rsid w:val="00681344"/>
    <w:rsid w:val="00681BCD"/>
    <w:rsid w:val="00685F80"/>
    <w:rsid w:val="00691384"/>
    <w:rsid w:val="006930ED"/>
    <w:rsid w:val="006937F3"/>
    <w:rsid w:val="00693BF0"/>
    <w:rsid w:val="00694411"/>
    <w:rsid w:val="006979CF"/>
    <w:rsid w:val="006A08D2"/>
    <w:rsid w:val="006A0AB6"/>
    <w:rsid w:val="006A173E"/>
    <w:rsid w:val="006A431B"/>
    <w:rsid w:val="006A4839"/>
    <w:rsid w:val="006A5D24"/>
    <w:rsid w:val="006A6986"/>
    <w:rsid w:val="006B0B71"/>
    <w:rsid w:val="006B1CB3"/>
    <w:rsid w:val="006B2A11"/>
    <w:rsid w:val="006B536E"/>
    <w:rsid w:val="006B5CF7"/>
    <w:rsid w:val="006B7272"/>
    <w:rsid w:val="006B7F03"/>
    <w:rsid w:val="006C01FC"/>
    <w:rsid w:val="006C04EF"/>
    <w:rsid w:val="006C2552"/>
    <w:rsid w:val="006C380A"/>
    <w:rsid w:val="006C4039"/>
    <w:rsid w:val="006C44BA"/>
    <w:rsid w:val="006C5F62"/>
    <w:rsid w:val="006D1CB2"/>
    <w:rsid w:val="006D2172"/>
    <w:rsid w:val="006D2582"/>
    <w:rsid w:val="006D4633"/>
    <w:rsid w:val="006D5242"/>
    <w:rsid w:val="006D78D4"/>
    <w:rsid w:val="006E0E96"/>
    <w:rsid w:val="006E2573"/>
    <w:rsid w:val="006E5854"/>
    <w:rsid w:val="006E749B"/>
    <w:rsid w:val="006F0B5D"/>
    <w:rsid w:val="006F0B8D"/>
    <w:rsid w:val="006F1758"/>
    <w:rsid w:val="006F2403"/>
    <w:rsid w:val="006F2BF2"/>
    <w:rsid w:val="006F3FB3"/>
    <w:rsid w:val="006F513D"/>
    <w:rsid w:val="006F5AD3"/>
    <w:rsid w:val="0070036E"/>
    <w:rsid w:val="00700B02"/>
    <w:rsid w:val="00703920"/>
    <w:rsid w:val="00705388"/>
    <w:rsid w:val="00705744"/>
    <w:rsid w:val="0070699B"/>
    <w:rsid w:val="00711005"/>
    <w:rsid w:val="007119CB"/>
    <w:rsid w:val="007121FE"/>
    <w:rsid w:val="007131B9"/>
    <w:rsid w:val="00723D75"/>
    <w:rsid w:val="00724843"/>
    <w:rsid w:val="00727259"/>
    <w:rsid w:val="00730C93"/>
    <w:rsid w:val="00733D12"/>
    <w:rsid w:val="007350FD"/>
    <w:rsid w:val="00736D50"/>
    <w:rsid w:val="00737510"/>
    <w:rsid w:val="00737529"/>
    <w:rsid w:val="00740D7D"/>
    <w:rsid w:val="00742AFC"/>
    <w:rsid w:val="00743D6C"/>
    <w:rsid w:val="00744376"/>
    <w:rsid w:val="0074454F"/>
    <w:rsid w:val="00744F6A"/>
    <w:rsid w:val="007462C7"/>
    <w:rsid w:val="00747D2B"/>
    <w:rsid w:val="00750293"/>
    <w:rsid w:val="007509AA"/>
    <w:rsid w:val="00751CEC"/>
    <w:rsid w:val="00753D47"/>
    <w:rsid w:val="007543CE"/>
    <w:rsid w:val="00755C96"/>
    <w:rsid w:val="007566C5"/>
    <w:rsid w:val="007573D4"/>
    <w:rsid w:val="00757607"/>
    <w:rsid w:val="0075773F"/>
    <w:rsid w:val="00763018"/>
    <w:rsid w:val="007630EA"/>
    <w:rsid w:val="00767D13"/>
    <w:rsid w:val="00770097"/>
    <w:rsid w:val="00770162"/>
    <w:rsid w:val="007731A0"/>
    <w:rsid w:val="00773EB1"/>
    <w:rsid w:val="0077552D"/>
    <w:rsid w:val="00776F3F"/>
    <w:rsid w:val="0077771C"/>
    <w:rsid w:val="00777FEA"/>
    <w:rsid w:val="007823EA"/>
    <w:rsid w:val="00782746"/>
    <w:rsid w:val="00783DBE"/>
    <w:rsid w:val="00785A9D"/>
    <w:rsid w:val="00785B22"/>
    <w:rsid w:val="0078697B"/>
    <w:rsid w:val="0078771F"/>
    <w:rsid w:val="00787788"/>
    <w:rsid w:val="00787963"/>
    <w:rsid w:val="00791606"/>
    <w:rsid w:val="007918B3"/>
    <w:rsid w:val="0079458E"/>
    <w:rsid w:val="00794F47"/>
    <w:rsid w:val="00795298"/>
    <w:rsid w:val="007A0D45"/>
    <w:rsid w:val="007A0F1D"/>
    <w:rsid w:val="007A3F93"/>
    <w:rsid w:val="007A7317"/>
    <w:rsid w:val="007B0133"/>
    <w:rsid w:val="007B04D0"/>
    <w:rsid w:val="007B3246"/>
    <w:rsid w:val="007B406C"/>
    <w:rsid w:val="007C4E6B"/>
    <w:rsid w:val="007C714F"/>
    <w:rsid w:val="007C754B"/>
    <w:rsid w:val="007C7911"/>
    <w:rsid w:val="007D1D55"/>
    <w:rsid w:val="007D2C14"/>
    <w:rsid w:val="007D3809"/>
    <w:rsid w:val="007D58CF"/>
    <w:rsid w:val="007D704E"/>
    <w:rsid w:val="007D7A7B"/>
    <w:rsid w:val="007E0C76"/>
    <w:rsid w:val="007E4F6A"/>
    <w:rsid w:val="007E519C"/>
    <w:rsid w:val="007E5F94"/>
    <w:rsid w:val="007E72DC"/>
    <w:rsid w:val="007F0AEB"/>
    <w:rsid w:val="007F2194"/>
    <w:rsid w:val="007F7A36"/>
    <w:rsid w:val="00800095"/>
    <w:rsid w:val="00800C5D"/>
    <w:rsid w:val="00800DC4"/>
    <w:rsid w:val="008015E3"/>
    <w:rsid w:val="0080281F"/>
    <w:rsid w:val="00803F57"/>
    <w:rsid w:val="00806BEF"/>
    <w:rsid w:val="00810205"/>
    <w:rsid w:val="00810804"/>
    <w:rsid w:val="00811BE3"/>
    <w:rsid w:val="008133A1"/>
    <w:rsid w:val="00815893"/>
    <w:rsid w:val="0082101D"/>
    <w:rsid w:val="00821FCD"/>
    <w:rsid w:val="00822718"/>
    <w:rsid w:val="0082315D"/>
    <w:rsid w:val="00824719"/>
    <w:rsid w:val="008253E1"/>
    <w:rsid w:val="00825FFA"/>
    <w:rsid w:val="00826C68"/>
    <w:rsid w:val="00827773"/>
    <w:rsid w:val="008278DD"/>
    <w:rsid w:val="00827FBE"/>
    <w:rsid w:val="008303B8"/>
    <w:rsid w:val="00832041"/>
    <w:rsid w:val="0083303D"/>
    <w:rsid w:val="00833575"/>
    <w:rsid w:val="00833EB5"/>
    <w:rsid w:val="008355C7"/>
    <w:rsid w:val="008359A7"/>
    <w:rsid w:val="0084015A"/>
    <w:rsid w:val="00840B0E"/>
    <w:rsid w:val="00840D27"/>
    <w:rsid w:val="0084378C"/>
    <w:rsid w:val="00844EBC"/>
    <w:rsid w:val="008451B1"/>
    <w:rsid w:val="0085109B"/>
    <w:rsid w:val="0085315C"/>
    <w:rsid w:val="00856424"/>
    <w:rsid w:val="00860B85"/>
    <w:rsid w:val="00861B12"/>
    <w:rsid w:val="008626B3"/>
    <w:rsid w:val="008629AD"/>
    <w:rsid w:val="008638FC"/>
    <w:rsid w:val="00864604"/>
    <w:rsid w:val="00866146"/>
    <w:rsid w:val="00866D1A"/>
    <w:rsid w:val="00871242"/>
    <w:rsid w:val="00871641"/>
    <w:rsid w:val="00871AB6"/>
    <w:rsid w:val="00872C9A"/>
    <w:rsid w:val="00872E04"/>
    <w:rsid w:val="008744C8"/>
    <w:rsid w:val="00874C24"/>
    <w:rsid w:val="00875C42"/>
    <w:rsid w:val="00876CAD"/>
    <w:rsid w:val="00877EAB"/>
    <w:rsid w:val="00880947"/>
    <w:rsid w:val="0088229D"/>
    <w:rsid w:val="0088353E"/>
    <w:rsid w:val="00886681"/>
    <w:rsid w:val="00890683"/>
    <w:rsid w:val="00890B1C"/>
    <w:rsid w:val="00892D9D"/>
    <w:rsid w:val="0089393F"/>
    <w:rsid w:val="00894296"/>
    <w:rsid w:val="008968D5"/>
    <w:rsid w:val="008A0E0D"/>
    <w:rsid w:val="008A1F80"/>
    <w:rsid w:val="008A48D0"/>
    <w:rsid w:val="008A6303"/>
    <w:rsid w:val="008A71DE"/>
    <w:rsid w:val="008B22A3"/>
    <w:rsid w:val="008B45A5"/>
    <w:rsid w:val="008B52D8"/>
    <w:rsid w:val="008C04E2"/>
    <w:rsid w:val="008C22C5"/>
    <w:rsid w:val="008C26C2"/>
    <w:rsid w:val="008C33F4"/>
    <w:rsid w:val="008C43F3"/>
    <w:rsid w:val="008C604E"/>
    <w:rsid w:val="008C7574"/>
    <w:rsid w:val="008D11F1"/>
    <w:rsid w:val="008D2043"/>
    <w:rsid w:val="008D20E4"/>
    <w:rsid w:val="008D4C09"/>
    <w:rsid w:val="008D56E0"/>
    <w:rsid w:val="008D7113"/>
    <w:rsid w:val="008D77C5"/>
    <w:rsid w:val="008E03D1"/>
    <w:rsid w:val="008E05F7"/>
    <w:rsid w:val="008E1239"/>
    <w:rsid w:val="008E2469"/>
    <w:rsid w:val="008E41B0"/>
    <w:rsid w:val="008E4380"/>
    <w:rsid w:val="008E4A40"/>
    <w:rsid w:val="008E4C96"/>
    <w:rsid w:val="008E59FF"/>
    <w:rsid w:val="008E5A18"/>
    <w:rsid w:val="008E6616"/>
    <w:rsid w:val="008F03EC"/>
    <w:rsid w:val="008F13A2"/>
    <w:rsid w:val="008F2573"/>
    <w:rsid w:val="008F437F"/>
    <w:rsid w:val="008F715D"/>
    <w:rsid w:val="008F7428"/>
    <w:rsid w:val="00901325"/>
    <w:rsid w:val="00901772"/>
    <w:rsid w:val="009026E6"/>
    <w:rsid w:val="00902AF4"/>
    <w:rsid w:val="009043FF"/>
    <w:rsid w:val="00904CD4"/>
    <w:rsid w:val="009074DE"/>
    <w:rsid w:val="0090793E"/>
    <w:rsid w:val="00911D4E"/>
    <w:rsid w:val="0091278E"/>
    <w:rsid w:val="00912999"/>
    <w:rsid w:val="009170EB"/>
    <w:rsid w:val="00917D74"/>
    <w:rsid w:val="00920B94"/>
    <w:rsid w:val="009233C4"/>
    <w:rsid w:val="009253A6"/>
    <w:rsid w:val="00932342"/>
    <w:rsid w:val="00940648"/>
    <w:rsid w:val="0094143A"/>
    <w:rsid w:val="00941526"/>
    <w:rsid w:val="0094252E"/>
    <w:rsid w:val="009448CD"/>
    <w:rsid w:val="009455F6"/>
    <w:rsid w:val="00946D33"/>
    <w:rsid w:val="009475F5"/>
    <w:rsid w:val="00951F7E"/>
    <w:rsid w:val="00955315"/>
    <w:rsid w:val="00957C3E"/>
    <w:rsid w:val="009602AA"/>
    <w:rsid w:val="0096075A"/>
    <w:rsid w:val="00961603"/>
    <w:rsid w:val="009650C8"/>
    <w:rsid w:val="00965DB2"/>
    <w:rsid w:val="00966076"/>
    <w:rsid w:val="00966082"/>
    <w:rsid w:val="00970893"/>
    <w:rsid w:val="00971407"/>
    <w:rsid w:val="00971D5C"/>
    <w:rsid w:val="00971ED2"/>
    <w:rsid w:val="00972727"/>
    <w:rsid w:val="00973B0A"/>
    <w:rsid w:val="00974AFA"/>
    <w:rsid w:val="009767D1"/>
    <w:rsid w:val="00980475"/>
    <w:rsid w:val="0098288C"/>
    <w:rsid w:val="00984AB9"/>
    <w:rsid w:val="009854FB"/>
    <w:rsid w:val="009869E0"/>
    <w:rsid w:val="0099041C"/>
    <w:rsid w:val="009913CF"/>
    <w:rsid w:val="00991E5E"/>
    <w:rsid w:val="00993655"/>
    <w:rsid w:val="009941B4"/>
    <w:rsid w:val="009952E4"/>
    <w:rsid w:val="009958CB"/>
    <w:rsid w:val="00995E52"/>
    <w:rsid w:val="00996B4A"/>
    <w:rsid w:val="00997239"/>
    <w:rsid w:val="00997971"/>
    <w:rsid w:val="009A0492"/>
    <w:rsid w:val="009A0B19"/>
    <w:rsid w:val="009A52DA"/>
    <w:rsid w:val="009A65F6"/>
    <w:rsid w:val="009A71A9"/>
    <w:rsid w:val="009B19C7"/>
    <w:rsid w:val="009B3215"/>
    <w:rsid w:val="009B3C3E"/>
    <w:rsid w:val="009B3DA1"/>
    <w:rsid w:val="009B4560"/>
    <w:rsid w:val="009B564D"/>
    <w:rsid w:val="009B7364"/>
    <w:rsid w:val="009B7A4E"/>
    <w:rsid w:val="009C3997"/>
    <w:rsid w:val="009C4136"/>
    <w:rsid w:val="009C583C"/>
    <w:rsid w:val="009C61E3"/>
    <w:rsid w:val="009D0909"/>
    <w:rsid w:val="009D1B17"/>
    <w:rsid w:val="009D2566"/>
    <w:rsid w:val="009D3C27"/>
    <w:rsid w:val="009D47D1"/>
    <w:rsid w:val="009D5422"/>
    <w:rsid w:val="009D681D"/>
    <w:rsid w:val="009E08A3"/>
    <w:rsid w:val="009E2124"/>
    <w:rsid w:val="009E2A6D"/>
    <w:rsid w:val="009E3105"/>
    <w:rsid w:val="009E51F6"/>
    <w:rsid w:val="009E5808"/>
    <w:rsid w:val="009E6265"/>
    <w:rsid w:val="009E6B8F"/>
    <w:rsid w:val="009F219A"/>
    <w:rsid w:val="009F7219"/>
    <w:rsid w:val="009F770E"/>
    <w:rsid w:val="00A0081E"/>
    <w:rsid w:val="00A00CCF"/>
    <w:rsid w:val="00A0199F"/>
    <w:rsid w:val="00A01CF1"/>
    <w:rsid w:val="00A02121"/>
    <w:rsid w:val="00A022F4"/>
    <w:rsid w:val="00A0419A"/>
    <w:rsid w:val="00A050DE"/>
    <w:rsid w:val="00A0561E"/>
    <w:rsid w:val="00A063D5"/>
    <w:rsid w:val="00A06575"/>
    <w:rsid w:val="00A065F6"/>
    <w:rsid w:val="00A06F95"/>
    <w:rsid w:val="00A075A6"/>
    <w:rsid w:val="00A07785"/>
    <w:rsid w:val="00A103E6"/>
    <w:rsid w:val="00A10D60"/>
    <w:rsid w:val="00A10FF7"/>
    <w:rsid w:val="00A130AF"/>
    <w:rsid w:val="00A15034"/>
    <w:rsid w:val="00A150A0"/>
    <w:rsid w:val="00A15DCF"/>
    <w:rsid w:val="00A16829"/>
    <w:rsid w:val="00A17949"/>
    <w:rsid w:val="00A20998"/>
    <w:rsid w:val="00A20DEB"/>
    <w:rsid w:val="00A2108A"/>
    <w:rsid w:val="00A217B5"/>
    <w:rsid w:val="00A22AB9"/>
    <w:rsid w:val="00A22EB6"/>
    <w:rsid w:val="00A23180"/>
    <w:rsid w:val="00A24436"/>
    <w:rsid w:val="00A24AAD"/>
    <w:rsid w:val="00A255D0"/>
    <w:rsid w:val="00A33201"/>
    <w:rsid w:val="00A3374E"/>
    <w:rsid w:val="00A3422A"/>
    <w:rsid w:val="00A348C0"/>
    <w:rsid w:val="00A40431"/>
    <w:rsid w:val="00A43FF5"/>
    <w:rsid w:val="00A44E62"/>
    <w:rsid w:val="00A4513D"/>
    <w:rsid w:val="00A461A7"/>
    <w:rsid w:val="00A47397"/>
    <w:rsid w:val="00A5183F"/>
    <w:rsid w:val="00A52D82"/>
    <w:rsid w:val="00A538F9"/>
    <w:rsid w:val="00A543B0"/>
    <w:rsid w:val="00A55153"/>
    <w:rsid w:val="00A55D91"/>
    <w:rsid w:val="00A565AD"/>
    <w:rsid w:val="00A6090F"/>
    <w:rsid w:val="00A60C28"/>
    <w:rsid w:val="00A613E8"/>
    <w:rsid w:val="00A62529"/>
    <w:rsid w:val="00A62762"/>
    <w:rsid w:val="00A62C6B"/>
    <w:rsid w:val="00A65D4D"/>
    <w:rsid w:val="00A7161D"/>
    <w:rsid w:val="00A717F8"/>
    <w:rsid w:val="00A7320A"/>
    <w:rsid w:val="00A7351A"/>
    <w:rsid w:val="00A75E87"/>
    <w:rsid w:val="00A80441"/>
    <w:rsid w:val="00A8112A"/>
    <w:rsid w:val="00A86A67"/>
    <w:rsid w:val="00A90623"/>
    <w:rsid w:val="00A90A91"/>
    <w:rsid w:val="00A91283"/>
    <w:rsid w:val="00A913AB"/>
    <w:rsid w:val="00A91779"/>
    <w:rsid w:val="00A929CA"/>
    <w:rsid w:val="00A92F70"/>
    <w:rsid w:val="00A93089"/>
    <w:rsid w:val="00A947E4"/>
    <w:rsid w:val="00A94AC5"/>
    <w:rsid w:val="00A94CC9"/>
    <w:rsid w:val="00A95AE6"/>
    <w:rsid w:val="00A9748F"/>
    <w:rsid w:val="00AA23B3"/>
    <w:rsid w:val="00AA3566"/>
    <w:rsid w:val="00AA3B40"/>
    <w:rsid w:val="00AA3C83"/>
    <w:rsid w:val="00AA3E2E"/>
    <w:rsid w:val="00AA497D"/>
    <w:rsid w:val="00AA79C1"/>
    <w:rsid w:val="00AB2751"/>
    <w:rsid w:val="00AB2780"/>
    <w:rsid w:val="00AB32EC"/>
    <w:rsid w:val="00AB62CA"/>
    <w:rsid w:val="00AB712C"/>
    <w:rsid w:val="00AC1F7C"/>
    <w:rsid w:val="00AC22E8"/>
    <w:rsid w:val="00AC26A8"/>
    <w:rsid w:val="00AC48F7"/>
    <w:rsid w:val="00AC536B"/>
    <w:rsid w:val="00AC6678"/>
    <w:rsid w:val="00AC6975"/>
    <w:rsid w:val="00AD08C4"/>
    <w:rsid w:val="00AD1495"/>
    <w:rsid w:val="00AD3451"/>
    <w:rsid w:val="00AE1E01"/>
    <w:rsid w:val="00AE39BE"/>
    <w:rsid w:val="00AE3D12"/>
    <w:rsid w:val="00AE3DE0"/>
    <w:rsid w:val="00AE43D6"/>
    <w:rsid w:val="00AE53D1"/>
    <w:rsid w:val="00AF1153"/>
    <w:rsid w:val="00AF1F0F"/>
    <w:rsid w:val="00AF1F4C"/>
    <w:rsid w:val="00AF277B"/>
    <w:rsid w:val="00AF2F91"/>
    <w:rsid w:val="00AF320A"/>
    <w:rsid w:val="00AF363A"/>
    <w:rsid w:val="00AF4A9C"/>
    <w:rsid w:val="00B009CA"/>
    <w:rsid w:val="00B06D50"/>
    <w:rsid w:val="00B06D64"/>
    <w:rsid w:val="00B07498"/>
    <w:rsid w:val="00B1101E"/>
    <w:rsid w:val="00B11FB3"/>
    <w:rsid w:val="00B13418"/>
    <w:rsid w:val="00B14A1D"/>
    <w:rsid w:val="00B16548"/>
    <w:rsid w:val="00B1757F"/>
    <w:rsid w:val="00B175F2"/>
    <w:rsid w:val="00B20E2C"/>
    <w:rsid w:val="00B217EE"/>
    <w:rsid w:val="00B25812"/>
    <w:rsid w:val="00B25CEA"/>
    <w:rsid w:val="00B274C9"/>
    <w:rsid w:val="00B3025F"/>
    <w:rsid w:val="00B302EC"/>
    <w:rsid w:val="00B30957"/>
    <w:rsid w:val="00B30D21"/>
    <w:rsid w:val="00B32C0E"/>
    <w:rsid w:val="00B32ED5"/>
    <w:rsid w:val="00B36152"/>
    <w:rsid w:val="00B37975"/>
    <w:rsid w:val="00B412B0"/>
    <w:rsid w:val="00B41630"/>
    <w:rsid w:val="00B46194"/>
    <w:rsid w:val="00B46FE6"/>
    <w:rsid w:val="00B50B22"/>
    <w:rsid w:val="00B511D2"/>
    <w:rsid w:val="00B52864"/>
    <w:rsid w:val="00B540B6"/>
    <w:rsid w:val="00B54870"/>
    <w:rsid w:val="00B57426"/>
    <w:rsid w:val="00B57549"/>
    <w:rsid w:val="00B57CDD"/>
    <w:rsid w:val="00B57DFB"/>
    <w:rsid w:val="00B6006A"/>
    <w:rsid w:val="00B61D96"/>
    <w:rsid w:val="00B64750"/>
    <w:rsid w:val="00B65753"/>
    <w:rsid w:val="00B700A7"/>
    <w:rsid w:val="00B73715"/>
    <w:rsid w:val="00B74419"/>
    <w:rsid w:val="00B74EBF"/>
    <w:rsid w:val="00B77234"/>
    <w:rsid w:val="00B77279"/>
    <w:rsid w:val="00B8001A"/>
    <w:rsid w:val="00B80ADF"/>
    <w:rsid w:val="00B82873"/>
    <w:rsid w:val="00B82C1E"/>
    <w:rsid w:val="00B843C7"/>
    <w:rsid w:val="00B85A74"/>
    <w:rsid w:val="00B903E3"/>
    <w:rsid w:val="00B949D5"/>
    <w:rsid w:val="00B958A1"/>
    <w:rsid w:val="00B967B4"/>
    <w:rsid w:val="00B978BA"/>
    <w:rsid w:val="00B97B4C"/>
    <w:rsid w:val="00B97BF5"/>
    <w:rsid w:val="00BA0096"/>
    <w:rsid w:val="00BA0800"/>
    <w:rsid w:val="00BA21E4"/>
    <w:rsid w:val="00BA28B1"/>
    <w:rsid w:val="00BA5042"/>
    <w:rsid w:val="00BA54C0"/>
    <w:rsid w:val="00BA5A5C"/>
    <w:rsid w:val="00BA5C50"/>
    <w:rsid w:val="00BA5D5E"/>
    <w:rsid w:val="00BA7423"/>
    <w:rsid w:val="00BB04E0"/>
    <w:rsid w:val="00BB1471"/>
    <w:rsid w:val="00BB3AD0"/>
    <w:rsid w:val="00BB3DD7"/>
    <w:rsid w:val="00BB4345"/>
    <w:rsid w:val="00BB530D"/>
    <w:rsid w:val="00BB5AF9"/>
    <w:rsid w:val="00BC0A41"/>
    <w:rsid w:val="00BC16D6"/>
    <w:rsid w:val="00BC186C"/>
    <w:rsid w:val="00BC1DD3"/>
    <w:rsid w:val="00BC28EA"/>
    <w:rsid w:val="00BC2C05"/>
    <w:rsid w:val="00BD1636"/>
    <w:rsid w:val="00BD296F"/>
    <w:rsid w:val="00BD4252"/>
    <w:rsid w:val="00BD45B5"/>
    <w:rsid w:val="00BD4E84"/>
    <w:rsid w:val="00BD578B"/>
    <w:rsid w:val="00BD605F"/>
    <w:rsid w:val="00BD6566"/>
    <w:rsid w:val="00BE048B"/>
    <w:rsid w:val="00BE0C00"/>
    <w:rsid w:val="00BE204E"/>
    <w:rsid w:val="00BE3361"/>
    <w:rsid w:val="00BE6A6D"/>
    <w:rsid w:val="00BF0B74"/>
    <w:rsid w:val="00BF0EC6"/>
    <w:rsid w:val="00BF24F1"/>
    <w:rsid w:val="00BF25EA"/>
    <w:rsid w:val="00BF6BE7"/>
    <w:rsid w:val="00C0004E"/>
    <w:rsid w:val="00C00E05"/>
    <w:rsid w:val="00C03413"/>
    <w:rsid w:val="00C03D0D"/>
    <w:rsid w:val="00C077C4"/>
    <w:rsid w:val="00C07851"/>
    <w:rsid w:val="00C10250"/>
    <w:rsid w:val="00C13AAA"/>
    <w:rsid w:val="00C1408F"/>
    <w:rsid w:val="00C141C7"/>
    <w:rsid w:val="00C14910"/>
    <w:rsid w:val="00C15B95"/>
    <w:rsid w:val="00C165F8"/>
    <w:rsid w:val="00C16ADB"/>
    <w:rsid w:val="00C17033"/>
    <w:rsid w:val="00C20060"/>
    <w:rsid w:val="00C210A4"/>
    <w:rsid w:val="00C211F2"/>
    <w:rsid w:val="00C216B8"/>
    <w:rsid w:val="00C21FD4"/>
    <w:rsid w:val="00C22E01"/>
    <w:rsid w:val="00C22EC5"/>
    <w:rsid w:val="00C2300D"/>
    <w:rsid w:val="00C24CA3"/>
    <w:rsid w:val="00C267DC"/>
    <w:rsid w:val="00C30DD9"/>
    <w:rsid w:val="00C31E2A"/>
    <w:rsid w:val="00C3228B"/>
    <w:rsid w:val="00C33C6C"/>
    <w:rsid w:val="00C3585B"/>
    <w:rsid w:val="00C367E5"/>
    <w:rsid w:val="00C3684E"/>
    <w:rsid w:val="00C36B76"/>
    <w:rsid w:val="00C371E6"/>
    <w:rsid w:val="00C40224"/>
    <w:rsid w:val="00C407B6"/>
    <w:rsid w:val="00C40C28"/>
    <w:rsid w:val="00C41401"/>
    <w:rsid w:val="00C4327E"/>
    <w:rsid w:val="00C45503"/>
    <w:rsid w:val="00C5104B"/>
    <w:rsid w:val="00C526C5"/>
    <w:rsid w:val="00C53EEB"/>
    <w:rsid w:val="00C55347"/>
    <w:rsid w:val="00C55C2B"/>
    <w:rsid w:val="00C564A3"/>
    <w:rsid w:val="00C56D20"/>
    <w:rsid w:val="00C57297"/>
    <w:rsid w:val="00C60E1A"/>
    <w:rsid w:val="00C612FB"/>
    <w:rsid w:val="00C628C2"/>
    <w:rsid w:val="00C62D99"/>
    <w:rsid w:val="00C718C5"/>
    <w:rsid w:val="00C7253A"/>
    <w:rsid w:val="00C73EE3"/>
    <w:rsid w:val="00C74AC9"/>
    <w:rsid w:val="00C76258"/>
    <w:rsid w:val="00C7704C"/>
    <w:rsid w:val="00C77981"/>
    <w:rsid w:val="00C81FD2"/>
    <w:rsid w:val="00C8238C"/>
    <w:rsid w:val="00C826BA"/>
    <w:rsid w:val="00C830F9"/>
    <w:rsid w:val="00C91F98"/>
    <w:rsid w:val="00C948BA"/>
    <w:rsid w:val="00C94A14"/>
    <w:rsid w:val="00C955D9"/>
    <w:rsid w:val="00C95EE7"/>
    <w:rsid w:val="00CA36A8"/>
    <w:rsid w:val="00CA37C6"/>
    <w:rsid w:val="00CA3FBD"/>
    <w:rsid w:val="00CA7992"/>
    <w:rsid w:val="00CB1B3F"/>
    <w:rsid w:val="00CB274C"/>
    <w:rsid w:val="00CB2BBA"/>
    <w:rsid w:val="00CB3AD3"/>
    <w:rsid w:val="00CB3B8B"/>
    <w:rsid w:val="00CB3F6F"/>
    <w:rsid w:val="00CB4E40"/>
    <w:rsid w:val="00CB5608"/>
    <w:rsid w:val="00CB6858"/>
    <w:rsid w:val="00CC09F4"/>
    <w:rsid w:val="00CC15DF"/>
    <w:rsid w:val="00CC1A0A"/>
    <w:rsid w:val="00CC1B71"/>
    <w:rsid w:val="00CC28D1"/>
    <w:rsid w:val="00CC2A47"/>
    <w:rsid w:val="00CC3488"/>
    <w:rsid w:val="00CC5D38"/>
    <w:rsid w:val="00CC6AC6"/>
    <w:rsid w:val="00CC6D5C"/>
    <w:rsid w:val="00CD0907"/>
    <w:rsid w:val="00CD4AFB"/>
    <w:rsid w:val="00CD59F6"/>
    <w:rsid w:val="00CD629F"/>
    <w:rsid w:val="00CD71A1"/>
    <w:rsid w:val="00CE0ADB"/>
    <w:rsid w:val="00CE1487"/>
    <w:rsid w:val="00CE3146"/>
    <w:rsid w:val="00CE447E"/>
    <w:rsid w:val="00CE51AA"/>
    <w:rsid w:val="00CE70D2"/>
    <w:rsid w:val="00CF0163"/>
    <w:rsid w:val="00CF02FC"/>
    <w:rsid w:val="00CF505B"/>
    <w:rsid w:val="00D00A4F"/>
    <w:rsid w:val="00D00AAD"/>
    <w:rsid w:val="00D036CC"/>
    <w:rsid w:val="00D04B65"/>
    <w:rsid w:val="00D05298"/>
    <w:rsid w:val="00D06EF1"/>
    <w:rsid w:val="00D073D1"/>
    <w:rsid w:val="00D07B83"/>
    <w:rsid w:val="00D07E40"/>
    <w:rsid w:val="00D07E4C"/>
    <w:rsid w:val="00D12761"/>
    <w:rsid w:val="00D13AF0"/>
    <w:rsid w:val="00D14BBC"/>
    <w:rsid w:val="00D14FE5"/>
    <w:rsid w:val="00D17CC0"/>
    <w:rsid w:val="00D202B3"/>
    <w:rsid w:val="00D20A56"/>
    <w:rsid w:val="00D22DB7"/>
    <w:rsid w:val="00D234D0"/>
    <w:rsid w:val="00D23A3C"/>
    <w:rsid w:val="00D255CD"/>
    <w:rsid w:val="00D2670C"/>
    <w:rsid w:val="00D26ACF"/>
    <w:rsid w:val="00D31796"/>
    <w:rsid w:val="00D317B4"/>
    <w:rsid w:val="00D343B5"/>
    <w:rsid w:val="00D35038"/>
    <w:rsid w:val="00D367EF"/>
    <w:rsid w:val="00D36EDB"/>
    <w:rsid w:val="00D42040"/>
    <w:rsid w:val="00D44E92"/>
    <w:rsid w:val="00D4553C"/>
    <w:rsid w:val="00D50940"/>
    <w:rsid w:val="00D51726"/>
    <w:rsid w:val="00D522EE"/>
    <w:rsid w:val="00D54BFC"/>
    <w:rsid w:val="00D55DC3"/>
    <w:rsid w:val="00D6152F"/>
    <w:rsid w:val="00D63D1A"/>
    <w:rsid w:val="00D63D7F"/>
    <w:rsid w:val="00D64CB3"/>
    <w:rsid w:val="00D64F39"/>
    <w:rsid w:val="00D65D7D"/>
    <w:rsid w:val="00D7478B"/>
    <w:rsid w:val="00D7630D"/>
    <w:rsid w:val="00D847BF"/>
    <w:rsid w:val="00D8597F"/>
    <w:rsid w:val="00D870ED"/>
    <w:rsid w:val="00D87C3B"/>
    <w:rsid w:val="00D929AD"/>
    <w:rsid w:val="00D9312D"/>
    <w:rsid w:val="00D93660"/>
    <w:rsid w:val="00D964FD"/>
    <w:rsid w:val="00D973DD"/>
    <w:rsid w:val="00D97D77"/>
    <w:rsid w:val="00DA000A"/>
    <w:rsid w:val="00DA2E00"/>
    <w:rsid w:val="00DA321E"/>
    <w:rsid w:val="00DA3677"/>
    <w:rsid w:val="00DA71A2"/>
    <w:rsid w:val="00DB28DE"/>
    <w:rsid w:val="00DB2ADF"/>
    <w:rsid w:val="00DB37ED"/>
    <w:rsid w:val="00DB3E36"/>
    <w:rsid w:val="00DB40C3"/>
    <w:rsid w:val="00DB43B4"/>
    <w:rsid w:val="00DB6646"/>
    <w:rsid w:val="00DC1F8D"/>
    <w:rsid w:val="00DC719D"/>
    <w:rsid w:val="00DD262D"/>
    <w:rsid w:val="00DD28FD"/>
    <w:rsid w:val="00DD6075"/>
    <w:rsid w:val="00DD6E95"/>
    <w:rsid w:val="00DD7AF9"/>
    <w:rsid w:val="00DE34C4"/>
    <w:rsid w:val="00DE43BD"/>
    <w:rsid w:val="00DE47C7"/>
    <w:rsid w:val="00DF0CD2"/>
    <w:rsid w:val="00DF1768"/>
    <w:rsid w:val="00DF202C"/>
    <w:rsid w:val="00DF3F32"/>
    <w:rsid w:val="00DF4B9A"/>
    <w:rsid w:val="00DF5B89"/>
    <w:rsid w:val="00E008BB"/>
    <w:rsid w:val="00E01278"/>
    <w:rsid w:val="00E02DC1"/>
    <w:rsid w:val="00E05826"/>
    <w:rsid w:val="00E07515"/>
    <w:rsid w:val="00E07642"/>
    <w:rsid w:val="00E07C36"/>
    <w:rsid w:val="00E10C82"/>
    <w:rsid w:val="00E11B65"/>
    <w:rsid w:val="00E13341"/>
    <w:rsid w:val="00E15A2B"/>
    <w:rsid w:val="00E162FF"/>
    <w:rsid w:val="00E16B38"/>
    <w:rsid w:val="00E20B6E"/>
    <w:rsid w:val="00E21697"/>
    <w:rsid w:val="00E21FE2"/>
    <w:rsid w:val="00E22CA7"/>
    <w:rsid w:val="00E23ECA"/>
    <w:rsid w:val="00E25E62"/>
    <w:rsid w:val="00E25EDC"/>
    <w:rsid w:val="00E2638D"/>
    <w:rsid w:val="00E26BAF"/>
    <w:rsid w:val="00E275A6"/>
    <w:rsid w:val="00E3119F"/>
    <w:rsid w:val="00E32221"/>
    <w:rsid w:val="00E32B99"/>
    <w:rsid w:val="00E32D5E"/>
    <w:rsid w:val="00E33331"/>
    <w:rsid w:val="00E33D79"/>
    <w:rsid w:val="00E346B1"/>
    <w:rsid w:val="00E36594"/>
    <w:rsid w:val="00E367AA"/>
    <w:rsid w:val="00E40C7D"/>
    <w:rsid w:val="00E415CC"/>
    <w:rsid w:val="00E429C9"/>
    <w:rsid w:val="00E44711"/>
    <w:rsid w:val="00E51982"/>
    <w:rsid w:val="00E51B3B"/>
    <w:rsid w:val="00E53AFA"/>
    <w:rsid w:val="00E54B15"/>
    <w:rsid w:val="00E55374"/>
    <w:rsid w:val="00E56B78"/>
    <w:rsid w:val="00E57AEC"/>
    <w:rsid w:val="00E60A3B"/>
    <w:rsid w:val="00E6307E"/>
    <w:rsid w:val="00E6326C"/>
    <w:rsid w:val="00E63CC1"/>
    <w:rsid w:val="00E673EA"/>
    <w:rsid w:val="00E709E2"/>
    <w:rsid w:val="00E70C58"/>
    <w:rsid w:val="00E72F4F"/>
    <w:rsid w:val="00E72F8E"/>
    <w:rsid w:val="00E73AF1"/>
    <w:rsid w:val="00E73C64"/>
    <w:rsid w:val="00E74E7F"/>
    <w:rsid w:val="00E81028"/>
    <w:rsid w:val="00E83D70"/>
    <w:rsid w:val="00E83F16"/>
    <w:rsid w:val="00E86053"/>
    <w:rsid w:val="00E8738B"/>
    <w:rsid w:val="00E929A2"/>
    <w:rsid w:val="00E95F59"/>
    <w:rsid w:val="00E960E5"/>
    <w:rsid w:val="00E96D10"/>
    <w:rsid w:val="00E97BAA"/>
    <w:rsid w:val="00E97E03"/>
    <w:rsid w:val="00E97F52"/>
    <w:rsid w:val="00EA0035"/>
    <w:rsid w:val="00EA0331"/>
    <w:rsid w:val="00EA25C2"/>
    <w:rsid w:val="00EA47AD"/>
    <w:rsid w:val="00EA48FA"/>
    <w:rsid w:val="00EB06B3"/>
    <w:rsid w:val="00EB24E6"/>
    <w:rsid w:val="00EB25C1"/>
    <w:rsid w:val="00EB53AB"/>
    <w:rsid w:val="00EC07A0"/>
    <w:rsid w:val="00EC276C"/>
    <w:rsid w:val="00EC2C74"/>
    <w:rsid w:val="00EC36CA"/>
    <w:rsid w:val="00EC5C29"/>
    <w:rsid w:val="00ED0121"/>
    <w:rsid w:val="00ED1F50"/>
    <w:rsid w:val="00ED2809"/>
    <w:rsid w:val="00ED33A7"/>
    <w:rsid w:val="00ED66B9"/>
    <w:rsid w:val="00ED73A2"/>
    <w:rsid w:val="00ED7B52"/>
    <w:rsid w:val="00EE29EA"/>
    <w:rsid w:val="00EE348F"/>
    <w:rsid w:val="00EE62EE"/>
    <w:rsid w:val="00EF06DA"/>
    <w:rsid w:val="00EF306D"/>
    <w:rsid w:val="00EF3852"/>
    <w:rsid w:val="00EF4289"/>
    <w:rsid w:val="00EF68DA"/>
    <w:rsid w:val="00EF6EF3"/>
    <w:rsid w:val="00EF70B7"/>
    <w:rsid w:val="00F00B1E"/>
    <w:rsid w:val="00F0182A"/>
    <w:rsid w:val="00F01975"/>
    <w:rsid w:val="00F03732"/>
    <w:rsid w:val="00F03E44"/>
    <w:rsid w:val="00F040C2"/>
    <w:rsid w:val="00F04409"/>
    <w:rsid w:val="00F04A28"/>
    <w:rsid w:val="00F04EFF"/>
    <w:rsid w:val="00F073DA"/>
    <w:rsid w:val="00F10E43"/>
    <w:rsid w:val="00F12074"/>
    <w:rsid w:val="00F124D6"/>
    <w:rsid w:val="00F124F8"/>
    <w:rsid w:val="00F12B11"/>
    <w:rsid w:val="00F1461A"/>
    <w:rsid w:val="00F15527"/>
    <w:rsid w:val="00F16330"/>
    <w:rsid w:val="00F20D4F"/>
    <w:rsid w:val="00F22624"/>
    <w:rsid w:val="00F22C5B"/>
    <w:rsid w:val="00F2331A"/>
    <w:rsid w:val="00F23837"/>
    <w:rsid w:val="00F2540B"/>
    <w:rsid w:val="00F27787"/>
    <w:rsid w:val="00F302EC"/>
    <w:rsid w:val="00F31633"/>
    <w:rsid w:val="00F32383"/>
    <w:rsid w:val="00F33A2E"/>
    <w:rsid w:val="00F34580"/>
    <w:rsid w:val="00F35619"/>
    <w:rsid w:val="00F35B6F"/>
    <w:rsid w:val="00F35D9F"/>
    <w:rsid w:val="00F37B27"/>
    <w:rsid w:val="00F4065E"/>
    <w:rsid w:val="00F41A98"/>
    <w:rsid w:val="00F42079"/>
    <w:rsid w:val="00F42BB6"/>
    <w:rsid w:val="00F43558"/>
    <w:rsid w:val="00F43850"/>
    <w:rsid w:val="00F46E3E"/>
    <w:rsid w:val="00F47536"/>
    <w:rsid w:val="00F50814"/>
    <w:rsid w:val="00F50A2C"/>
    <w:rsid w:val="00F50D39"/>
    <w:rsid w:val="00F54AD9"/>
    <w:rsid w:val="00F556FD"/>
    <w:rsid w:val="00F566A8"/>
    <w:rsid w:val="00F576EC"/>
    <w:rsid w:val="00F57F71"/>
    <w:rsid w:val="00F610EE"/>
    <w:rsid w:val="00F6183D"/>
    <w:rsid w:val="00F642AC"/>
    <w:rsid w:val="00F64B61"/>
    <w:rsid w:val="00F6701A"/>
    <w:rsid w:val="00F67A33"/>
    <w:rsid w:val="00F7080A"/>
    <w:rsid w:val="00F709EC"/>
    <w:rsid w:val="00F70EFE"/>
    <w:rsid w:val="00F73BFB"/>
    <w:rsid w:val="00F7558B"/>
    <w:rsid w:val="00F75AEA"/>
    <w:rsid w:val="00F81033"/>
    <w:rsid w:val="00F83482"/>
    <w:rsid w:val="00F838EB"/>
    <w:rsid w:val="00F8463E"/>
    <w:rsid w:val="00F857A3"/>
    <w:rsid w:val="00F85B09"/>
    <w:rsid w:val="00F85E7A"/>
    <w:rsid w:val="00F866B0"/>
    <w:rsid w:val="00F90F9C"/>
    <w:rsid w:val="00F911A6"/>
    <w:rsid w:val="00F915F6"/>
    <w:rsid w:val="00F96128"/>
    <w:rsid w:val="00F96E94"/>
    <w:rsid w:val="00FA2A9A"/>
    <w:rsid w:val="00FA595C"/>
    <w:rsid w:val="00FA60D6"/>
    <w:rsid w:val="00FA7793"/>
    <w:rsid w:val="00FB02D4"/>
    <w:rsid w:val="00FB0363"/>
    <w:rsid w:val="00FB09C7"/>
    <w:rsid w:val="00FB22C8"/>
    <w:rsid w:val="00FB2781"/>
    <w:rsid w:val="00FB5873"/>
    <w:rsid w:val="00FB5A3A"/>
    <w:rsid w:val="00FC1442"/>
    <w:rsid w:val="00FC31F7"/>
    <w:rsid w:val="00FC376D"/>
    <w:rsid w:val="00FC46DE"/>
    <w:rsid w:val="00FC4CB6"/>
    <w:rsid w:val="00FC57F1"/>
    <w:rsid w:val="00FC700A"/>
    <w:rsid w:val="00FD0F40"/>
    <w:rsid w:val="00FD5DB3"/>
    <w:rsid w:val="00FD7930"/>
    <w:rsid w:val="00FE0177"/>
    <w:rsid w:val="00FE0DC5"/>
    <w:rsid w:val="00FE2010"/>
    <w:rsid w:val="00FE2D87"/>
    <w:rsid w:val="00FE3101"/>
    <w:rsid w:val="00FE6695"/>
    <w:rsid w:val="00FE7DDE"/>
    <w:rsid w:val="00FF0146"/>
    <w:rsid w:val="00FF064E"/>
    <w:rsid w:val="00FF08B0"/>
    <w:rsid w:val="00FF2CEF"/>
    <w:rsid w:val="00FF4B4A"/>
    <w:rsid w:val="00FF4C63"/>
    <w:rsid w:val="00FF7934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0B8A42DF"/>
  <w15:chartTrackingRefBased/>
  <w15:docId w15:val="{F74EB260-9D4F-499A-9457-E41F036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1138"/>
  </w:style>
  <w:style w:type="paragraph" w:styleId="Nadpis1">
    <w:name w:val="heading 1"/>
    <w:basedOn w:val="Normln"/>
    <w:next w:val="Normln"/>
    <w:link w:val="Nadpis1Char"/>
    <w:uiPriority w:val="9"/>
    <w:qFormat/>
    <w:rsid w:val="001E1138"/>
    <w:pPr>
      <w:keepNext/>
      <w:numPr>
        <w:numId w:val="1"/>
      </w:numPr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  <w:outlineLvl w:val="0"/>
    </w:pPr>
    <w:rPr>
      <w:rFonts w:eastAsia="Times New Roman" w:cstheme="minorHAnsi"/>
      <w:b/>
      <w:color w:val="00000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1138"/>
    <w:pPr>
      <w:keepNext/>
      <w:keepLines/>
      <w:numPr>
        <w:ilvl w:val="2"/>
        <w:numId w:val="1"/>
      </w:numPr>
      <w:spacing w:before="40" w:after="120" w:line="240" w:lineRule="auto"/>
      <w:jc w:val="both"/>
      <w:outlineLvl w:val="2"/>
    </w:pPr>
    <w:rPr>
      <w:rFonts w:eastAsiaTheme="majorEastAsia" w:cstheme="majorBidi"/>
      <w:b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11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1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1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1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1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1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138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1138"/>
    <w:rPr>
      <w:rFonts w:eastAsiaTheme="majorEastAsia" w:cstheme="majorBidi"/>
      <w:bCs/>
      <w:color w:val="000000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E1138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1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1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aliases w:val="Schriftart: 9 pt,Schriftart: 10 pt,Schriftart: 8 pt,Char,Char Char Char Char,fn,pozn. pod čarou,Podrozdział,Podrozdzia3,Boston 10,Font: Geneva 9,Fußnotentextf,Geneva 9,Text poznámky pod čiarou 007,f,Text pozn. pod čarou1,o"/>
    <w:basedOn w:val="Normln"/>
    <w:link w:val="TextpoznpodarouChar"/>
    <w:uiPriority w:val="99"/>
    <w:unhideWhenUsed/>
    <w:qFormat/>
    <w:rsid w:val="001E11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,Char Char Char Char Char,fn Char,pozn. pod čarou Char,Podrozdział Char,Podrozdzia3 Char,Boston 10 Char,Font: Geneva 9 Char,Fußnotentextf Char,f Char"/>
    <w:basedOn w:val="Standardnpsmoodstavce"/>
    <w:link w:val="Textpoznpodarou"/>
    <w:uiPriority w:val="99"/>
    <w:rsid w:val="001E1138"/>
    <w:rPr>
      <w:sz w:val="20"/>
      <w:szCs w:val="20"/>
    </w:rPr>
  </w:style>
  <w:style w:type="character" w:styleId="Znakapoznpodarou">
    <w:name w:val="footnote reference"/>
    <w:aliases w:val="Footnote,Footnote call,PGI Fußnote Ziffer + Times New Roman,12 b.,Zúžené o ...,PGI Fußnote Ziffer,BVI fnr,Footnote symbol,Footnote Reference Number,Footnote Reference Superscript,Appel note de bas de p,Appel note de bas de page,fr"/>
    <w:basedOn w:val="Standardnpsmoodstavce"/>
    <w:uiPriority w:val="99"/>
    <w:unhideWhenUsed/>
    <w:rsid w:val="001E1138"/>
    <w:rPr>
      <w:vertAlign w:val="superscript"/>
    </w:rPr>
  </w:style>
  <w:style w:type="paragraph" w:styleId="Odstavecseseznamem">
    <w:name w:val="List Paragraph"/>
    <w:aliases w:val="Odstavec_muj,odrážky,List Paragraph_0,List Paragraph_0_0,Nadpis pro KZ,Odstavec se seznamem1,Odstavec se seznamem2,List Paragraph,Odstavec_muj1,Odstavec_muj2,Nad,Odstavec_muj3,Nad1,List Paragraph1,Odstavec_muj4,Nad2,List Paragraph2"/>
    <w:basedOn w:val="Normln"/>
    <w:link w:val="OdstavecseseznamemChar"/>
    <w:uiPriority w:val="34"/>
    <w:qFormat/>
    <w:rsid w:val="001E1138"/>
    <w:pPr>
      <w:ind w:left="720"/>
      <w:contextualSpacing/>
    </w:pPr>
  </w:style>
  <w:style w:type="character" w:customStyle="1" w:styleId="OdstavecseseznamemChar">
    <w:name w:val="Odstavec se seznamem Char"/>
    <w:aliases w:val="Odstavec_muj Char,odrážky Char,List Paragraph_0 Char,List Paragraph_0_0 Char,Nadpis pro KZ Char,Odstavec se seznamem1 Char,Odstavec se seznamem2 Char,List Paragraph Char,Odstavec_muj1 Char,Odstavec_muj2 Char,Nad Char,Nad1 Char"/>
    <w:basedOn w:val="Standardnpsmoodstavce"/>
    <w:link w:val="Odstavecseseznamem"/>
    <w:uiPriority w:val="34"/>
    <w:qFormat/>
    <w:rsid w:val="001E1138"/>
  </w:style>
  <w:style w:type="paragraph" w:customStyle="1" w:styleId="KPnormln">
    <w:name w:val="KP normální"/>
    <w:basedOn w:val="Normln"/>
    <w:link w:val="KPnormlnChar"/>
    <w:qFormat/>
    <w:rsid w:val="001E1138"/>
    <w:pPr>
      <w:spacing w:before="120" w:after="120" w:line="240" w:lineRule="auto"/>
      <w:ind w:firstLine="720"/>
      <w:jc w:val="both"/>
    </w:pPr>
    <w:rPr>
      <w:rFonts w:eastAsia="Times New Roman" w:cstheme="minorHAnsi"/>
      <w:color w:val="000000"/>
      <w:sz w:val="24"/>
    </w:rPr>
  </w:style>
  <w:style w:type="character" w:customStyle="1" w:styleId="KPnormlnChar">
    <w:name w:val="KP normální Char"/>
    <w:basedOn w:val="Standardnpsmoodstavce"/>
    <w:link w:val="KPnormln"/>
    <w:rsid w:val="001E1138"/>
    <w:rPr>
      <w:rFonts w:eastAsia="Times New Roman" w:cstheme="minorHAnsi"/>
      <w:color w:val="000000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1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1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138"/>
    <w:rPr>
      <w:vertAlign w:val="superscript"/>
    </w:rPr>
  </w:style>
  <w:style w:type="paragraph" w:styleId="Nzev">
    <w:name w:val="Title"/>
    <w:basedOn w:val="Normln"/>
    <w:link w:val="NzevChar"/>
    <w:qFormat/>
    <w:rsid w:val="008E6616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E6616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8E6616"/>
    <w:pPr>
      <w:spacing w:after="120" w:line="240" w:lineRule="auto"/>
      <w:ind w:firstLine="425"/>
      <w:jc w:val="both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D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-normlntext">
    <w:name w:val="KP-normální text"/>
    <w:basedOn w:val="Normln"/>
    <w:link w:val="KP-normlntextChar"/>
    <w:qFormat/>
    <w:rsid w:val="00650CD2"/>
    <w:pPr>
      <w:spacing w:after="120" w:line="240" w:lineRule="auto"/>
      <w:jc w:val="both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KP-normlntextChar">
    <w:name w:val="KP-normální text Char"/>
    <w:link w:val="KP-normlntext"/>
    <w:rsid w:val="00650CD2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Poznmkapodarou">
    <w:name w:val="Poznámka pod čarou"/>
    <w:basedOn w:val="Textpoznpodarou"/>
    <w:link w:val="PoznmkapodarouChar"/>
    <w:qFormat/>
    <w:rsid w:val="00650CD2"/>
    <w:pPr>
      <w:tabs>
        <w:tab w:val="left" w:pos="284"/>
      </w:tabs>
      <w:ind w:left="284" w:hanging="284"/>
      <w:jc w:val="both"/>
    </w:pPr>
    <w:rPr>
      <w:rFonts w:eastAsia="Times New Roman" w:cs="Times New Roman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650CD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1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B8F"/>
    <w:rPr>
      <w:b/>
      <w:bCs/>
      <w:sz w:val="20"/>
      <w:szCs w:val="20"/>
    </w:rPr>
  </w:style>
  <w:style w:type="paragraph" w:customStyle="1" w:styleId="Default">
    <w:name w:val="Default"/>
    <w:rsid w:val="00FD79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0A4"/>
  </w:style>
  <w:style w:type="paragraph" w:styleId="Zpat">
    <w:name w:val="footer"/>
    <w:basedOn w:val="Normln"/>
    <w:link w:val="Zpat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0A4"/>
  </w:style>
  <w:style w:type="paragraph" w:styleId="Normlnweb">
    <w:name w:val="Normal (Web)"/>
    <w:basedOn w:val="Normln"/>
    <w:uiPriority w:val="99"/>
    <w:semiHidden/>
    <w:unhideWhenUsed/>
    <w:rsid w:val="008F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0E0D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9D3C27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TabulkaChar">
    <w:name w:val="Tabulka Char"/>
    <w:link w:val="Tabulka"/>
    <w:rsid w:val="009D3C27"/>
    <w:rPr>
      <w:rFonts w:ascii="Times New Roman" w:eastAsia="Times New Roman" w:hAnsi="Times New Roman" w:cs="Times New Roman"/>
      <w:lang w:eastAsia="cs-CZ"/>
    </w:rPr>
  </w:style>
  <w:style w:type="character" w:customStyle="1" w:styleId="PoznmkapodarouChar">
    <w:name w:val="Poznámka pod čarou Char"/>
    <w:link w:val="Poznmkapodarou"/>
    <w:rsid w:val="009D3C27"/>
    <w:rPr>
      <w:rFonts w:eastAsia="Times New Roman" w:cs="Times New Roman"/>
      <w:sz w:val="20"/>
      <w:szCs w:val="20"/>
    </w:rPr>
  </w:style>
  <w:style w:type="character" w:styleId="Hypertextovodkaz">
    <w:name w:val="Hyperlink"/>
    <w:basedOn w:val="Standardnpsmoodstavce"/>
    <w:semiHidden/>
    <w:rsid w:val="00DB28DE"/>
    <w:rPr>
      <w:color w:val="0000FF"/>
      <w:u w:val="single"/>
    </w:rPr>
  </w:style>
  <w:style w:type="table" w:customStyle="1" w:styleId="Mkatabulky21">
    <w:name w:val="Mřížka tabulky21"/>
    <w:basedOn w:val="Normlntabulka"/>
    <w:next w:val="Mkatabulky"/>
    <w:uiPriority w:val="39"/>
    <w:rsid w:val="00693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693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A20DEB"/>
    <w:rPr>
      <w:color w:val="000000"/>
      <w:sz w:val="60"/>
      <w:szCs w:val="60"/>
    </w:rPr>
  </w:style>
  <w:style w:type="character" w:customStyle="1" w:styleId="A1">
    <w:name w:val="A1"/>
    <w:uiPriority w:val="99"/>
    <w:rsid w:val="00291CEB"/>
    <w:rPr>
      <w:color w:val="000000"/>
      <w:sz w:val="28"/>
      <w:szCs w:val="28"/>
    </w:rPr>
  </w:style>
  <w:style w:type="character" w:customStyle="1" w:styleId="A5">
    <w:name w:val="A5"/>
    <w:uiPriority w:val="99"/>
    <w:rsid w:val="00291CEB"/>
    <w:rPr>
      <w:b/>
      <w:bCs/>
      <w:color w:val="000000"/>
      <w:sz w:val="40"/>
      <w:szCs w:val="40"/>
    </w:rPr>
  </w:style>
  <w:style w:type="paragraph" w:customStyle="1" w:styleId="Text">
    <w:name w:val="Text"/>
    <w:basedOn w:val="Normln"/>
    <w:link w:val="TextChar"/>
    <w:qFormat/>
    <w:rsid w:val="00291CEB"/>
    <w:pPr>
      <w:spacing w:before="120" w:after="0" w:line="240" w:lineRule="auto"/>
      <w:jc w:val="both"/>
    </w:pPr>
    <w:rPr>
      <w:rFonts w:cstheme="minorHAnsi"/>
      <w:sz w:val="24"/>
      <w:szCs w:val="24"/>
    </w:rPr>
  </w:style>
  <w:style w:type="character" w:customStyle="1" w:styleId="TextChar">
    <w:name w:val="Text Char"/>
    <w:basedOn w:val="Standardnpsmoodstavce"/>
    <w:link w:val="Text"/>
    <w:rsid w:val="00291CEB"/>
    <w:rPr>
      <w:rFonts w:cstheme="minorHAnsi"/>
      <w:sz w:val="24"/>
      <w:szCs w:val="24"/>
    </w:rPr>
  </w:style>
  <w:style w:type="paragraph" w:styleId="Revize">
    <w:name w:val="Revision"/>
    <w:hidden/>
    <w:uiPriority w:val="99"/>
    <w:semiHidden/>
    <w:rsid w:val="00787788"/>
    <w:pPr>
      <w:spacing w:after="0" w:line="240" w:lineRule="auto"/>
    </w:pPr>
  </w:style>
  <w:style w:type="paragraph" w:styleId="Bezmezer">
    <w:name w:val="No Spacing"/>
    <w:basedOn w:val="Normln"/>
    <w:uiPriority w:val="1"/>
    <w:qFormat/>
    <w:rsid w:val="004D75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Jin">
    <w:name w:val="Jiné_"/>
    <w:basedOn w:val="Standardnpsmoodstavce"/>
    <w:link w:val="Jin0"/>
    <w:rsid w:val="004D75A3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4D75A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Jin0">
    <w:name w:val="Jiné"/>
    <w:basedOn w:val="Normln"/>
    <w:link w:val="Jin"/>
    <w:rsid w:val="004D75A3"/>
    <w:pPr>
      <w:widowControl w:val="0"/>
      <w:shd w:val="clear" w:color="auto" w:fill="FFFFFF"/>
      <w:spacing w:after="0" w:line="240" w:lineRule="auto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4D75A3"/>
    <w:pPr>
      <w:widowControl w:val="0"/>
      <w:shd w:val="clear" w:color="auto" w:fill="FFFFFF"/>
      <w:spacing w:after="0" w:line="298" w:lineRule="auto"/>
      <w:jc w:val="right"/>
    </w:pPr>
    <w:rPr>
      <w:rFonts w:ascii="Calibri" w:eastAsia="Calibri" w:hAnsi="Calibri" w:cs="Calibri"/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86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6003-3A99-40EC-BDC2-08B8608B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2DF46-9909-4FD3-9718-8E6251527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0E46C-1E80-402A-A2A8-E663701728A7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C9CC33-0C73-4E8E-B172-9F12A77E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4554</Words>
  <Characters>26874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21/13 - Majetek a peněžní prostředky státu, s nimiž má právo hospodařit ČPP Transgas, s.p.</vt:lpstr>
    </vt:vector>
  </TitlesOfParts>
  <Company>NKU</Company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21/13 - Majetek a peněžní prostředky státu, s nimiž má právo hospodařit ČPP Transgas, s.p.</dc:title>
  <dc:subject>Kontrolní závěr z kontrolní akce NKÚ č. 21/13 - Majetek a peněžní prostředky státu, s nimiž má právo hospodařit ČPP Transgas, s.p.</dc:subject>
  <dc:creator>Nejvyšší kontrolní úřad</dc:creator>
  <cp:keywords>kontrolní závěr; transgas; státní podniky</cp:keywords>
  <dc:description/>
  <cp:lastModifiedBy>KOKRDA Daniel</cp:lastModifiedBy>
  <cp:revision>3</cp:revision>
  <cp:lastPrinted>2022-01-05T09:59:00Z</cp:lastPrinted>
  <dcterms:created xsi:type="dcterms:W3CDTF">2022-01-05T09:56:00Z</dcterms:created>
  <dcterms:modified xsi:type="dcterms:W3CDTF">2022-01-05T10:00:00Z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_DocHome">
    <vt:i4>-1657478421</vt:i4>
  </property>
</Properties>
</file>