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E99D" w14:textId="02D4CED2" w:rsidR="00902074" w:rsidRDefault="00E620F7" w:rsidP="00FC0D6A">
      <w:pPr>
        <w:spacing w:after="0"/>
        <w:jc w:val="center"/>
        <w:rPr>
          <w:rFonts w:cs="Calibri"/>
          <w:b/>
          <w:szCs w:val="24"/>
        </w:rPr>
      </w:pPr>
      <w:r>
        <w:rPr>
          <w:rFonts w:cs="Calibri"/>
          <w:b/>
          <w:noProof/>
          <w:szCs w:val="24"/>
          <w:lang w:val="en-GB" w:eastAsia="en-GB"/>
        </w:rPr>
        <w:drawing>
          <wp:anchor distT="0" distB="0" distL="114300" distR="114300" simplePos="0" relativeHeight="251651072" behindDoc="0" locked="0" layoutInCell="1" allowOverlap="1" wp14:anchorId="08BC0A20" wp14:editId="0795C0B4">
            <wp:simplePos x="0" y="0"/>
            <wp:positionH relativeFrom="margin">
              <wp:align>center</wp:align>
            </wp:positionH>
            <wp:positionV relativeFrom="paragraph">
              <wp:posOffset>11734</wp:posOffset>
            </wp:positionV>
            <wp:extent cx="787400" cy="5645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34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3EB58" w14:textId="65528941" w:rsidR="00902074" w:rsidRDefault="00902074" w:rsidP="00FC0D6A">
      <w:pPr>
        <w:spacing w:after="0"/>
        <w:jc w:val="center"/>
        <w:rPr>
          <w:rFonts w:cs="Calibri"/>
          <w:b/>
          <w:szCs w:val="24"/>
        </w:rPr>
      </w:pPr>
    </w:p>
    <w:p w14:paraId="2A6862F9" w14:textId="77777777" w:rsidR="00FC0D6A" w:rsidRPr="006921D7" w:rsidRDefault="00FC0D6A" w:rsidP="00FC0D6A">
      <w:pPr>
        <w:spacing w:after="0"/>
        <w:jc w:val="center"/>
        <w:rPr>
          <w:rFonts w:cs="Calibri"/>
          <w:b/>
          <w:szCs w:val="24"/>
        </w:rPr>
      </w:pPr>
    </w:p>
    <w:p w14:paraId="1378558E" w14:textId="01A9B491" w:rsidR="00FE5C8F" w:rsidRDefault="00E620F7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r w:rsidRPr="006921D7">
        <w:rPr>
          <w:rFonts w:cs="Calibri"/>
          <w:b/>
          <w:bCs/>
          <w:color w:val="000000"/>
          <w:sz w:val="28"/>
          <w:szCs w:val="24"/>
        </w:rPr>
        <w:t>Kontrolní závěr z kontrolní akce</w:t>
      </w:r>
    </w:p>
    <w:p w14:paraId="6680C470" w14:textId="77777777" w:rsidR="00FC0D6A" w:rsidRPr="006921D7" w:rsidRDefault="00FC0D6A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</w:p>
    <w:p w14:paraId="0D805C81" w14:textId="74FCEB81" w:rsidR="00FE5C8F" w:rsidRDefault="000121BC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22</w:t>
      </w:r>
      <w:r w:rsidR="00E620F7" w:rsidRPr="006921D7">
        <w:rPr>
          <w:rFonts w:cs="Calibri"/>
          <w:b/>
          <w:bCs/>
          <w:color w:val="000000"/>
          <w:sz w:val="28"/>
          <w:szCs w:val="24"/>
        </w:rPr>
        <w:t>/</w:t>
      </w:r>
      <w:r>
        <w:rPr>
          <w:rFonts w:cs="Calibri"/>
          <w:b/>
          <w:bCs/>
          <w:color w:val="000000"/>
          <w:sz w:val="28"/>
          <w:szCs w:val="24"/>
        </w:rPr>
        <w:t>3</w:t>
      </w:r>
      <w:r w:rsidR="00DD6BB4">
        <w:rPr>
          <w:rFonts w:cs="Calibri"/>
          <w:b/>
          <w:bCs/>
          <w:color w:val="000000"/>
          <w:sz w:val="28"/>
          <w:szCs w:val="24"/>
        </w:rPr>
        <w:t>0</w:t>
      </w:r>
    </w:p>
    <w:p w14:paraId="25E3B1F8" w14:textId="77777777" w:rsidR="00FC0D6A" w:rsidRPr="006921D7" w:rsidRDefault="00FC0D6A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</w:p>
    <w:p w14:paraId="39B4F2DD" w14:textId="00047334" w:rsidR="00FE5C8F" w:rsidRPr="006921D7" w:rsidRDefault="00E07563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r w:rsidRPr="00E07563">
        <w:rPr>
          <w:rFonts w:cs="Calibri"/>
          <w:b/>
          <w:bCs/>
          <w:color w:val="000000"/>
          <w:sz w:val="28"/>
          <w:szCs w:val="24"/>
        </w:rPr>
        <w:t xml:space="preserve">Peněžní prostředky </w:t>
      </w:r>
      <w:r w:rsidR="000121BC">
        <w:rPr>
          <w:rFonts w:cs="Calibri"/>
          <w:b/>
          <w:bCs/>
          <w:color w:val="000000"/>
          <w:sz w:val="28"/>
          <w:szCs w:val="24"/>
        </w:rPr>
        <w:t>vynakládané v souvislosti s paliativní péčí</w:t>
      </w:r>
    </w:p>
    <w:p w14:paraId="3F738CC4" w14:textId="2B2F458C" w:rsidR="00902074" w:rsidRDefault="00902074" w:rsidP="00FC0D6A">
      <w:pPr>
        <w:spacing w:after="0"/>
        <w:rPr>
          <w:rFonts w:cs="Calibri"/>
          <w:szCs w:val="24"/>
        </w:rPr>
      </w:pPr>
    </w:p>
    <w:p w14:paraId="4F8BC627" w14:textId="77777777" w:rsidR="00FC0D6A" w:rsidRPr="00902074" w:rsidRDefault="00FC0D6A" w:rsidP="00FC0D6A">
      <w:pPr>
        <w:spacing w:after="0"/>
        <w:rPr>
          <w:rFonts w:cs="Calibri"/>
          <w:szCs w:val="24"/>
        </w:rPr>
      </w:pPr>
    </w:p>
    <w:p w14:paraId="4EEC0E26" w14:textId="0884D2C2" w:rsidR="00FE5C8F" w:rsidRDefault="00E620F7" w:rsidP="00FE5C8F">
      <w:pPr>
        <w:rPr>
          <w:rFonts w:cs="Calibri"/>
          <w:szCs w:val="24"/>
        </w:rPr>
      </w:pPr>
      <w:r w:rsidRPr="000B4501">
        <w:rPr>
          <w:rFonts w:cs="Calibri"/>
          <w:szCs w:val="24"/>
        </w:rPr>
        <w:t>Kontrolní akce byla zařazena do plánu kontrolní činnosti Nejvyššího kontrolního úřadu (dále jen „NKÚ“) na rok 20</w:t>
      </w:r>
      <w:r w:rsidR="000121BC">
        <w:rPr>
          <w:rFonts w:cs="Calibri"/>
          <w:szCs w:val="24"/>
        </w:rPr>
        <w:t>22</w:t>
      </w:r>
      <w:r w:rsidRPr="000B4501">
        <w:rPr>
          <w:rFonts w:cs="Calibri"/>
          <w:szCs w:val="24"/>
        </w:rPr>
        <w:t xml:space="preserve"> pod číslem </w:t>
      </w:r>
      <w:r w:rsidR="000121BC">
        <w:rPr>
          <w:rFonts w:cs="Calibri"/>
          <w:szCs w:val="24"/>
        </w:rPr>
        <w:t>22</w:t>
      </w:r>
      <w:r w:rsidRPr="000B4501">
        <w:rPr>
          <w:rFonts w:cs="Calibri"/>
          <w:szCs w:val="24"/>
        </w:rPr>
        <w:t>/</w:t>
      </w:r>
      <w:r w:rsidR="000121BC">
        <w:rPr>
          <w:rFonts w:cs="Calibri"/>
          <w:szCs w:val="24"/>
        </w:rPr>
        <w:t>3</w:t>
      </w:r>
      <w:r w:rsidR="00E07563">
        <w:rPr>
          <w:rFonts w:cs="Calibri"/>
          <w:szCs w:val="24"/>
        </w:rPr>
        <w:t>0</w:t>
      </w:r>
      <w:r w:rsidRPr="000B4501">
        <w:rPr>
          <w:rFonts w:cs="Calibri"/>
          <w:szCs w:val="24"/>
        </w:rPr>
        <w:t>. Kontrolní akci řídil a kontrolní závěr vypracoval člen NKÚ Ing. </w:t>
      </w:r>
      <w:r w:rsidR="000121BC">
        <w:rPr>
          <w:rFonts w:cs="Calibri"/>
          <w:szCs w:val="24"/>
        </w:rPr>
        <w:t>Michal Šmucr</w:t>
      </w:r>
      <w:r w:rsidRPr="000B4501">
        <w:rPr>
          <w:rFonts w:cs="Calibri"/>
          <w:szCs w:val="24"/>
        </w:rPr>
        <w:t>.</w:t>
      </w:r>
    </w:p>
    <w:p w14:paraId="61A12391" w14:textId="3F4E61FE" w:rsidR="00591FDD" w:rsidRDefault="00E620F7" w:rsidP="00FE5C8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Cílem kontroly bylo </w:t>
      </w:r>
      <w:r w:rsidR="00E07563">
        <w:rPr>
          <w:rFonts w:cs="Calibri"/>
          <w:szCs w:val="24"/>
        </w:rPr>
        <w:t>p</w:t>
      </w:r>
      <w:r w:rsidR="00E07563" w:rsidRPr="00E07563">
        <w:rPr>
          <w:rFonts w:cs="Calibri"/>
          <w:szCs w:val="24"/>
        </w:rPr>
        <w:t>rověřit</w:t>
      </w:r>
      <w:r w:rsidR="000121BC">
        <w:rPr>
          <w:rFonts w:cs="Calibri"/>
          <w:szCs w:val="24"/>
        </w:rPr>
        <w:t xml:space="preserve">, zda byly </w:t>
      </w:r>
      <w:r w:rsidR="00E07563" w:rsidRPr="00E07563">
        <w:rPr>
          <w:rFonts w:cs="Calibri"/>
          <w:szCs w:val="24"/>
        </w:rPr>
        <w:t>peněžní</w:t>
      </w:r>
      <w:r w:rsidR="00E07563">
        <w:rPr>
          <w:rFonts w:cs="Calibri"/>
          <w:szCs w:val="24"/>
        </w:rPr>
        <w:t xml:space="preserve"> prostředk</w:t>
      </w:r>
      <w:r w:rsidR="000121BC">
        <w:rPr>
          <w:rFonts w:cs="Calibri"/>
          <w:szCs w:val="24"/>
        </w:rPr>
        <w:t xml:space="preserve">y vynakládané v souvislosti s paliativní péčí použity </w:t>
      </w:r>
      <w:r w:rsidR="00E07563">
        <w:rPr>
          <w:rFonts w:cs="Calibri"/>
          <w:szCs w:val="24"/>
        </w:rPr>
        <w:t>účeln</w:t>
      </w:r>
      <w:r w:rsidR="000121BC">
        <w:rPr>
          <w:rFonts w:cs="Calibri"/>
          <w:szCs w:val="24"/>
        </w:rPr>
        <w:t>ě</w:t>
      </w:r>
      <w:r w:rsidR="00E07563">
        <w:rPr>
          <w:rFonts w:cs="Calibri"/>
          <w:szCs w:val="24"/>
        </w:rPr>
        <w:t xml:space="preserve"> a </w:t>
      </w:r>
      <w:r w:rsidR="008C347D">
        <w:rPr>
          <w:rFonts w:cs="Calibri"/>
          <w:szCs w:val="24"/>
        </w:rPr>
        <w:t xml:space="preserve">v </w:t>
      </w:r>
      <w:r w:rsidR="00E07563">
        <w:rPr>
          <w:rFonts w:cs="Calibri"/>
          <w:szCs w:val="24"/>
        </w:rPr>
        <w:t>souladu s </w:t>
      </w:r>
      <w:r w:rsidR="00E07563" w:rsidRPr="00E07563">
        <w:rPr>
          <w:rFonts w:cs="Calibri"/>
          <w:szCs w:val="24"/>
        </w:rPr>
        <w:t>právními předpisy</w:t>
      </w:r>
      <w:r w:rsidR="006A7F36">
        <w:rPr>
          <w:rFonts w:cs="Calibri"/>
          <w:szCs w:val="24"/>
        </w:rPr>
        <w:t>.</w:t>
      </w:r>
    </w:p>
    <w:p w14:paraId="589B83BB" w14:textId="54EC59D7" w:rsidR="00FE5C8F" w:rsidRPr="004C031F" w:rsidRDefault="00E620F7" w:rsidP="00D47857">
      <w:r w:rsidRPr="004C031F">
        <w:t>Kontrolováno bylo období</w:t>
      </w:r>
      <w:r>
        <w:t xml:space="preserve"> let</w:t>
      </w:r>
      <w:r w:rsidRPr="004C031F">
        <w:t xml:space="preserve"> 20</w:t>
      </w:r>
      <w:r w:rsidR="000121BC">
        <w:t>17</w:t>
      </w:r>
      <w:r w:rsidR="001E7809">
        <w:t>–</w:t>
      </w:r>
      <w:r>
        <w:t>2</w:t>
      </w:r>
      <w:r w:rsidRPr="004C031F">
        <w:t>0</w:t>
      </w:r>
      <w:r w:rsidR="000121BC">
        <w:t>2</w:t>
      </w:r>
      <w:r w:rsidRPr="004C031F">
        <w:t>1,</w:t>
      </w:r>
      <w:r w:rsidRPr="004860A5">
        <w:rPr>
          <w:sz w:val="22"/>
        </w:rPr>
        <w:t xml:space="preserve"> </w:t>
      </w:r>
      <w:r w:rsidRPr="004C031F">
        <w:t xml:space="preserve">v případě věcných souvislostí i období </w:t>
      </w:r>
      <w:r>
        <w:t>předcházející a </w:t>
      </w:r>
      <w:r w:rsidRPr="00D95701">
        <w:t>následující</w:t>
      </w:r>
      <w:r w:rsidRPr="004C031F">
        <w:t xml:space="preserve">. Kontrola byla prováděna u kontrolovaných osob od </w:t>
      </w:r>
      <w:r w:rsidR="000121BC">
        <w:t xml:space="preserve">listopadu </w:t>
      </w:r>
      <w:r w:rsidR="00591FDD">
        <w:t>20</w:t>
      </w:r>
      <w:r w:rsidR="000121BC">
        <w:t>22</w:t>
      </w:r>
      <w:r w:rsidRPr="004C031F">
        <w:t xml:space="preserve"> do</w:t>
      </w:r>
      <w:r w:rsidR="00FC0D6A">
        <w:t xml:space="preserve"> </w:t>
      </w:r>
      <w:r w:rsidR="000121BC">
        <w:t>června 2023</w:t>
      </w:r>
      <w:r w:rsidRPr="004C031F">
        <w:t>.</w:t>
      </w:r>
    </w:p>
    <w:p w14:paraId="293ED7FB" w14:textId="77777777" w:rsidR="00FE5C8F" w:rsidRDefault="00E620F7" w:rsidP="00D47857">
      <w:pPr>
        <w:spacing w:after="0"/>
        <w:rPr>
          <w:rFonts w:cs="Calibri"/>
          <w:szCs w:val="24"/>
        </w:rPr>
      </w:pPr>
      <w:r w:rsidRPr="004E7726">
        <w:rPr>
          <w:rFonts w:cs="Calibri"/>
          <w:b/>
          <w:szCs w:val="24"/>
        </w:rPr>
        <w:t>Kontrolované osoby:</w:t>
      </w:r>
      <w:r w:rsidRPr="000B4501">
        <w:rPr>
          <w:rFonts w:cs="Calibri"/>
          <w:szCs w:val="24"/>
        </w:rPr>
        <w:t xml:space="preserve"> </w:t>
      </w:r>
    </w:p>
    <w:p w14:paraId="0E6406A7" w14:textId="52F265E3" w:rsidR="005D0861" w:rsidRDefault="00E620F7" w:rsidP="00D47857">
      <w:pPr>
        <w:spacing w:after="0"/>
        <w:rPr>
          <w:rFonts w:cs="Calibri"/>
          <w:szCs w:val="24"/>
        </w:rPr>
      </w:pPr>
      <w:r w:rsidRPr="00DC0C53">
        <w:rPr>
          <w:rFonts w:cs="Calibri"/>
          <w:szCs w:val="24"/>
        </w:rPr>
        <w:t xml:space="preserve">Ministerstvo </w:t>
      </w:r>
      <w:r w:rsidR="006A7F36" w:rsidRPr="00DC0C53">
        <w:rPr>
          <w:rFonts w:cs="Calibri"/>
          <w:szCs w:val="24"/>
        </w:rPr>
        <w:t>zdravotnictví</w:t>
      </w:r>
      <w:r w:rsidR="00852461" w:rsidRPr="00DC0C53">
        <w:rPr>
          <w:rFonts w:cs="Calibri"/>
          <w:szCs w:val="24"/>
        </w:rPr>
        <w:t xml:space="preserve"> (dále také „</w:t>
      </w:r>
      <w:proofErr w:type="spellStart"/>
      <w:r w:rsidR="00852461" w:rsidRPr="00DC0C53">
        <w:rPr>
          <w:rFonts w:cs="Calibri"/>
          <w:szCs w:val="24"/>
        </w:rPr>
        <w:t>MZ</w:t>
      </w:r>
      <w:r w:rsidR="007775ED">
        <w:rPr>
          <w:rFonts w:cs="Calibri"/>
          <w:szCs w:val="24"/>
        </w:rPr>
        <w:t>d</w:t>
      </w:r>
      <w:proofErr w:type="spellEnd"/>
      <w:r w:rsidR="00852461" w:rsidRPr="00DC0C53">
        <w:rPr>
          <w:rFonts w:cs="Calibri"/>
          <w:szCs w:val="24"/>
        </w:rPr>
        <w:t>“)</w:t>
      </w:r>
      <w:r w:rsidRPr="00DC0C53">
        <w:rPr>
          <w:rFonts w:cs="Calibri"/>
          <w:szCs w:val="24"/>
        </w:rPr>
        <w:t>;</w:t>
      </w:r>
      <w:r w:rsidR="000121BC">
        <w:rPr>
          <w:rFonts w:cs="Calibri"/>
          <w:szCs w:val="24"/>
        </w:rPr>
        <w:t xml:space="preserve"> </w:t>
      </w:r>
    </w:p>
    <w:p w14:paraId="2FFDA941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 xml:space="preserve">Cesta domů, z.ú., </w:t>
      </w:r>
      <w:r>
        <w:rPr>
          <w:rFonts w:cs="Calibri"/>
          <w:szCs w:val="24"/>
        </w:rPr>
        <w:t>P</w:t>
      </w:r>
      <w:r w:rsidRPr="000121BC">
        <w:rPr>
          <w:rFonts w:cs="Calibri"/>
          <w:szCs w:val="24"/>
        </w:rPr>
        <w:t>raha</w:t>
      </w:r>
      <w:r>
        <w:rPr>
          <w:rFonts w:cs="Calibri"/>
          <w:szCs w:val="24"/>
        </w:rPr>
        <w:t>;</w:t>
      </w:r>
      <w:r w:rsidRPr="000121BC">
        <w:rPr>
          <w:rFonts w:cs="Calibri"/>
          <w:szCs w:val="24"/>
        </w:rPr>
        <w:t xml:space="preserve"> </w:t>
      </w:r>
    </w:p>
    <w:p w14:paraId="545EA5D5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Česká lékařská společnost Jana Evangelisty Purkyně, z.s., Praha;</w:t>
      </w:r>
      <w:r>
        <w:rPr>
          <w:rFonts w:cs="Calibri"/>
          <w:szCs w:val="24"/>
        </w:rPr>
        <w:t xml:space="preserve"> </w:t>
      </w:r>
    </w:p>
    <w:p w14:paraId="5BFEAE40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Domácí hospic Athelas – středisko Husitské diakonie, Písek;</w:t>
      </w:r>
      <w:r>
        <w:rPr>
          <w:rFonts w:cs="Calibri"/>
          <w:szCs w:val="24"/>
        </w:rPr>
        <w:t xml:space="preserve"> </w:t>
      </w:r>
    </w:p>
    <w:p w14:paraId="4DE180D1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Fakultní nemocnice Olomouc,</w:t>
      </w:r>
      <w:r w:rsidR="005D0861">
        <w:rPr>
          <w:rFonts w:cs="Calibri"/>
          <w:szCs w:val="24"/>
        </w:rPr>
        <w:t xml:space="preserve"> </w:t>
      </w:r>
      <w:r w:rsidRPr="000121BC">
        <w:rPr>
          <w:rFonts w:cs="Calibri"/>
          <w:szCs w:val="24"/>
        </w:rPr>
        <w:t>Olomouc;</w:t>
      </w:r>
    </w:p>
    <w:p w14:paraId="36B814D8" w14:textId="77777777" w:rsidR="0058487D" w:rsidRDefault="0058487D" w:rsidP="0058487D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Hospic sv. Jana N. Neumanna, o.p.s., Prachatice;</w:t>
      </w:r>
      <w:r>
        <w:rPr>
          <w:rFonts w:cs="Calibri"/>
          <w:szCs w:val="24"/>
        </w:rPr>
        <w:t xml:space="preserve"> </w:t>
      </w:r>
    </w:p>
    <w:p w14:paraId="6614AA7D" w14:textId="77777777" w:rsidR="00AB3C11" w:rsidRDefault="00AB3C11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Hospic sv. Zdislavy, o.p.s.,</w:t>
      </w:r>
      <w:r>
        <w:rPr>
          <w:rFonts w:cs="Calibri"/>
          <w:szCs w:val="24"/>
        </w:rPr>
        <w:t xml:space="preserve"> </w:t>
      </w:r>
      <w:r w:rsidRPr="000121BC">
        <w:rPr>
          <w:rFonts w:cs="Calibri"/>
          <w:szCs w:val="24"/>
        </w:rPr>
        <w:t>Liberec;</w:t>
      </w:r>
      <w:r>
        <w:rPr>
          <w:rFonts w:cs="Calibri"/>
          <w:szCs w:val="24"/>
        </w:rPr>
        <w:t xml:space="preserve"> </w:t>
      </w:r>
    </w:p>
    <w:p w14:paraId="6F5BD558" w14:textId="77777777" w:rsidR="005D0861" w:rsidRDefault="005D0861" w:rsidP="00D47857">
      <w:pPr>
        <w:spacing w:after="0"/>
      </w:pPr>
      <w:r w:rsidRPr="00266F62">
        <w:t>Hospic svatého Lazara z.s.</w:t>
      </w:r>
      <w:r>
        <w:t xml:space="preserve">, </w:t>
      </w:r>
      <w:r w:rsidRPr="00266F62">
        <w:t>Plzeň</w:t>
      </w:r>
      <w:r>
        <w:t>;</w:t>
      </w:r>
      <w:r w:rsidRPr="00266F62">
        <w:t xml:space="preserve"> </w:t>
      </w:r>
    </w:p>
    <w:p w14:paraId="41E0A978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Hospic Štrasburk o.p.s., Praha;</w:t>
      </w:r>
      <w:r>
        <w:rPr>
          <w:rFonts w:cs="Calibri"/>
          <w:szCs w:val="24"/>
        </w:rPr>
        <w:t xml:space="preserve"> </w:t>
      </w:r>
    </w:p>
    <w:p w14:paraId="79F01ABC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Hospicová péče sv. Kleofáše, o.p.s., Třeboň;</w:t>
      </w:r>
      <w:r w:rsidR="005D0861">
        <w:rPr>
          <w:rFonts w:cs="Calibri"/>
          <w:szCs w:val="24"/>
        </w:rPr>
        <w:t xml:space="preserve"> </w:t>
      </w:r>
    </w:p>
    <w:p w14:paraId="7C170909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Charita Uherské Hradiště, Uherské Hradiště;</w:t>
      </w:r>
      <w:r>
        <w:rPr>
          <w:rFonts w:cs="Calibri"/>
          <w:szCs w:val="24"/>
        </w:rPr>
        <w:t xml:space="preserve"> </w:t>
      </w:r>
    </w:p>
    <w:p w14:paraId="350493C6" w14:textId="77777777" w:rsidR="005D0861" w:rsidRDefault="000121BC" w:rsidP="00D47857">
      <w:pPr>
        <w:spacing w:after="0"/>
        <w:rPr>
          <w:rFonts w:cs="Calibri"/>
          <w:szCs w:val="24"/>
        </w:rPr>
      </w:pPr>
      <w:r w:rsidRPr="000121BC">
        <w:rPr>
          <w:rFonts w:cs="Calibri"/>
          <w:szCs w:val="24"/>
        </w:rPr>
        <w:t>Charita Uherský Brod, Uherský Brod;</w:t>
      </w:r>
      <w:r>
        <w:rPr>
          <w:rFonts w:cs="Calibri"/>
          <w:szCs w:val="24"/>
        </w:rPr>
        <w:t xml:space="preserve"> </w:t>
      </w:r>
    </w:p>
    <w:p w14:paraId="7725B6FC" w14:textId="77777777" w:rsidR="005D0861" w:rsidRDefault="000121BC" w:rsidP="00D47857">
      <w:pPr>
        <w:spacing w:after="0"/>
      </w:pPr>
      <w:r w:rsidRPr="00E92F71">
        <w:t>SPOLU DOMA, z.ú.</w:t>
      </w:r>
      <w:r>
        <w:t xml:space="preserve">, </w:t>
      </w:r>
      <w:r w:rsidRPr="00266F62">
        <w:t>Plzeň</w:t>
      </w:r>
      <w:r>
        <w:t>;</w:t>
      </w:r>
      <w:r w:rsidRPr="00266F62">
        <w:t xml:space="preserve"> </w:t>
      </w:r>
    </w:p>
    <w:p w14:paraId="6AF09145" w14:textId="403DAC25" w:rsidR="0069205A" w:rsidRDefault="000121BC" w:rsidP="00D47857">
      <w:r w:rsidRPr="000121BC">
        <w:t>Všeobecná fakultní nemocnice v Praze, Praha</w:t>
      </w:r>
      <w:r w:rsidR="0069205A">
        <w:t>.</w:t>
      </w:r>
    </w:p>
    <w:p w14:paraId="1901E973" w14:textId="77777777" w:rsidR="00FC0D6A" w:rsidRPr="0069205A" w:rsidRDefault="00FC0D6A" w:rsidP="00D47857"/>
    <w:p w14:paraId="2A3F7EAE" w14:textId="46CF281E" w:rsidR="00FE5C8F" w:rsidRPr="007578A4" w:rsidRDefault="00E620F7" w:rsidP="00FC0D6A">
      <w:pPr>
        <w:spacing w:after="0"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 xml:space="preserve">K o l e g i u m   N K </w:t>
      </w:r>
      <w:r w:rsidRPr="00773E95">
        <w:rPr>
          <w:rFonts w:cs="Calibri"/>
          <w:b/>
          <w:bCs/>
          <w:i/>
          <w:iCs/>
          <w:szCs w:val="24"/>
        </w:rPr>
        <w:t>Ú</w:t>
      </w:r>
      <w:r w:rsidRPr="00773E95">
        <w:rPr>
          <w:rFonts w:cs="Calibri"/>
          <w:b/>
          <w:bCs/>
          <w:iCs/>
          <w:szCs w:val="24"/>
        </w:rPr>
        <w:t xml:space="preserve">   </w:t>
      </w:r>
      <w:r w:rsidRPr="00773E95">
        <w:rPr>
          <w:rFonts w:cs="Calibri"/>
          <w:szCs w:val="24"/>
        </w:rPr>
        <w:t xml:space="preserve">na </w:t>
      </w:r>
      <w:r w:rsidRPr="007578A4">
        <w:rPr>
          <w:rFonts w:cs="Calibri"/>
          <w:szCs w:val="24"/>
        </w:rPr>
        <w:t>svém</w:t>
      </w:r>
      <w:r w:rsidR="00B50A6D" w:rsidRPr="007578A4">
        <w:rPr>
          <w:rFonts w:cs="Calibri"/>
          <w:szCs w:val="24"/>
        </w:rPr>
        <w:t xml:space="preserve"> </w:t>
      </w:r>
      <w:r w:rsidR="007578A4">
        <w:rPr>
          <w:rFonts w:cs="Calibri"/>
          <w:szCs w:val="24"/>
        </w:rPr>
        <w:t>XIV</w:t>
      </w:r>
      <w:r w:rsidRPr="007578A4">
        <w:rPr>
          <w:rFonts w:cs="Calibri"/>
          <w:szCs w:val="24"/>
        </w:rPr>
        <w:t>. jednání, které se konalo dn</w:t>
      </w:r>
      <w:r w:rsidR="00933A3E" w:rsidRPr="007578A4">
        <w:rPr>
          <w:rFonts w:cs="Calibri"/>
          <w:szCs w:val="24"/>
        </w:rPr>
        <w:t>e</w:t>
      </w:r>
      <w:r w:rsidR="00220A24" w:rsidRPr="007578A4">
        <w:rPr>
          <w:rFonts w:cs="Calibri"/>
          <w:szCs w:val="24"/>
        </w:rPr>
        <w:t xml:space="preserve"> </w:t>
      </w:r>
      <w:r w:rsidR="007578A4">
        <w:rPr>
          <w:rFonts w:cs="Calibri"/>
          <w:szCs w:val="24"/>
        </w:rPr>
        <w:t>18. září</w:t>
      </w:r>
      <w:r w:rsidR="00FF5858" w:rsidRPr="007578A4">
        <w:rPr>
          <w:rFonts w:cs="Calibri"/>
          <w:szCs w:val="24"/>
        </w:rPr>
        <w:t xml:space="preserve"> </w:t>
      </w:r>
      <w:r w:rsidR="005872C0" w:rsidRPr="007578A4">
        <w:rPr>
          <w:rFonts w:cs="Calibri"/>
          <w:szCs w:val="24"/>
        </w:rPr>
        <w:t>20</w:t>
      </w:r>
      <w:r w:rsidR="00E07563" w:rsidRPr="007578A4">
        <w:rPr>
          <w:rFonts w:cs="Calibri"/>
          <w:szCs w:val="24"/>
        </w:rPr>
        <w:t>2</w:t>
      </w:r>
      <w:r w:rsidR="005D0861" w:rsidRPr="007578A4">
        <w:rPr>
          <w:rFonts w:cs="Calibri"/>
          <w:szCs w:val="24"/>
        </w:rPr>
        <w:t>3</w:t>
      </w:r>
      <w:r w:rsidRPr="007578A4">
        <w:rPr>
          <w:rFonts w:cs="Calibri"/>
          <w:szCs w:val="24"/>
        </w:rPr>
        <w:t>,</w:t>
      </w:r>
    </w:p>
    <w:p w14:paraId="60EBA3B0" w14:textId="168D7231" w:rsidR="00FE5C8F" w:rsidRPr="000B4501" w:rsidRDefault="00E620F7" w:rsidP="00FC0D6A">
      <w:pPr>
        <w:spacing w:after="0" w:line="360" w:lineRule="auto"/>
        <w:rPr>
          <w:rFonts w:cs="Calibri"/>
          <w:szCs w:val="24"/>
        </w:rPr>
      </w:pPr>
      <w:r w:rsidRPr="007578A4">
        <w:rPr>
          <w:rFonts w:cs="Calibri"/>
          <w:b/>
          <w:bCs/>
          <w:i/>
          <w:iCs/>
          <w:szCs w:val="24"/>
        </w:rPr>
        <w:t>s c h v á l i l o</w:t>
      </w:r>
      <w:r w:rsidRPr="007578A4">
        <w:rPr>
          <w:rFonts w:cs="Calibri"/>
          <w:b/>
          <w:bCs/>
          <w:iCs/>
          <w:szCs w:val="24"/>
        </w:rPr>
        <w:t xml:space="preserve">   </w:t>
      </w:r>
      <w:r w:rsidRPr="007578A4">
        <w:rPr>
          <w:rFonts w:cs="Calibri"/>
          <w:szCs w:val="24"/>
        </w:rPr>
        <w:t>usnesením č.</w:t>
      </w:r>
      <w:r w:rsidR="000E3E83">
        <w:rPr>
          <w:rFonts w:cs="Calibri"/>
          <w:szCs w:val="24"/>
        </w:rPr>
        <w:t xml:space="preserve"> 12</w:t>
      </w:r>
      <w:r w:rsidRPr="007578A4">
        <w:rPr>
          <w:rFonts w:cs="Calibri"/>
          <w:szCs w:val="24"/>
        </w:rPr>
        <w:t>/</w:t>
      </w:r>
      <w:r w:rsidR="007578A4">
        <w:rPr>
          <w:rFonts w:cs="Calibri"/>
          <w:szCs w:val="24"/>
        </w:rPr>
        <w:t>XIV</w:t>
      </w:r>
      <w:r w:rsidRPr="007578A4">
        <w:rPr>
          <w:rFonts w:cs="Calibri"/>
          <w:szCs w:val="24"/>
        </w:rPr>
        <w:t>/20</w:t>
      </w:r>
      <w:r w:rsidR="00E07563" w:rsidRPr="007578A4">
        <w:rPr>
          <w:rFonts w:cs="Calibri"/>
          <w:szCs w:val="24"/>
        </w:rPr>
        <w:t>2</w:t>
      </w:r>
      <w:r w:rsidR="005D0861" w:rsidRPr="007578A4">
        <w:rPr>
          <w:rFonts w:cs="Calibri"/>
          <w:szCs w:val="24"/>
        </w:rPr>
        <w:t>3</w:t>
      </w:r>
    </w:p>
    <w:p w14:paraId="4AF385E8" w14:textId="77777777" w:rsidR="00FE5C8F" w:rsidRDefault="00E620F7" w:rsidP="00FC0D6A">
      <w:pPr>
        <w:spacing w:after="0"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 o n t r o l n í   z á v ě r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>v tomto znění:</w:t>
      </w:r>
    </w:p>
    <w:p w14:paraId="47BC2508" w14:textId="77777777" w:rsidR="009F421F" w:rsidRDefault="00E620F7" w:rsidP="00633BE1">
      <w:pPr>
        <w:pStyle w:val="Nadpis1"/>
        <w:numPr>
          <w:ilvl w:val="0"/>
          <w:numId w:val="0"/>
        </w:numPr>
        <w:rPr>
          <w:sz w:val="24"/>
          <w:szCs w:val="24"/>
        </w:rPr>
        <w:sectPr w:rsidR="009F421F" w:rsidSect="00E41375">
          <w:footerReference w:type="default" r:id="rId12"/>
          <w:footerReference w:type="first" r:id="rId13"/>
          <w:pgSz w:w="11909" w:h="16838" w:code="9"/>
          <w:pgMar w:top="1417" w:right="1417" w:bottom="1417" w:left="1417" w:header="709" w:footer="709" w:gutter="0"/>
          <w:cols w:space="60"/>
          <w:noEndnote/>
          <w:docGrid w:linePitch="326"/>
        </w:sectPr>
      </w:pPr>
      <w:r w:rsidRPr="000B4501">
        <w:rPr>
          <w:sz w:val="24"/>
          <w:szCs w:val="24"/>
        </w:rPr>
        <w:br w:type="page"/>
      </w:r>
    </w:p>
    <w:p w14:paraId="6D37C158" w14:textId="50ECE719" w:rsidR="00630836" w:rsidRDefault="00630836" w:rsidP="00630836">
      <w:pPr>
        <w:tabs>
          <w:tab w:val="left" w:pos="1115"/>
        </w:tabs>
        <w:spacing w:after="360"/>
        <w:ind w:left="1418" w:hanging="1418"/>
        <w:jc w:val="center"/>
        <w:rPr>
          <w:rFonts w:cstheme="minorHAnsi"/>
          <w:b/>
          <w:sz w:val="28"/>
          <w:szCs w:val="24"/>
        </w:rPr>
      </w:pPr>
      <w:r w:rsidRPr="009010A1">
        <w:rPr>
          <w:rFonts w:cstheme="minorHAnsi"/>
          <w:b/>
          <w:sz w:val="28"/>
          <w:szCs w:val="24"/>
        </w:rPr>
        <w:lastRenderedPageBreak/>
        <w:t>Peněžní prostředky vynakládané v souvislosti s paliativní péčí</w:t>
      </w:r>
    </w:p>
    <w:p w14:paraId="0F01483B" w14:textId="77777777" w:rsidR="00630836" w:rsidRPr="00731B72" w:rsidRDefault="00630836" w:rsidP="00630836">
      <w:pPr>
        <w:spacing w:before="120" w:after="0"/>
        <w:jc w:val="center"/>
      </w:pPr>
      <w:r w:rsidRPr="00E06AA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26A7" wp14:editId="70CEAFB4">
                <wp:simplePos x="0" y="0"/>
                <wp:positionH relativeFrom="column">
                  <wp:posOffset>-77001</wp:posOffset>
                </wp:positionH>
                <wp:positionV relativeFrom="paragraph">
                  <wp:posOffset>96382</wp:posOffset>
                </wp:positionV>
                <wp:extent cx="2126511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51DE5" id="Přímá spojnice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6pt" to="16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E06AA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780D4" wp14:editId="20562959">
                <wp:simplePos x="0" y="0"/>
                <wp:positionH relativeFrom="margin">
                  <wp:align>right</wp:align>
                </wp:positionH>
                <wp:positionV relativeFrom="paragraph">
                  <wp:posOffset>94477</wp:posOffset>
                </wp:positionV>
                <wp:extent cx="2047875" cy="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83A02" id="Přímá spojnic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0.05pt,7.45pt" to="271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31B72">
        <w:t>KONTROLOVANÝ OBJEM</w:t>
      </w:r>
    </w:p>
    <w:tbl>
      <w:tblPr>
        <w:tblpPr w:leftFromText="141" w:rightFromText="141" w:vertAnchor="text" w:horzAnchor="margin" w:tblpY="265"/>
        <w:tblOverlap w:val="never"/>
        <w:tblW w:w="5000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38"/>
        <w:gridCol w:w="4534"/>
      </w:tblGrid>
      <w:tr w:rsidR="00630836" w:rsidRPr="00E06AAB" w14:paraId="32684E49" w14:textId="77777777" w:rsidTr="00BB1616">
        <w:trPr>
          <w:trHeight w:val="851"/>
        </w:trPr>
        <w:tc>
          <w:tcPr>
            <w:tcW w:w="2501" w:type="pct"/>
          </w:tcPr>
          <w:p w14:paraId="3F3CAB44" w14:textId="77777777" w:rsidR="00630836" w:rsidRPr="002026F4" w:rsidRDefault="00630836" w:rsidP="00BB1616">
            <w:pPr>
              <w:spacing w:after="0" w:line="360" w:lineRule="auto"/>
              <w:jc w:val="center"/>
              <w:rPr>
                <w:rFonts w:cstheme="minorHAnsi"/>
                <w:b/>
                <w:sz w:val="32"/>
                <w:szCs w:val="36"/>
              </w:rPr>
            </w:pPr>
            <w:r w:rsidRPr="002026F4">
              <w:rPr>
                <w:rFonts w:cstheme="minorHAnsi"/>
                <w:b/>
                <w:bCs/>
                <w:sz w:val="32"/>
                <w:szCs w:val="36"/>
              </w:rPr>
              <w:t>98,69 mil. Kč</w:t>
            </w:r>
          </w:p>
          <w:p w14:paraId="15833383" w14:textId="77777777" w:rsidR="00630836" w:rsidRPr="001439A8" w:rsidRDefault="00630836" w:rsidP="00BB16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1439A8">
              <w:rPr>
                <w:sz w:val="20"/>
              </w:rPr>
              <w:t>rojekty spolufinancované z EU</w:t>
            </w:r>
          </w:p>
        </w:tc>
        <w:tc>
          <w:tcPr>
            <w:tcW w:w="2499" w:type="pct"/>
          </w:tcPr>
          <w:p w14:paraId="655BD9F7" w14:textId="77777777" w:rsidR="00630836" w:rsidRPr="002026F4" w:rsidRDefault="00630836" w:rsidP="00BB1616">
            <w:pPr>
              <w:spacing w:after="0" w:line="360" w:lineRule="auto"/>
              <w:jc w:val="center"/>
              <w:rPr>
                <w:rFonts w:cstheme="minorHAnsi"/>
                <w:b/>
                <w:sz w:val="32"/>
                <w:szCs w:val="36"/>
              </w:rPr>
            </w:pPr>
            <w:bookmarkStart w:id="0" w:name="_GoBack"/>
            <w:bookmarkEnd w:id="0"/>
            <w:r w:rsidRPr="002026F4">
              <w:rPr>
                <w:rFonts w:cstheme="minorHAnsi"/>
                <w:b/>
                <w:bCs/>
                <w:sz w:val="32"/>
                <w:szCs w:val="36"/>
              </w:rPr>
              <w:t>82,61 mil. Kč</w:t>
            </w:r>
          </w:p>
          <w:p w14:paraId="0FC5CD79" w14:textId="35F8973B" w:rsidR="00630836" w:rsidRPr="001439A8" w:rsidRDefault="002420A9" w:rsidP="00BB16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Dotační programy státního rozpočtu</w:t>
            </w:r>
            <w:r w:rsidR="00630836" w:rsidRPr="001439A8">
              <w:rPr>
                <w:sz w:val="20"/>
              </w:rPr>
              <w:t xml:space="preserve"> </w:t>
            </w:r>
          </w:p>
        </w:tc>
      </w:tr>
    </w:tbl>
    <w:p w14:paraId="66900A41" w14:textId="77777777" w:rsidR="00630836" w:rsidRPr="0034607E" w:rsidRDefault="00630836" w:rsidP="00630836">
      <w:pPr>
        <w:tabs>
          <w:tab w:val="left" w:pos="1115"/>
        </w:tabs>
        <w:spacing w:after="0"/>
        <w:rPr>
          <w:rFonts w:asciiTheme="majorHAnsi" w:hAnsiTheme="majorHAnsi" w:cstheme="majorHAnsi"/>
          <w:sz w:val="22"/>
          <w:szCs w:val="24"/>
        </w:rPr>
      </w:pPr>
      <w:r w:rsidRPr="00E06AA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CF720" wp14:editId="69215E84">
                <wp:simplePos x="0" y="0"/>
                <wp:positionH relativeFrom="margin">
                  <wp:posOffset>-4445</wp:posOffset>
                </wp:positionH>
                <wp:positionV relativeFrom="paragraph">
                  <wp:posOffset>925195</wp:posOffset>
                </wp:positionV>
                <wp:extent cx="573405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F2E3F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72.85pt" to="451.1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3E60C8" w14:textId="347BBCA4" w:rsidR="00630836" w:rsidRDefault="00630836" w:rsidP="00630836">
      <w:pPr>
        <w:spacing w:after="0"/>
        <w:rPr>
          <w:b/>
        </w:rPr>
      </w:pPr>
    </w:p>
    <w:p w14:paraId="0A00B73F" w14:textId="77777777" w:rsidR="0089799D" w:rsidRPr="00E06AAB" w:rsidRDefault="0089799D" w:rsidP="00630836">
      <w:pPr>
        <w:spacing w:after="0"/>
        <w:rPr>
          <w:b/>
        </w:rPr>
      </w:pPr>
    </w:p>
    <w:p w14:paraId="151383AB" w14:textId="77777777" w:rsidR="00630836" w:rsidRPr="002026F4" w:rsidRDefault="00630836" w:rsidP="00FC0D6A">
      <w:pPr>
        <w:tabs>
          <w:tab w:val="left" w:pos="1747"/>
          <w:tab w:val="center" w:pos="4536"/>
        </w:tabs>
        <w:rPr>
          <w:b/>
          <w:caps/>
          <w:sz w:val="22"/>
        </w:rPr>
      </w:pPr>
      <w:r w:rsidRPr="002D1679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033CA44" wp14:editId="57DB72E1">
            <wp:simplePos x="0" y="0"/>
            <wp:positionH relativeFrom="column">
              <wp:posOffset>2918739</wp:posOffset>
            </wp:positionH>
            <wp:positionV relativeFrom="paragraph">
              <wp:posOffset>298451</wp:posOffset>
            </wp:positionV>
            <wp:extent cx="2722880" cy="2606650"/>
            <wp:effectExtent l="0" t="0" r="0" b="0"/>
            <wp:wrapNone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679">
        <w:rPr>
          <w:b/>
        </w:rPr>
        <w:t>Prostředky připravené k podpoře rozvoje paliativní péče zůstaly nevyužité.</w:t>
      </w:r>
    </w:p>
    <w:p w14:paraId="28AEF4A4" w14:textId="77777777" w:rsidR="00630836" w:rsidRDefault="00630836" w:rsidP="00630836">
      <w:pPr>
        <w:keepNext/>
        <w:sectPr w:rsidR="00630836" w:rsidSect="00E41375">
          <w:footerReference w:type="first" r:id="rId15"/>
          <w:pgSz w:w="11906" w:h="16838"/>
          <w:pgMar w:top="1417" w:right="1417" w:bottom="1417" w:left="1417" w:header="709" w:footer="510" w:gutter="0"/>
          <w:cols w:space="708"/>
          <w:titlePg/>
          <w:docGrid w:linePitch="360"/>
        </w:sectPr>
      </w:pPr>
    </w:p>
    <w:p w14:paraId="5AEBEFEC" w14:textId="47890D72" w:rsidR="00630836" w:rsidRPr="009220E8" w:rsidRDefault="00630836" w:rsidP="00630836">
      <w:pPr>
        <w:keepNext/>
        <w:spacing w:after="0"/>
        <w:jc w:val="center"/>
      </w:pPr>
      <w:r w:rsidRPr="00731B72">
        <w:rPr>
          <w:sz w:val="20"/>
        </w:rPr>
        <w:t xml:space="preserve">Čerpání prostředků </w:t>
      </w:r>
      <w:r w:rsidR="00A4452E">
        <w:rPr>
          <w:sz w:val="20"/>
        </w:rPr>
        <w:t xml:space="preserve">na projekty </w:t>
      </w:r>
      <w:proofErr w:type="spellStart"/>
      <w:r w:rsidR="00A4452E">
        <w:rPr>
          <w:sz w:val="20"/>
        </w:rPr>
        <w:t>MZ</w:t>
      </w:r>
      <w:r w:rsidR="007775ED">
        <w:rPr>
          <w:sz w:val="20"/>
        </w:rPr>
        <w:t>d</w:t>
      </w:r>
      <w:proofErr w:type="spellEnd"/>
      <w:r w:rsidR="00A4452E">
        <w:rPr>
          <w:sz w:val="20"/>
        </w:rPr>
        <w:t xml:space="preserve"> spolufinancované</w:t>
      </w:r>
      <w:r w:rsidRPr="00731B72">
        <w:rPr>
          <w:sz w:val="20"/>
        </w:rPr>
        <w:t xml:space="preserve"> z</w:t>
      </w:r>
      <w:r w:rsidR="00A4452E">
        <w:rPr>
          <w:sz w:val="20"/>
        </w:rPr>
        <w:t xml:space="preserve"> rozpočtu </w:t>
      </w:r>
      <w:r w:rsidRPr="00731B72">
        <w:rPr>
          <w:sz w:val="20"/>
        </w:rPr>
        <w:t>EU</w:t>
      </w:r>
      <w:r w:rsidRPr="00CA5162">
        <w:rPr>
          <w:noProof/>
          <w:color w:val="FFFFFF" w:themeColor="background1"/>
          <w14:textFill>
            <w14:noFill/>
          </w14:textFill>
        </w:rPr>
        <w:drawing>
          <wp:inline distT="0" distB="0" distL="0" distR="0" wp14:anchorId="3785F0A7" wp14:editId="38F7A028">
            <wp:extent cx="2819400" cy="227647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860215A" w14:textId="77777777" w:rsidR="00630836" w:rsidRPr="00917F03" w:rsidRDefault="00630836" w:rsidP="00630836">
      <w:pPr>
        <w:rPr>
          <w:color w:val="FFFFFF" w:themeColor="background1"/>
          <w:sz w:val="2"/>
          <w14:textFill>
            <w14:noFill/>
          </w14:textFill>
        </w:rPr>
      </w:pPr>
    </w:p>
    <w:p w14:paraId="0AEC53C3" w14:textId="7B1A36F1" w:rsidR="00630836" w:rsidRPr="00731B72" w:rsidRDefault="00A4452E" w:rsidP="00630836">
      <w:pPr>
        <w:jc w:val="center"/>
        <w:rPr>
          <w:sz w:val="20"/>
        </w:rPr>
      </w:pPr>
      <w:r>
        <w:rPr>
          <w:sz w:val="20"/>
        </w:rPr>
        <w:t>Souhrn č</w:t>
      </w:r>
      <w:r w:rsidR="00630836" w:rsidRPr="00731B72">
        <w:rPr>
          <w:sz w:val="20"/>
        </w:rPr>
        <w:t xml:space="preserve">erpání </w:t>
      </w:r>
      <w:r>
        <w:rPr>
          <w:sz w:val="20"/>
        </w:rPr>
        <w:t xml:space="preserve">celkového </w:t>
      </w:r>
      <w:r w:rsidR="00630836" w:rsidRPr="00731B72">
        <w:rPr>
          <w:sz w:val="20"/>
        </w:rPr>
        <w:t>rozpočtu</w:t>
      </w:r>
      <w:r>
        <w:rPr>
          <w:sz w:val="20"/>
        </w:rPr>
        <w:t xml:space="preserve"> programu</w:t>
      </w:r>
      <w:r w:rsidR="00630836" w:rsidRPr="00731B72">
        <w:rPr>
          <w:sz w:val="20"/>
        </w:rPr>
        <w:t xml:space="preserve"> investičních dotací</w:t>
      </w:r>
      <w:r>
        <w:rPr>
          <w:sz w:val="20"/>
        </w:rPr>
        <w:t xml:space="preserve"> za roky 2017 až 2021</w:t>
      </w:r>
    </w:p>
    <w:p w14:paraId="2756200E" w14:textId="77777777" w:rsidR="00630836" w:rsidRDefault="00630836" w:rsidP="00630836">
      <w:pPr>
        <w:pBdr>
          <w:bottom w:val="single" w:sz="4" w:space="1" w:color="auto"/>
        </w:pBdr>
        <w:sectPr w:rsidR="00630836" w:rsidSect="00BB16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25220F" w14:textId="77777777" w:rsidR="0089799D" w:rsidRDefault="0089799D" w:rsidP="000C3859">
      <w:pPr>
        <w:spacing w:before="120" w:after="120"/>
        <w:jc w:val="center"/>
        <w:rPr>
          <w:b/>
        </w:rPr>
      </w:pPr>
      <w:bookmarkStart w:id="1" w:name="_Hlk144724164"/>
    </w:p>
    <w:p w14:paraId="2E18861D" w14:textId="6FD59AD7" w:rsidR="00630836" w:rsidRDefault="00441578" w:rsidP="00FC0D6A">
      <w:pPr>
        <w:spacing w:before="120" w:after="120"/>
        <w:rPr>
          <w:b/>
          <w:sz w:val="22"/>
        </w:rPr>
      </w:pPr>
      <w:proofErr w:type="spellStart"/>
      <w:r w:rsidRPr="00742A23">
        <w:rPr>
          <w:b/>
        </w:rPr>
        <w:t>MZ</w:t>
      </w:r>
      <w:r w:rsidR="007775ED">
        <w:rPr>
          <w:b/>
        </w:rPr>
        <w:t>d</w:t>
      </w:r>
      <w:proofErr w:type="spellEnd"/>
      <w:r w:rsidRPr="00742A23">
        <w:rPr>
          <w:b/>
        </w:rPr>
        <w:t xml:space="preserve"> projekty dotací ze státního rozpočtu na rozdíl od projektů podpořených z rozpočtu EU u</w:t>
      </w:r>
      <w:r w:rsidR="00FC0D6A">
        <w:rPr>
          <w:b/>
        </w:rPr>
        <w:t> </w:t>
      </w:r>
      <w:r w:rsidRPr="00742A23">
        <w:rPr>
          <w:b/>
        </w:rPr>
        <w:t>příjemců téměř nekontrolovalo</w:t>
      </w:r>
      <w:r w:rsidR="00BF29BA">
        <w:rPr>
          <w:b/>
        </w:rPr>
        <w:t>,</w:t>
      </w:r>
      <w:r w:rsidRPr="00742A23">
        <w:rPr>
          <w:b/>
        </w:rPr>
        <w:t xml:space="preserve"> a nemělo tak možnost zjistit případné nedostatky.</w:t>
      </w:r>
      <w:bookmarkEnd w:id="1"/>
    </w:p>
    <w:p w14:paraId="1ADDA27C" w14:textId="690F4BE5" w:rsidR="000C3859" w:rsidRDefault="007B601E" w:rsidP="000C3859">
      <w:pPr>
        <w:spacing w:after="0"/>
        <w:jc w:val="center"/>
        <w:rPr>
          <w:sz w:val="20"/>
        </w:rPr>
        <w:sectPr w:rsidR="000C3859" w:rsidSect="00BB16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742E1D" wp14:editId="00BAE338">
            <wp:simplePos x="0" y="0"/>
            <wp:positionH relativeFrom="column">
              <wp:posOffset>3236595</wp:posOffset>
            </wp:positionH>
            <wp:positionV relativeFrom="paragraph">
              <wp:posOffset>426720</wp:posOffset>
            </wp:positionV>
            <wp:extent cx="2352675" cy="1733550"/>
            <wp:effectExtent l="0" t="0" r="0" b="0"/>
            <wp:wrapNone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683C0568" w14:textId="7BDE1126" w:rsidR="000C3859" w:rsidRDefault="000C3859" w:rsidP="000C3859">
      <w:pPr>
        <w:spacing w:after="0"/>
        <w:jc w:val="center"/>
      </w:pPr>
      <w:r w:rsidRPr="00731B72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71D1034F" wp14:editId="38B0908F">
            <wp:simplePos x="0" y="0"/>
            <wp:positionH relativeFrom="column">
              <wp:posOffset>0</wp:posOffset>
            </wp:positionH>
            <wp:positionV relativeFrom="paragraph">
              <wp:posOffset>277909</wp:posOffset>
            </wp:positionV>
            <wp:extent cx="2476500" cy="1695450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sz w:val="20"/>
        </w:rPr>
        <w:t xml:space="preserve">Podíl projektů </w:t>
      </w:r>
      <w:r w:rsidRPr="00731B72">
        <w:rPr>
          <w:sz w:val="20"/>
        </w:rPr>
        <w:t>spolufinancovaných z</w:t>
      </w:r>
      <w:r>
        <w:rPr>
          <w:sz w:val="20"/>
        </w:rPr>
        <w:t> EU</w:t>
      </w:r>
      <w:r w:rsidR="00BF29BA">
        <w:rPr>
          <w:sz w:val="20"/>
        </w:rPr>
        <w:t xml:space="preserve"> zkontrolovaných </w:t>
      </w:r>
      <w:proofErr w:type="spellStart"/>
      <w:r w:rsidR="00BF29BA">
        <w:rPr>
          <w:sz w:val="20"/>
        </w:rPr>
        <w:t>MZ</w:t>
      </w:r>
      <w:r w:rsidR="007775ED">
        <w:rPr>
          <w:sz w:val="20"/>
        </w:rPr>
        <w:t>d</w:t>
      </w:r>
      <w:proofErr w:type="spellEnd"/>
    </w:p>
    <w:p w14:paraId="3BF76B0F" w14:textId="6237FCE5" w:rsidR="000C3859" w:rsidRDefault="000C3859" w:rsidP="000C3859">
      <w:pPr>
        <w:spacing w:after="0"/>
        <w:jc w:val="center"/>
        <w:rPr>
          <w:sz w:val="20"/>
        </w:rPr>
      </w:pPr>
    </w:p>
    <w:p w14:paraId="18EDD8E7" w14:textId="77A6C51F" w:rsidR="000C3859" w:rsidRDefault="000C3859" w:rsidP="000C3859">
      <w:pPr>
        <w:spacing w:after="0"/>
        <w:jc w:val="center"/>
        <w:rPr>
          <w:sz w:val="20"/>
        </w:rPr>
      </w:pPr>
    </w:p>
    <w:p w14:paraId="53E520BC" w14:textId="1825AA7C" w:rsidR="000C3859" w:rsidRDefault="000C3859" w:rsidP="000C3859">
      <w:pPr>
        <w:spacing w:after="0"/>
        <w:jc w:val="center"/>
        <w:rPr>
          <w:sz w:val="20"/>
        </w:rPr>
      </w:pPr>
    </w:p>
    <w:p w14:paraId="780A16E2" w14:textId="361CD304" w:rsidR="000C3859" w:rsidRDefault="000C3859" w:rsidP="000C3859">
      <w:pPr>
        <w:spacing w:after="0"/>
        <w:jc w:val="center"/>
        <w:rPr>
          <w:sz w:val="20"/>
        </w:rPr>
      </w:pPr>
    </w:p>
    <w:p w14:paraId="0AD7FE1F" w14:textId="1B3CB18C" w:rsidR="000C3859" w:rsidRDefault="000C3859" w:rsidP="000C3859">
      <w:pPr>
        <w:spacing w:after="0"/>
        <w:jc w:val="center"/>
        <w:rPr>
          <w:sz w:val="20"/>
        </w:rPr>
      </w:pPr>
    </w:p>
    <w:p w14:paraId="027409E0" w14:textId="38AB8AD3" w:rsidR="000C3859" w:rsidRDefault="000C3859" w:rsidP="000C3859">
      <w:pPr>
        <w:spacing w:after="0"/>
        <w:jc w:val="center"/>
        <w:rPr>
          <w:sz w:val="20"/>
        </w:rPr>
      </w:pPr>
    </w:p>
    <w:p w14:paraId="27F9A031" w14:textId="2E83329F" w:rsidR="000C3859" w:rsidRDefault="000C3859" w:rsidP="000C3859">
      <w:pPr>
        <w:spacing w:after="0"/>
        <w:jc w:val="center"/>
        <w:rPr>
          <w:sz w:val="20"/>
        </w:rPr>
      </w:pPr>
    </w:p>
    <w:p w14:paraId="7A39C7CA" w14:textId="15B27BE8" w:rsidR="000C3859" w:rsidRDefault="000C3859" w:rsidP="000C3859">
      <w:pPr>
        <w:spacing w:after="0"/>
        <w:jc w:val="center"/>
        <w:rPr>
          <w:sz w:val="20"/>
        </w:rPr>
      </w:pPr>
    </w:p>
    <w:p w14:paraId="7B483FEE" w14:textId="1DC986B3" w:rsidR="000C3859" w:rsidRDefault="000C3859" w:rsidP="000C3859">
      <w:pPr>
        <w:spacing w:after="0"/>
        <w:jc w:val="center"/>
        <w:rPr>
          <w:sz w:val="20"/>
        </w:rPr>
      </w:pPr>
    </w:p>
    <w:p w14:paraId="5741309B" w14:textId="7AF29142" w:rsidR="000C3859" w:rsidRDefault="000C3859" w:rsidP="000C3859">
      <w:pPr>
        <w:spacing w:after="0"/>
        <w:jc w:val="center"/>
        <w:rPr>
          <w:sz w:val="20"/>
        </w:rPr>
      </w:pPr>
    </w:p>
    <w:p w14:paraId="46BB80D8" w14:textId="77777777" w:rsidR="000C3859" w:rsidRPr="00731B72" w:rsidRDefault="000C3859" w:rsidP="000C3859">
      <w:pPr>
        <w:spacing w:after="0"/>
        <w:jc w:val="center"/>
        <w:rPr>
          <w:sz w:val="20"/>
        </w:rPr>
      </w:pPr>
    </w:p>
    <w:p w14:paraId="3516F573" w14:textId="1A517FB8" w:rsidR="000C3859" w:rsidRDefault="00A4452E" w:rsidP="000C3859">
      <w:pPr>
        <w:spacing w:after="0"/>
        <w:jc w:val="center"/>
        <w:rPr>
          <w:sz w:val="20"/>
        </w:rPr>
      </w:pPr>
      <w:r>
        <w:rPr>
          <w:sz w:val="20"/>
        </w:rPr>
        <w:br w:type="column"/>
      </w:r>
      <w:r w:rsidR="000C3859" w:rsidRPr="00731B72">
        <w:rPr>
          <w:sz w:val="20"/>
        </w:rPr>
        <w:t xml:space="preserve">Podíl projektů </w:t>
      </w:r>
      <w:r w:rsidR="007B601E">
        <w:rPr>
          <w:sz w:val="20"/>
        </w:rPr>
        <w:t>s dotacemi ze státního rozpočtu</w:t>
      </w:r>
      <w:r w:rsidR="00BF29BA">
        <w:rPr>
          <w:sz w:val="20"/>
        </w:rPr>
        <w:t xml:space="preserve"> zkontrolovaných </w:t>
      </w:r>
      <w:proofErr w:type="spellStart"/>
      <w:r w:rsidR="00BF29BA">
        <w:rPr>
          <w:sz w:val="20"/>
        </w:rPr>
        <w:t>MZ</w:t>
      </w:r>
      <w:r w:rsidR="007775ED">
        <w:rPr>
          <w:sz w:val="20"/>
        </w:rPr>
        <w:t>d</w:t>
      </w:r>
      <w:proofErr w:type="spellEnd"/>
    </w:p>
    <w:p w14:paraId="56A7B922" w14:textId="77777777" w:rsidR="00804CDF" w:rsidRDefault="00804CDF" w:rsidP="000C3859">
      <w:pPr>
        <w:spacing w:after="0"/>
        <w:jc w:val="center"/>
        <w:rPr>
          <w:sz w:val="20"/>
        </w:rPr>
      </w:pPr>
    </w:p>
    <w:p w14:paraId="008220B1" w14:textId="77777777" w:rsidR="00804CDF" w:rsidRDefault="00804CDF" w:rsidP="000C3859">
      <w:pPr>
        <w:spacing w:after="0"/>
        <w:jc w:val="center"/>
        <w:rPr>
          <w:sz w:val="20"/>
        </w:rPr>
      </w:pPr>
    </w:p>
    <w:p w14:paraId="201C1674" w14:textId="77777777" w:rsidR="00804CDF" w:rsidRDefault="00804CDF" w:rsidP="000C3859">
      <w:pPr>
        <w:spacing w:after="0"/>
        <w:jc w:val="center"/>
        <w:rPr>
          <w:sz w:val="20"/>
        </w:rPr>
      </w:pPr>
    </w:p>
    <w:p w14:paraId="4CF7C267" w14:textId="77777777" w:rsidR="00804CDF" w:rsidRDefault="00804CDF" w:rsidP="000C3859">
      <w:pPr>
        <w:spacing w:after="0"/>
        <w:jc w:val="center"/>
        <w:rPr>
          <w:sz w:val="20"/>
        </w:rPr>
      </w:pPr>
    </w:p>
    <w:p w14:paraId="4141A6A0" w14:textId="77777777" w:rsidR="00804CDF" w:rsidRDefault="00804CDF" w:rsidP="000C3859">
      <w:pPr>
        <w:spacing w:after="0"/>
        <w:jc w:val="center"/>
        <w:rPr>
          <w:sz w:val="20"/>
        </w:rPr>
      </w:pPr>
    </w:p>
    <w:p w14:paraId="7F53B780" w14:textId="77777777" w:rsidR="00804CDF" w:rsidRDefault="00804CDF" w:rsidP="000C3859">
      <w:pPr>
        <w:spacing w:after="0"/>
        <w:jc w:val="center"/>
        <w:rPr>
          <w:sz w:val="20"/>
        </w:rPr>
      </w:pPr>
    </w:p>
    <w:p w14:paraId="0A7707AE" w14:textId="77777777" w:rsidR="00804CDF" w:rsidRDefault="00804CDF" w:rsidP="000C3859">
      <w:pPr>
        <w:spacing w:after="0"/>
        <w:jc w:val="center"/>
        <w:rPr>
          <w:sz w:val="20"/>
        </w:rPr>
      </w:pPr>
    </w:p>
    <w:p w14:paraId="08A5911B" w14:textId="77777777" w:rsidR="00804CDF" w:rsidRDefault="00804CDF" w:rsidP="000C3859">
      <w:pPr>
        <w:spacing w:after="0"/>
        <w:jc w:val="center"/>
        <w:rPr>
          <w:sz w:val="20"/>
        </w:rPr>
      </w:pPr>
    </w:p>
    <w:p w14:paraId="2395870B" w14:textId="77777777" w:rsidR="00804CDF" w:rsidRDefault="00804CDF" w:rsidP="000C3859">
      <w:pPr>
        <w:spacing w:after="0"/>
        <w:jc w:val="center"/>
        <w:rPr>
          <w:sz w:val="20"/>
        </w:rPr>
      </w:pPr>
    </w:p>
    <w:p w14:paraId="22FB7553" w14:textId="77777777" w:rsidR="00804CDF" w:rsidRDefault="00804CDF" w:rsidP="000C3859">
      <w:pPr>
        <w:spacing w:after="0"/>
        <w:jc w:val="center"/>
        <w:rPr>
          <w:sz w:val="20"/>
        </w:rPr>
      </w:pPr>
    </w:p>
    <w:p w14:paraId="177098D8" w14:textId="77777777" w:rsidR="00804CDF" w:rsidRDefault="00804CDF" w:rsidP="000C3859">
      <w:pPr>
        <w:spacing w:after="0"/>
        <w:jc w:val="center"/>
        <w:rPr>
          <w:sz w:val="20"/>
        </w:rPr>
      </w:pPr>
    </w:p>
    <w:p w14:paraId="1A457FA2" w14:textId="77777777" w:rsidR="00804CDF" w:rsidRDefault="00804CDF" w:rsidP="000C3859">
      <w:pPr>
        <w:spacing w:after="0"/>
        <w:jc w:val="center"/>
        <w:rPr>
          <w:sz w:val="20"/>
        </w:rPr>
      </w:pPr>
    </w:p>
    <w:p w14:paraId="25FD856C" w14:textId="77777777" w:rsidR="00804CDF" w:rsidRDefault="00804CDF" w:rsidP="000C3859">
      <w:pPr>
        <w:spacing w:after="0"/>
        <w:jc w:val="center"/>
        <w:rPr>
          <w:sz w:val="20"/>
        </w:rPr>
      </w:pPr>
    </w:p>
    <w:p w14:paraId="3067A4E1" w14:textId="773E2425" w:rsidR="00804CDF" w:rsidRPr="000C3859" w:rsidRDefault="00804CDF" w:rsidP="000C3859">
      <w:pPr>
        <w:spacing w:after="0"/>
        <w:jc w:val="center"/>
        <w:rPr>
          <w:sz w:val="20"/>
        </w:rPr>
        <w:sectPr w:rsidR="00804CDF" w:rsidRPr="000C3859" w:rsidSect="000C38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EFA79B" w14:textId="4D438142" w:rsidR="00FE5C8F" w:rsidRPr="006C54D7" w:rsidRDefault="00656E05" w:rsidP="00656E05">
      <w:pPr>
        <w:pStyle w:val="Nadpis1"/>
        <w:numPr>
          <w:ilvl w:val="0"/>
          <w:numId w:val="0"/>
        </w:numPr>
        <w:ind w:left="360"/>
      </w:pPr>
      <w:r>
        <w:lastRenderedPageBreak/>
        <w:t xml:space="preserve">I. </w:t>
      </w:r>
      <w:r w:rsidR="00E620F7" w:rsidRPr="006C54D7">
        <w:t>Shrnutí a vyhodnocení</w:t>
      </w:r>
    </w:p>
    <w:p w14:paraId="04C0AC55" w14:textId="6DA7284D" w:rsidR="00847F2B" w:rsidRDefault="007F6ADF" w:rsidP="005B4DF4">
      <w:pPr>
        <w:rPr>
          <w:rFonts w:cs="Calibri"/>
          <w:szCs w:val="24"/>
        </w:rPr>
      </w:pPr>
      <w:r>
        <w:rPr>
          <w:rFonts w:cs="Calibri"/>
          <w:szCs w:val="24"/>
        </w:rPr>
        <w:t>Cílem kontrolní akce č. 22/30 bylo p</w:t>
      </w:r>
      <w:r w:rsidRPr="00E07563">
        <w:rPr>
          <w:rFonts w:cs="Calibri"/>
          <w:szCs w:val="24"/>
        </w:rPr>
        <w:t>rověřit</w:t>
      </w:r>
      <w:r>
        <w:rPr>
          <w:rFonts w:cs="Calibri"/>
          <w:szCs w:val="24"/>
        </w:rPr>
        <w:t xml:space="preserve">, zda byly </w:t>
      </w:r>
      <w:r w:rsidRPr="00E07563">
        <w:rPr>
          <w:rFonts w:cs="Calibri"/>
          <w:szCs w:val="24"/>
        </w:rPr>
        <w:t>peněžní</w:t>
      </w:r>
      <w:r>
        <w:rPr>
          <w:rFonts w:cs="Calibri"/>
          <w:szCs w:val="24"/>
        </w:rPr>
        <w:t xml:space="preserve"> prostředky vynakládané v souvislosti s paliativní péčí použity účelně a v souladu s </w:t>
      </w:r>
      <w:r w:rsidRPr="00E07563">
        <w:rPr>
          <w:rFonts w:cs="Calibri"/>
          <w:szCs w:val="24"/>
        </w:rPr>
        <w:t>právními předpisy</w:t>
      </w:r>
      <w:r w:rsidR="00847F2B">
        <w:rPr>
          <w:rFonts w:cs="Calibri"/>
          <w:szCs w:val="24"/>
        </w:rPr>
        <w:t>.</w:t>
      </w:r>
    </w:p>
    <w:p w14:paraId="20E8E01A" w14:textId="439D8006" w:rsidR="00A34116" w:rsidRDefault="00A34116" w:rsidP="005B4DF4">
      <w:r>
        <w:t xml:space="preserve">Kontrola </w:t>
      </w:r>
      <w:r w:rsidR="00B82590">
        <w:t xml:space="preserve">NKÚ </w:t>
      </w:r>
      <w:r>
        <w:t xml:space="preserve">se zaměřila na dva projekty </w:t>
      </w:r>
      <w:proofErr w:type="spellStart"/>
      <w:r>
        <w:t>MZ</w:t>
      </w:r>
      <w:r w:rsidR="007775ED">
        <w:t>d</w:t>
      </w:r>
      <w:proofErr w:type="spellEnd"/>
      <w:r>
        <w:t xml:space="preserve"> spolufinancované z rozpočtu Evropské unie (dále také „EU“) prostřednictvím </w:t>
      </w:r>
      <w:r w:rsidR="00BF29BA">
        <w:t>o</w:t>
      </w:r>
      <w:r>
        <w:t xml:space="preserve">peračního programu </w:t>
      </w:r>
      <w:r w:rsidRPr="007400FE">
        <w:rPr>
          <w:i/>
        </w:rPr>
        <w:t>Zaměstnanost</w:t>
      </w:r>
      <w:r>
        <w:t xml:space="preserve"> (dáte také „OPZ“), </w:t>
      </w:r>
      <w:r w:rsidR="001F7B5B">
        <w:t xml:space="preserve">ve kterých se </w:t>
      </w:r>
      <w:proofErr w:type="spellStart"/>
      <w:r w:rsidR="00FB1250">
        <w:t>MZ</w:t>
      </w:r>
      <w:r w:rsidR="007775ED">
        <w:t>d</w:t>
      </w:r>
      <w:proofErr w:type="spellEnd"/>
      <w:r w:rsidR="00FB1250">
        <w:t xml:space="preserve"> soustředilo na </w:t>
      </w:r>
      <w:r w:rsidR="006B4E1C">
        <w:t xml:space="preserve">podporu </w:t>
      </w:r>
      <w:r w:rsidR="00FB1250">
        <w:t>mobilní special</w:t>
      </w:r>
      <w:r w:rsidR="00791C53">
        <w:t>izovan</w:t>
      </w:r>
      <w:r w:rsidR="006B4E1C">
        <w:t>é</w:t>
      </w:r>
      <w:r w:rsidR="00791C53">
        <w:t xml:space="preserve"> paliativní péč</w:t>
      </w:r>
      <w:r w:rsidR="006B4E1C">
        <w:t>e</w:t>
      </w:r>
      <w:r w:rsidR="00791C53">
        <w:t xml:space="preserve"> a činnost</w:t>
      </w:r>
      <w:r w:rsidR="000D237F">
        <w:t>i</w:t>
      </w:r>
      <w:r w:rsidR="00791C53">
        <w:t xml:space="preserve"> paliativních týmů v nemocnicích akutní a následné péče. </w:t>
      </w:r>
      <w:r w:rsidR="00B82590">
        <w:t xml:space="preserve">Celkové výdaje na tyto dva projekty dosahovaly </w:t>
      </w:r>
      <w:r w:rsidR="00B646D0">
        <w:t>téměř</w:t>
      </w:r>
      <w:r w:rsidR="00B82590">
        <w:t xml:space="preserve"> </w:t>
      </w:r>
      <w:r w:rsidR="00B646D0">
        <w:t>9</w:t>
      </w:r>
      <w:r w:rsidR="000D4934">
        <w:t>8,7</w:t>
      </w:r>
      <w:r w:rsidR="00B82590">
        <w:t xml:space="preserve"> mil. Kč. </w:t>
      </w:r>
      <w:r w:rsidR="00791C53">
        <w:t xml:space="preserve">Dále NKÚ prověřoval peněžní prostředky, které </w:t>
      </w:r>
      <w:proofErr w:type="spellStart"/>
      <w:r w:rsidR="00791C53">
        <w:t>MZ</w:t>
      </w:r>
      <w:r w:rsidR="007775ED">
        <w:t>d</w:t>
      </w:r>
      <w:proofErr w:type="spellEnd"/>
      <w:r w:rsidR="00791C53">
        <w:t xml:space="preserve"> poskytovalo prostřednictvím svých dotačních programů.</w:t>
      </w:r>
      <w:r w:rsidR="00B82590">
        <w:t xml:space="preserve"> Zde bylo zkontrolováno rozdělování dotací ve výši necelých 8</w:t>
      </w:r>
      <w:r w:rsidR="000D4934">
        <w:t>2,6</w:t>
      </w:r>
      <w:r w:rsidR="00B82590">
        <w:t xml:space="preserve"> mil. Kč.</w:t>
      </w:r>
    </w:p>
    <w:p w14:paraId="10E1DDAB" w14:textId="6D069DAC" w:rsidR="007F6ADF" w:rsidRDefault="007F6ADF" w:rsidP="007F6ADF">
      <w:pPr>
        <w:rPr>
          <w:b/>
        </w:rPr>
      </w:pPr>
      <w:r w:rsidRPr="00791C53">
        <w:rPr>
          <w:b/>
        </w:rPr>
        <w:t>Kontrolou NKÚ nebylo zjištěno neúčelné vynakládání peněžních prostředků</w:t>
      </w:r>
      <w:r>
        <w:rPr>
          <w:b/>
        </w:rPr>
        <w:t xml:space="preserve">. Kontrolované projekty zaměřené na problematiku </w:t>
      </w:r>
      <w:r w:rsidR="00AE20E3">
        <w:rPr>
          <w:b/>
        </w:rPr>
        <w:t xml:space="preserve">mobilní specializované </w:t>
      </w:r>
      <w:r>
        <w:rPr>
          <w:b/>
        </w:rPr>
        <w:t xml:space="preserve">paliativní péče </w:t>
      </w:r>
      <w:r w:rsidR="00AE20E3">
        <w:rPr>
          <w:b/>
        </w:rPr>
        <w:t xml:space="preserve">a činnost nemocničních paliativních týmů </w:t>
      </w:r>
      <w:r>
        <w:rPr>
          <w:b/>
        </w:rPr>
        <w:t>plnily stanovené cíle. Realizací těchto projektů se zlepšila dostupnost a zvýšila kvalita poskytované paliativní péče.</w:t>
      </w:r>
    </w:p>
    <w:p w14:paraId="083BC0AC" w14:textId="77777777" w:rsidR="00920565" w:rsidRDefault="00920565" w:rsidP="00920565">
      <w:pPr>
        <w:rPr>
          <w:b/>
        </w:rPr>
      </w:pPr>
      <w:r>
        <w:rPr>
          <w:b/>
        </w:rPr>
        <w:t xml:space="preserve">Peněžní prostředky byly většinou vynakládány v souladu s právními předpisy. </w:t>
      </w:r>
    </w:p>
    <w:p w14:paraId="0D5745F4" w14:textId="2EEA427D" w:rsidR="007F6ADF" w:rsidRDefault="007F6ADF" w:rsidP="007F6ADF">
      <w:pPr>
        <w:rPr>
          <w:b/>
        </w:rPr>
      </w:pPr>
      <w:proofErr w:type="spellStart"/>
      <w:r>
        <w:rPr>
          <w:b/>
        </w:rPr>
        <w:t>MZ</w:t>
      </w:r>
      <w:r w:rsidR="007775ED">
        <w:rPr>
          <w:b/>
        </w:rPr>
        <w:t>d</w:t>
      </w:r>
      <w:proofErr w:type="spellEnd"/>
      <w:r>
        <w:rPr>
          <w:b/>
        </w:rPr>
        <w:t xml:space="preserve"> jako poskytovatel dotací nepostupovalo </w:t>
      </w:r>
      <w:r w:rsidR="00AE20E3">
        <w:rPr>
          <w:b/>
        </w:rPr>
        <w:t xml:space="preserve">zcela </w:t>
      </w:r>
      <w:r>
        <w:rPr>
          <w:b/>
        </w:rPr>
        <w:t>v souladu se závaznou metodikou a</w:t>
      </w:r>
      <w:r w:rsidR="007775ED">
        <w:rPr>
          <w:b/>
        </w:rPr>
        <w:t> </w:t>
      </w:r>
      <w:r>
        <w:rPr>
          <w:b/>
        </w:rPr>
        <w:t>proces rozdělování dotací</w:t>
      </w:r>
      <w:r w:rsidR="002420A9">
        <w:rPr>
          <w:b/>
        </w:rPr>
        <w:t xml:space="preserve"> ze státního rozpočtu</w:t>
      </w:r>
      <w:r>
        <w:rPr>
          <w:b/>
        </w:rPr>
        <w:t xml:space="preserve"> nebyl </w:t>
      </w:r>
      <w:r w:rsidR="00AE20E3">
        <w:rPr>
          <w:b/>
        </w:rPr>
        <w:t xml:space="preserve">vždy </w:t>
      </w:r>
      <w:r>
        <w:rPr>
          <w:b/>
        </w:rPr>
        <w:t>transparentní.</w:t>
      </w:r>
      <w:r w:rsidR="00B05B14">
        <w:rPr>
          <w:b/>
        </w:rPr>
        <w:t xml:space="preserve"> </w:t>
      </w:r>
      <w:proofErr w:type="spellStart"/>
      <w:r w:rsidR="00691253">
        <w:rPr>
          <w:b/>
        </w:rPr>
        <w:t>MZ</w:t>
      </w:r>
      <w:r w:rsidR="007775ED">
        <w:rPr>
          <w:b/>
        </w:rPr>
        <w:t>d</w:t>
      </w:r>
      <w:proofErr w:type="spellEnd"/>
      <w:r w:rsidR="00B05B14" w:rsidRPr="00B05B14">
        <w:rPr>
          <w:b/>
        </w:rPr>
        <w:t xml:space="preserve"> </w:t>
      </w:r>
      <w:r w:rsidR="00691253">
        <w:rPr>
          <w:b/>
        </w:rPr>
        <w:t xml:space="preserve">také </w:t>
      </w:r>
      <w:r w:rsidR="00B05B14" w:rsidRPr="00B05B14">
        <w:rPr>
          <w:b/>
        </w:rPr>
        <w:t>selhalo</w:t>
      </w:r>
      <w:r w:rsidR="00691253">
        <w:rPr>
          <w:b/>
        </w:rPr>
        <w:t xml:space="preserve"> </w:t>
      </w:r>
      <w:r w:rsidR="00B05B14" w:rsidRPr="00B05B14">
        <w:rPr>
          <w:b/>
        </w:rPr>
        <w:t>při plánování investičního programu</w:t>
      </w:r>
      <w:r w:rsidR="00691253">
        <w:rPr>
          <w:b/>
        </w:rPr>
        <w:t>, protože jeho výstupy nenaplánovalo realisticky</w:t>
      </w:r>
      <w:r w:rsidR="00B05B14" w:rsidRPr="00B05B14">
        <w:rPr>
          <w:b/>
        </w:rPr>
        <w:t>.</w:t>
      </w:r>
    </w:p>
    <w:p w14:paraId="68236B85" w14:textId="375C22C4" w:rsidR="007F6ADF" w:rsidRDefault="007F6ADF" w:rsidP="00656E05">
      <w:pPr>
        <w:spacing w:after="480"/>
        <w:rPr>
          <w:b/>
        </w:rPr>
      </w:pPr>
      <w:r>
        <w:rPr>
          <w:b/>
        </w:rPr>
        <w:t xml:space="preserve">V rámci kontroly zjistil NKÚ u příjemců dotací v jednotlivých případech méně </w:t>
      </w:r>
      <w:r w:rsidR="007119D8">
        <w:rPr>
          <w:b/>
        </w:rPr>
        <w:t>závaž</w:t>
      </w:r>
      <w:r>
        <w:rPr>
          <w:b/>
        </w:rPr>
        <w:t>ná porušení podmínek, za</w:t>
      </w:r>
      <w:r w:rsidR="00656E05">
        <w:rPr>
          <w:b/>
        </w:rPr>
        <w:t xml:space="preserve"> </w:t>
      </w:r>
      <w:r>
        <w:rPr>
          <w:b/>
        </w:rPr>
        <w:t>kterých jim byly dotace poskytnuty.</w:t>
      </w:r>
    </w:p>
    <w:p w14:paraId="4D397B9A" w14:textId="28DDE9C8" w:rsidR="00C32A85" w:rsidRPr="00643B77" w:rsidRDefault="00643B77" w:rsidP="000D237F">
      <w:r w:rsidRPr="00643B77">
        <w:t>Celkové vyhodnocení vyplývá z následujících skutečností zjištěných kontrolou:</w:t>
      </w:r>
    </w:p>
    <w:p w14:paraId="5EDDE267" w14:textId="2C31A62D" w:rsidR="009113BC" w:rsidRPr="009113BC" w:rsidRDefault="00E510DF" w:rsidP="003F3B76">
      <w:pPr>
        <w:pStyle w:val="Nadpisshrnut"/>
        <w:keepNext/>
        <w:numPr>
          <w:ilvl w:val="0"/>
          <w:numId w:val="0"/>
        </w:numPr>
        <w:spacing w:after="120"/>
        <w:ind w:left="227" w:hanging="227"/>
        <w:jc w:val="left"/>
      </w:pPr>
      <w:r>
        <w:t xml:space="preserve">1. </w:t>
      </w:r>
      <w:r w:rsidR="009113BC" w:rsidRPr="009113BC">
        <w:t xml:space="preserve">Kontrolou NKÚ nebylo </w:t>
      </w:r>
      <w:r w:rsidR="0088462B">
        <w:t xml:space="preserve">v kontrolovaném období </w:t>
      </w:r>
      <w:r w:rsidR="009113BC" w:rsidRPr="009113BC">
        <w:t>zjištěno neúčelné vynakládání peněžních prostředků.</w:t>
      </w:r>
    </w:p>
    <w:p w14:paraId="362099DD" w14:textId="6C057EB0" w:rsidR="0088462B" w:rsidRDefault="00920565" w:rsidP="009113BC">
      <w:r w:rsidRPr="00424A02">
        <w:t xml:space="preserve">NKÚ ověřil, že díky </w:t>
      </w:r>
      <w:r>
        <w:t xml:space="preserve">plnění cílů </w:t>
      </w:r>
      <w:r w:rsidRPr="00424A02">
        <w:t>projektů</w:t>
      </w:r>
      <w:r>
        <w:t xml:space="preserve"> financovaných jak z rozpočtu EU, tak i ze státního rozpočtu byla zvýšena dostupnost paliativní péče v nemocnicích i hospicích, došlo k vytvoření a ověření standardů poskytování těchto služeb, zvýšení informovanosti odborné i laické veřejnosti a ke zlepšení vybavenosti zařízení poskytujících tento druh péče.</w:t>
      </w:r>
      <w:r w:rsidR="00935DD6">
        <w:t xml:space="preserve"> </w:t>
      </w:r>
      <w:proofErr w:type="spellStart"/>
      <w:r w:rsidR="00935DD6">
        <w:t>MZ</w:t>
      </w:r>
      <w:r w:rsidR="007775ED">
        <w:t>d</w:t>
      </w:r>
      <w:proofErr w:type="spellEnd"/>
      <w:r w:rsidR="00935DD6">
        <w:t xml:space="preserve"> nevytvořilo nástroje pro sledování naplnění jednoho z cílů </w:t>
      </w:r>
      <w:r w:rsidR="003F6772">
        <w:t xml:space="preserve">projektu </w:t>
      </w:r>
      <w:r w:rsidR="006F2BFB">
        <w:t>podpořeného v rámci OPZ</w:t>
      </w:r>
      <w:r w:rsidR="00935DD6">
        <w:t>.</w:t>
      </w:r>
    </w:p>
    <w:p w14:paraId="6DB9B0CF" w14:textId="29DA1881" w:rsidR="00CC366C" w:rsidRDefault="003F3B76" w:rsidP="003F3B76">
      <w:pPr>
        <w:pStyle w:val="Nadpisshrnut"/>
        <w:keepNext/>
        <w:numPr>
          <w:ilvl w:val="0"/>
          <w:numId w:val="0"/>
        </w:numPr>
        <w:spacing w:after="120"/>
        <w:ind w:left="227" w:hanging="227"/>
        <w:jc w:val="left"/>
      </w:pPr>
      <w:r>
        <w:t xml:space="preserve">2. </w:t>
      </w:r>
      <w:proofErr w:type="spellStart"/>
      <w:r w:rsidR="00AB3C11" w:rsidRPr="00AB3C11">
        <w:t>MZ</w:t>
      </w:r>
      <w:r w:rsidR="007775ED">
        <w:t>d</w:t>
      </w:r>
      <w:proofErr w:type="spellEnd"/>
      <w:r w:rsidR="00AB3C11" w:rsidRPr="00AB3C11">
        <w:t xml:space="preserve"> při realizaci projektů spolufinancovaných z rozpočtu EU nepostupovalo </w:t>
      </w:r>
      <w:r w:rsidR="00957628">
        <w:t xml:space="preserve">vždy </w:t>
      </w:r>
      <w:r w:rsidR="000437E9">
        <w:t>v souladu se závaznými pravidly</w:t>
      </w:r>
      <w:r w:rsidR="00AB3C11" w:rsidRPr="00AB3C11">
        <w:t>.</w:t>
      </w:r>
      <w:r w:rsidR="00CC366C">
        <w:t xml:space="preserve"> </w:t>
      </w:r>
    </w:p>
    <w:p w14:paraId="54B2BB15" w14:textId="0C453947" w:rsidR="00CB58F9" w:rsidRDefault="001D44F9" w:rsidP="001D44F9">
      <w:proofErr w:type="spellStart"/>
      <w:r>
        <w:t>MZ</w:t>
      </w:r>
      <w:r w:rsidR="007775ED">
        <w:t>d</w:t>
      </w:r>
      <w:proofErr w:type="spellEnd"/>
      <w:r>
        <w:t xml:space="preserve"> chybovalo při administraci obou </w:t>
      </w:r>
      <w:r w:rsidR="000437E9">
        <w:t xml:space="preserve">výše uvedených </w:t>
      </w:r>
      <w:r>
        <w:t xml:space="preserve">projektů i při poskytování dotací v jejich rámci. </w:t>
      </w:r>
      <w:r w:rsidR="00CB58F9">
        <w:t xml:space="preserve">Chyby </w:t>
      </w:r>
      <w:proofErr w:type="spellStart"/>
      <w:r w:rsidR="00CB58F9">
        <w:t>MZ</w:t>
      </w:r>
      <w:r w:rsidR="004B6576">
        <w:t>d</w:t>
      </w:r>
      <w:proofErr w:type="spellEnd"/>
      <w:r w:rsidR="002160C5">
        <w:t xml:space="preserve"> </w:t>
      </w:r>
      <w:r w:rsidR="00CB58F9">
        <w:t>měly za následek, že část výdajů nebyla proplacena z</w:t>
      </w:r>
      <w:r w:rsidR="00A1259D">
        <w:t xml:space="preserve"> rozpočtu</w:t>
      </w:r>
      <w:r w:rsidR="00CB58F9">
        <w:t xml:space="preserve"> EU pro nezpůsobilost a bylo nutné </w:t>
      </w:r>
      <w:r w:rsidR="00680CD4">
        <w:t xml:space="preserve">hradit </w:t>
      </w:r>
      <w:r w:rsidR="000E6E38">
        <w:t>200</w:t>
      </w:r>
      <w:r w:rsidR="000D4934">
        <w:t>,4</w:t>
      </w:r>
      <w:r w:rsidR="000E6E38">
        <w:t xml:space="preserve"> tis. Kč</w:t>
      </w:r>
      <w:r w:rsidR="00CB58F9">
        <w:t xml:space="preserve"> ze státního rozpočtu ČR. </w:t>
      </w:r>
      <w:proofErr w:type="spellStart"/>
      <w:r w:rsidR="00CB58F9">
        <w:t>MZ</w:t>
      </w:r>
      <w:r w:rsidR="004B6576">
        <w:t>d</w:t>
      </w:r>
      <w:proofErr w:type="spellEnd"/>
      <w:r w:rsidR="00CB58F9">
        <w:t xml:space="preserve"> také </w:t>
      </w:r>
      <w:r w:rsidR="00384CC9">
        <w:t xml:space="preserve">tolerovalo </w:t>
      </w:r>
      <w:r>
        <w:t>porušování podmínek ze strany příjemců</w:t>
      </w:r>
      <w:r w:rsidR="00CB58F9">
        <w:t xml:space="preserve"> dotací, které byly v rámci těchto projektů poskytnuty.</w:t>
      </w:r>
    </w:p>
    <w:p w14:paraId="369255AD" w14:textId="76B74551" w:rsidR="002512F6" w:rsidRDefault="003F3B76" w:rsidP="003F3B76">
      <w:pPr>
        <w:pStyle w:val="Nadpisshrnut"/>
        <w:keepNext/>
        <w:widowControl/>
        <w:numPr>
          <w:ilvl w:val="0"/>
          <w:numId w:val="0"/>
        </w:numPr>
        <w:spacing w:after="120"/>
        <w:ind w:left="227" w:hanging="227"/>
        <w:jc w:val="left"/>
      </w:pPr>
      <w:r>
        <w:lastRenderedPageBreak/>
        <w:t xml:space="preserve">3. </w:t>
      </w:r>
      <w:r w:rsidR="00935DD6" w:rsidRPr="00935DD6">
        <w:t xml:space="preserve">Rozhodování </w:t>
      </w:r>
      <w:proofErr w:type="spellStart"/>
      <w:r w:rsidR="00935DD6" w:rsidRPr="00935DD6">
        <w:t>MZ</w:t>
      </w:r>
      <w:r w:rsidR="00DF5C73">
        <w:t>d</w:t>
      </w:r>
      <w:proofErr w:type="spellEnd"/>
      <w:r w:rsidR="00935DD6" w:rsidRPr="00935DD6">
        <w:t xml:space="preserve"> o přidělení dotací ze státního rozpočtu nebylo zcela transparentní. </w:t>
      </w:r>
      <w:proofErr w:type="spellStart"/>
      <w:r w:rsidR="00935DD6" w:rsidRPr="00935DD6">
        <w:t>MZ</w:t>
      </w:r>
      <w:r w:rsidR="00383582">
        <w:t>d</w:t>
      </w:r>
      <w:proofErr w:type="spellEnd"/>
      <w:r>
        <w:t> </w:t>
      </w:r>
      <w:r w:rsidR="00935DD6" w:rsidRPr="00935DD6">
        <w:t>navíc při jejich administraci chybovalo.</w:t>
      </w:r>
    </w:p>
    <w:p w14:paraId="34663BE7" w14:textId="5FB075C3" w:rsidR="00AB3C11" w:rsidRDefault="0083740E" w:rsidP="003F3B76">
      <w:pPr>
        <w:widowControl/>
      </w:pPr>
      <w:r>
        <w:t>P</w:t>
      </w:r>
      <w:r w:rsidR="0042368A">
        <w:t>ro dotační řízení</w:t>
      </w:r>
      <w:r w:rsidR="00383582" w:rsidRPr="00383582">
        <w:t xml:space="preserve"> </w:t>
      </w:r>
      <w:r w:rsidR="00383582">
        <w:t>nenastavilo</w:t>
      </w:r>
      <w:r w:rsidR="0042368A">
        <w:t xml:space="preserve"> </w:t>
      </w:r>
      <w:proofErr w:type="spellStart"/>
      <w:r w:rsidR="00071C44">
        <w:t>MZ</w:t>
      </w:r>
      <w:r w:rsidR="00383582">
        <w:t>d</w:t>
      </w:r>
      <w:proofErr w:type="spellEnd"/>
      <w:r w:rsidR="00071C44">
        <w:t xml:space="preserve"> </w:t>
      </w:r>
      <w:r w:rsidR="0042368A">
        <w:t>jasná kritéria, podle kterých měly být podané žádosti o</w:t>
      </w:r>
      <w:r w:rsidR="00CF5591">
        <w:t> </w:t>
      </w:r>
      <w:r w:rsidR="0042368A">
        <w:t xml:space="preserve">dotace hodnoceny. </w:t>
      </w:r>
      <w:proofErr w:type="spellStart"/>
      <w:r>
        <w:t>MZ</w:t>
      </w:r>
      <w:r w:rsidR="00383582">
        <w:t>d</w:t>
      </w:r>
      <w:proofErr w:type="spellEnd"/>
      <w:r>
        <w:t xml:space="preserve"> v</w:t>
      </w:r>
      <w:r w:rsidR="0042368A">
        <w:t>ymezilo</w:t>
      </w:r>
      <w:r w:rsidR="00A669F0">
        <w:t xml:space="preserve"> nanejvýš</w:t>
      </w:r>
      <w:r w:rsidR="0042368A">
        <w:t xml:space="preserve"> o</w:t>
      </w:r>
      <w:r w:rsidR="004156B3">
        <w:t>blasti</w:t>
      </w:r>
      <w:r w:rsidR="0042368A">
        <w:t>,</w:t>
      </w:r>
      <w:r w:rsidR="004156B3">
        <w:t xml:space="preserve"> na něž m</w:t>
      </w:r>
      <w:r>
        <w:t>ěl být</w:t>
      </w:r>
      <w:r w:rsidR="004156B3">
        <w:t xml:space="preserve"> při</w:t>
      </w:r>
      <w:r>
        <w:t xml:space="preserve"> </w:t>
      </w:r>
      <w:r w:rsidR="004156B3">
        <w:t>posuzování</w:t>
      </w:r>
      <w:r w:rsidR="00383582">
        <w:t xml:space="preserve"> žádostí</w:t>
      </w:r>
      <w:r w:rsidR="004156B3">
        <w:t xml:space="preserve"> brá</w:t>
      </w:r>
      <w:r>
        <w:t>n</w:t>
      </w:r>
      <w:r w:rsidR="004156B3">
        <w:t xml:space="preserve"> ohled</w:t>
      </w:r>
      <w:r w:rsidR="0042368A">
        <w:t>. Z dokumentace rozhodování o př</w:t>
      </w:r>
      <w:r w:rsidR="001D44F9">
        <w:t>i</w:t>
      </w:r>
      <w:r w:rsidR="0042368A">
        <w:t xml:space="preserve">dělení jednotlivých částek dotací však nebylo patrné, </w:t>
      </w:r>
      <w:r>
        <w:t xml:space="preserve">zda a </w:t>
      </w:r>
      <w:r w:rsidR="0042368A">
        <w:t>jak</w:t>
      </w:r>
      <w:r w:rsidR="00383582">
        <w:t xml:space="preserve"> </w:t>
      </w:r>
      <w:r w:rsidR="0042368A">
        <w:t xml:space="preserve">byly </w:t>
      </w:r>
      <w:r>
        <w:t>stanovené</w:t>
      </w:r>
      <w:r w:rsidR="0042368A">
        <w:t xml:space="preserve"> </w:t>
      </w:r>
      <w:r w:rsidR="001E5C83">
        <w:t>okruhy</w:t>
      </w:r>
      <w:r w:rsidR="0042368A">
        <w:t xml:space="preserve"> při hodnocení zohledňovány</w:t>
      </w:r>
      <w:r w:rsidR="004156B3">
        <w:t>.</w:t>
      </w:r>
    </w:p>
    <w:p w14:paraId="061EC5A4" w14:textId="3901A068" w:rsidR="00CC366C" w:rsidRDefault="003F3B76" w:rsidP="003F3B76">
      <w:pPr>
        <w:pStyle w:val="Nadpisshrnut"/>
        <w:keepNext/>
        <w:numPr>
          <w:ilvl w:val="0"/>
          <w:numId w:val="0"/>
        </w:numPr>
        <w:spacing w:after="120"/>
        <w:ind w:left="227" w:hanging="227"/>
        <w:jc w:val="left"/>
      </w:pPr>
      <w:r>
        <w:t xml:space="preserve">4. </w:t>
      </w:r>
      <w:proofErr w:type="spellStart"/>
      <w:r w:rsidR="00CC366C">
        <w:t>MZ</w:t>
      </w:r>
      <w:r w:rsidR="00383582">
        <w:t>d</w:t>
      </w:r>
      <w:proofErr w:type="spellEnd"/>
      <w:r w:rsidR="00CC366C">
        <w:t xml:space="preserve"> </w:t>
      </w:r>
      <w:r w:rsidR="007562CA">
        <w:t xml:space="preserve">provádělo </w:t>
      </w:r>
      <w:r w:rsidR="00CC366C">
        <w:t>kontrol</w:t>
      </w:r>
      <w:r w:rsidR="007562CA">
        <w:t>u</w:t>
      </w:r>
      <w:r w:rsidR="00CC366C">
        <w:t xml:space="preserve"> využití </w:t>
      </w:r>
      <w:r w:rsidR="00D77037">
        <w:t>dotací ze státního rozpočtu</w:t>
      </w:r>
      <w:r w:rsidR="00CC366C">
        <w:t xml:space="preserve"> u jejich příjemců </w:t>
      </w:r>
      <w:r w:rsidR="007562CA">
        <w:t>pouze minimálně</w:t>
      </w:r>
      <w:r w:rsidR="00AB3C11">
        <w:t>.</w:t>
      </w:r>
    </w:p>
    <w:p w14:paraId="4088F4FB" w14:textId="02EF11B6" w:rsidR="00EC428B" w:rsidRDefault="003F339C" w:rsidP="00CC366C">
      <w:r>
        <w:t>V kontrolovaném období let 2017 až 2021 u příjemců</w:t>
      </w:r>
      <w:r w:rsidR="00872101">
        <w:t xml:space="preserve"> </w:t>
      </w:r>
      <w:r w:rsidR="002420A9">
        <w:t>d</w:t>
      </w:r>
      <w:r w:rsidR="00EC428B">
        <w:t>otací</w:t>
      </w:r>
      <w:r w:rsidR="002420A9">
        <w:t xml:space="preserve"> ze státního rozpočtu</w:t>
      </w:r>
      <w:r w:rsidR="00EC428B">
        <w:t xml:space="preserve"> </w:t>
      </w:r>
      <w:proofErr w:type="spellStart"/>
      <w:r w:rsidR="00EC428B">
        <w:t>MZ</w:t>
      </w:r>
      <w:r w:rsidR="00383582">
        <w:t>d</w:t>
      </w:r>
      <w:proofErr w:type="spellEnd"/>
      <w:r w:rsidR="00EC428B">
        <w:t xml:space="preserve"> </w:t>
      </w:r>
      <w:r>
        <w:t>prověřilo realizaci pouze tří projektů z celkových 1</w:t>
      </w:r>
      <w:r w:rsidR="00C43304">
        <w:t>9</w:t>
      </w:r>
      <w:r>
        <w:t>8 podpořených</w:t>
      </w:r>
      <w:r w:rsidR="00AB3C11">
        <w:t>.</w:t>
      </w:r>
      <w:r w:rsidR="00EC428B">
        <w:t xml:space="preserve"> Oproti tomu u projektů spolufinancovaných z</w:t>
      </w:r>
      <w:r w:rsidR="00C70465">
        <w:t xml:space="preserve"> rozpočtu </w:t>
      </w:r>
      <w:r w:rsidR="00EC428B">
        <w:t xml:space="preserve">EU provedlo </w:t>
      </w:r>
      <w:proofErr w:type="spellStart"/>
      <w:r w:rsidR="00EC428B">
        <w:t>MZ</w:t>
      </w:r>
      <w:r w:rsidR="00383582">
        <w:t>d</w:t>
      </w:r>
      <w:proofErr w:type="spellEnd"/>
      <w:r w:rsidR="00EC428B">
        <w:t xml:space="preserve"> kontrolu u všech příjemců, zjistilo nedostatky a ukládalo nápravná opatření.</w:t>
      </w:r>
    </w:p>
    <w:p w14:paraId="42AAF8CC" w14:textId="79DCB5F7" w:rsidR="007D51F9" w:rsidRDefault="003F3B76" w:rsidP="003F3B76">
      <w:pPr>
        <w:pStyle w:val="Nadpisshrnut"/>
        <w:keepNext/>
        <w:numPr>
          <w:ilvl w:val="0"/>
          <w:numId w:val="0"/>
        </w:numPr>
        <w:spacing w:after="120"/>
      </w:pPr>
      <w:r>
        <w:t xml:space="preserve">5. </w:t>
      </w:r>
      <w:r w:rsidR="00CC366C">
        <w:t>U příjemců dotací</w:t>
      </w:r>
      <w:r w:rsidR="00D81946">
        <w:t xml:space="preserve"> ze státního rozpočtu</w:t>
      </w:r>
      <w:r w:rsidR="00CC366C">
        <w:t xml:space="preserve"> byla zjištěna pochybení</w:t>
      </w:r>
      <w:r w:rsidR="00D5199B">
        <w:t>.</w:t>
      </w:r>
    </w:p>
    <w:p w14:paraId="737DCDA0" w14:textId="1D3E99C4" w:rsidR="00520A58" w:rsidRDefault="00520A58" w:rsidP="00520A58">
      <w:r w:rsidRPr="002B5595">
        <w:t>NKÚ</w:t>
      </w:r>
      <w:r w:rsidR="00B3642E">
        <w:t xml:space="preserve"> provedl u třinácti příjemců dotací kontrolu plnění podmínek čerpání finančních prostředků. V některých případech NKÚ zjistil méně závažná porušení podmínek, za kterých jim byly dotace poskytnuty.</w:t>
      </w:r>
      <w:r w:rsidRPr="002B5595">
        <w:t xml:space="preserve"> </w:t>
      </w:r>
    </w:p>
    <w:p w14:paraId="47F788DC" w14:textId="28873608" w:rsidR="008F467F" w:rsidRDefault="003F3B76" w:rsidP="003F3B76">
      <w:pPr>
        <w:pStyle w:val="Nadpisshrnut"/>
        <w:keepNext/>
        <w:numPr>
          <w:ilvl w:val="0"/>
          <w:numId w:val="0"/>
        </w:numPr>
        <w:spacing w:after="120"/>
        <w:ind w:left="227" w:hanging="227"/>
      </w:pPr>
      <w:r>
        <w:t xml:space="preserve">6. </w:t>
      </w:r>
      <w:proofErr w:type="spellStart"/>
      <w:r w:rsidR="008F467F">
        <w:t>MZ</w:t>
      </w:r>
      <w:r w:rsidR="00383582">
        <w:t>d</w:t>
      </w:r>
      <w:proofErr w:type="spellEnd"/>
      <w:r w:rsidR="008F467F">
        <w:t xml:space="preserve"> investiční dotační program naplánovalo </w:t>
      </w:r>
      <w:r w:rsidR="00B3642E">
        <w:t>ne</w:t>
      </w:r>
      <w:r w:rsidR="008F467F">
        <w:t>realisticky.</w:t>
      </w:r>
    </w:p>
    <w:p w14:paraId="2854C40B" w14:textId="6F815EB2" w:rsidR="000B1BB8" w:rsidRDefault="001B4DF6" w:rsidP="00656E05">
      <w:pPr>
        <w:spacing w:after="600"/>
      </w:pPr>
      <w:proofErr w:type="spellStart"/>
      <w:r>
        <w:t>MZ</w:t>
      </w:r>
      <w:r w:rsidR="00383582">
        <w:t>d</w:t>
      </w:r>
      <w:proofErr w:type="spellEnd"/>
      <w:r>
        <w:t xml:space="preserve"> plánovalo podpořit vznik 40 nových hospicových lůžek</w:t>
      </w:r>
      <w:r w:rsidR="00530BE6">
        <w:t xml:space="preserve"> částkou </w:t>
      </w:r>
      <w:r w:rsidR="004E5369">
        <w:t>67,5</w:t>
      </w:r>
      <w:r w:rsidR="00530BE6">
        <w:t xml:space="preserve"> mil. Kč. </w:t>
      </w:r>
      <w:r w:rsidR="009102FB">
        <w:t xml:space="preserve">V průběhu realizace programu byl jejich počet snížen na polovinu. </w:t>
      </w:r>
      <w:r w:rsidR="00DE3057">
        <w:t>Plánovaný rozpočet</w:t>
      </w:r>
      <w:r w:rsidR="009102FB">
        <w:t xml:space="preserve"> však </w:t>
      </w:r>
      <w:r w:rsidR="004C6BB3">
        <w:t>bylo zapotřebí zanechat</w:t>
      </w:r>
      <w:r w:rsidR="009102FB">
        <w:t xml:space="preserve"> v původní výši, neboť </w:t>
      </w:r>
      <w:proofErr w:type="spellStart"/>
      <w:r w:rsidR="009102FB">
        <w:t>MZ</w:t>
      </w:r>
      <w:r w:rsidR="00383582">
        <w:t>d</w:t>
      </w:r>
      <w:proofErr w:type="spellEnd"/>
      <w:r w:rsidR="009102FB">
        <w:t xml:space="preserve"> při přípravě programu neprovedlo řádně analýzu předpokládaných nákladů na vznik jednoho nového hospicového lůžka a významně je</w:t>
      </w:r>
      <w:r w:rsidR="00DE3057">
        <w:t xml:space="preserve"> </w:t>
      </w:r>
      <w:r w:rsidR="009102FB">
        <w:t>podhodnotilo.</w:t>
      </w:r>
      <w:r w:rsidR="000B1BB8">
        <w:t xml:space="preserve"> </w:t>
      </w:r>
    </w:p>
    <w:p w14:paraId="735B6E89" w14:textId="3DB4CDDE" w:rsidR="00C63D32" w:rsidRDefault="00656E05" w:rsidP="00656E05">
      <w:pPr>
        <w:pStyle w:val="Nadpis1"/>
        <w:numPr>
          <w:ilvl w:val="0"/>
          <w:numId w:val="0"/>
        </w:numPr>
        <w:ind w:left="357"/>
      </w:pPr>
      <w:r>
        <w:t xml:space="preserve">II. </w:t>
      </w:r>
      <w:r w:rsidR="00E620F7" w:rsidRPr="006C54D7">
        <w:t>Informace o kontrolované oblasti</w:t>
      </w:r>
    </w:p>
    <w:p w14:paraId="62970DA1" w14:textId="511ABEA3" w:rsidR="00534FC3" w:rsidRDefault="00E620F7" w:rsidP="00534FC3">
      <w:r w:rsidRPr="00534FC3">
        <w:rPr>
          <w:b/>
        </w:rPr>
        <w:t>Ministerstvo zdravotnictví</w:t>
      </w:r>
      <w:r w:rsidRPr="00534FC3">
        <w:t xml:space="preserve"> </w:t>
      </w:r>
      <w:r w:rsidRPr="00534FC3">
        <w:rPr>
          <w:szCs w:val="22"/>
        </w:rPr>
        <w:t xml:space="preserve">je dle </w:t>
      </w:r>
      <w:r w:rsidR="00A76477">
        <w:rPr>
          <w:szCs w:val="22"/>
        </w:rPr>
        <w:t>kompetenčního zákona</w:t>
      </w:r>
      <w:r w:rsidR="00FC02E2" w:rsidRPr="00534FC3">
        <w:rPr>
          <w:rStyle w:val="Znakapoznpodarou"/>
          <w:szCs w:val="22"/>
        </w:rPr>
        <w:footnoteReference w:id="2"/>
      </w:r>
      <w:r w:rsidRPr="00534FC3">
        <w:rPr>
          <w:szCs w:val="22"/>
        </w:rPr>
        <w:t xml:space="preserve"> ústředním orgánem státní správy pro zdravotní služby.</w:t>
      </w:r>
      <w:r w:rsidR="007651BD">
        <w:rPr>
          <w:szCs w:val="22"/>
        </w:rPr>
        <w:t xml:space="preserve"> V kontrolovaném období let 2017 až 2021 </w:t>
      </w:r>
      <w:proofErr w:type="spellStart"/>
      <w:r w:rsidR="007651BD">
        <w:rPr>
          <w:szCs w:val="22"/>
        </w:rPr>
        <w:t>MZ</w:t>
      </w:r>
      <w:r w:rsidR="00383582">
        <w:rPr>
          <w:szCs w:val="22"/>
        </w:rPr>
        <w:t>d</w:t>
      </w:r>
      <w:proofErr w:type="spellEnd"/>
      <w:r w:rsidR="007651BD">
        <w:rPr>
          <w:szCs w:val="22"/>
        </w:rPr>
        <w:t xml:space="preserve"> mj. také vynakládalo peněžní prostředky v souvislosti s paliativní péčí. </w:t>
      </w:r>
    </w:p>
    <w:p w14:paraId="5FA55CC5" w14:textId="2CF33492" w:rsidR="00B54424" w:rsidRDefault="00BF3D22" w:rsidP="0050494A">
      <w:r>
        <w:t>Paliativní péče je druhem zdravotní péče, jejímž účelem je zmírnění utrpení a zachování kvality života pacienta, který trpí nevyléčitelnou nemocí</w:t>
      </w:r>
      <w:r>
        <w:rPr>
          <w:rStyle w:val="Znakapoznpodarou"/>
        </w:rPr>
        <w:footnoteReference w:id="3"/>
      </w:r>
      <w:r>
        <w:t xml:space="preserve">. </w:t>
      </w:r>
      <w:r w:rsidR="005663C8">
        <w:t>Základní dělení paliativní péče je na</w:t>
      </w:r>
      <w:r w:rsidR="00383582">
        <w:t xml:space="preserve"> </w:t>
      </w:r>
      <w:r w:rsidR="005663C8">
        <w:t xml:space="preserve">obecnou a specializovanou. </w:t>
      </w:r>
      <w:r w:rsidR="00B54424">
        <w:t>Obecn</w:t>
      </w:r>
      <w:r w:rsidR="005663C8">
        <w:t>á</w:t>
      </w:r>
      <w:r w:rsidR="00B54424">
        <w:t xml:space="preserve"> paliativní péč</w:t>
      </w:r>
      <w:r w:rsidR="005663C8">
        <w:t>e</w:t>
      </w:r>
      <w:r w:rsidR="00B54424">
        <w:t xml:space="preserve"> </w:t>
      </w:r>
      <w:r w:rsidR="005663C8">
        <w:t>je</w:t>
      </w:r>
      <w:r w:rsidR="00B54424" w:rsidRPr="00310732">
        <w:t xml:space="preserve"> poskytována zdravotníky v</w:t>
      </w:r>
      <w:r w:rsidR="00C17B65">
        <w:t> </w:t>
      </w:r>
      <w:r w:rsidR="00B54424" w:rsidRPr="00310732">
        <w:t>rámci jejich odborností.</w:t>
      </w:r>
      <w:r w:rsidR="006354FA">
        <w:t xml:space="preserve"> V případě specializované se j</w:t>
      </w:r>
      <w:r w:rsidR="005663C8">
        <w:t>edná o</w:t>
      </w:r>
      <w:r w:rsidR="00B54424">
        <w:t xml:space="preserve"> aktivn</w:t>
      </w:r>
      <w:r w:rsidR="006354FA">
        <w:t xml:space="preserve">ě </w:t>
      </w:r>
      <w:r w:rsidR="00B54424">
        <w:t>poskytovan</w:t>
      </w:r>
      <w:r w:rsidR="005663C8">
        <w:t>ou</w:t>
      </w:r>
      <w:r w:rsidR="006354FA">
        <w:t xml:space="preserve"> péči</w:t>
      </w:r>
      <w:r w:rsidR="00B54424">
        <w:t xml:space="preserve"> pacientům a</w:t>
      </w:r>
      <w:r w:rsidR="006354FA">
        <w:t> </w:t>
      </w:r>
      <w:r w:rsidR="00B54424">
        <w:t xml:space="preserve">jejich </w:t>
      </w:r>
      <w:r w:rsidR="006354FA">
        <w:t>blízkým</w:t>
      </w:r>
      <w:r w:rsidR="00B54424">
        <w:t xml:space="preserve"> týmem odborníků, kteří absolvovali formální vzdělání v oboru paliativní péče</w:t>
      </w:r>
      <w:r w:rsidR="005663C8">
        <w:t xml:space="preserve"> a mají</w:t>
      </w:r>
      <w:r w:rsidR="00B54424">
        <w:t xml:space="preserve"> potřebn</w:t>
      </w:r>
      <w:r w:rsidR="005663C8">
        <w:t>é</w:t>
      </w:r>
      <w:r w:rsidR="00B54424">
        <w:t xml:space="preserve"> zkušenost</w:t>
      </w:r>
      <w:r w:rsidR="005663C8">
        <w:t>i</w:t>
      </w:r>
      <w:r w:rsidR="00B54424">
        <w:t>.</w:t>
      </w:r>
    </w:p>
    <w:p w14:paraId="65E4D778" w14:textId="430DA19C" w:rsidR="00B54424" w:rsidRDefault="00E757BA" w:rsidP="00A277F0">
      <w:pPr>
        <w:keepNext/>
        <w:widowControl/>
        <w:spacing w:after="0"/>
      </w:pPr>
      <w:r>
        <w:lastRenderedPageBreak/>
        <w:t>Z</w:t>
      </w:r>
      <w:r w:rsidR="00B54424">
        <w:t xml:space="preserve"> </w:t>
      </w:r>
      <w:r>
        <w:t>dokumentu</w:t>
      </w:r>
      <w:r w:rsidR="00B54424">
        <w:t xml:space="preserve"> </w:t>
      </w:r>
      <w:r w:rsidR="00B54424" w:rsidRPr="00231DC3">
        <w:rPr>
          <w:i/>
        </w:rPr>
        <w:t>Paliativní péče v České republice 2016 – Situační analýza</w:t>
      </w:r>
      <w:r w:rsidR="00B54424">
        <w:t xml:space="preserve"> </w:t>
      </w:r>
      <w:r>
        <w:t>zpracovaném Českou společností paliativní medicíny</w:t>
      </w:r>
      <w:r w:rsidR="006354FA">
        <w:rPr>
          <w:rStyle w:val="Znakapoznpodarou"/>
        </w:rPr>
        <w:footnoteReference w:id="4"/>
      </w:r>
      <w:r w:rsidR="006354FA">
        <w:t xml:space="preserve"> </w:t>
      </w:r>
      <w:r>
        <w:t xml:space="preserve">vyplývají následující </w:t>
      </w:r>
      <w:r w:rsidR="0050494A">
        <w:t>skutečnosti:</w:t>
      </w:r>
    </w:p>
    <w:p w14:paraId="172AF1A2" w14:textId="77777777" w:rsidR="00B54424" w:rsidRDefault="00B54424" w:rsidP="00A277F0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</w:pPr>
      <w:r>
        <w:t>V ČR potřebuje každoročně paliativní péči více než 70 000 pacientů.</w:t>
      </w:r>
    </w:p>
    <w:p w14:paraId="6584A1ED" w14:textId="66F57653" w:rsidR="00B54424" w:rsidRDefault="00B54424" w:rsidP="00A277F0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</w:pPr>
      <w:r>
        <w:t xml:space="preserve">75 % pacientů bylo v posledních </w:t>
      </w:r>
      <w:r w:rsidR="00811EB7">
        <w:t>třech</w:t>
      </w:r>
      <w:r>
        <w:t xml:space="preserve"> měsících života alespoň jednou hospitalizováno, 14</w:t>
      </w:r>
      <w:r w:rsidR="00811EB7">
        <w:t> </w:t>
      </w:r>
      <w:r>
        <w:t xml:space="preserve">% </w:t>
      </w:r>
      <w:r w:rsidR="00CF3A14">
        <w:t>z</w:t>
      </w:r>
      <w:r w:rsidR="005418CC">
        <w:t> </w:t>
      </w:r>
      <w:r w:rsidR="00CF3A14">
        <w:t>nich</w:t>
      </w:r>
      <w:r>
        <w:t xml:space="preserve"> (cca 15 000) mělo </w:t>
      </w:r>
      <w:r w:rsidR="00D16B7E">
        <w:t>tři</w:t>
      </w:r>
      <w:r>
        <w:t xml:space="preserve"> a více hospitalizací.</w:t>
      </w:r>
    </w:p>
    <w:p w14:paraId="2C44E547" w14:textId="77777777" w:rsidR="00B54424" w:rsidRDefault="00B54424" w:rsidP="00A277F0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</w:pPr>
      <w:r>
        <w:t>Většina chronicky nemocných pacientů umírá na lůžkách akutní nebo následné péče (63 % onkologických a 70 % neonkologických).</w:t>
      </w:r>
    </w:p>
    <w:p w14:paraId="6A1CA903" w14:textId="77777777" w:rsidR="00B54424" w:rsidRDefault="00B54424" w:rsidP="00A277F0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</w:pPr>
      <w:r>
        <w:t>Významná část těchto hospitalizací je kvůli komplikacím a očekávatelné progresi chronických onemocnění.</w:t>
      </w:r>
    </w:p>
    <w:p w14:paraId="688CB838" w14:textId="1C2478AE" w:rsidR="00B54424" w:rsidRDefault="00B54424" w:rsidP="00A277F0">
      <w:pPr>
        <w:pStyle w:val="Odstavecseseznamem"/>
        <w:numPr>
          <w:ilvl w:val="0"/>
          <w:numId w:val="18"/>
        </w:numPr>
        <w:ind w:left="284" w:hanging="284"/>
        <w:contextualSpacing w:val="0"/>
      </w:pPr>
      <w:r>
        <w:t>Významné části těchto hospitalizací by bylo možné předejít při lepším plánování a organizaci péče.</w:t>
      </w:r>
    </w:p>
    <w:p w14:paraId="6019878E" w14:textId="4246CB7B" w:rsidR="00376FAB" w:rsidRPr="00D36B67" w:rsidRDefault="00376FAB" w:rsidP="00EC196F">
      <w:pPr>
        <w:pStyle w:val="Nzevtabulky"/>
        <w:spacing w:after="40"/>
        <w:ind w:left="1276" w:hanging="1276"/>
      </w:pPr>
      <w:r w:rsidRPr="00D36B67">
        <w:t xml:space="preserve">Obyvatelstvo podle hlavních věkových skupin, </w:t>
      </w:r>
      <w:r w:rsidR="00D36B67" w:rsidRPr="00D36B67">
        <w:t>2018–2050</w:t>
      </w:r>
      <w:r w:rsidRPr="00D36B67">
        <w:t xml:space="preserve"> (k 1. 1.)</w:t>
      </w:r>
    </w:p>
    <w:tbl>
      <w:tblPr>
        <w:tblStyle w:val="Mkatabulky"/>
        <w:tblW w:w="5000" w:type="pct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4"/>
        <w:gridCol w:w="848"/>
        <w:gridCol w:w="829"/>
        <w:gridCol w:w="856"/>
        <w:gridCol w:w="856"/>
        <w:gridCol w:w="856"/>
        <w:gridCol w:w="856"/>
        <w:gridCol w:w="856"/>
        <w:gridCol w:w="856"/>
        <w:gridCol w:w="848"/>
      </w:tblGrid>
      <w:tr w:rsidR="003418D3" w:rsidRPr="00EC196F" w14:paraId="2DACD52E" w14:textId="77777777" w:rsidTr="003B2BB9">
        <w:tc>
          <w:tcPr>
            <w:tcW w:w="1240" w:type="pct"/>
            <w:gridSpan w:val="2"/>
            <w:shd w:val="clear" w:color="auto" w:fill="E5F1FF"/>
            <w:vAlign w:val="center"/>
          </w:tcPr>
          <w:p w14:paraId="04931EAE" w14:textId="59D205B8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Věková skupina</w:t>
            </w:r>
          </w:p>
        </w:tc>
        <w:tc>
          <w:tcPr>
            <w:tcW w:w="457" w:type="pct"/>
            <w:shd w:val="clear" w:color="auto" w:fill="E5F1FF"/>
            <w:vAlign w:val="center"/>
          </w:tcPr>
          <w:p w14:paraId="1B0CB648" w14:textId="1BE2CDB9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2018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51B99D0E" w14:textId="28C553BA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2020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58CB0511" w14:textId="5C834527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2025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7F8E34FD" w14:textId="441D22C0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2030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0D93C99F" w14:textId="52A0CF7F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2035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79AA880A" w14:textId="3F818C3A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2040</w:t>
            </w:r>
          </w:p>
        </w:tc>
        <w:tc>
          <w:tcPr>
            <w:tcW w:w="472" w:type="pct"/>
            <w:shd w:val="clear" w:color="auto" w:fill="E5F1FF"/>
            <w:vAlign w:val="center"/>
          </w:tcPr>
          <w:p w14:paraId="1E31D914" w14:textId="7230ECF8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2045</w:t>
            </w:r>
          </w:p>
        </w:tc>
        <w:tc>
          <w:tcPr>
            <w:tcW w:w="471" w:type="pct"/>
            <w:shd w:val="clear" w:color="auto" w:fill="E5F1FF"/>
            <w:vAlign w:val="center"/>
          </w:tcPr>
          <w:p w14:paraId="7961880A" w14:textId="27AD7319" w:rsidR="003418D3" w:rsidRPr="00EC196F" w:rsidRDefault="003418D3" w:rsidP="00A277F0">
            <w:pPr>
              <w:pStyle w:val="tabulka"/>
              <w:keepNext w:val="0"/>
              <w:jc w:val="center"/>
              <w:rPr>
                <w:rFonts w:cs="Calibri"/>
                <w:b/>
              </w:rPr>
            </w:pPr>
            <w:r w:rsidRPr="00EC196F">
              <w:rPr>
                <w:rFonts w:cs="Calibri"/>
                <w:b/>
              </w:rPr>
              <w:t>2050</w:t>
            </w:r>
          </w:p>
        </w:tc>
      </w:tr>
      <w:tr w:rsidR="004F21B4" w:rsidRPr="00EC196F" w14:paraId="152C8193" w14:textId="77777777" w:rsidTr="003B2BB9">
        <w:tc>
          <w:tcPr>
            <w:tcW w:w="775" w:type="pct"/>
            <w:vMerge w:val="restart"/>
            <w:vAlign w:val="center"/>
          </w:tcPr>
          <w:p w14:paraId="5A7B0EC4" w14:textId="5718BF71" w:rsidR="003418D3" w:rsidRPr="00EC196F" w:rsidRDefault="003418D3" w:rsidP="00A277F0">
            <w:pPr>
              <w:pStyle w:val="tabulka"/>
              <w:keepNext w:val="0"/>
              <w:jc w:val="left"/>
              <w:rPr>
                <w:rFonts w:cs="Calibri"/>
              </w:rPr>
            </w:pPr>
            <w:r w:rsidRPr="00EC196F">
              <w:rPr>
                <w:rFonts w:cs="Calibri"/>
              </w:rPr>
              <w:t>Celkem (</w:t>
            </w:r>
            <w:r w:rsidR="004F21B4">
              <w:rPr>
                <w:rFonts w:cs="Calibri"/>
              </w:rPr>
              <w:t>v </w:t>
            </w:r>
            <w:r w:rsidRPr="00EC196F">
              <w:rPr>
                <w:rFonts w:cs="Calibri"/>
              </w:rPr>
              <w:t>tis.) ve věku:</w:t>
            </w:r>
          </w:p>
        </w:tc>
        <w:tc>
          <w:tcPr>
            <w:tcW w:w="468" w:type="pct"/>
            <w:vAlign w:val="center"/>
          </w:tcPr>
          <w:p w14:paraId="3DF252DD" w14:textId="0FA2AC5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0</w:t>
            </w:r>
            <w:r w:rsidR="004F21B4">
              <w:rPr>
                <w:rFonts w:cs="Calibri"/>
              </w:rPr>
              <w:t>–</w:t>
            </w:r>
            <w:r w:rsidRPr="00EC196F">
              <w:rPr>
                <w:rFonts w:cs="Calibri"/>
              </w:rPr>
              <w:t>14</w:t>
            </w:r>
          </w:p>
        </w:tc>
        <w:tc>
          <w:tcPr>
            <w:tcW w:w="457" w:type="pct"/>
            <w:vAlign w:val="center"/>
          </w:tcPr>
          <w:p w14:paraId="1461C413" w14:textId="760230C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1 670,7</w:t>
            </w:r>
          </w:p>
        </w:tc>
        <w:tc>
          <w:tcPr>
            <w:tcW w:w="472" w:type="pct"/>
            <w:vAlign w:val="center"/>
          </w:tcPr>
          <w:p w14:paraId="05ABD3F0" w14:textId="550657B0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1 709,0</w:t>
            </w:r>
          </w:p>
        </w:tc>
        <w:tc>
          <w:tcPr>
            <w:tcW w:w="472" w:type="pct"/>
            <w:vAlign w:val="center"/>
          </w:tcPr>
          <w:p w14:paraId="2BEE5928" w14:textId="5D8F918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1 673,6</w:t>
            </w:r>
          </w:p>
        </w:tc>
        <w:tc>
          <w:tcPr>
            <w:tcW w:w="472" w:type="pct"/>
            <w:vAlign w:val="center"/>
          </w:tcPr>
          <w:p w14:paraId="71DF2B7F" w14:textId="0895F1D4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1 607,2</w:t>
            </w:r>
          </w:p>
        </w:tc>
        <w:tc>
          <w:tcPr>
            <w:tcW w:w="472" w:type="pct"/>
            <w:vAlign w:val="center"/>
          </w:tcPr>
          <w:p w14:paraId="19948A6B" w14:textId="76B7139E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1 519,3</w:t>
            </w:r>
          </w:p>
        </w:tc>
        <w:tc>
          <w:tcPr>
            <w:tcW w:w="472" w:type="pct"/>
            <w:vAlign w:val="center"/>
          </w:tcPr>
          <w:p w14:paraId="728EF845" w14:textId="1DAA9D3E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1 494,2</w:t>
            </w:r>
          </w:p>
        </w:tc>
        <w:tc>
          <w:tcPr>
            <w:tcW w:w="472" w:type="pct"/>
            <w:vAlign w:val="center"/>
          </w:tcPr>
          <w:p w14:paraId="71D76141" w14:textId="70DA490C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1 536,6</w:t>
            </w:r>
          </w:p>
        </w:tc>
        <w:tc>
          <w:tcPr>
            <w:tcW w:w="471" w:type="pct"/>
            <w:vAlign w:val="center"/>
          </w:tcPr>
          <w:p w14:paraId="6EBAF3EB" w14:textId="28B36703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1 590,9</w:t>
            </w:r>
          </w:p>
        </w:tc>
      </w:tr>
      <w:tr w:rsidR="004F21B4" w:rsidRPr="00EC196F" w14:paraId="526CE54B" w14:textId="77777777" w:rsidTr="003B2BB9">
        <w:tc>
          <w:tcPr>
            <w:tcW w:w="775" w:type="pct"/>
            <w:vMerge/>
            <w:vAlign w:val="center"/>
          </w:tcPr>
          <w:p w14:paraId="677399F9" w14:textId="77777777" w:rsidR="003418D3" w:rsidRPr="00EC196F" w:rsidRDefault="003418D3" w:rsidP="00A277F0">
            <w:pPr>
              <w:pStyle w:val="tabulka"/>
              <w:keepNext w:val="0"/>
              <w:jc w:val="left"/>
              <w:rPr>
                <w:rFonts w:cs="Calibri"/>
              </w:rPr>
            </w:pPr>
          </w:p>
        </w:tc>
        <w:tc>
          <w:tcPr>
            <w:tcW w:w="468" w:type="pct"/>
            <w:vAlign w:val="center"/>
          </w:tcPr>
          <w:p w14:paraId="58E6E0CA" w14:textId="6EBA015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15</w:t>
            </w:r>
            <w:r w:rsidR="004F21B4">
              <w:rPr>
                <w:rFonts w:cs="Calibri"/>
              </w:rPr>
              <w:t>–</w:t>
            </w:r>
            <w:r w:rsidRPr="00EC196F">
              <w:rPr>
                <w:rFonts w:cs="Calibri"/>
              </w:rPr>
              <w:t>64</w:t>
            </w:r>
          </w:p>
        </w:tc>
        <w:tc>
          <w:tcPr>
            <w:tcW w:w="457" w:type="pct"/>
            <w:vAlign w:val="center"/>
          </w:tcPr>
          <w:p w14:paraId="2C4A7E79" w14:textId="4D15EFC6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6 899,2</w:t>
            </w:r>
          </w:p>
        </w:tc>
        <w:tc>
          <w:tcPr>
            <w:tcW w:w="472" w:type="pct"/>
            <w:vAlign w:val="center"/>
          </w:tcPr>
          <w:p w14:paraId="40E2C0AC" w14:textId="79028441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6 831,1</w:t>
            </w:r>
          </w:p>
        </w:tc>
        <w:tc>
          <w:tcPr>
            <w:tcW w:w="472" w:type="pct"/>
            <w:vAlign w:val="center"/>
          </w:tcPr>
          <w:p w14:paraId="560662B8" w14:textId="071D7974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6 794,9</w:t>
            </w:r>
          </w:p>
        </w:tc>
        <w:tc>
          <w:tcPr>
            <w:tcW w:w="472" w:type="pct"/>
            <w:vAlign w:val="center"/>
          </w:tcPr>
          <w:p w14:paraId="4E061DAF" w14:textId="7AB1A41E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6 773,4</w:t>
            </w:r>
          </w:p>
        </w:tc>
        <w:tc>
          <w:tcPr>
            <w:tcW w:w="472" w:type="pct"/>
            <w:vAlign w:val="center"/>
          </w:tcPr>
          <w:p w14:paraId="5BADB18B" w14:textId="5FCFFB2A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6 746,0</w:t>
            </w:r>
          </w:p>
        </w:tc>
        <w:tc>
          <w:tcPr>
            <w:tcW w:w="472" w:type="pct"/>
            <w:vAlign w:val="center"/>
          </w:tcPr>
          <w:p w14:paraId="3180FBB6" w14:textId="23ACB35D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6 549,6</w:t>
            </w:r>
          </w:p>
        </w:tc>
        <w:tc>
          <w:tcPr>
            <w:tcW w:w="472" w:type="pct"/>
            <w:vAlign w:val="center"/>
          </w:tcPr>
          <w:p w14:paraId="3C454345" w14:textId="6D7D9FC7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6 241,2</w:t>
            </w:r>
          </w:p>
        </w:tc>
        <w:tc>
          <w:tcPr>
            <w:tcW w:w="471" w:type="pct"/>
            <w:vAlign w:val="center"/>
          </w:tcPr>
          <w:p w14:paraId="483272DA" w14:textId="3A85BF50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6 069,7</w:t>
            </w:r>
          </w:p>
        </w:tc>
      </w:tr>
      <w:tr w:rsidR="004F21B4" w:rsidRPr="00EC196F" w14:paraId="67E40940" w14:textId="77777777" w:rsidTr="003B2BB9">
        <w:tc>
          <w:tcPr>
            <w:tcW w:w="775" w:type="pct"/>
            <w:vMerge/>
            <w:vAlign w:val="center"/>
          </w:tcPr>
          <w:p w14:paraId="36A54EC1" w14:textId="77777777" w:rsidR="003418D3" w:rsidRPr="00EC196F" w:rsidRDefault="003418D3" w:rsidP="00A277F0">
            <w:pPr>
              <w:pStyle w:val="tabulka"/>
              <w:keepNext w:val="0"/>
              <w:jc w:val="left"/>
              <w:rPr>
                <w:rFonts w:cs="Calibri"/>
              </w:rPr>
            </w:pPr>
          </w:p>
        </w:tc>
        <w:tc>
          <w:tcPr>
            <w:tcW w:w="468" w:type="pct"/>
            <w:vAlign w:val="center"/>
          </w:tcPr>
          <w:p w14:paraId="7ECB1A27" w14:textId="555DCE0A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65+</w:t>
            </w:r>
          </w:p>
        </w:tc>
        <w:tc>
          <w:tcPr>
            <w:tcW w:w="457" w:type="pct"/>
            <w:vAlign w:val="center"/>
          </w:tcPr>
          <w:p w14:paraId="50B7346A" w14:textId="5D9C62A8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2 040,2</w:t>
            </w:r>
          </w:p>
        </w:tc>
        <w:tc>
          <w:tcPr>
            <w:tcW w:w="472" w:type="pct"/>
            <w:vAlign w:val="center"/>
          </w:tcPr>
          <w:p w14:paraId="1F62B63A" w14:textId="64BB75C1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2 134,3</w:t>
            </w:r>
          </w:p>
        </w:tc>
        <w:tc>
          <w:tcPr>
            <w:tcW w:w="472" w:type="pct"/>
            <w:vAlign w:val="center"/>
          </w:tcPr>
          <w:p w14:paraId="28F5A23E" w14:textId="3EF4746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2 293,0</w:t>
            </w:r>
          </w:p>
        </w:tc>
        <w:tc>
          <w:tcPr>
            <w:tcW w:w="472" w:type="pct"/>
            <w:vAlign w:val="center"/>
          </w:tcPr>
          <w:p w14:paraId="725DEFD3" w14:textId="1A64922A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2 403,3</w:t>
            </w:r>
          </w:p>
        </w:tc>
        <w:tc>
          <w:tcPr>
            <w:tcW w:w="472" w:type="pct"/>
            <w:vAlign w:val="center"/>
          </w:tcPr>
          <w:p w14:paraId="18C6608D" w14:textId="6FC9CC90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2 498,6</w:t>
            </w:r>
          </w:p>
        </w:tc>
        <w:tc>
          <w:tcPr>
            <w:tcW w:w="472" w:type="pct"/>
            <w:vAlign w:val="center"/>
          </w:tcPr>
          <w:p w14:paraId="0D72AE1C" w14:textId="2988B72D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2 698,8</w:t>
            </w:r>
          </w:p>
        </w:tc>
        <w:tc>
          <w:tcPr>
            <w:tcW w:w="472" w:type="pct"/>
            <w:vAlign w:val="center"/>
          </w:tcPr>
          <w:p w14:paraId="038E1415" w14:textId="2B6CE303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2 958,2</w:t>
            </w:r>
          </w:p>
        </w:tc>
        <w:tc>
          <w:tcPr>
            <w:tcW w:w="471" w:type="pct"/>
            <w:vAlign w:val="center"/>
          </w:tcPr>
          <w:p w14:paraId="7CA52E09" w14:textId="3E1A2A3D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3 075,6</w:t>
            </w:r>
          </w:p>
        </w:tc>
      </w:tr>
      <w:tr w:rsidR="004F21B4" w:rsidRPr="00EC196F" w14:paraId="56FB0A6D" w14:textId="77777777" w:rsidTr="003B2BB9">
        <w:tc>
          <w:tcPr>
            <w:tcW w:w="775" w:type="pct"/>
            <w:vMerge w:val="restart"/>
            <w:vAlign w:val="center"/>
          </w:tcPr>
          <w:p w14:paraId="7D31F92C" w14:textId="5D1598B6" w:rsidR="00282569" w:rsidRPr="00EC196F" w:rsidRDefault="003418D3" w:rsidP="00A277F0">
            <w:pPr>
              <w:pStyle w:val="tabulka"/>
              <w:keepNext w:val="0"/>
              <w:jc w:val="left"/>
              <w:rPr>
                <w:rFonts w:cs="Calibri"/>
              </w:rPr>
            </w:pPr>
            <w:r w:rsidRPr="00EC196F">
              <w:rPr>
                <w:rFonts w:cs="Calibri"/>
              </w:rPr>
              <w:t>Celkem (</w:t>
            </w:r>
            <w:r w:rsidR="004F21B4">
              <w:rPr>
                <w:rFonts w:cs="Calibri"/>
              </w:rPr>
              <w:t>v </w:t>
            </w:r>
            <w:r w:rsidRPr="00EC196F">
              <w:rPr>
                <w:rFonts w:cs="Calibri"/>
              </w:rPr>
              <w:t>%)</w:t>
            </w:r>
          </w:p>
          <w:p w14:paraId="3243D15D" w14:textId="0A8075C0" w:rsidR="003418D3" w:rsidRPr="00EC196F" w:rsidRDefault="003418D3" w:rsidP="00A277F0">
            <w:pPr>
              <w:pStyle w:val="tabulka"/>
              <w:keepNext w:val="0"/>
              <w:jc w:val="left"/>
              <w:rPr>
                <w:rFonts w:cs="Calibri"/>
              </w:rPr>
            </w:pPr>
            <w:r w:rsidRPr="00EC196F">
              <w:rPr>
                <w:rFonts w:cs="Calibri"/>
              </w:rPr>
              <w:t>ve věku:</w:t>
            </w:r>
          </w:p>
        </w:tc>
        <w:tc>
          <w:tcPr>
            <w:tcW w:w="468" w:type="pct"/>
            <w:vAlign w:val="center"/>
          </w:tcPr>
          <w:p w14:paraId="6EC3B2F3" w14:textId="70D20C84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0</w:t>
            </w:r>
            <w:r w:rsidR="004F21B4">
              <w:rPr>
                <w:rFonts w:cs="Calibri"/>
              </w:rPr>
              <w:t>–</w:t>
            </w:r>
            <w:r w:rsidRPr="00EC196F">
              <w:rPr>
                <w:rFonts w:cs="Calibri"/>
              </w:rPr>
              <w:t>14</w:t>
            </w:r>
          </w:p>
        </w:tc>
        <w:tc>
          <w:tcPr>
            <w:tcW w:w="457" w:type="pct"/>
            <w:vAlign w:val="center"/>
          </w:tcPr>
          <w:p w14:paraId="64B51022" w14:textId="24FA6A04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15,7</w:t>
            </w:r>
          </w:p>
        </w:tc>
        <w:tc>
          <w:tcPr>
            <w:tcW w:w="472" w:type="pct"/>
            <w:vAlign w:val="center"/>
          </w:tcPr>
          <w:p w14:paraId="1138CBEF" w14:textId="23A949D6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16,0</w:t>
            </w:r>
          </w:p>
        </w:tc>
        <w:tc>
          <w:tcPr>
            <w:tcW w:w="472" w:type="pct"/>
            <w:vAlign w:val="center"/>
          </w:tcPr>
          <w:p w14:paraId="4AF452A9" w14:textId="192DA333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15,6</w:t>
            </w:r>
          </w:p>
        </w:tc>
        <w:tc>
          <w:tcPr>
            <w:tcW w:w="472" w:type="pct"/>
            <w:vAlign w:val="center"/>
          </w:tcPr>
          <w:p w14:paraId="1A13F823" w14:textId="0A8D22E8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14,9</w:t>
            </w:r>
          </w:p>
        </w:tc>
        <w:tc>
          <w:tcPr>
            <w:tcW w:w="472" w:type="pct"/>
            <w:vAlign w:val="center"/>
          </w:tcPr>
          <w:p w14:paraId="0B2308EC" w14:textId="55D6D909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14,1</w:t>
            </w:r>
          </w:p>
        </w:tc>
        <w:tc>
          <w:tcPr>
            <w:tcW w:w="472" w:type="pct"/>
            <w:vAlign w:val="center"/>
          </w:tcPr>
          <w:p w14:paraId="5A19EDAB" w14:textId="4794AEE4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13,9</w:t>
            </w:r>
          </w:p>
        </w:tc>
        <w:tc>
          <w:tcPr>
            <w:tcW w:w="472" w:type="pct"/>
            <w:vAlign w:val="center"/>
          </w:tcPr>
          <w:p w14:paraId="2FBFB235" w14:textId="063700D6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14,3</w:t>
            </w:r>
          </w:p>
        </w:tc>
        <w:tc>
          <w:tcPr>
            <w:tcW w:w="471" w:type="pct"/>
            <w:vAlign w:val="center"/>
          </w:tcPr>
          <w:p w14:paraId="6824631C" w14:textId="6BC94D59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14,8</w:t>
            </w:r>
          </w:p>
        </w:tc>
      </w:tr>
      <w:tr w:rsidR="004F21B4" w:rsidRPr="00EC196F" w14:paraId="131D51FA" w14:textId="77777777" w:rsidTr="003B2BB9">
        <w:tc>
          <w:tcPr>
            <w:tcW w:w="775" w:type="pct"/>
            <w:vMerge/>
            <w:vAlign w:val="center"/>
          </w:tcPr>
          <w:p w14:paraId="77CBEEF5" w14:textId="77777777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</w:p>
        </w:tc>
        <w:tc>
          <w:tcPr>
            <w:tcW w:w="468" w:type="pct"/>
            <w:vAlign w:val="center"/>
          </w:tcPr>
          <w:p w14:paraId="659B1467" w14:textId="453720DC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15</w:t>
            </w:r>
            <w:r w:rsidR="004F21B4">
              <w:rPr>
                <w:rFonts w:cs="Calibri"/>
              </w:rPr>
              <w:t>–</w:t>
            </w:r>
            <w:r w:rsidRPr="00EC196F">
              <w:rPr>
                <w:rFonts w:cs="Calibri"/>
              </w:rPr>
              <w:t>64</w:t>
            </w:r>
          </w:p>
        </w:tc>
        <w:tc>
          <w:tcPr>
            <w:tcW w:w="457" w:type="pct"/>
            <w:vAlign w:val="center"/>
          </w:tcPr>
          <w:p w14:paraId="096AA6BC" w14:textId="02458EEF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65</w:t>
            </w:r>
            <w:r w:rsidR="00D5518D" w:rsidRPr="00EC196F">
              <w:rPr>
                <w:rFonts w:cs="Calibri"/>
              </w:rPr>
              <w:t>,0</w:t>
            </w:r>
          </w:p>
        </w:tc>
        <w:tc>
          <w:tcPr>
            <w:tcW w:w="472" w:type="pct"/>
            <w:vAlign w:val="center"/>
          </w:tcPr>
          <w:p w14:paraId="5B8B42AD" w14:textId="0118008B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64,0</w:t>
            </w:r>
          </w:p>
        </w:tc>
        <w:tc>
          <w:tcPr>
            <w:tcW w:w="472" w:type="pct"/>
            <w:vAlign w:val="center"/>
          </w:tcPr>
          <w:p w14:paraId="0889D286" w14:textId="72019338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63,1</w:t>
            </w:r>
          </w:p>
        </w:tc>
        <w:tc>
          <w:tcPr>
            <w:tcW w:w="472" w:type="pct"/>
            <w:vAlign w:val="center"/>
          </w:tcPr>
          <w:p w14:paraId="2A5E12D5" w14:textId="00AE2D5A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62,8</w:t>
            </w:r>
          </w:p>
        </w:tc>
        <w:tc>
          <w:tcPr>
            <w:tcW w:w="472" w:type="pct"/>
            <w:vAlign w:val="center"/>
          </w:tcPr>
          <w:p w14:paraId="76053909" w14:textId="073FBC1D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62,7</w:t>
            </w:r>
          </w:p>
        </w:tc>
        <w:tc>
          <w:tcPr>
            <w:tcW w:w="472" w:type="pct"/>
            <w:vAlign w:val="center"/>
          </w:tcPr>
          <w:p w14:paraId="416A0F4C" w14:textId="29C03B69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61,0</w:t>
            </w:r>
          </w:p>
        </w:tc>
        <w:tc>
          <w:tcPr>
            <w:tcW w:w="472" w:type="pct"/>
            <w:vAlign w:val="center"/>
          </w:tcPr>
          <w:p w14:paraId="1CD9A85C" w14:textId="60985F76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58,1</w:t>
            </w:r>
          </w:p>
        </w:tc>
        <w:tc>
          <w:tcPr>
            <w:tcW w:w="471" w:type="pct"/>
            <w:vAlign w:val="center"/>
          </w:tcPr>
          <w:p w14:paraId="651C8B6A" w14:textId="1EAE5EBA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56,5</w:t>
            </w:r>
          </w:p>
        </w:tc>
      </w:tr>
      <w:tr w:rsidR="004F21B4" w:rsidRPr="00EC196F" w14:paraId="61A9E007" w14:textId="77777777" w:rsidTr="003B2BB9">
        <w:tc>
          <w:tcPr>
            <w:tcW w:w="775" w:type="pct"/>
            <w:vMerge/>
            <w:vAlign w:val="center"/>
          </w:tcPr>
          <w:p w14:paraId="66DEAFF2" w14:textId="77777777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</w:p>
        </w:tc>
        <w:tc>
          <w:tcPr>
            <w:tcW w:w="468" w:type="pct"/>
            <w:vAlign w:val="center"/>
          </w:tcPr>
          <w:p w14:paraId="0810C5BD" w14:textId="1C4C6196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65+</w:t>
            </w:r>
          </w:p>
        </w:tc>
        <w:tc>
          <w:tcPr>
            <w:tcW w:w="457" w:type="pct"/>
            <w:vAlign w:val="center"/>
          </w:tcPr>
          <w:p w14:paraId="067E8994" w14:textId="6F521720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19,2</w:t>
            </w:r>
          </w:p>
        </w:tc>
        <w:tc>
          <w:tcPr>
            <w:tcW w:w="472" w:type="pct"/>
            <w:vAlign w:val="center"/>
          </w:tcPr>
          <w:p w14:paraId="3F70A2CC" w14:textId="6CA43962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20,0</w:t>
            </w:r>
          </w:p>
        </w:tc>
        <w:tc>
          <w:tcPr>
            <w:tcW w:w="472" w:type="pct"/>
            <w:vAlign w:val="center"/>
          </w:tcPr>
          <w:p w14:paraId="5F223025" w14:textId="459E2CA5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21,3</w:t>
            </w:r>
          </w:p>
        </w:tc>
        <w:tc>
          <w:tcPr>
            <w:tcW w:w="472" w:type="pct"/>
            <w:vAlign w:val="center"/>
          </w:tcPr>
          <w:p w14:paraId="3D9DD295" w14:textId="7353EEEF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22,3</w:t>
            </w:r>
          </w:p>
        </w:tc>
        <w:tc>
          <w:tcPr>
            <w:tcW w:w="472" w:type="pct"/>
            <w:vAlign w:val="center"/>
          </w:tcPr>
          <w:p w14:paraId="6AA4817B" w14:textId="7E444E4B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23,2</w:t>
            </w:r>
          </w:p>
        </w:tc>
        <w:tc>
          <w:tcPr>
            <w:tcW w:w="472" w:type="pct"/>
            <w:vAlign w:val="center"/>
          </w:tcPr>
          <w:p w14:paraId="44084657" w14:textId="1D769770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25,1</w:t>
            </w:r>
          </w:p>
        </w:tc>
        <w:tc>
          <w:tcPr>
            <w:tcW w:w="472" w:type="pct"/>
            <w:vAlign w:val="center"/>
          </w:tcPr>
          <w:p w14:paraId="0C7F5EB6" w14:textId="30ACC929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27,6</w:t>
            </w:r>
          </w:p>
        </w:tc>
        <w:tc>
          <w:tcPr>
            <w:tcW w:w="471" w:type="pct"/>
            <w:vAlign w:val="center"/>
          </w:tcPr>
          <w:p w14:paraId="0D611D33" w14:textId="6015A168" w:rsidR="003418D3" w:rsidRPr="00EC196F" w:rsidRDefault="003418D3" w:rsidP="00A277F0">
            <w:pPr>
              <w:pStyle w:val="tabulka"/>
              <w:keepNext w:val="0"/>
              <w:rPr>
                <w:rFonts w:cs="Calibri"/>
              </w:rPr>
            </w:pPr>
            <w:r w:rsidRPr="00EC196F">
              <w:rPr>
                <w:rFonts w:cs="Calibri"/>
              </w:rPr>
              <w:t>28,6</w:t>
            </w:r>
          </w:p>
        </w:tc>
      </w:tr>
    </w:tbl>
    <w:p w14:paraId="5673FE55" w14:textId="1E35FA43" w:rsidR="0050494A" w:rsidRDefault="00376FAB" w:rsidP="006C11EE">
      <w:pPr>
        <w:pStyle w:val="Poznmka"/>
      </w:pPr>
      <w:r w:rsidRPr="00D36B67">
        <w:rPr>
          <w:b/>
        </w:rPr>
        <w:t>Zdroj:</w:t>
      </w:r>
      <w:r w:rsidR="00EC196F">
        <w:t xml:space="preserve"> </w:t>
      </w:r>
      <w:r w:rsidR="00D36B67" w:rsidRPr="007400FE">
        <w:rPr>
          <w:i/>
        </w:rPr>
        <w:t>Proměny věkového složení obyvatelstva</w:t>
      </w:r>
      <w:r w:rsidR="00D36B67" w:rsidRPr="00D36B67">
        <w:t>, Český statistický úřad, Praha 2019</w:t>
      </w:r>
      <w:r w:rsidR="00D36B67">
        <w:t>.</w:t>
      </w:r>
    </w:p>
    <w:p w14:paraId="2C2BAB33" w14:textId="77777777" w:rsidR="00D60EEE" w:rsidRDefault="00D60EEE" w:rsidP="00431C7E">
      <w:pPr>
        <w:spacing w:before="240"/>
      </w:pPr>
      <w:r>
        <w:t>Vzrůstající význam paliativní péče pak dokresluje výhled vývoje věkového složení obyvatelstva ČR zpracovaný Českým statistickým úřadem</w:t>
      </w:r>
      <w:r>
        <w:rPr>
          <w:rStyle w:val="Znakapoznpodarou"/>
        </w:rPr>
        <w:footnoteReference w:id="5"/>
      </w:r>
      <w:r>
        <w:t xml:space="preserve"> v roce 2019, který demonstruje stárnutí české populace, s nímž je spojen také nárůst výskytu chronických onemocnění.</w:t>
      </w:r>
    </w:p>
    <w:p w14:paraId="329804E9" w14:textId="323B3DA4" w:rsidR="00D60EEE" w:rsidRPr="00D36B67" w:rsidRDefault="00D60EEE" w:rsidP="00EC196F">
      <w:pPr>
        <w:pStyle w:val="Nzevtabulky"/>
        <w:spacing w:after="40"/>
        <w:ind w:left="1276" w:hanging="1276"/>
      </w:pPr>
      <w:r>
        <w:t>Náklady na jednotlivé složky paliativní péče hrazené z veřejného zdravotního pojištění (</w:t>
      </w:r>
      <w:r w:rsidR="00D31531">
        <w:t xml:space="preserve">na základě </w:t>
      </w:r>
      <w:r>
        <w:t>tzv. úhradové vyhlášky)</w:t>
      </w:r>
    </w:p>
    <w:tbl>
      <w:tblPr>
        <w:tblStyle w:val="Mkatabulky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891"/>
        <w:gridCol w:w="892"/>
        <w:gridCol w:w="892"/>
        <w:gridCol w:w="892"/>
        <w:gridCol w:w="892"/>
        <w:gridCol w:w="892"/>
      </w:tblGrid>
      <w:tr w:rsidR="00D60EEE" w:rsidRPr="00D60EEE" w14:paraId="09E21C67" w14:textId="77777777" w:rsidTr="003B2BB9">
        <w:trPr>
          <w:trHeight w:val="170"/>
        </w:trPr>
        <w:tc>
          <w:tcPr>
            <w:tcW w:w="2000" w:type="pct"/>
            <w:shd w:val="clear" w:color="auto" w:fill="E5F1FF"/>
            <w:vAlign w:val="center"/>
          </w:tcPr>
          <w:p w14:paraId="61AD4719" w14:textId="77777777" w:rsidR="00D60EEE" w:rsidRPr="00D60EEE" w:rsidRDefault="00D60EEE" w:rsidP="00EC196F">
            <w:pPr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480" w:type="pct"/>
            <w:shd w:val="clear" w:color="auto" w:fill="E5F1FF"/>
            <w:vAlign w:val="center"/>
          </w:tcPr>
          <w:p w14:paraId="4F8D64F8" w14:textId="1F720241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2017</w:t>
            </w:r>
          </w:p>
        </w:tc>
        <w:tc>
          <w:tcPr>
            <w:tcW w:w="480" w:type="pct"/>
            <w:shd w:val="clear" w:color="auto" w:fill="E5F1FF"/>
            <w:vAlign w:val="center"/>
          </w:tcPr>
          <w:p w14:paraId="7E676498" w14:textId="73CD2C6F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2018</w:t>
            </w:r>
          </w:p>
        </w:tc>
        <w:tc>
          <w:tcPr>
            <w:tcW w:w="480" w:type="pct"/>
            <w:shd w:val="clear" w:color="auto" w:fill="E5F1FF"/>
            <w:vAlign w:val="center"/>
          </w:tcPr>
          <w:p w14:paraId="5F8B07A3" w14:textId="212EA0B4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2019</w:t>
            </w:r>
          </w:p>
        </w:tc>
        <w:tc>
          <w:tcPr>
            <w:tcW w:w="480" w:type="pct"/>
            <w:shd w:val="clear" w:color="auto" w:fill="E5F1FF"/>
            <w:vAlign w:val="center"/>
          </w:tcPr>
          <w:p w14:paraId="73B0F21F" w14:textId="14D7CEF8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2020</w:t>
            </w:r>
          </w:p>
        </w:tc>
        <w:tc>
          <w:tcPr>
            <w:tcW w:w="480" w:type="pct"/>
            <w:shd w:val="clear" w:color="auto" w:fill="E5F1FF"/>
            <w:vAlign w:val="center"/>
          </w:tcPr>
          <w:p w14:paraId="66457D68" w14:textId="362BAEB3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2021</w:t>
            </w:r>
          </w:p>
        </w:tc>
        <w:tc>
          <w:tcPr>
            <w:tcW w:w="480" w:type="pct"/>
            <w:shd w:val="clear" w:color="auto" w:fill="E5F1FF"/>
            <w:vAlign w:val="center"/>
          </w:tcPr>
          <w:p w14:paraId="12E8D939" w14:textId="44D9E21E" w:rsidR="00D60EEE" w:rsidRPr="00D60EEE" w:rsidRDefault="00D60EEE" w:rsidP="00EC196F">
            <w:pPr>
              <w:spacing w:after="0"/>
              <w:jc w:val="center"/>
              <w:rPr>
                <w:b/>
                <w:sz w:val="20"/>
              </w:rPr>
            </w:pPr>
            <w:r w:rsidRPr="00D60EEE">
              <w:rPr>
                <w:b/>
                <w:sz w:val="20"/>
              </w:rPr>
              <w:t>2022</w:t>
            </w:r>
          </w:p>
        </w:tc>
      </w:tr>
      <w:tr w:rsidR="00D60EEE" w:rsidRPr="00D60EEE" w14:paraId="7661E61D" w14:textId="77777777" w:rsidTr="003B2BB9">
        <w:trPr>
          <w:trHeight w:val="170"/>
        </w:trPr>
        <w:tc>
          <w:tcPr>
            <w:tcW w:w="2000" w:type="pct"/>
            <w:vAlign w:val="center"/>
          </w:tcPr>
          <w:p w14:paraId="426853D7" w14:textId="261652A7" w:rsidR="00D60EEE" w:rsidRPr="00D60EEE" w:rsidRDefault="00D60EEE" w:rsidP="00EC196F">
            <w:pPr>
              <w:spacing w:after="0"/>
              <w:jc w:val="left"/>
              <w:rPr>
                <w:sz w:val="20"/>
              </w:rPr>
            </w:pPr>
            <w:r w:rsidRPr="00D60EEE">
              <w:rPr>
                <w:sz w:val="20"/>
              </w:rPr>
              <w:t>Domácí paliativní péče o pacienta v</w:t>
            </w:r>
            <w:r w:rsidR="00EC196F">
              <w:rPr>
                <w:sz w:val="20"/>
              </w:rPr>
              <w:t> </w:t>
            </w:r>
            <w:r w:rsidRPr="00D60EEE">
              <w:rPr>
                <w:sz w:val="20"/>
              </w:rPr>
              <w:t xml:space="preserve">terminálním stavu (odbornost 926) </w:t>
            </w:r>
            <w:r w:rsidR="00EC196F">
              <w:rPr>
                <w:sz w:val="20"/>
              </w:rPr>
              <w:br/>
            </w:r>
            <w:r w:rsidRPr="00D60EEE">
              <w:rPr>
                <w:sz w:val="20"/>
              </w:rPr>
              <w:t>v tis. Kč</w:t>
            </w:r>
          </w:p>
        </w:tc>
        <w:tc>
          <w:tcPr>
            <w:tcW w:w="480" w:type="pct"/>
            <w:vAlign w:val="center"/>
          </w:tcPr>
          <w:p w14:paraId="37653054" w14:textId="0C477046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3FFBDC75" w14:textId="2BAAF7FC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22 784</w:t>
            </w:r>
          </w:p>
        </w:tc>
        <w:tc>
          <w:tcPr>
            <w:tcW w:w="480" w:type="pct"/>
            <w:vAlign w:val="center"/>
          </w:tcPr>
          <w:p w14:paraId="3C455B75" w14:textId="58F84E1F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70 133</w:t>
            </w:r>
          </w:p>
        </w:tc>
        <w:tc>
          <w:tcPr>
            <w:tcW w:w="480" w:type="pct"/>
            <w:vAlign w:val="center"/>
          </w:tcPr>
          <w:p w14:paraId="4BD26102" w14:textId="48D9D15B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148 686</w:t>
            </w:r>
          </w:p>
        </w:tc>
        <w:tc>
          <w:tcPr>
            <w:tcW w:w="480" w:type="pct"/>
            <w:vAlign w:val="center"/>
          </w:tcPr>
          <w:p w14:paraId="60E06AD5" w14:textId="67415E95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215 890</w:t>
            </w:r>
          </w:p>
        </w:tc>
        <w:tc>
          <w:tcPr>
            <w:tcW w:w="480" w:type="pct"/>
            <w:vAlign w:val="center"/>
          </w:tcPr>
          <w:p w14:paraId="1C6F56CE" w14:textId="51D661C1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218 167</w:t>
            </w:r>
          </w:p>
        </w:tc>
      </w:tr>
      <w:tr w:rsidR="00D60EEE" w:rsidRPr="00D60EEE" w14:paraId="31D04990" w14:textId="77777777" w:rsidTr="003B2BB9">
        <w:trPr>
          <w:trHeight w:val="170"/>
        </w:trPr>
        <w:tc>
          <w:tcPr>
            <w:tcW w:w="2000" w:type="pct"/>
            <w:vAlign w:val="center"/>
          </w:tcPr>
          <w:p w14:paraId="24C5D91A" w14:textId="6D12FA78" w:rsidR="00D60EEE" w:rsidRPr="00D60EEE" w:rsidRDefault="00D60EEE" w:rsidP="00EC196F">
            <w:pPr>
              <w:spacing w:after="0"/>
              <w:jc w:val="left"/>
              <w:rPr>
                <w:sz w:val="20"/>
              </w:rPr>
            </w:pPr>
            <w:r w:rsidRPr="00D60EEE">
              <w:rPr>
                <w:sz w:val="20"/>
              </w:rPr>
              <w:t>Lůžka ve speciálních lůžkových zařízeních hospicového typu (OD 00030</w:t>
            </w:r>
            <w:r w:rsidR="00CB3B25">
              <w:rPr>
                <w:sz w:val="20"/>
              </w:rPr>
              <w:t>*</w:t>
            </w:r>
            <w:r w:rsidRPr="00D60EEE">
              <w:rPr>
                <w:sz w:val="20"/>
              </w:rPr>
              <w:t>) v tis. Kč</w:t>
            </w:r>
          </w:p>
        </w:tc>
        <w:tc>
          <w:tcPr>
            <w:tcW w:w="480" w:type="pct"/>
            <w:vAlign w:val="center"/>
          </w:tcPr>
          <w:p w14:paraId="552689F1" w14:textId="13BEAE7A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198 775</w:t>
            </w:r>
          </w:p>
        </w:tc>
        <w:tc>
          <w:tcPr>
            <w:tcW w:w="480" w:type="pct"/>
            <w:vAlign w:val="center"/>
          </w:tcPr>
          <w:p w14:paraId="4286D80A" w14:textId="153844C1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224 055</w:t>
            </w:r>
          </w:p>
        </w:tc>
        <w:tc>
          <w:tcPr>
            <w:tcW w:w="480" w:type="pct"/>
            <w:vAlign w:val="center"/>
          </w:tcPr>
          <w:p w14:paraId="4A1ACA47" w14:textId="2AB27010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260 631</w:t>
            </w:r>
          </w:p>
        </w:tc>
        <w:tc>
          <w:tcPr>
            <w:tcW w:w="480" w:type="pct"/>
            <w:vAlign w:val="center"/>
          </w:tcPr>
          <w:p w14:paraId="00CEED0C" w14:textId="1A81E863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320 212</w:t>
            </w:r>
          </w:p>
        </w:tc>
        <w:tc>
          <w:tcPr>
            <w:tcW w:w="480" w:type="pct"/>
            <w:vAlign w:val="center"/>
          </w:tcPr>
          <w:p w14:paraId="1D68A460" w14:textId="04BCD7E3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341 950</w:t>
            </w:r>
          </w:p>
        </w:tc>
        <w:tc>
          <w:tcPr>
            <w:tcW w:w="480" w:type="pct"/>
            <w:vAlign w:val="center"/>
          </w:tcPr>
          <w:p w14:paraId="5276C780" w14:textId="3145403A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 w:rsidRPr="00D60EEE">
              <w:rPr>
                <w:sz w:val="20"/>
              </w:rPr>
              <w:t>361</w:t>
            </w:r>
            <w:r>
              <w:rPr>
                <w:sz w:val="20"/>
              </w:rPr>
              <w:t xml:space="preserve"> </w:t>
            </w:r>
            <w:r w:rsidRPr="00D60EEE">
              <w:rPr>
                <w:sz w:val="20"/>
              </w:rPr>
              <w:t>966</w:t>
            </w:r>
          </w:p>
        </w:tc>
      </w:tr>
      <w:tr w:rsidR="00D60EEE" w:rsidRPr="00D60EEE" w14:paraId="04CC47FD" w14:textId="77777777" w:rsidTr="003B2BB9">
        <w:trPr>
          <w:trHeight w:val="170"/>
        </w:trPr>
        <w:tc>
          <w:tcPr>
            <w:tcW w:w="2000" w:type="pct"/>
            <w:vAlign w:val="center"/>
          </w:tcPr>
          <w:p w14:paraId="1EA2E332" w14:textId="7BE052DB" w:rsidR="00D60EEE" w:rsidRPr="00D60EEE" w:rsidRDefault="00D60EEE" w:rsidP="00EC196F">
            <w:pPr>
              <w:spacing w:after="0"/>
              <w:jc w:val="left"/>
              <w:rPr>
                <w:sz w:val="20"/>
              </w:rPr>
            </w:pPr>
            <w:r w:rsidRPr="00D60EEE">
              <w:rPr>
                <w:sz w:val="20"/>
              </w:rPr>
              <w:t>Bonifikace paliativních týmů v tis. Kč</w:t>
            </w:r>
            <w:r w:rsidR="00F81CEB">
              <w:rPr>
                <w:sz w:val="20"/>
              </w:rPr>
              <w:t>*</w:t>
            </w:r>
            <w:r w:rsidR="00CB3B25">
              <w:rPr>
                <w:sz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9F2AC62" w14:textId="7B1D4A6C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1DCC26C9" w14:textId="2DBD078C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3BF8B82C" w14:textId="47D75881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4FBE50F1" w14:textId="2B6B341E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5334090A" w14:textId="4ABB21EA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0" w:type="pct"/>
            <w:vAlign w:val="center"/>
          </w:tcPr>
          <w:p w14:paraId="0E4B9628" w14:textId="24A1CF69" w:rsidR="00D60EEE" w:rsidRPr="00D60EEE" w:rsidRDefault="00D60EEE" w:rsidP="00EC196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45 322</w:t>
            </w:r>
          </w:p>
        </w:tc>
      </w:tr>
      <w:tr w:rsidR="00D60EEE" w:rsidRPr="00D60EEE" w14:paraId="29ECF549" w14:textId="77777777" w:rsidTr="003B2BB9">
        <w:trPr>
          <w:trHeight w:val="113"/>
        </w:trPr>
        <w:tc>
          <w:tcPr>
            <w:tcW w:w="2000" w:type="pct"/>
            <w:shd w:val="clear" w:color="auto" w:fill="F2C6C9"/>
            <w:noWrap/>
            <w:vAlign w:val="center"/>
          </w:tcPr>
          <w:p w14:paraId="4F7136EA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lef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Celkem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455488C6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198 775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570FDEA2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246 839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16DCCA5D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330 764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2F4C1FA3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468 898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16667F7E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557 840</w:t>
            </w:r>
          </w:p>
        </w:tc>
        <w:tc>
          <w:tcPr>
            <w:tcW w:w="480" w:type="pct"/>
            <w:shd w:val="clear" w:color="auto" w:fill="F2C6C9"/>
            <w:noWrap/>
            <w:vAlign w:val="center"/>
          </w:tcPr>
          <w:p w14:paraId="7535BEFD" w14:textId="77777777" w:rsidR="00D60EEE" w:rsidRPr="00D60EEE" w:rsidRDefault="00D60EEE" w:rsidP="00EC196F">
            <w:pPr>
              <w:widowControl/>
              <w:autoSpaceDE/>
              <w:autoSpaceDN/>
              <w:adjustRightInd/>
              <w:spacing w:after="0"/>
              <w:jc w:val="right"/>
              <w:rPr>
                <w:rFonts w:cs="Calibri"/>
                <w:b/>
                <w:color w:val="000000"/>
                <w:sz w:val="20"/>
              </w:rPr>
            </w:pPr>
            <w:r w:rsidRPr="00D60EEE">
              <w:rPr>
                <w:rFonts w:cs="Calibri"/>
                <w:b/>
                <w:color w:val="000000"/>
                <w:sz w:val="20"/>
              </w:rPr>
              <w:t>625 455</w:t>
            </w:r>
          </w:p>
        </w:tc>
      </w:tr>
    </w:tbl>
    <w:p w14:paraId="2014CDEE" w14:textId="26A6353D" w:rsidR="0042646F" w:rsidRDefault="00D60EEE" w:rsidP="006C11EE">
      <w:pPr>
        <w:pStyle w:val="Poznmka"/>
      </w:pPr>
      <w:r w:rsidRPr="00D60EEE">
        <w:rPr>
          <w:b/>
        </w:rPr>
        <w:t>Zdroj:</w:t>
      </w:r>
      <w:r w:rsidR="00EC196F">
        <w:rPr>
          <w:b/>
        </w:rPr>
        <w:t xml:space="preserve"> </w:t>
      </w:r>
      <w:r w:rsidRPr="00D60EEE">
        <w:t>Ministerstvo zdravotnictví.</w:t>
      </w:r>
    </w:p>
    <w:p w14:paraId="71C3514D" w14:textId="0F24D3B4" w:rsidR="00CB3B25" w:rsidRDefault="00CB3B25" w:rsidP="006C11EE">
      <w:pPr>
        <w:pStyle w:val="Poznmka"/>
      </w:pPr>
      <w:r w:rsidRPr="00F81CEB">
        <w:t>*</w:t>
      </w:r>
      <w:r>
        <w:tab/>
      </w:r>
      <w:r w:rsidRPr="00CB3B25">
        <w:t>Ošetřovací den na lůžkách ve speciálních zařízeních hospicového typu</w:t>
      </w:r>
      <w:r>
        <w:t>.</w:t>
      </w:r>
    </w:p>
    <w:p w14:paraId="1AD3B489" w14:textId="209063A6" w:rsidR="00F81CEB" w:rsidRDefault="00F81CEB" w:rsidP="006C11EE">
      <w:pPr>
        <w:pStyle w:val="Poznmka"/>
      </w:pPr>
      <w:r w:rsidRPr="00F81CEB">
        <w:t>*</w:t>
      </w:r>
      <w:r w:rsidR="00CB3B25">
        <w:t>*</w:t>
      </w:r>
      <w:r>
        <w:tab/>
        <w:t xml:space="preserve">Před rokem 2022 byly paliativní týmy hrazeny z fondů EU a na základě memoranda </w:t>
      </w:r>
      <w:proofErr w:type="spellStart"/>
      <w:r>
        <w:t>MZ</w:t>
      </w:r>
      <w:r w:rsidR="004F21B4">
        <w:t>d</w:t>
      </w:r>
      <w:proofErr w:type="spellEnd"/>
      <w:r>
        <w:t xml:space="preserve"> a zdravotních pojišťoven.</w:t>
      </w:r>
    </w:p>
    <w:p w14:paraId="7A65A729" w14:textId="5B00021E" w:rsidR="005E0EF9" w:rsidRDefault="00580842" w:rsidP="006C11EE">
      <w:pPr>
        <w:widowControl/>
        <w:spacing w:before="240"/>
      </w:pPr>
      <w:r>
        <w:t xml:space="preserve">V posledních letech se do úhrad za poskytovanou paliativní péči </w:t>
      </w:r>
      <w:r w:rsidR="004C6BB3">
        <w:t>stále</w:t>
      </w:r>
      <w:r>
        <w:t xml:space="preserve"> více zapojují prostředky veřejného zdravotního pojištění.</w:t>
      </w:r>
      <w:r w:rsidR="00E160EF">
        <w:t xml:space="preserve"> N</w:t>
      </w:r>
      <w:r w:rsidR="00D60EEE">
        <w:t>apříklad n</w:t>
      </w:r>
      <w:r>
        <w:t>áklady zdravotních pojišťoven na</w:t>
      </w:r>
      <w:r w:rsidR="001B3310">
        <w:t xml:space="preserve"> </w:t>
      </w:r>
      <w:r>
        <w:t>domácí paliativní péči byly v roce 202</w:t>
      </w:r>
      <w:r w:rsidR="007562CA">
        <w:t>2</w:t>
      </w:r>
      <w:r>
        <w:t xml:space="preserve"> ve srovnání s rokem 2018 téměř desetinásobné. </w:t>
      </w:r>
      <w:r w:rsidR="00D31531">
        <w:t xml:space="preserve">Náklady </w:t>
      </w:r>
      <w:r w:rsidR="00AB7148">
        <w:t>na</w:t>
      </w:r>
      <w:r w:rsidR="001B3310">
        <w:t xml:space="preserve"> </w:t>
      </w:r>
      <w:r>
        <w:t>lůžka ve</w:t>
      </w:r>
      <w:r w:rsidR="001B3310">
        <w:t xml:space="preserve"> </w:t>
      </w:r>
      <w:r>
        <w:t xml:space="preserve">speciálních lůžkových zařízeních hospicového typu </w:t>
      </w:r>
      <w:r w:rsidR="00AB7148">
        <w:t xml:space="preserve">hrazené z veřejného zdravotního </w:t>
      </w:r>
      <w:r w:rsidR="00AB7148">
        <w:lastRenderedPageBreak/>
        <w:t>pojištění</w:t>
      </w:r>
      <w:r>
        <w:t xml:space="preserve"> </w:t>
      </w:r>
      <w:r w:rsidR="00AB7148">
        <w:t xml:space="preserve">byly </w:t>
      </w:r>
      <w:r>
        <w:t>v roce 2017 ve výši 198,78 mil. Kč, v roce 202</w:t>
      </w:r>
      <w:r w:rsidR="007562CA">
        <w:t>2</w:t>
      </w:r>
      <w:r>
        <w:t xml:space="preserve"> už 3</w:t>
      </w:r>
      <w:r w:rsidR="007562CA">
        <w:t>61</w:t>
      </w:r>
      <w:r>
        <w:t>,9</w:t>
      </w:r>
      <w:r w:rsidR="007562CA">
        <w:t>7</w:t>
      </w:r>
      <w:r>
        <w:t xml:space="preserve"> mil. Kč. I</w:t>
      </w:r>
      <w:r w:rsidR="0077200B">
        <w:t> </w:t>
      </w:r>
      <w:r>
        <w:t>přes to však zůstává provoz hospiců z velké části kryt z darů, sbírek apod.</w:t>
      </w:r>
    </w:p>
    <w:p w14:paraId="7799E15D" w14:textId="6EF469F7" w:rsidR="00D412A8" w:rsidRDefault="00D412A8" w:rsidP="002B1A1A">
      <w:pPr>
        <w:keepNext/>
        <w:spacing w:after="0"/>
      </w:pPr>
      <w:r>
        <w:rPr>
          <w:szCs w:val="22"/>
        </w:rPr>
        <w:t xml:space="preserve">V kontrolovaném období let 2017 až 2021 </w:t>
      </w:r>
      <w:r w:rsidR="001B3310">
        <w:rPr>
          <w:szCs w:val="22"/>
        </w:rPr>
        <w:t xml:space="preserve">realizovalo </w:t>
      </w:r>
      <w:proofErr w:type="spellStart"/>
      <w:r w:rsidR="00302EB9">
        <w:rPr>
          <w:szCs w:val="22"/>
        </w:rPr>
        <w:t>MZ</w:t>
      </w:r>
      <w:r w:rsidR="001B3310">
        <w:rPr>
          <w:szCs w:val="22"/>
        </w:rPr>
        <w:t>d</w:t>
      </w:r>
      <w:proofErr w:type="spellEnd"/>
      <w:r w:rsidR="00302EB9">
        <w:rPr>
          <w:szCs w:val="22"/>
        </w:rPr>
        <w:t xml:space="preserve"> </w:t>
      </w:r>
      <w:r w:rsidR="00302EB9">
        <w:t xml:space="preserve">dva projekty spolufinancované z rozpočtu EU </w:t>
      </w:r>
      <w:r>
        <w:t xml:space="preserve">prostřednictvím OPZ </w:t>
      </w:r>
      <w:r w:rsidR="00302EB9">
        <w:t>zaměřené na mobilní specializovanou paliativní péči a na činnost paliativních týmů v nemocnicích akutní a následné péče.</w:t>
      </w:r>
      <w:r>
        <w:t xml:space="preserve"> Jednalo se o projekty:</w:t>
      </w:r>
    </w:p>
    <w:p w14:paraId="2B26E74A" w14:textId="3AC3119A" w:rsidR="00D412A8" w:rsidRDefault="00D412A8" w:rsidP="00D412A8">
      <w:pPr>
        <w:pStyle w:val="Odstavecseseznamem"/>
        <w:numPr>
          <w:ilvl w:val="0"/>
          <w:numId w:val="18"/>
        </w:numPr>
        <w:spacing w:after="0"/>
        <w:ind w:left="425" w:hanging="357"/>
      </w:pPr>
      <w:r>
        <w:t xml:space="preserve">reg. č. CZ.03.2.63/0.0/0.0/15_039/0007277 </w:t>
      </w:r>
      <w:r w:rsidRPr="007400FE">
        <w:rPr>
          <w:i/>
        </w:rPr>
        <w:t>Podpora paliativní péče – zvýšení dostupnosti zdravotních služeb v oblasti paliativní péče v nemocnicích akutní a následné péče</w:t>
      </w:r>
      <w:r>
        <w:t xml:space="preserve"> (dále také „Projekt 7277“);</w:t>
      </w:r>
    </w:p>
    <w:p w14:paraId="43E908F5" w14:textId="21DC258A" w:rsidR="00D412A8" w:rsidRDefault="00D412A8" w:rsidP="0069128A">
      <w:pPr>
        <w:pStyle w:val="Odstavecseseznamem"/>
        <w:numPr>
          <w:ilvl w:val="0"/>
          <w:numId w:val="18"/>
        </w:numPr>
        <w:ind w:left="425" w:hanging="357"/>
      </w:pPr>
      <w:r>
        <w:t xml:space="preserve">reg. č. CZ.03.2.63/0.0/0.0/15_039/0008214 </w:t>
      </w:r>
      <w:r w:rsidRPr="007400FE">
        <w:rPr>
          <w:i/>
        </w:rPr>
        <w:t>Podpora paliativní péče – zvýšení dostupnosti domácí specializované paliativní péče</w:t>
      </w:r>
      <w:r>
        <w:t xml:space="preserve"> (dále také „Projekt 8214“).</w:t>
      </w:r>
    </w:p>
    <w:p w14:paraId="062B33B5" w14:textId="1CBFF94E" w:rsidR="00575BC3" w:rsidRDefault="00575BC3" w:rsidP="00575BC3">
      <w:r w:rsidRPr="0069128A">
        <w:t xml:space="preserve">Cílem </w:t>
      </w:r>
      <w:r>
        <w:t>Projektu 7277</w:t>
      </w:r>
      <w:r w:rsidRPr="0069128A">
        <w:t xml:space="preserve"> bylo vytvořit prostředí pro zvýšení dostupnosti paliativní péče v</w:t>
      </w:r>
      <w:r>
        <w:t> </w:t>
      </w:r>
      <w:r w:rsidRPr="0069128A">
        <w:t xml:space="preserve">nemocnicích akutní, následné a dlouhodobé péče prostřednictvím vytvoření nového samostatného programu paliativní péče, nastavení a ověření metodik a standardů zveřejněných ve věstníku </w:t>
      </w:r>
      <w:proofErr w:type="spellStart"/>
      <w:r w:rsidRPr="0069128A">
        <w:t>MZ</w:t>
      </w:r>
      <w:r w:rsidR="001B3310">
        <w:t>d</w:t>
      </w:r>
      <w:proofErr w:type="spellEnd"/>
      <w:r>
        <w:t>. Celkové skutečné výdaje projektu byly 50,3 mil. Kč, přičemž</w:t>
      </w:r>
      <w:r w:rsidR="001B3310">
        <w:t xml:space="preserve"> </w:t>
      </w:r>
      <w:r>
        <w:t>ze</w:t>
      </w:r>
      <w:r w:rsidR="001B3310">
        <w:t xml:space="preserve"> </w:t>
      </w:r>
      <w:r>
        <w:t>státního rozpočtu bylo uhrazeno 11,3 mil. Kč a z rozpočtu EU 39,0 mil. Kč. Více než</w:t>
      </w:r>
      <w:r w:rsidR="001B3310">
        <w:t xml:space="preserve"> </w:t>
      </w:r>
      <w:r>
        <w:t xml:space="preserve">polovina výdajů směřovala na pilotní testování implementace programu paliativní péče přímo v nemocnicích. Tyto nemocnice </w:t>
      </w:r>
      <w:proofErr w:type="spellStart"/>
      <w:r>
        <w:t>MZ</w:t>
      </w:r>
      <w:r w:rsidR="00E0525F">
        <w:t>d</w:t>
      </w:r>
      <w:proofErr w:type="spellEnd"/>
      <w:r>
        <w:t xml:space="preserve"> vybír</w:t>
      </w:r>
      <w:r w:rsidR="00E0525F">
        <w:t>alo</w:t>
      </w:r>
      <w:r>
        <w:t xml:space="preserve"> a podpoř</w:t>
      </w:r>
      <w:r w:rsidR="00E0525F">
        <w:t>ilo</w:t>
      </w:r>
      <w:r>
        <w:t xml:space="preserve"> prostřednictvím dotačního řízení. Jednotlivé dotace v rozmezí </w:t>
      </w:r>
      <w:r w:rsidR="00857F6B">
        <w:t>od necelých 4,0</w:t>
      </w:r>
      <w:r>
        <w:t xml:space="preserve"> </w:t>
      </w:r>
      <w:r w:rsidR="00857F6B">
        <w:t>do</w:t>
      </w:r>
      <w:r>
        <w:t xml:space="preserve"> 4,9 mil. Kč </w:t>
      </w:r>
      <w:r w:rsidR="00E0525F">
        <w:t xml:space="preserve">poskytlo </w:t>
      </w:r>
      <w:proofErr w:type="spellStart"/>
      <w:r>
        <w:t>MZ</w:t>
      </w:r>
      <w:r w:rsidR="00E0525F">
        <w:t>d</w:t>
      </w:r>
      <w:proofErr w:type="spellEnd"/>
      <w:r>
        <w:t xml:space="preserve"> na</w:t>
      </w:r>
      <w:r w:rsidR="001B3310">
        <w:t xml:space="preserve"> </w:t>
      </w:r>
      <w:r>
        <w:t xml:space="preserve">fungování sedmi konziliárních týmů paliativní péče v celkem šesti nemocnicích. </w:t>
      </w:r>
    </w:p>
    <w:p w14:paraId="426B5655" w14:textId="0BCBECAC" w:rsidR="00575BC3" w:rsidRDefault="00575BC3" w:rsidP="00575BC3">
      <w:r>
        <w:rPr>
          <w:rFonts w:cstheme="minorHAnsi"/>
        </w:rPr>
        <w:t>Cílem Projektu 8214 bylo</w:t>
      </w:r>
      <w:r w:rsidRPr="000252F2">
        <w:rPr>
          <w:rFonts w:cstheme="minorHAnsi"/>
        </w:rPr>
        <w:t xml:space="preserve"> vytvořit prostředí pro rozvoj a zvýšení dostupnosti a standardizaci zdravotních služeb v oblasti domácí paliativní péče prostřednictvím vytvoření programu domácí paliativní péče, nastavení a ověření vytvořených metodik</w:t>
      </w:r>
      <w:r>
        <w:rPr>
          <w:rFonts w:cstheme="minorHAnsi"/>
        </w:rPr>
        <w:t xml:space="preserve">. </w:t>
      </w:r>
      <w:r>
        <w:t>Celkové skutečné výdaje projektu byly</w:t>
      </w:r>
      <w:r w:rsidR="00CA0E1E">
        <w:t xml:space="preserve"> necelých</w:t>
      </w:r>
      <w:r>
        <w:t xml:space="preserve"> 48,</w:t>
      </w:r>
      <w:r w:rsidR="00857F6B">
        <w:t>4</w:t>
      </w:r>
      <w:r w:rsidRPr="00CF3A14">
        <w:t xml:space="preserve"> mil. Kč</w:t>
      </w:r>
      <w:r>
        <w:t>, přičemž ze státního rozpočtu bylo uhrazeno</w:t>
      </w:r>
      <w:r w:rsidR="00CA0E1E">
        <w:t xml:space="preserve"> více než</w:t>
      </w:r>
      <w:r>
        <w:t xml:space="preserve"> 10,</w:t>
      </w:r>
      <w:r w:rsidR="00CA0E1E">
        <w:t>8</w:t>
      </w:r>
      <w:r w:rsidR="002B1A1A">
        <w:t> </w:t>
      </w:r>
      <w:r w:rsidRPr="00CF3A14">
        <w:t>mil.</w:t>
      </w:r>
      <w:r w:rsidR="002B1A1A">
        <w:t> </w:t>
      </w:r>
      <w:r w:rsidRPr="00CF3A14">
        <w:t>Kč</w:t>
      </w:r>
      <w:r>
        <w:t xml:space="preserve"> a z rozpočtu EU 37,5</w:t>
      </w:r>
      <w:r w:rsidRPr="00CF3A14">
        <w:t xml:space="preserve"> mil. Kč</w:t>
      </w:r>
      <w:r>
        <w:t>. Většina těchto finančních prostředků byla využita na dotace na pilotní testování poskytování mobilní specializované paliativní péče. Jednotlivé dotace v rozmezí 4,1</w:t>
      </w:r>
      <w:r w:rsidR="00857F6B">
        <w:t> </w:t>
      </w:r>
      <w:r>
        <w:t>až 4,8 mil. Kč</w:t>
      </w:r>
      <w:r w:rsidR="00E0525F" w:rsidRPr="00E0525F">
        <w:t xml:space="preserve"> </w:t>
      </w:r>
      <w:r w:rsidR="00E0525F">
        <w:t>poskytlo</w:t>
      </w:r>
      <w:r>
        <w:t xml:space="preserve"> </w:t>
      </w:r>
      <w:proofErr w:type="spellStart"/>
      <w:r>
        <w:t>MZ</w:t>
      </w:r>
      <w:r w:rsidR="00E0525F">
        <w:t>d</w:t>
      </w:r>
      <w:proofErr w:type="spellEnd"/>
      <w:r>
        <w:t xml:space="preserve"> celkem devíti organizacím.</w:t>
      </w:r>
    </w:p>
    <w:p w14:paraId="4415B9D7" w14:textId="63EB5045" w:rsidR="00222EFA" w:rsidRDefault="00440363" w:rsidP="00440363">
      <w:proofErr w:type="spellStart"/>
      <w:r>
        <w:t>MZ</w:t>
      </w:r>
      <w:r w:rsidR="00E0525F">
        <w:t>d</w:t>
      </w:r>
      <w:proofErr w:type="spellEnd"/>
      <w:r>
        <w:t xml:space="preserve"> v kontrolovaném období let 2017 až 2021 poskytovalo na podporu paliativní péče </w:t>
      </w:r>
      <w:r w:rsidR="00086E22">
        <w:t xml:space="preserve">také dotace ze státního rozpočtu, a to </w:t>
      </w:r>
      <w:r>
        <w:t xml:space="preserve">jak neinvestiční, tak investiční. Neinvestiční dotace byly poskytovány v rámci </w:t>
      </w:r>
      <w:bookmarkStart w:id="2" w:name="_Hlk140752527"/>
      <w:r w:rsidRPr="00310CCE">
        <w:rPr>
          <w:i/>
        </w:rPr>
        <w:t>Programu na podporu činnosti nestátních neziskových organizací působících v oblasti zdravotnictví vč. paliativní hospicové péče</w:t>
      </w:r>
      <w:r>
        <w:t xml:space="preserve"> v letech 2017 a 2018, resp. navazujícího </w:t>
      </w:r>
      <w:r w:rsidRPr="00310CCE">
        <w:rPr>
          <w:i/>
        </w:rPr>
        <w:t xml:space="preserve">Programu na podporu nestátních neziskových organizací pečujících o pacienty v terminálním stádiu onemocnění </w:t>
      </w:r>
      <w:bookmarkEnd w:id="2"/>
      <w:r>
        <w:t>vyhlašovaného od roku 2019 (dále společně také „PPNNO“), jehož</w:t>
      </w:r>
      <w:r w:rsidR="00E0525F">
        <w:t xml:space="preserve"> </w:t>
      </w:r>
      <w:r>
        <w:t xml:space="preserve">prostřednictvím bylo podpořeno </w:t>
      </w:r>
      <w:r w:rsidRPr="00440363">
        <w:t>pořizování</w:t>
      </w:r>
      <w:r w:rsidR="00DF155D">
        <w:t xml:space="preserve"> vybavení a</w:t>
      </w:r>
      <w:r w:rsidRPr="00440363">
        <w:t xml:space="preserve"> pomůcek, edukac</w:t>
      </w:r>
      <w:r w:rsidR="00BA710B">
        <w:t>e</w:t>
      </w:r>
      <w:r w:rsidRPr="00440363">
        <w:t xml:space="preserve"> pracovníků v</w:t>
      </w:r>
      <w:r w:rsidR="00203EB0">
        <w:t> </w:t>
      </w:r>
      <w:r w:rsidRPr="00440363">
        <w:t xml:space="preserve">těchto službách, ale </w:t>
      </w:r>
      <w:r w:rsidR="00DF155D">
        <w:t>také odborné i široké veřejnosti</w:t>
      </w:r>
      <w:r w:rsidRPr="00440363">
        <w:t xml:space="preserve"> atp</w:t>
      </w:r>
      <w:r>
        <w:t>.</w:t>
      </w:r>
      <w:r w:rsidR="00222EFA">
        <w:t xml:space="preserve"> </w:t>
      </w:r>
      <w:r w:rsidR="00DF155D">
        <w:t>Z PPNNO byl</w:t>
      </w:r>
      <w:r w:rsidR="006D1C31">
        <w:t>y</w:t>
      </w:r>
      <w:r w:rsidR="00DF155D">
        <w:t xml:space="preserve"> </w:t>
      </w:r>
      <w:r w:rsidR="006D1C31">
        <w:t>v letech 2017 až 2021 schváleny dotace v celkové částce 28,5 mil. Kč na realizaci 178 projektů. Z toho na</w:t>
      </w:r>
      <w:r w:rsidR="00DF155D">
        <w:t xml:space="preserve"> podporu paliativní péče</w:t>
      </w:r>
      <w:r w:rsidR="006D1C31">
        <w:t xml:space="preserve"> směřovalo </w:t>
      </w:r>
      <w:r w:rsidR="00086E22">
        <w:t xml:space="preserve">na </w:t>
      </w:r>
      <w:r w:rsidR="006D1C31">
        <w:t xml:space="preserve">163 projektů </w:t>
      </w:r>
      <w:r w:rsidR="00DF155D">
        <w:t>26,</w:t>
      </w:r>
      <w:r w:rsidR="00FE119E">
        <w:t>4</w:t>
      </w:r>
      <w:r w:rsidR="006D1C31">
        <w:t xml:space="preserve"> mil. Kč</w:t>
      </w:r>
      <w:r w:rsidR="006D1C31">
        <w:rPr>
          <w:rStyle w:val="Znakapoznpodarou"/>
        </w:rPr>
        <w:footnoteReference w:id="6"/>
      </w:r>
      <w:r w:rsidR="00DF155D">
        <w:t>.</w:t>
      </w:r>
    </w:p>
    <w:p w14:paraId="1B28B694" w14:textId="3169C947" w:rsidR="008B718A" w:rsidRPr="00310CCE" w:rsidRDefault="00440363" w:rsidP="00440363">
      <w:r>
        <w:t xml:space="preserve">Investiční dotace pod </w:t>
      </w:r>
      <w:r w:rsidR="00086E22">
        <w:t>PPNNO</w:t>
      </w:r>
      <w:r>
        <w:t xml:space="preserve"> také spadaly, ale samotné poskytování </w:t>
      </w:r>
      <w:r w:rsidR="00003D96">
        <w:t>této podpory</w:t>
      </w:r>
      <w:r>
        <w:t xml:space="preserve"> probíhalo prostřednictvím programu č. 135</w:t>
      </w:r>
      <w:r w:rsidR="00E0525F">
        <w:t> </w:t>
      </w:r>
      <w:r>
        <w:t>100</w:t>
      </w:r>
      <w:r w:rsidR="00E0525F">
        <w:t xml:space="preserve"> –</w:t>
      </w:r>
      <w:r>
        <w:t xml:space="preserve"> </w:t>
      </w:r>
      <w:r w:rsidRPr="00310CCE">
        <w:rPr>
          <w:i/>
        </w:rPr>
        <w:t>Podpora hospicové paliativní péče v</w:t>
      </w:r>
      <w:r>
        <w:rPr>
          <w:i/>
        </w:rPr>
        <w:t> </w:t>
      </w:r>
      <w:r w:rsidRPr="00310CCE">
        <w:rPr>
          <w:i/>
        </w:rPr>
        <w:t>ČR</w:t>
      </w:r>
      <w:r>
        <w:t>. Tento program byl zaměřen jak na rozvoj nemovitého majetku, tak</w:t>
      </w:r>
      <w:r w:rsidR="00E0525F">
        <w:t xml:space="preserve"> </w:t>
      </w:r>
      <w:r>
        <w:t>na</w:t>
      </w:r>
      <w:r w:rsidR="00E0525F">
        <w:t xml:space="preserve"> </w:t>
      </w:r>
      <w:r>
        <w:t>stroje a zařízení.</w:t>
      </w:r>
      <w:r w:rsidR="00B8218A">
        <w:t xml:space="preserve"> </w:t>
      </w:r>
      <w:r w:rsidR="00A12E43">
        <w:t>Jeho h</w:t>
      </w:r>
      <w:r w:rsidR="00B8218A">
        <w:t>lavním cílem je</w:t>
      </w:r>
      <w:r w:rsidR="00A12E43">
        <w:t xml:space="preserve"> dle dokumentace programu</w:t>
      </w:r>
      <w:r w:rsidR="00B8218A">
        <w:t xml:space="preserve"> zvýšení kapacity hospicových lůžek, a to dosažením kapacity </w:t>
      </w:r>
      <w:r w:rsidR="00B8218A">
        <w:lastRenderedPageBreak/>
        <w:t xml:space="preserve">hospicových lůžek v počtu </w:t>
      </w:r>
      <w:r w:rsidR="00707FDE">
        <w:t>pět</w:t>
      </w:r>
      <w:r w:rsidR="00B8218A">
        <w:t xml:space="preserve"> lůžek na 100 000 obyvatel, což pro ČR představuje kapacitu 516</w:t>
      </w:r>
      <w:r w:rsidR="00D726DB">
        <w:t> </w:t>
      </w:r>
      <w:r w:rsidR="00B8218A">
        <w:t>hospicových lůžek při dojezdové vzdálenosti doprovázejících osob do 50 km pro 90 % populace.</w:t>
      </w:r>
      <w:r w:rsidR="00222EFA">
        <w:t xml:space="preserve"> </w:t>
      </w:r>
      <w:r w:rsidR="008B718A">
        <w:t>Z programu č.</w:t>
      </w:r>
      <w:r w:rsidR="00086E22">
        <w:t> </w:t>
      </w:r>
      <w:r w:rsidR="008B718A">
        <w:t xml:space="preserve">135 100 má být </w:t>
      </w:r>
      <w:r w:rsidR="00086E22">
        <w:t xml:space="preserve">dle jeho dokumentace (ve znění </w:t>
      </w:r>
      <w:r w:rsidR="008B718A">
        <w:t>provedených změn</w:t>
      </w:r>
      <w:r w:rsidR="00086E22">
        <w:t>)</w:t>
      </w:r>
      <w:r w:rsidR="008B718A">
        <w:t xml:space="preserve"> za období realizace od</w:t>
      </w:r>
      <w:r w:rsidR="00CF5591">
        <w:t> </w:t>
      </w:r>
      <w:r w:rsidR="008B718A">
        <w:t>1.</w:t>
      </w:r>
      <w:r w:rsidR="00CF5591">
        <w:t> </w:t>
      </w:r>
      <w:r w:rsidR="008B718A">
        <w:t>1.</w:t>
      </w:r>
      <w:r w:rsidR="00CF5591">
        <w:t> </w:t>
      </w:r>
      <w:r w:rsidR="008B718A">
        <w:t>2017 až 30. 6. 2024 podpořen vznik 20 hospicových lůžek a</w:t>
      </w:r>
      <w:r w:rsidR="006354FA">
        <w:t> </w:t>
      </w:r>
      <w:r w:rsidR="008B718A">
        <w:t>pořízení 40 polohovacích lůžek, 16 zvedáků pro imobilní pacienty a čtyř dopravní</w:t>
      </w:r>
      <w:r w:rsidR="00086E22">
        <w:t>ch</w:t>
      </w:r>
      <w:r w:rsidR="008B718A">
        <w:t xml:space="preserve"> prostředk</w:t>
      </w:r>
      <w:r w:rsidR="00086E22">
        <w:t>ů</w:t>
      </w:r>
      <w:r w:rsidR="008B718A">
        <w:t>. Celková účast státního rozpočtu na financování tohoto programu má činit 80,5</w:t>
      </w:r>
      <w:r w:rsidR="00FE119E">
        <w:t> </w:t>
      </w:r>
      <w:r w:rsidR="008B718A">
        <w:t>mil. Kč.</w:t>
      </w:r>
      <w:r w:rsidR="00222EFA">
        <w:t xml:space="preserve"> </w:t>
      </w:r>
      <w:r w:rsidR="00F60DFE">
        <w:t xml:space="preserve">V kontrolovaném období </w:t>
      </w:r>
      <w:r w:rsidR="00222EFA">
        <w:t xml:space="preserve">let 2017 až 2021 </w:t>
      </w:r>
      <w:r w:rsidR="00F60DFE">
        <w:t>bylo v rámci dotačního řízení schváleno 26 žádostí celkem o 54,1 mil. Kč, nakonec však bylo podpořeno 20 akcí, na jejichž realizaci bylo</w:t>
      </w:r>
      <w:r w:rsidR="00222EFA">
        <w:t xml:space="preserve"> z tohoto programu skutečně vyčerpáno</w:t>
      </w:r>
      <w:r w:rsidR="00086E22">
        <w:t xml:space="preserve"> pouze</w:t>
      </w:r>
      <w:r w:rsidR="00222EFA">
        <w:t xml:space="preserve"> 5,</w:t>
      </w:r>
      <w:r w:rsidR="00FE119E">
        <w:t>1</w:t>
      </w:r>
      <w:r w:rsidR="00222EFA">
        <w:t xml:space="preserve"> mil. Kč.</w:t>
      </w:r>
    </w:p>
    <w:p w14:paraId="07EAD3D7" w14:textId="0D5030AF" w:rsidR="00AC4A97" w:rsidRDefault="00440363" w:rsidP="00440363">
      <w:r>
        <w:t xml:space="preserve">Mezi další neinvestiční programy, které alespoň částečně cílily na podporu paliativní péče patřily </w:t>
      </w:r>
      <w:bookmarkStart w:id="3" w:name="_Hlk142995816"/>
      <w:r w:rsidRPr="000562E5">
        <w:rPr>
          <w:i/>
        </w:rPr>
        <w:t>Rozvojové projekty zdravotní péče</w:t>
      </w:r>
      <w:bookmarkEnd w:id="3"/>
      <w:r>
        <w:t>. Ty však nebyly systémovým nástrojem</w:t>
      </w:r>
      <w:r w:rsidRPr="00F81CEB">
        <w:rPr>
          <w:sz w:val="22"/>
        </w:rPr>
        <w:t xml:space="preserve"> </w:t>
      </w:r>
      <w:r>
        <w:t>a spolufinancovány z nich byly projekty dle priorit stanovených vždy pro konkrétní rok.</w:t>
      </w:r>
      <w:r w:rsidR="00003D96">
        <w:rPr>
          <w:rStyle w:val="Znakapoznpodarou"/>
        </w:rPr>
        <w:footnoteReference w:id="7"/>
      </w:r>
      <w:r w:rsidR="00003D96">
        <w:t xml:space="preserve"> </w:t>
      </w:r>
    </w:p>
    <w:p w14:paraId="0C76732B" w14:textId="4229ECCE" w:rsidR="0079359F" w:rsidRDefault="0079359F" w:rsidP="002B1A1A">
      <w:pPr>
        <w:spacing w:after="600"/>
      </w:pPr>
      <w:r w:rsidRPr="0079359F">
        <w:t>Paliativní péče je oblast zdravotních služeb, která se dynamicky rozvíjí a jejíž význam, a to i</w:t>
      </w:r>
      <w:r w:rsidR="00857F6B">
        <w:t> </w:t>
      </w:r>
      <w:r w:rsidRPr="0079359F">
        <w:t>finanční, narůstá.</w:t>
      </w:r>
      <w:r w:rsidR="00707FDE">
        <w:t xml:space="preserve"> </w:t>
      </w:r>
      <w:r>
        <w:t xml:space="preserve">V </w:t>
      </w:r>
      <w:r w:rsidRPr="0079359F">
        <w:t xml:space="preserve">ČR však stále chybí ucelená koncepce paliativní péče, kde by </w:t>
      </w:r>
      <w:proofErr w:type="spellStart"/>
      <w:r w:rsidRPr="0079359F">
        <w:t>MZ</w:t>
      </w:r>
      <w:r w:rsidR="00707FDE">
        <w:t>d</w:t>
      </w:r>
      <w:proofErr w:type="spellEnd"/>
      <w:r w:rsidRPr="0079359F">
        <w:t xml:space="preserve"> jasně definovalo, jak by měl probíhat rozvoj této oblasti, a to včetně finančního a časového rámce jeho zabezpečení. </w:t>
      </w:r>
      <w:proofErr w:type="spellStart"/>
      <w:r w:rsidRPr="002426A1">
        <w:t>MZ</w:t>
      </w:r>
      <w:r w:rsidR="00707FDE">
        <w:t>d</w:t>
      </w:r>
      <w:proofErr w:type="spellEnd"/>
      <w:r w:rsidRPr="002426A1">
        <w:t xml:space="preserve"> se pouze částečně této oblasti věnovalo ve </w:t>
      </w:r>
      <w:r w:rsidRPr="002426A1">
        <w:rPr>
          <w:i/>
        </w:rPr>
        <w:t>Zdraví 2030 – Strategickém rámci rozvoje péče o zdraví v České republice do roku 2030</w:t>
      </w:r>
      <w:r w:rsidRPr="002426A1">
        <w:t xml:space="preserve">, kde bylo definováno několik dílčích úkolů, a dále pak v </w:t>
      </w:r>
      <w:r w:rsidRPr="002426A1">
        <w:rPr>
          <w:i/>
        </w:rPr>
        <w:t>Národním onkologickém plánu ČR 2030 – Ministerstvo zdravotnictví</w:t>
      </w:r>
      <w:r w:rsidRPr="002426A1">
        <w:t>.</w:t>
      </w:r>
    </w:p>
    <w:p w14:paraId="5D795C4E" w14:textId="0E45EFA3" w:rsidR="006C54D7" w:rsidRDefault="002B1A1A" w:rsidP="002B1A1A">
      <w:pPr>
        <w:pStyle w:val="Nadpis1"/>
        <w:numPr>
          <w:ilvl w:val="0"/>
          <w:numId w:val="0"/>
        </w:numPr>
        <w:ind w:left="360"/>
      </w:pPr>
      <w:r>
        <w:t xml:space="preserve">III. </w:t>
      </w:r>
      <w:r w:rsidR="00E620F7">
        <w:t>Rozsah kontroly</w:t>
      </w:r>
    </w:p>
    <w:p w14:paraId="52A74ECE" w14:textId="77777777" w:rsidR="00A12E43" w:rsidRDefault="00A76477" w:rsidP="00A12E43">
      <w:pPr>
        <w:spacing w:after="120"/>
        <w:rPr>
          <w:rFonts w:cstheme="minorHAnsi"/>
        </w:rPr>
      </w:pPr>
      <w:r>
        <w:rPr>
          <w:rFonts w:eastAsia="Calibri" w:cs="Calibri"/>
        </w:rPr>
        <w:t xml:space="preserve">NKÚ prověřil, </w:t>
      </w:r>
      <w:r>
        <w:rPr>
          <w:rFonts w:cstheme="minorHAnsi"/>
        </w:rPr>
        <w:t xml:space="preserve">zda byly peněžní prostředky </w:t>
      </w:r>
      <w:r w:rsidR="00150CC4">
        <w:rPr>
          <w:rFonts w:cstheme="minorHAnsi"/>
        </w:rPr>
        <w:t xml:space="preserve">vynakládané v souvislosti s paliativní péčí použity </w:t>
      </w:r>
      <w:r>
        <w:rPr>
          <w:rFonts w:cstheme="minorHAnsi"/>
        </w:rPr>
        <w:t>účelně a v souladu s právními předpisy.</w:t>
      </w:r>
    </w:p>
    <w:p w14:paraId="0D58FE64" w14:textId="247AF14C" w:rsidR="00D53B02" w:rsidRPr="00A12E43" w:rsidRDefault="00D53B02" w:rsidP="00A12E43">
      <w:pPr>
        <w:spacing w:after="120"/>
        <w:rPr>
          <w:rFonts w:cstheme="minorHAnsi"/>
        </w:rPr>
      </w:pPr>
      <w:r>
        <w:t>Prověřeny byly</w:t>
      </w:r>
      <w:r w:rsidR="00750E38">
        <w:t xml:space="preserve"> na </w:t>
      </w:r>
      <w:proofErr w:type="spellStart"/>
      <w:r w:rsidR="00750E38">
        <w:t>MZ</w:t>
      </w:r>
      <w:r w:rsidR="00707FDE">
        <w:t>d</w:t>
      </w:r>
      <w:proofErr w:type="spellEnd"/>
      <w:r w:rsidR="00707293">
        <w:t xml:space="preserve"> </w:t>
      </w:r>
      <w:r w:rsidR="00D73369">
        <w:t>Projekt 7277 a Projekt 8214</w:t>
      </w:r>
      <w:r w:rsidR="008049FB">
        <w:t>, které byly</w:t>
      </w:r>
      <w:r w:rsidR="00D73369">
        <w:t xml:space="preserve"> </w:t>
      </w:r>
      <w:r>
        <w:t>podpořen</w:t>
      </w:r>
      <w:r w:rsidR="008049FB">
        <w:t>y</w:t>
      </w:r>
      <w:r>
        <w:t xml:space="preserve"> </w:t>
      </w:r>
      <w:r w:rsidR="00D73369">
        <w:t xml:space="preserve">z rozpočtu EU </w:t>
      </w:r>
      <w:r>
        <w:t>prostřednictvím OPZ</w:t>
      </w:r>
      <w:r w:rsidR="00707293">
        <w:t xml:space="preserve"> s celkovými výdaji dosahujícími téměř </w:t>
      </w:r>
      <w:r w:rsidR="004E5369">
        <w:t>9</w:t>
      </w:r>
      <w:r w:rsidR="00857F6B">
        <w:t>8,7</w:t>
      </w:r>
      <w:r w:rsidR="00707293">
        <w:t xml:space="preserve"> mil. Kč</w:t>
      </w:r>
      <w:r w:rsidR="00D73369">
        <w:t>. Příjemcem podpory</w:t>
      </w:r>
      <w:r w:rsidR="00A12E43">
        <w:t xml:space="preserve"> bylo </w:t>
      </w:r>
      <w:proofErr w:type="spellStart"/>
      <w:r w:rsidR="00A12E43">
        <w:t>MZ</w:t>
      </w:r>
      <w:r w:rsidR="00707FDE">
        <w:t>d</w:t>
      </w:r>
      <w:proofErr w:type="spellEnd"/>
      <w:r w:rsidR="00D73369">
        <w:t>, které</w:t>
      </w:r>
      <w:r w:rsidR="00707FDE">
        <w:t xml:space="preserve"> </w:t>
      </w:r>
      <w:r w:rsidR="00D73369">
        <w:t>jejich p</w:t>
      </w:r>
      <w:r w:rsidR="00A12E43">
        <w:t>rostřednictvím chtělo</w:t>
      </w:r>
      <w:r w:rsidR="00CC63EA">
        <w:t xml:space="preserve"> zvýšit dostupnost nemocniční a domácí specializované paliativní péče</w:t>
      </w:r>
      <w:r w:rsidR="007B0786">
        <w:t xml:space="preserve">. NKÚ se zaměřil na </w:t>
      </w:r>
      <w:r w:rsidR="00CE644B">
        <w:t xml:space="preserve">kontrolu </w:t>
      </w:r>
      <w:r>
        <w:t>soulad</w:t>
      </w:r>
      <w:r w:rsidR="00CE644B">
        <w:t>u</w:t>
      </w:r>
      <w:r>
        <w:t xml:space="preserve"> s právními předpisy</w:t>
      </w:r>
      <w:r w:rsidR="00D73369">
        <w:t xml:space="preserve">, plnění </w:t>
      </w:r>
      <w:r>
        <w:t>podmín</w:t>
      </w:r>
      <w:r w:rsidR="00D73369">
        <w:t>e</w:t>
      </w:r>
      <w:r>
        <w:t>k pro použití prostředků</w:t>
      </w:r>
      <w:r w:rsidR="00D73369">
        <w:t xml:space="preserve"> a na</w:t>
      </w:r>
      <w:r>
        <w:t>plnění stanovených cílů.</w:t>
      </w:r>
      <w:r w:rsidR="007B0786">
        <w:t xml:space="preserve"> V rámci těchto projektů </w:t>
      </w:r>
      <w:proofErr w:type="spellStart"/>
      <w:r w:rsidR="007B0786">
        <w:t>MZ</w:t>
      </w:r>
      <w:r w:rsidR="00707FDE">
        <w:t>d</w:t>
      </w:r>
      <w:proofErr w:type="spellEnd"/>
      <w:r w:rsidR="00CC63EA">
        <w:t xml:space="preserve"> </w:t>
      </w:r>
      <w:r w:rsidR="007B0786">
        <w:t>poskytovalo dotace hospicům a</w:t>
      </w:r>
      <w:r w:rsidR="00D73369">
        <w:t> </w:t>
      </w:r>
      <w:r w:rsidR="007B0786">
        <w:t>nemocnicím, které byly konečnými příjemci části prostředků. NKÚ prověřil proces poskytování dotací, a to jak samotné rozhodování o</w:t>
      </w:r>
      <w:r w:rsidR="00CC63EA">
        <w:t> </w:t>
      </w:r>
      <w:r w:rsidR="007B0786">
        <w:t xml:space="preserve">přidělení dotací, tak i jejich administraci na </w:t>
      </w:r>
      <w:r w:rsidR="00F91B89">
        <w:t>šesti</w:t>
      </w:r>
      <w:r w:rsidR="007B0786">
        <w:t xml:space="preserve"> </w:t>
      </w:r>
      <w:r w:rsidR="00D73369">
        <w:t>těchto</w:t>
      </w:r>
      <w:r w:rsidR="007B0786">
        <w:t xml:space="preserve"> projektech.</w:t>
      </w:r>
    </w:p>
    <w:p w14:paraId="2A23EAA4" w14:textId="6073621C" w:rsidR="00D53B02" w:rsidRDefault="007B0786" w:rsidP="00A73978">
      <w:r>
        <w:t xml:space="preserve">NKÚ </w:t>
      </w:r>
      <w:r w:rsidR="00707293">
        <w:t>kontroloval</w:t>
      </w:r>
      <w:r>
        <w:t xml:space="preserve"> také dota</w:t>
      </w:r>
      <w:r w:rsidR="00A45010">
        <w:t xml:space="preserve">ční programy </w:t>
      </w:r>
      <w:proofErr w:type="spellStart"/>
      <w:r w:rsidR="00A45010">
        <w:t>MZ</w:t>
      </w:r>
      <w:r w:rsidR="00707FDE">
        <w:t>d</w:t>
      </w:r>
      <w:proofErr w:type="spellEnd"/>
      <w:r>
        <w:t xml:space="preserve"> </w:t>
      </w:r>
      <w:r w:rsidR="00A73978">
        <w:t xml:space="preserve">zaměřené na paliativní péči </w:t>
      </w:r>
      <w:r>
        <w:t>plně financované ze</w:t>
      </w:r>
      <w:r w:rsidR="00FE119E">
        <w:t> </w:t>
      </w:r>
      <w:r>
        <w:t>státního rozpočtu</w:t>
      </w:r>
      <w:r w:rsidR="00707293">
        <w:t xml:space="preserve">. </w:t>
      </w:r>
      <w:r w:rsidR="00E757BA">
        <w:t>Jednalo se</w:t>
      </w:r>
      <w:r w:rsidR="006D1C31">
        <w:t xml:space="preserve"> jak o neinvestiční PPNNO, tak o</w:t>
      </w:r>
      <w:r w:rsidR="00E757BA">
        <w:t xml:space="preserve"> investiční program č. 135 100.</w:t>
      </w:r>
      <w:r>
        <w:t xml:space="preserve"> </w:t>
      </w:r>
      <w:r w:rsidR="00A73978">
        <w:t>Prověřován</w:t>
      </w:r>
      <w:r w:rsidR="00A45010">
        <w:t xml:space="preserve"> byl proces</w:t>
      </w:r>
      <w:r w:rsidR="00553AB2">
        <w:t xml:space="preserve"> </w:t>
      </w:r>
      <w:r w:rsidR="00A45010">
        <w:t>při</w:t>
      </w:r>
      <w:r w:rsidR="00553AB2">
        <w:t>dělování</w:t>
      </w:r>
      <w:r w:rsidR="00F60DFE">
        <w:t xml:space="preserve"> </w:t>
      </w:r>
      <w:r w:rsidR="00553AB2">
        <w:t>dotací v</w:t>
      </w:r>
      <w:r w:rsidR="00F60DFE">
        <w:t xml:space="preserve"> celkové</w:t>
      </w:r>
      <w:r w:rsidR="00553AB2">
        <w:t xml:space="preserve"> výši 8</w:t>
      </w:r>
      <w:r w:rsidR="00857F6B">
        <w:t>2,6</w:t>
      </w:r>
      <w:r w:rsidR="00F60DFE">
        <w:t> </w:t>
      </w:r>
      <w:r w:rsidR="00553AB2">
        <w:t>mil. Kč</w:t>
      </w:r>
      <w:r w:rsidR="00A45010">
        <w:t>, soulad s právními předpisy, dodržování podmínek a naplňování stanovených cílů.</w:t>
      </w:r>
      <w:r w:rsidR="00937F92">
        <w:t xml:space="preserve"> U</w:t>
      </w:r>
      <w:r w:rsidR="00086E22">
        <w:t> </w:t>
      </w:r>
      <w:r w:rsidR="00937F92">
        <w:t xml:space="preserve">neinvestičních dotací byl vybrán vzorek sedmnácti projektů, </w:t>
      </w:r>
      <w:r w:rsidR="00302D1B">
        <w:t xml:space="preserve">na </w:t>
      </w:r>
      <w:r w:rsidR="00937F92">
        <w:t>kter</w:t>
      </w:r>
      <w:r w:rsidR="00302D1B">
        <w:t xml:space="preserve">ých NKÚ provedl kontrolu administrace </w:t>
      </w:r>
      <w:proofErr w:type="spellStart"/>
      <w:r w:rsidR="00147878">
        <w:t>MZ</w:t>
      </w:r>
      <w:r w:rsidR="00707FDE">
        <w:t>d</w:t>
      </w:r>
      <w:proofErr w:type="spellEnd"/>
      <w:r w:rsidR="00302D1B">
        <w:t xml:space="preserve"> jako poskytovatele dotací</w:t>
      </w:r>
      <w:r w:rsidR="00937F92">
        <w:t>.</w:t>
      </w:r>
    </w:p>
    <w:p w14:paraId="6B932E1D" w14:textId="48F60445" w:rsidR="00147878" w:rsidRDefault="00937F92" w:rsidP="00704971">
      <w:r>
        <w:t>NKÚ provedl kontrolu využití poskytnutých prostředků také</w:t>
      </w:r>
      <w:r w:rsidR="00147878">
        <w:t xml:space="preserve"> </w:t>
      </w:r>
      <w:r w:rsidR="00E85F52">
        <w:t>u</w:t>
      </w:r>
      <w:r>
        <w:t xml:space="preserve"> </w:t>
      </w:r>
      <w:r w:rsidR="00E85F52">
        <w:t>třinácti příjemc</w:t>
      </w:r>
      <w:r w:rsidR="009F6260">
        <w:t>ů</w:t>
      </w:r>
      <w:r w:rsidR="00E85F52">
        <w:t xml:space="preserve"> dotací</w:t>
      </w:r>
      <w:r>
        <w:t xml:space="preserve">. </w:t>
      </w:r>
      <w:r w:rsidR="00E85F52">
        <w:t>P</w:t>
      </w:r>
      <w:r>
        <w:t>rověř</w:t>
      </w:r>
      <w:r w:rsidR="00707293">
        <w:t>il</w:t>
      </w:r>
      <w:r>
        <w:t xml:space="preserve"> </w:t>
      </w:r>
      <w:r w:rsidRPr="00937F92">
        <w:t>užití prostředků ve</w:t>
      </w:r>
      <w:r w:rsidR="00707293">
        <w:t> </w:t>
      </w:r>
      <w:r w:rsidRPr="00937F92">
        <w:t>vztahu k naplnění stanoven</w:t>
      </w:r>
      <w:r w:rsidR="00E85F52">
        <w:t>ých</w:t>
      </w:r>
      <w:r w:rsidRPr="00937F92">
        <w:t xml:space="preserve"> </w:t>
      </w:r>
      <w:r w:rsidR="00E85F52">
        <w:t>cílů</w:t>
      </w:r>
      <w:r w:rsidRPr="00937F92">
        <w:t xml:space="preserve"> a závazných podmínek</w:t>
      </w:r>
      <w:r>
        <w:t xml:space="preserve"> při realizaci </w:t>
      </w:r>
      <w:r w:rsidR="00003B12">
        <w:t>35</w:t>
      </w:r>
      <w:r w:rsidR="002B1A1A">
        <w:t> </w:t>
      </w:r>
      <w:r w:rsidRPr="0092397A">
        <w:t>projektů</w:t>
      </w:r>
      <w:r w:rsidR="0092397A" w:rsidRPr="0092397A">
        <w:t xml:space="preserve"> (</w:t>
      </w:r>
      <w:r w:rsidR="00707FDE">
        <w:t xml:space="preserve">viz </w:t>
      </w:r>
      <w:r w:rsidR="0092397A" w:rsidRPr="0092397A">
        <w:t>příloha č. 1</w:t>
      </w:r>
      <w:r w:rsidR="006A569E">
        <w:t xml:space="preserve"> tohoto kontrolního závěru</w:t>
      </w:r>
      <w:r w:rsidR="0092397A" w:rsidRPr="0092397A">
        <w:t>)</w:t>
      </w:r>
      <w:r w:rsidR="00707293" w:rsidRPr="00707293">
        <w:t xml:space="preserve">, na jejichž realizaci </w:t>
      </w:r>
      <w:proofErr w:type="spellStart"/>
      <w:r w:rsidR="00707293" w:rsidRPr="00707293">
        <w:t>MZ</w:t>
      </w:r>
      <w:r w:rsidR="00707FDE">
        <w:t>d</w:t>
      </w:r>
      <w:proofErr w:type="spellEnd"/>
      <w:r w:rsidR="00707293" w:rsidRPr="00707293">
        <w:t xml:space="preserve"> poskytlo dotace v celkové </w:t>
      </w:r>
      <w:r w:rsidR="00707293" w:rsidRPr="0065205E">
        <w:t xml:space="preserve">částce </w:t>
      </w:r>
      <w:r w:rsidR="0065205E" w:rsidRPr="0065205E">
        <w:t>3</w:t>
      </w:r>
      <w:r w:rsidR="00857F6B">
        <w:t>1,9</w:t>
      </w:r>
      <w:r w:rsidR="00707FDE">
        <w:t> </w:t>
      </w:r>
      <w:r w:rsidR="0065205E" w:rsidRPr="0065205E">
        <w:t>mil.</w:t>
      </w:r>
      <w:r w:rsidR="00707FDE">
        <w:t> </w:t>
      </w:r>
      <w:r w:rsidR="0065205E" w:rsidRPr="0065205E">
        <w:t>Kč</w:t>
      </w:r>
      <w:r>
        <w:t>. Jednalo se jak o</w:t>
      </w:r>
      <w:r w:rsidR="00CF5591">
        <w:t> </w:t>
      </w:r>
      <w:r>
        <w:t>projekty programů</w:t>
      </w:r>
      <w:r w:rsidR="002420A9">
        <w:t xml:space="preserve"> financovaných plně ze státního rozpočtu</w:t>
      </w:r>
      <w:r>
        <w:t>, tak i o ty, které spadaly pod</w:t>
      </w:r>
      <w:r w:rsidR="00707FDE">
        <w:t xml:space="preserve"> </w:t>
      </w:r>
      <w:r>
        <w:t xml:space="preserve">projekty </w:t>
      </w:r>
      <w:proofErr w:type="spellStart"/>
      <w:r>
        <w:t>MZ</w:t>
      </w:r>
      <w:r w:rsidR="00707FDE">
        <w:t>d</w:t>
      </w:r>
      <w:proofErr w:type="spellEnd"/>
      <w:r>
        <w:t xml:space="preserve"> spolufinancované z</w:t>
      </w:r>
      <w:r w:rsidR="006A569E">
        <w:t> </w:t>
      </w:r>
      <w:r w:rsidR="00A45010">
        <w:t>rozpočtu</w:t>
      </w:r>
      <w:r w:rsidR="006A569E">
        <w:t> </w:t>
      </w:r>
      <w:r>
        <w:t>EU.</w:t>
      </w:r>
    </w:p>
    <w:p w14:paraId="36E997A6" w14:textId="48660100" w:rsidR="00C225FB" w:rsidRDefault="00C225FB" w:rsidP="00937F92">
      <w:r w:rsidRPr="00C225FB">
        <w:t>Kritéria ke kontrole vycházela z právních předpisů, a to zejména zákona č. 218/2000 Sb.</w:t>
      </w:r>
      <w:r w:rsidR="00553AB2">
        <w:rPr>
          <w:rStyle w:val="Znakapoznpodarou"/>
        </w:rPr>
        <w:footnoteReference w:id="8"/>
      </w:r>
      <w:r w:rsidRPr="00C225FB">
        <w:t xml:space="preserve">, </w:t>
      </w:r>
      <w:r>
        <w:t>zákona č. 134/2016 Sb.</w:t>
      </w:r>
      <w:r w:rsidR="00553AB2">
        <w:rPr>
          <w:rStyle w:val="Znakapoznpodarou"/>
        </w:rPr>
        <w:footnoteReference w:id="9"/>
      </w:r>
      <w:r>
        <w:t xml:space="preserve">, </w:t>
      </w:r>
      <w:r w:rsidRPr="00C225FB">
        <w:t>zákona č. 320/2001 Sb.</w:t>
      </w:r>
      <w:r w:rsidR="00553AB2">
        <w:rPr>
          <w:rStyle w:val="Znakapoznpodarou"/>
        </w:rPr>
        <w:footnoteReference w:id="10"/>
      </w:r>
      <w:r w:rsidRPr="00C225FB">
        <w:t xml:space="preserve"> a souvisejících prováděcích předpisů,</w:t>
      </w:r>
      <w:r>
        <w:t xml:space="preserve"> </w:t>
      </w:r>
      <w:r w:rsidR="00AE7E41">
        <w:t xml:space="preserve">dále </w:t>
      </w:r>
      <w:r>
        <w:t>z podmínek použití podpory z OPZ,</w:t>
      </w:r>
      <w:r w:rsidRPr="00C225FB">
        <w:t xml:space="preserve"> pravid</w:t>
      </w:r>
      <w:r>
        <w:t>e</w:t>
      </w:r>
      <w:r w:rsidRPr="00C225FB">
        <w:t>l pro žadatele a příjemce v rámci OPZ</w:t>
      </w:r>
      <w:r>
        <w:t>,</w:t>
      </w:r>
      <w:r w:rsidRPr="00C225FB">
        <w:t xml:space="preserve"> z metodik pro dotační řízení, resp. dotačních programů</w:t>
      </w:r>
      <w:r w:rsidR="00995AB9">
        <w:t xml:space="preserve"> a </w:t>
      </w:r>
      <w:r>
        <w:t>z příslušných právních aktů</w:t>
      </w:r>
      <w:r w:rsidR="00FD7647">
        <w:t>,</w:t>
      </w:r>
      <w:r>
        <w:t xml:space="preserve"> na jejichž základě byly peněžní prostředky poskytovány</w:t>
      </w:r>
      <w:r w:rsidR="006B2C91">
        <w:t>.</w:t>
      </w:r>
      <w:r>
        <w:t xml:space="preserve"> </w:t>
      </w:r>
      <w:r w:rsidR="006B2C91" w:rsidRPr="00626A8F">
        <w:t>Ú</w:t>
      </w:r>
      <w:r w:rsidRPr="00626A8F">
        <w:t>čelnost</w:t>
      </w:r>
      <w:r w:rsidR="006B2C91" w:rsidRPr="00626A8F">
        <w:t xml:space="preserve"> vynaložených prostředků byla posuzována ve</w:t>
      </w:r>
      <w:r w:rsidR="00453F1E" w:rsidRPr="00626A8F">
        <w:t> </w:t>
      </w:r>
      <w:r w:rsidR="006B2C91" w:rsidRPr="00626A8F">
        <w:t>vztahu k naplňování cílů kontrolovaných projektů a programů, jimiž byl</w:t>
      </w:r>
      <w:r w:rsidR="00995AB9" w:rsidRPr="00626A8F">
        <w:t>y</w:t>
      </w:r>
      <w:r w:rsidR="006B2C91" w:rsidRPr="00626A8F">
        <w:t xml:space="preserve"> </w:t>
      </w:r>
      <w:r w:rsidR="00995AB9" w:rsidRPr="00626A8F">
        <w:t>v případě paliativní péče zejména zlepšení dostupnosti</w:t>
      </w:r>
      <w:r w:rsidR="00626A8F" w:rsidRPr="00626A8F">
        <w:t>,</w:t>
      </w:r>
      <w:r w:rsidR="00995AB9" w:rsidRPr="00626A8F">
        <w:t xml:space="preserve"> úrovně péče a informovanost</w:t>
      </w:r>
      <w:r w:rsidR="00626A8F" w:rsidRPr="00626A8F">
        <w:t>i veřejnosti</w:t>
      </w:r>
      <w:r w:rsidR="002A73DA" w:rsidRPr="00626A8F">
        <w:t>.</w:t>
      </w:r>
    </w:p>
    <w:p w14:paraId="456F1ECF" w14:textId="3406291F" w:rsidR="00C36345" w:rsidRDefault="00C36345" w:rsidP="002B1A1A">
      <w:pPr>
        <w:spacing w:after="600"/>
        <w:ind w:left="709" w:hanging="709"/>
        <w:rPr>
          <w:rFonts w:cs="Calibri"/>
          <w:sz w:val="20"/>
        </w:rPr>
      </w:pPr>
      <w:r>
        <w:rPr>
          <w:rFonts w:cs="Calibri"/>
          <w:b/>
          <w:sz w:val="20"/>
        </w:rPr>
        <w:t>Pozn.:</w:t>
      </w:r>
      <w:r>
        <w:rPr>
          <w:rFonts w:cs="Calibri"/>
          <w:b/>
          <w:sz w:val="20"/>
        </w:rPr>
        <w:tab/>
      </w:r>
      <w:r w:rsidRPr="00E1478E">
        <w:rPr>
          <w:rFonts w:cs="Calibri"/>
          <w:sz w:val="20"/>
        </w:rPr>
        <w:t>Právní předpisy uvedené v tomto kontrolním závěru jsou aplikovány ve znění účinném pro kontrolované období.</w:t>
      </w:r>
    </w:p>
    <w:p w14:paraId="23D029D2" w14:textId="706D237A" w:rsidR="006C54D7" w:rsidRDefault="002B1A1A" w:rsidP="002B1A1A">
      <w:pPr>
        <w:pStyle w:val="Nadpis1"/>
        <w:numPr>
          <w:ilvl w:val="0"/>
          <w:numId w:val="0"/>
        </w:numPr>
      </w:pPr>
      <w:r>
        <w:t xml:space="preserve">IV. </w:t>
      </w:r>
      <w:r w:rsidR="00E620F7">
        <w:t>Podrobné skutečnosti zjištěné kontrolou</w:t>
      </w:r>
    </w:p>
    <w:p w14:paraId="00640149" w14:textId="09AEDDF2" w:rsidR="009113BC" w:rsidRDefault="00A277F0" w:rsidP="006C11EE">
      <w:pPr>
        <w:pStyle w:val="Nadpis2"/>
        <w:numPr>
          <w:ilvl w:val="0"/>
          <w:numId w:val="0"/>
        </w:numPr>
        <w:ind w:left="284" w:hanging="284"/>
        <w:jc w:val="left"/>
      </w:pPr>
      <w:bookmarkStart w:id="4" w:name="_Hlk142379496"/>
      <w:r>
        <w:t xml:space="preserve">1. </w:t>
      </w:r>
      <w:r w:rsidR="006C11EE">
        <w:tab/>
      </w:r>
      <w:r w:rsidR="00A6579D" w:rsidRPr="00A6579D">
        <w:t xml:space="preserve">Kontrolou NKÚ nebylo </w:t>
      </w:r>
      <w:r w:rsidR="0088462B">
        <w:t xml:space="preserve">v kontrolovaném období </w:t>
      </w:r>
      <w:r w:rsidR="00A6579D" w:rsidRPr="00A6579D">
        <w:t>zjištěno neúčelné vynakládání peněžních prostředků.</w:t>
      </w:r>
    </w:p>
    <w:p w14:paraId="1829F1ED" w14:textId="52B4163A" w:rsidR="005218B5" w:rsidRDefault="005218B5" w:rsidP="00441578">
      <w:bookmarkStart w:id="5" w:name="_Hlk144731882"/>
      <w:r>
        <w:t xml:space="preserve">NKÚ na základě </w:t>
      </w:r>
      <w:r w:rsidR="009F7B52">
        <w:t xml:space="preserve">skutečností </w:t>
      </w:r>
      <w:r>
        <w:t xml:space="preserve">zjištěných </w:t>
      </w:r>
      <w:r w:rsidR="009F7B52">
        <w:t xml:space="preserve">u </w:t>
      </w:r>
      <w:proofErr w:type="spellStart"/>
      <w:r w:rsidR="009F7B52">
        <w:t>MZ</w:t>
      </w:r>
      <w:r w:rsidR="00697DBB">
        <w:t>d</w:t>
      </w:r>
      <w:proofErr w:type="spellEnd"/>
      <w:r w:rsidR="009F7B52">
        <w:t xml:space="preserve"> a </w:t>
      </w:r>
      <w:r>
        <w:t xml:space="preserve">na kontrolním vzorku čtyř hospiců ověřil, že díky podpoře poskytnuté v rámci </w:t>
      </w:r>
      <w:r w:rsidR="00441578">
        <w:t>P</w:t>
      </w:r>
      <w:r>
        <w:t xml:space="preserve">rojektu 8214 </w:t>
      </w:r>
      <w:r w:rsidR="00C47909">
        <w:t xml:space="preserve">došlo k naplnění jeho cílů </w:t>
      </w:r>
      <w:r w:rsidRPr="005B2702">
        <w:t>rozvoj</w:t>
      </w:r>
      <w:r w:rsidR="00C47909">
        <w:t>e</w:t>
      </w:r>
      <w:r w:rsidRPr="005B2702">
        <w:t xml:space="preserve"> a zvýšení dostupnosti a standardizac</w:t>
      </w:r>
      <w:r w:rsidR="003D17E4">
        <w:t>e</w:t>
      </w:r>
      <w:r w:rsidRPr="005B2702">
        <w:t xml:space="preserve"> zdravotních služeb v oblasti domácí paliativní péče prostřednictvím vytvoření programu domácí paliativní péče, nastavení a ověření metodik.</w:t>
      </w:r>
    </w:p>
    <w:bookmarkEnd w:id="5"/>
    <w:p w14:paraId="4DA8B5EA" w14:textId="7F7F59A7" w:rsidR="00935DD6" w:rsidRDefault="00935DD6" w:rsidP="00935DD6">
      <w:proofErr w:type="spellStart"/>
      <w:r w:rsidRPr="002374F3">
        <w:t>MZ</w:t>
      </w:r>
      <w:r w:rsidR="009906B7">
        <w:t>d</w:t>
      </w:r>
      <w:proofErr w:type="spellEnd"/>
      <w:r w:rsidRPr="002374F3">
        <w:t xml:space="preserve"> po vyúčtování jednotlivých dotací poskytnutých v rámci Projektu 8214 </w:t>
      </w:r>
      <w:r>
        <w:t>ne</w:t>
      </w:r>
      <w:r w:rsidRPr="002374F3">
        <w:t xml:space="preserve">sledovalo existenci a podobu </w:t>
      </w:r>
      <w:r>
        <w:t>mobilních hospiců</w:t>
      </w:r>
      <w:r w:rsidRPr="002374F3">
        <w:t xml:space="preserve"> u jednotlivých příjemců dotace.</w:t>
      </w:r>
      <w:r>
        <w:t xml:space="preserve"> Nastavením podmínek dotace v rámci Projektu 8214 tak </w:t>
      </w:r>
      <w:proofErr w:type="spellStart"/>
      <w:r>
        <w:t>MZ</w:t>
      </w:r>
      <w:r w:rsidR="007E5739">
        <w:t>d</w:t>
      </w:r>
      <w:proofErr w:type="spellEnd"/>
      <w:r>
        <w:t xml:space="preserve"> nevytvořilo nástroje pro sledování naplnění jednoho z cílů projektu. D</w:t>
      </w:r>
      <w:r w:rsidRPr="002374F3">
        <w:t>louhodobá udržitelnost</w:t>
      </w:r>
      <w:r>
        <w:t xml:space="preserve"> mobilních hospiců</w:t>
      </w:r>
      <w:r w:rsidRPr="002374F3">
        <w:t xml:space="preserve"> sice nebyla stanovena v</w:t>
      </w:r>
      <w:r w:rsidR="00FE119E">
        <w:t> </w:t>
      </w:r>
      <w:r w:rsidRPr="002374F3">
        <w:t>podmínkách dotace, nicméně cílem Projektu 8214 bylo mj., že v polovině roku 2022 bude alespoň 70 % z podpořených pilotních organizací pokračovat v poskytování domácí paliativní péče dle vytvořených metodik.</w:t>
      </w:r>
    </w:p>
    <w:p w14:paraId="1E53939B" w14:textId="425B828F" w:rsidR="005218B5" w:rsidRDefault="005218B5" w:rsidP="005218B5">
      <w:r>
        <w:t xml:space="preserve">U tří ze čtyř NKÚ </w:t>
      </w:r>
      <w:r w:rsidRPr="00550957">
        <w:t xml:space="preserve">prověřovaných </w:t>
      </w:r>
      <w:r>
        <w:t>projektů poskytovatelů mobilní specializované paliativní péče s dotací z P</w:t>
      </w:r>
      <w:r w:rsidRPr="00550957">
        <w:t xml:space="preserve">rojektu 8214 se </w:t>
      </w:r>
      <w:r>
        <w:t xml:space="preserve">v průběhu realizace </w:t>
      </w:r>
      <w:r w:rsidRPr="00550957">
        <w:t xml:space="preserve">ukázalo, že nebude možné dosáhnout cílové hodnoty u klíčového indikátoru </w:t>
      </w:r>
      <w:r w:rsidR="007E5739">
        <w:rPr>
          <w:i/>
        </w:rPr>
        <w:t>c</w:t>
      </w:r>
      <w:r w:rsidRPr="00550957">
        <w:rPr>
          <w:i/>
        </w:rPr>
        <w:t>elkový počet osob/účastníků</w:t>
      </w:r>
      <w:r w:rsidRPr="00550957">
        <w:t>, tj. počet pacientů, kteří získali v</w:t>
      </w:r>
      <w:r w:rsidR="00D726DB">
        <w:t> </w:t>
      </w:r>
      <w:r w:rsidRPr="00550957">
        <w:t xml:space="preserve">rámci projektu podporu minimálně 40 hodin. </w:t>
      </w:r>
      <w:proofErr w:type="spellStart"/>
      <w:r w:rsidRPr="00550957">
        <w:t>MZ</w:t>
      </w:r>
      <w:r w:rsidR="007E5739">
        <w:t>d</w:t>
      </w:r>
      <w:proofErr w:type="spellEnd"/>
      <w:r w:rsidRPr="00550957">
        <w:t xml:space="preserve"> </w:t>
      </w:r>
      <w:r>
        <w:t xml:space="preserve">na základě podaných žádostí </w:t>
      </w:r>
      <w:r w:rsidRPr="00550957">
        <w:t xml:space="preserve">zahájilo řízení o podstatné změně spočívající ve významném snížení (o 22,5 %, o 25 % a o 27 %) cílové hodnoty tohoto </w:t>
      </w:r>
      <w:r>
        <w:t>zásadní</w:t>
      </w:r>
      <w:r w:rsidRPr="00550957">
        <w:t>ho indikátoru měsíc před koncem projektů, které trvaly tři roky</w:t>
      </w:r>
      <w:r>
        <w:t>. Ukončilo jej</w:t>
      </w:r>
      <w:r w:rsidRPr="00550957">
        <w:t xml:space="preserve"> schválením necelé tři týdny před skončením projektu</w:t>
      </w:r>
      <w:r>
        <w:t>, tj.</w:t>
      </w:r>
      <w:r w:rsidRPr="00550957">
        <w:t xml:space="preserve"> v době, kdy bylo vysoce pravděpodobné, že k dosažení původních cílových hodnot indikátorů již z objektivních důvodů nemůže dojít. Postup </w:t>
      </w:r>
      <w:proofErr w:type="spellStart"/>
      <w:r w:rsidRPr="00550957">
        <w:t>MZ</w:t>
      </w:r>
      <w:r w:rsidR="007E5739">
        <w:t>d</w:t>
      </w:r>
      <w:proofErr w:type="spellEnd"/>
      <w:r w:rsidRPr="00550957">
        <w:t xml:space="preserve"> sice nebyl v rozporu s právními předpisy ani podmínkami </w:t>
      </w:r>
      <w:r>
        <w:t>P</w:t>
      </w:r>
      <w:r w:rsidRPr="00550957">
        <w:t>rojektu 8214, indikuje</w:t>
      </w:r>
      <w:r>
        <w:t xml:space="preserve"> však</w:t>
      </w:r>
      <w:r w:rsidRPr="00550957">
        <w:t xml:space="preserve"> chybné nastavení cílových hodnot tohoto indikátoru u jednotlivých projektů, resp. spíše nevhodnost jeho použití pro daný typ projektů, a to zejména s ohledem na obtížn</w:t>
      </w:r>
      <w:r>
        <w:t>ost</w:t>
      </w:r>
      <w:r w:rsidRPr="00550957">
        <w:t xml:space="preserve"> predikov</w:t>
      </w:r>
      <w:r>
        <w:t>ání</w:t>
      </w:r>
      <w:r w:rsidRPr="00550957">
        <w:t xml:space="preserve"> objem</w:t>
      </w:r>
      <w:r>
        <w:t>u</w:t>
      </w:r>
      <w:r w:rsidRPr="00550957">
        <w:t xml:space="preserve"> služeb</w:t>
      </w:r>
      <w:r>
        <w:t>, který</w:t>
      </w:r>
      <w:r w:rsidR="007E5739">
        <w:t xml:space="preserve"> </w:t>
      </w:r>
      <w:r w:rsidRPr="00550957">
        <w:t>bude osoba v paliativní péči potřebovat. K</w:t>
      </w:r>
      <w:r>
        <w:t xml:space="preserve"> dosažení </w:t>
      </w:r>
      <w:r w:rsidRPr="00550957">
        <w:t>cílových hodnot tohoto indikátoru, a to ani v</w:t>
      </w:r>
      <w:r>
        <w:t> </w:t>
      </w:r>
      <w:r w:rsidRPr="00550957">
        <w:t>přípa</w:t>
      </w:r>
      <w:r>
        <w:t>dě těch upravených, nakonec nedošlo</w:t>
      </w:r>
      <w:r w:rsidRPr="00550957">
        <w:t xml:space="preserve"> u žádného z kontrolovaných projektů. Naopak u indikátoru </w:t>
      </w:r>
      <w:r w:rsidR="007E5739">
        <w:rPr>
          <w:i/>
        </w:rPr>
        <w:t>v</w:t>
      </w:r>
      <w:r w:rsidRPr="00550957">
        <w:rPr>
          <w:i/>
        </w:rPr>
        <w:t>yužívání podpořených služeb</w:t>
      </w:r>
      <w:r w:rsidRPr="00550957">
        <w:t xml:space="preserve">, tj. počet pacientů, kteří získali v rámci projektu podporu nižší než 40 hodin, byla cílová hodnota mnohonásobně překračována, a to u všech kontrolovaných projektů. </w:t>
      </w:r>
      <w:r w:rsidR="00AD6BB3" w:rsidRPr="00441578">
        <w:t xml:space="preserve">Téměř sedminásobné </w:t>
      </w:r>
      <w:r w:rsidR="00C15B5F" w:rsidRPr="00441578">
        <w:t>s</w:t>
      </w:r>
      <w:r w:rsidR="00AD6BB3" w:rsidRPr="00441578">
        <w:t>plnění</w:t>
      </w:r>
      <w:r w:rsidR="00C15B5F" w:rsidRPr="00441578">
        <w:t xml:space="preserve"> hodnoty</w:t>
      </w:r>
      <w:r w:rsidR="00AD6BB3" w:rsidRPr="00441578">
        <w:t xml:space="preserve"> tohoto indikátoru za celý projekt je patrné z celkového přehledu plnění uvedeného v následující tabulce. </w:t>
      </w:r>
      <w:r w:rsidRPr="00441578">
        <w:t>Služb</w:t>
      </w:r>
      <w:r w:rsidR="00AD6BB3" w:rsidRPr="00441578">
        <w:t>y mobilních hospiců</w:t>
      </w:r>
      <w:r w:rsidRPr="00441578">
        <w:t xml:space="preserve"> tak byl</w:t>
      </w:r>
      <w:r w:rsidR="00AD6BB3" w:rsidRPr="00441578">
        <w:t>y</w:t>
      </w:r>
      <w:r w:rsidRPr="00441578">
        <w:t xml:space="preserve"> v konečném důsledku poskytnut</w:t>
      </w:r>
      <w:r w:rsidR="00C15B5F" w:rsidRPr="00441578">
        <w:t>y</w:t>
      </w:r>
      <w:r w:rsidRPr="00441578">
        <w:t xml:space="preserve"> mnohem více lidem, než bylo plánováno.</w:t>
      </w:r>
    </w:p>
    <w:p w14:paraId="5FA48DC2" w14:textId="73F455A5" w:rsidR="005B2702" w:rsidRPr="00441578" w:rsidRDefault="005B2702" w:rsidP="002B1A1A">
      <w:pPr>
        <w:pStyle w:val="Nzevtabulky"/>
        <w:spacing w:after="40"/>
        <w:ind w:left="1276" w:hanging="1276"/>
      </w:pPr>
      <w:r w:rsidRPr="00441578">
        <w:t>Přehled plnění závazných indikátorů Projektu 8214</w:t>
      </w:r>
    </w:p>
    <w:tbl>
      <w:tblPr>
        <w:tblW w:w="91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515"/>
        <w:gridCol w:w="1134"/>
        <w:gridCol w:w="1304"/>
        <w:gridCol w:w="1020"/>
        <w:gridCol w:w="1191"/>
      </w:tblGrid>
      <w:tr w:rsidR="00D942D8" w:rsidRPr="005C2A04" w14:paraId="4AED3866" w14:textId="77777777" w:rsidTr="007E5739">
        <w:trPr>
          <w:trHeight w:val="300"/>
        </w:trPr>
        <w:tc>
          <w:tcPr>
            <w:tcW w:w="964" w:type="dxa"/>
            <w:shd w:val="clear" w:color="auto" w:fill="E5F1FF"/>
            <w:vAlign w:val="center"/>
          </w:tcPr>
          <w:p w14:paraId="43D95117" w14:textId="06FF8DEF" w:rsidR="00D942D8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Indikátor výstupu</w:t>
            </w:r>
            <w:r w:rsidR="007E5739">
              <w:rPr>
                <w:b/>
              </w:rPr>
              <w:t> </w:t>
            </w:r>
            <w:r w:rsidRPr="005C2A04">
              <w:rPr>
                <w:b/>
              </w:rPr>
              <w:t>/</w:t>
            </w:r>
          </w:p>
          <w:p w14:paraId="0308B1EE" w14:textId="77777777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výsledku</w:t>
            </w:r>
          </w:p>
        </w:tc>
        <w:tc>
          <w:tcPr>
            <w:tcW w:w="3515" w:type="dxa"/>
            <w:shd w:val="clear" w:color="auto" w:fill="E5F1FF"/>
            <w:vAlign w:val="center"/>
            <w:hideMark/>
          </w:tcPr>
          <w:p w14:paraId="7F9EB161" w14:textId="77777777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Indikátory projektu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0607BFBE" w14:textId="24CB2718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 xml:space="preserve">Cílová hodnota dle </w:t>
            </w:r>
            <w:r w:rsidR="007E5739">
              <w:rPr>
                <w:b/>
              </w:rPr>
              <w:t>p</w:t>
            </w:r>
            <w:r w:rsidRPr="005C2A04">
              <w:rPr>
                <w:b/>
              </w:rPr>
              <w:t>odmínek</w:t>
            </w:r>
          </w:p>
        </w:tc>
        <w:tc>
          <w:tcPr>
            <w:tcW w:w="1304" w:type="dxa"/>
            <w:shd w:val="clear" w:color="auto" w:fill="E5F1FF"/>
            <w:vAlign w:val="center"/>
          </w:tcPr>
          <w:p w14:paraId="72539CFC" w14:textId="54D95C39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 xml:space="preserve">Cílová hodnota dle </w:t>
            </w:r>
            <w:r w:rsidR="007E5739">
              <w:rPr>
                <w:b/>
              </w:rPr>
              <w:t>r</w:t>
            </w:r>
            <w:r w:rsidRPr="005C2A04">
              <w:rPr>
                <w:b/>
              </w:rPr>
              <w:t>ozhodnutí č.</w:t>
            </w:r>
            <w:r w:rsidR="000D210D">
              <w:rPr>
                <w:b/>
              </w:rPr>
              <w:t> </w:t>
            </w:r>
            <w:r w:rsidRPr="005C2A04">
              <w:rPr>
                <w:b/>
              </w:rPr>
              <w:t xml:space="preserve">2 o změně </w:t>
            </w:r>
            <w:r w:rsidR="007E5739">
              <w:rPr>
                <w:b/>
              </w:rPr>
              <w:t>p</w:t>
            </w:r>
            <w:r w:rsidRPr="005C2A04">
              <w:rPr>
                <w:b/>
              </w:rPr>
              <w:t>odmínek</w:t>
            </w:r>
          </w:p>
        </w:tc>
        <w:tc>
          <w:tcPr>
            <w:tcW w:w="1020" w:type="dxa"/>
            <w:shd w:val="clear" w:color="auto" w:fill="E5F1FF"/>
            <w:vAlign w:val="center"/>
            <w:hideMark/>
          </w:tcPr>
          <w:p w14:paraId="0CBA5BE6" w14:textId="77777777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Dosažená hodnota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64642CD7" w14:textId="77777777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Dosažená hodnota</w:t>
            </w:r>
          </w:p>
          <w:p w14:paraId="72192D56" w14:textId="77777777" w:rsidR="00D942D8" w:rsidRPr="005C2A04" w:rsidRDefault="00D942D8" w:rsidP="00D942D8">
            <w:pPr>
              <w:pStyle w:val="tabulka"/>
              <w:jc w:val="center"/>
              <w:rPr>
                <w:b/>
              </w:rPr>
            </w:pPr>
            <w:r w:rsidRPr="005C2A04">
              <w:rPr>
                <w:b/>
              </w:rPr>
              <w:t>(v %)</w:t>
            </w:r>
          </w:p>
        </w:tc>
      </w:tr>
      <w:tr w:rsidR="00D942D8" w:rsidRPr="005C2A04" w14:paraId="55D39710" w14:textId="77777777" w:rsidTr="000E5070">
        <w:trPr>
          <w:trHeight w:val="300"/>
        </w:trPr>
        <w:tc>
          <w:tcPr>
            <w:tcW w:w="964" w:type="dxa"/>
            <w:vAlign w:val="center"/>
          </w:tcPr>
          <w:p w14:paraId="09997A26" w14:textId="31B3CAC7" w:rsidR="00D942D8" w:rsidRPr="005C2A04" w:rsidRDefault="007E5739" w:rsidP="00D942D8">
            <w:pPr>
              <w:pStyle w:val="tabulka"/>
              <w:jc w:val="center"/>
            </w:pPr>
            <w:r>
              <w:t>V</w:t>
            </w:r>
            <w:r w:rsidR="00D942D8" w:rsidRPr="005C2A04">
              <w:t>ýstup</w:t>
            </w:r>
          </w:p>
        </w:tc>
        <w:tc>
          <w:tcPr>
            <w:tcW w:w="3515" w:type="dxa"/>
            <w:vAlign w:val="center"/>
          </w:tcPr>
          <w:p w14:paraId="5FEFB628" w14:textId="77777777" w:rsidR="00D942D8" w:rsidRPr="005C2A04" w:rsidRDefault="00D942D8" w:rsidP="00D942D8">
            <w:pPr>
              <w:pStyle w:val="tabulka"/>
              <w:jc w:val="left"/>
            </w:pPr>
            <w:r w:rsidRPr="005C2A04">
              <w:t>6 00 00 Celkový počet účastníků (osoby)</w:t>
            </w:r>
          </w:p>
        </w:tc>
        <w:tc>
          <w:tcPr>
            <w:tcW w:w="1134" w:type="dxa"/>
            <w:vAlign w:val="center"/>
          </w:tcPr>
          <w:p w14:paraId="0A2BF8C6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2 000</w:t>
            </w:r>
          </w:p>
        </w:tc>
        <w:tc>
          <w:tcPr>
            <w:tcW w:w="1304" w:type="dxa"/>
            <w:vAlign w:val="center"/>
          </w:tcPr>
          <w:p w14:paraId="53F3680B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1 800</w:t>
            </w:r>
          </w:p>
        </w:tc>
        <w:tc>
          <w:tcPr>
            <w:tcW w:w="1020" w:type="dxa"/>
            <w:noWrap/>
            <w:vAlign w:val="center"/>
          </w:tcPr>
          <w:p w14:paraId="3BEB5CF7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1 661</w:t>
            </w:r>
          </w:p>
        </w:tc>
        <w:tc>
          <w:tcPr>
            <w:tcW w:w="1191" w:type="dxa"/>
            <w:vAlign w:val="center"/>
          </w:tcPr>
          <w:p w14:paraId="4F5A49F2" w14:textId="77777777" w:rsidR="00D942D8" w:rsidRPr="005C2A04" w:rsidRDefault="00D942D8" w:rsidP="00D942D8">
            <w:pPr>
              <w:pStyle w:val="tabulka"/>
              <w:jc w:val="center"/>
            </w:pPr>
            <w:r w:rsidRPr="005C2A04">
              <w:t>83,05/92,28</w:t>
            </w:r>
          </w:p>
        </w:tc>
      </w:tr>
      <w:tr w:rsidR="00D942D8" w:rsidRPr="005C2A04" w14:paraId="3F78B63C" w14:textId="77777777" w:rsidTr="000E5070">
        <w:trPr>
          <w:trHeight w:val="300"/>
        </w:trPr>
        <w:tc>
          <w:tcPr>
            <w:tcW w:w="964" w:type="dxa"/>
            <w:vAlign w:val="center"/>
          </w:tcPr>
          <w:p w14:paraId="31572BF6" w14:textId="5977067D" w:rsidR="00D942D8" w:rsidRPr="005C2A04" w:rsidRDefault="007E5739" w:rsidP="00D942D8">
            <w:pPr>
              <w:pStyle w:val="tabulka"/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D942D8" w:rsidRPr="005C2A04">
              <w:rPr>
                <w:lang w:eastAsia="cs-CZ"/>
              </w:rPr>
              <w:t>ýstup</w:t>
            </w:r>
          </w:p>
        </w:tc>
        <w:tc>
          <w:tcPr>
            <w:tcW w:w="3515" w:type="dxa"/>
            <w:vAlign w:val="center"/>
          </w:tcPr>
          <w:p w14:paraId="783E4C76" w14:textId="77777777" w:rsidR="00D942D8" w:rsidRPr="005C2A04" w:rsidRDefault="00D942D8" w:rsidP="00D942D8">
            <w:pPr>
              <w:pStyle w:val="tabulka"/>
              <w:jc w:val="left"/>
              <w:rPr>
                <w:lang w:eastAsia="cs-CZ"/>
              </w:rPr>
            </w:pPr>
            <w:r w:rsidRPr="005C2A04">
              <w:rPr>
                <w:lang w:eastAsia="cs-CZ"/>
              </w:rPr>
              <w:t xml:space="preserve">6 70 01 Kapacita podpořených služeb </w:t>
            </w:r>
            <w:r w:rsidRPr="005C2A04">
              <w:t>(místa)</w:t>
            </w:r>
          </w:p>
        </w:tc>
        <w:tc>
          <w:tcPr>
            <w:tcW w:w="1134" w:type="dxa"/>
            <w:vAlign w:val="center"/>
          </w:tcPr>
          <w:p w14:paraId="090851BE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50</w:t>
            </w:r>
          </w:p>
        </w:tc>
        <w:tc>
          <w:tcPr>
            <w:tcW w:w="1304" w:type="dxa"/>
            <w:vAlign w:val="center"/>
          </w:tcPr>
          <w:p w14:paraId="1F3497B4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45</w:t>
            </w:r>
          </w:p>
        </w:tc>
        <w:tc>
          <w:tcPr>
            <w:tcW w:w="1020" w:type="dxa"/>
            <w:noWrap/>
            <w:vAlign w:val="center"/>
          </w:tcPr>
          <w:p w14:paraId="3FAC9847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45</w:t>
            </w:r>
          </w:p>
        </w:tc>
        <w:tc>
          <w:tcPr>
            <w:tcW w:w="1191" w:type="dxa"/>
            <w:vAlign w:val="center"/>
          </w:tcPr>
          <w:p w14:paraId="5B5AA4FF" w14:textId="77777777" w:rsidR="00D942D8" w:rsidRPr="005C2A04" w:rsidRDefault="00D942D8" w:rsidP="00D942D8">
            <w:pPr>
              <w:pStyle w:val="tabulka"/>
              <w:jc w:val="center"/>
            </w:pPr>
            <w:r w:rsidRPr="005C2A04">
              <w:t>90/100</w:t>
            </w:r>
          </w:p>
        </w:tc>
      </w:tr>
      <w:tr w:rsidR="00D942D8" w:rsidRPr="005C2A04" w14:paraId="1166B865" w14:textId="77777777" w:rsidTr="000E5070">
        <w:trPr>
          <w:trHeight w:val="300"/>
        </w:trPr>
        <w:tc>
          <w:tcPr>
            <w:tcW w:w="964" w:type="dxa"/>
            <w:vAlign w:val="center"/>
          </w:tcPr>
          <w:p w14:paraId="14F3EF58" w14:textId="4640CD37" w:rsidR="00D942D8" w:rsidRPr="005C2A04" w:rsidRDefault="007E5739" w:rsidP="00D942D8">
            <w:pPr>
              <w:pStyle w:val="tabulka"/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D942D8" w:rsidRPr="005C2A04">
              <w:rPr>
                <w:lang w:eastAsia="cs-CZ"/>
              </w:rPr>
              <w:t>ýsledek</w:t>
            </w:r>
          </w:p>
        </w:tc>
        <w:tc>
          <w:tcPr>
            <w:tcW w:w="3515" w:type="dxa"/>
            <w:vAlign w:val="center"/>
          </w:tcPr>
          <w:p w14:paraId="6D31CABF" w14:textId="77777777" w:rsidR="00D942D8" w:rsidRPr="005C2A04" w:rsidRDefault="00D942D8" w:rsidP="00D942D8">
            <w:pPr>
              <w:pStyle w:val="tabulka"/>
              <w:jc w:val="left"/>
              <w:rPr>
                <w:lang w:eastAsia="cs-CZ"/>
              </w:rPr>
            </w:pPr>
            <w:r w:rsidRPr="005C2A04">
              <w:rPr>
                <w:lang w:eastAsia="cs-CZ"/>
              </w:rPr>
              <w:t xml:space="preserve">6 70 10 Využívání podpořených služeb </w:t>
            </w:r>
            <w:r w:rsidRPr="005C2A04">
              <w:t>(osoby)</w:t>
            </w:r>
          </w:p>
        </w:tc>
        <w:tc>
          <w:tcPr>
            <w:tcW w:w="1134" w:type="dxa"/>
            <w:vAlign w:val="center"/>
          </w:tcPr>
          <w:p w14:paraId="2A3C020A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100</w:t>
            </w:r>
          </w:p>
        </w:tc>
        <w:tc>
          <w:tcPr>
            <w:tcW w:w="1304" w:type="dxa"/>
            <w:vAlign w:val="center"/>
          </w:tcPr>
          <w:p w14:paraId="5B270ED3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100</w:t>
            </w:r>
          </w:p>
        </w:tc>
        <w:tc>
          <w:tcPr>
            <w:tcW w:w="1020" w:type="dxa"/>
            <w:noWrap/>
            <w:vAlign w:val="center"/>
          </w:tcPr>
          <w:p w14:paraId="0470A2A7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689</w:t>
            </w:r>
          </w:p>
        </w:tc>
        <w:tc>
          <w:tcPr>
            <w:tcW w:w="1191" w:type="dxa"/>
            <w:vAlign w:val="center"/>
          </w:tcPr>
          <w:p w14:paraId="701C86A7" w14:textId="545DE8EA" w:rsidR="00D942D8" w:rsidRPr="005C2A04" w:rsidRDefault="00D942D8" w:rsidP="00D942D8">
            <w:pPr>
              <w:pStyle w:val="tabulka"/>
              <w:jc w:val="center"/>
            </w:pPr>
            <w:r w:rsidRPr="005C2A04">
              <w:t>689/689</w:t>
            </w:r>
          </w:p>
        </w:tc>
      </w:tr>
      <w:tr w:rsidR="00D942D8" w:rsidRPr="005C2A04" w14:paraId="5DB81464" w14:textId="77777777" w:rsidTr="000E5070">
        <w:trPr>
          <w:trHeight w:val="300"/>
        </w:trPr>
        <w:tc>
          <w:tcPr>
            <w:tcW w:w="964" w:type="dxa"/>
            <w:vAlign w:val="center"/>
          </w:tcPr>
          <w:p w14:paraId="2CBCBAC2" w14:textId="3F0D8EB9" w:rsidR="00D942D8" w:rsidRPr="005C2A04" w:rsidRDefault="007E5739" w:rsidP="00D942D8">
            <w:pPr>
              <w:pStyle w:val="tabulka"/>
              <w:jc w:val="center"/>
            </w:pPr>
            <w:r>
              <w:t>V</w:t>
            </w:r>
            <w:r w:rsidR="00D942D8" w:rsidRPr="005C2A04">
              <w:t>ýsledek</w:t>
            </w:r>
          </w:p>
        </w:tc>
        <w:tc>
          <w:tcPr>
            <w:tcW w:w="3515" w:type="dxa"/>
            <w:vAlign w:val="center"/>
          </w:tcPr>
          <w:p w14:paraId="5F556391" w14:textId="77777777" w:rsidR="00D942D8" w:rsidRPr="005C2A04" w:rsidRDefault="00D942D8" w:rsidP="00D942D8">
            <w:pPr>
              <w:pStyle w:val="tabulka"/>
              <w:jc w:val="left"/>
            </w:pPr>
            <w:r w:rsidRPr="005C2A04">
              <w:t>6 26 00 Účastníci, kteří získali kvalifikaci po ukončení své účasti (osoby)</w:t>
            </w:r>
          </w:p>
        </w:tc>
        <w:tc>
          <w:tcPr>
            <w:tcW w:w="1134" w:type="dxa"/>
            <w:vAlign w:val="center"/>
          </w:tcPr>
          <w:p w14:paraId="69D98944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20</w:t>
            </w:r>
          </w:p>
        </w:tc>
        <w:tc>
          <w:tcPr>
            <w:tcW w:w="1304" w:type="dxa"/>
            <w:vAlign w:val="center"/>
          </w:tcPr>
          <w:p w14:paraId="5973DC81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18</w:t>
            </w:r>
          </w:p>
        </w:tc>
        <w:tc>
          <w:tcPr>
            <w:tcW w:w="1020" w:type="dxa"/>
            <w:noWrap/>
            <w:vAlign w:val="center"/>
          </w:tcPr>
          <w:p w14:paraId="4CDF22CB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23</w:t>
            </w:r>
          </w:p>
        </w:tc>
        <w:tc>
          <w:tcPr>
            <w:tcW w:w="1191" w:type="dxa"/>
            <w:vAlign w:val="center"/>
          </w:tcPr>
          <w:p w14:paraId="2746AF19" w14:textId="31BD2955" w:rsidR="00D942D8" w:rsidRPr="005C2A04" w:rsidRDefault="00D942D8" w:rsidP="00D942D8">
            <w:pPr>
              <w:pStyle w:val="tabulka"/>
              <w:jc w:val="center"/>
            </w:pPr>
            <w:r w:rsidRPr="005C2A04">
              <w:t>115/127,78</w:t>
            </w:r>
          </w:p>
        </w:tc>
      </w:tr>
      <w:tr w:rsidR="00D942D8" w:rsidRPr="005C2A04" w14:paraId="557155B6" w14:textId="77777777" w:rsidTr="000E5070">
        <w:trPr>
          <w:trHeight w:val="300"/>
        </w:trPr>
        <w:tc>
          <w:tcPr>
            <w:tcW w:w="964" w:type="dxa"/>
            <w:vAlign w:val="center"/>
          </w:tcPr>
          <w:p w14:paraId="79F33703" w14:textId="06291D96" w:rsidR="00D942D8" w:rsidRPr="005C2A04" w:rsidRDefault="007E5739" w:rsidP="00D942D8">
            <w:pPr>
              <w:pStyle w:val="tabulka"/>
              <w:jc w:val="center"/>
            </w:pPr>
            <w:r>
              <w:t>V</w:t>
            </w:r>
            <w:r w:rsidR="00D942D8" w:rsidRPr="005C2A04">
              <w:t>ýstup</w:t>
            </w:r>
          </w:p>
        </w:tc>
        <w:tc>
          <w:tcPr>
            <w:tcW w:w="3515" w:type="dxa"/>
            <w:vAlign w:val="center"/>
          </w:tcPr>
          <w:p w14:paraId="02926382" w14:textId="03525A07" w:rsidR="00D942D8" w:rsidRPr="005C2A04" w:rsidRDefault="00D942D8" w:rsidP="00D942D8">
            <w:pPr>
              <w:pStyle w:val="tabulka"/>
              <w:jc w:val="left"/>
            </w:pPr>
            <w:r w:rsidRPr="005C2A04">
              <w:t>8 05 00 Počet napsaných a</w:t>
            </w:r>
            <w:r w:rsidR="002B1A1A">
              <w:t> </w:t>
            </w:r>
            <w:r w:rsidRPr="005C2A04">
              <w:t>zveřejněných analytických a</w:t>
            </w:r>
            <w:r w:rsidR="002B1A1A">
              <w:t> </w:t>
            </w:r>
            <w:r w:rsidRPr="005C2A04">
              <w:t>strategických dokumentů (vč. evaluačních</w:t>
            </w:r>
            <w:r w:rsidR="007E5739">
              <w:t>;</w:t>
            </w:r>
            <w:r w:rsidRPr="005C2A04">
              <w:t xml:space="preserve"> dokumenty)</w:t>
            </w:r>
          </w:p>
        </w:tc>
        <w:tc>
          <w:tcPr>
            <w:tcW w:w="1134" w:type="dxa"/>
            <w:vAlign w:val="center"/>
          </w:tcPr>
          <w:p w14:paraId="4500179E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3</w:t>
            </w:r>
          </w:p>
        </w:tc>
        <w:tc>
          <w:tcPr>
            <w:tcW w:w="1304" w:type="dxa"/>
            <w:vAlign w:val="center"/>
          </w:tcPr>
          <w:p w14:paraId="2F96D461" w14:textId="77777777" w:rsidR="00D942D8" w:rsidRPr="005C2A04" w:rsidRDefault="00D942D8" w:rsidP="000E5070">
            <w:pPr>
              <w:pStyle w:val="tabulka"/>
              <w:ind w:right="163"/>
            </w:pPr>
            <w:r w:rsidRPr="005C2A04">
              <w:t>4</w:t>
            </w:r>
          </w:p>
        </w:tc>
        <w:tc>
          <w:tcPr>
            <w:tcW w:w="1020" w:type="dxa"/>
            <w:noWrap/>
            <w:vAlign w:val="center"/>
          </w:tcPr>
          <w:p w14:paraId="485E5EC3" w14:textId="77777777" w:rsidR="00D942D8" w:rsidRPr="005C2A04" w:rsidRDefault="00D942D8" w:rsidP="000E5070">
            <w:pPr>
              <w:pStyle w:val="tabulka"/>
              <w:ind w:right="163"/>
              <w:rPr>
                <w:lang w:eastAsia="cs-CZ"/>
              </w:rPr>
            </w:pPr>
            <w:r w:rsidRPr="005C2A04">
              <w:rPr>
                <w:lang w:eastAsia="cs-CZ"/>
              </w:rPr>
              <w:t>4</w:t>
            </w:r>
          </w:p>
        </w:tc>
        <w:tc>
          <w:tcPr>
            <w:tcW w:w="1191" w:type="dxa"/>
            <w:vAlign w:val="center"/>
          </w:tcPr>
          <w:p w14:paraId="67662A4A" w14:textId="77777777" w:rsidR="00D942D8" w:rsidRPr="005C2A04" w:rsidRDefault="00D942D8" w:rsidP="00D942D8">
            <w:pPr>
              <w:pStyle w:val="tabulka"/>
              <w:jc w:val="center"/>
            </w:pPr>
            <w:r w:rsidRPr="005C2A04">
              <w:t>133,33/100</w:t>
            </w:r>
          </w:p>
        </w:tc>
      </w:tr>
    </w:tbl>
    <w:p w14:paraId="77F2187B" w14:textId="095479D1" w:rsidR="00D942D8" w:rsidRDefault="00D942D8" w:rsidP="006C11EE">
      <w:pPr>
        <w:pStyle w:val="Poznmka"/>
      </w:pPr>
      <w:r w:rsidRPr="00441578">
        <w:rPr>
          <w:b/>
        </w:rPr>
        <w:t>Zdroj:</w:t>
      </w:r>
      <w:r w:rsidR="000D210D">
        <w:t xml:space="preserve"> </w:t>
      </w:r>
      <w:r w:rsidR="007E5739">
        <w:t>z</w:t>
      </w:r>
      <w:r w:rsidRPr="00FB59E0">
        <w:t>ávěrečná zpráva o realizaci</w:t>
      </w:r>
      <w:r>
        <w:t>.</w:t>
      </w:r>
    </w:p>
    <w:p w14:paraId="3B559C3B" w14:textId="78A5DF6B" w:rsidR="005218B5" w:rsidRDefault="005218B5" w:rsidP="00431C7E">
      <w:pPr>
        <w:spacing w:before="240"/>
      </w:pPr>
      <w:r>
        <w:t xml:space="preserve">NKÚ na základě zjištěných skutečností </w:t>
      </w:r>
      <w:r w:rsidR="009F7B52">
        <w:t xml:space="preserve">u </w:t>
      </w:r>
      <w:proofErr w:type="spellStart"/>
      <w:r w:rsidR="009F7B52">
        <w:t>MZ</w:t>
      </w:r>
      <w:r w:rsidR="000E5070">
        <w:t>d</w:t>
      </w:r>
      <w:proofErr w:type="spellEnd"/>
      <w:r w:rsidR="009F7B52">
        <w:t xml:space="preserve"> a </w:t>
      </w:r>
      <w:r>
        <w:t xml:space="preserve">na kontrolním vzorku dvou nemocnic rovněž ověřil splnění cílů </w:t>
      </w:r>
      <w:r w:rsidR="00A058A5">
        <w:t>P</w:t>
      </w:r>
      <w:r>
        <w:t>rojektu</w:t>
      </w:r>
      <w:r w:rsidR="00A058A5">
        <w:t xml:space="preserve"> 7277</w:t>
      </w:r>
      <w:r>
        <w:t xml:space="preserve">. Díky podpoře poskytnuté v rámci </w:t>
      </w:r>
      <w:r w:rsidR="00A058A5">
        <w:t xml:space="preserve">tohoto </w:t>
      </w:r>
      <w:r>
        <w:t xml:space="preserve">projektu jednoznačně vzniklo </w:t>
      </w:r>
      <w:r w:rsidRPr="0069128A">
        <w:t>prostředí pro zvýšení dostupnosti paliativní péče v</w:t>
      </w:r>
      <w:r>
        <w:t> </w:t>
      </w:r>
      <w:r w:rsidRPr="0069128A">
        <w:t>nemocnicích</w:t>
      </w:r>
      <w:r>
        <w:t>, protože</w:t>
      </w:r>
      <w:r w:rsidR="000E5070">
        <w:t xml:space="preserve"> </w:t>
      </w:r>
      <w:r>
        <w:t>u</w:t>
      </w:r>
      <w:r w:rsidR="000E5070">
        <w:t> </w:t>
      </w:r>
      <w:r>
        <w:t xml:space="preserve">nich došlo k </w:t>
      </w:r>
      <w:r w:rsidRPr="0069128A">
        <w:t xml:space="preserve">vytvoření </w:t>
      </w:r>
      <w:r>
        <w:t xml:space="preserve">a provozu </w:t>
      </w:r>
      <w:r w:rsidRPr="0069128A">
        <w:t>samostatného programu paliativní péče, nastavení a</w:t>
      </w:r>
      <w:r w:rsidR="00FE119E">
        <w:t> </w:t>
      </w:r>
      <w:r w:rsidRPr="0069128A">
        <w:t>ověření metodik a standardů</w:t>
      </w:r>
      <w:r>
        <w:t>.</w:t>
      </w:r>
      <w:r w:rsidR="00C15B5F">
        <w:t xml:space="preserve"> I v rámci tohoto projektu byly služby poskytnuty</w:t>
      </w:r>
      <w:r w:rsidR="00C15B5F" w:rsidRPr="00C15B5F">
        <w:t xml:space="preserve"> </w:t>
      </w:r>
      <w:r w:rsidR="00C15B5F">
        <w:t xml:space="preserve">o </w:t>
      </w:r>
      <w:r w:rsidR="00C15B5F" w:rsidRPr="00C15B5F">
        <w:t>617</w:t>
      </w:r>
      <w:r w:rsidR="00C15B5F">
        <w:t xml:space="preserve"> více lidem, než bylo původně plánováno</w:t>
      </w:r>
      <w:r w:rsidR="001B6624">
        <w:t xml:space="preserve"> –</w:t>
      </w:r>
      <w:r w:rsidR="00C15B5F">
        <w:t xml:space="preserve"> viz</w:t>
      </w:r>
      <w:r w:rsidR="00C15B5F" w:rsidRPr="00C15B5F">
        <w:t xml:space="preserve"> </w:t>
      </w:r>
      <w:r w:rsidR="00C15B5F">
        <w:t xml:space="preserve">dosažená hodnota indikátoru </w:t>
      </w:r>
      <w:r w:rsidR="000E5070">
        <w:rPr>
          <w:i/>
        </w:rPr>
        <w:t>v</w:t>
      </w:r>
      <w:r w:rsidR="00C15B5F" w:rsidRPr="00C15B5F">
        <w:rPr>
          <w:i/>
        </w:rPr>
        <w:t>yužívání podpořených služeb</w:t>
      </w:r>
      <w:r w:rsidR="00C15B5F" w:rsidRPr="00C15B5F">
        <w:t xml:space="preserve"> </w:t>
      </w:r>
      <w:r w:rsidR="00C15B5F">
        <w:t>v následující tabulce.</w:t>
      </w:r>
    </w:p>
    <w:p w14:paraId="7A205D6C" w14:textId="77777777" w:rsidR="005218B5" w:rsidRPr="00441578" w:rsidRDefault="005218B5" w:rsidP="00EC2555">
      <w:pPr>
        <w:pStyle w:val="Nzevtabulky"/>
        <w:spacing w:after="40"/>
        <w:ind w:left="1276" w:hanging="1276"/>
      </w:pPr>
      <w:r w:rsidRPr="00441578">
        <w:t>Přehled plnění závazných indikátorů Projektu 7277</w:t>
      </w:r>
    </w:p>
    <w:tbl>
      <w:tblPr>
        <w:tblW w:w="909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4535"/>
        <w:gridCol w:w="1361"/>
        <w:gridCol w:w="1077"/>
        <w:gridCol w:w="1077"/>
      </w:tblGrid>
      <w:tr w:rsidR="005218B5" w:rsidRPr="002B413D" w14:paraId="2E850FE3" w14:textId="77777777" w:rsidTr="003B2BB9">
        <w:trPr>
          <w:trHeight w:val="300"/>
          <w:jc w:val="center"/>
        </w:trPr>
        <w:tc>
          <w:tcPr>
            <w:tcW w:w="1041" w:type="dxa"/>
            <w:shd w:val="clear" w:color="auto" w:fill="E5F1FF"/>
            <w:vAlign w:val="center"/>
          </w:tcPr>
          <w:p w14:paraId="46AD02C7" w14:textId="14E3A07E" w:rsidR="005218B5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Indikátor výstupu</w:t>
            </w:r>
            <w:r w:rsidR="000E5070">
              <w:rPr>
                <w:b/>
              </w:rPr>
              <w:t> </w:t>
            </w:r>
            <w:r w:rsidRPr="002B413D">
              <w:rPr>
                <w:b/>
              </w:rPr>
              <w:t>/</w:t>
            </w:r>
          </w:p>
          <w:p w14:paraId="76506096" w14:textId="77777777" w:rsidR="005218B5" w:rsidRPr="002B413D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výsledku</w:t>
            </w:r>
          </w:p>
        </w:tc>
        <w:tc>
          <w:tcPr>
            <w:tcW w:w="4535" w:type="dxa"/>
            <w:shd w:val="clear" w:color="auto" w:fill="E5F1FF"/>
            <w:vAlign w:val="center"/>
            <w:hideMark/>
          </w:tcPr>
          <w:p w14:paraId="04964199" w14:textId="77777777" w:rsidR="005218B5" w:rsidRPr="002B413D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Indikátory projektu</w:t>
            </w:r>
          </w:p>
        </w:tc>
        <w:tc>
          <w:tcPr>
            <w:tcW w:w="1361" w:type="dxa"/>
            <w:shd w:val="clear" w:color="auto" w:fill="E5F1FF"/>
            <w:vAlign w:val="center"/>
          </w:tcPr>
          <w:p w14:paraId="47809B42" w14:textId="0E790F1A" w:rsidR="005218B5" w:rsidRPr="002B413D" w:rsidRDefault="005218B5" w:rsidP="000E5070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Cílová hodnot</w:t>
            </w:r>
            <w:r>
              <w:rPr>
                <w:b/>
              </w:rPr>
              <w:t>a</w:t>
            </w:r>
            <w:r w:rsidR="000E5070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2B413D">
              <w:rPr>
                <w:b/>
              </w:rPr>
              <w:t>le</w:t>
            </w:r>
            <w:r w:rsidR="000E5070">
              <w:rPr>
                <w:b/>
              </w:rPr>
              <w:t xml:space="preserve"> p</w:t>
            </w:r>
            <w:r w:rsidRPr="002B413D">
              <w:rPr>
                <w:b/>
              </w:rPr>
              <w:t>odmínek</w:t>
            </w:r>
          </w:p>
        </w:tc>
        <w:tc>
          <w:tcPr>
            <w:tcW w:w="1077" w:type="dxa"/>
            <w:shd w:val="clear" w:color="auto" w:fill="E5F1FF"/>
            <w:vAlign w:val="center"/>
            <w:hideMark/>
          </w:tcPr>
          <w:p w14:paraId="2BD11D27" w14:textId="77777777" w:rsidR="005218B5" w:rsidRPr="002B413D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Dosažená hodnota</w:t>
            </w:r>
          </w:p>
        </w:tc>
        <w:tc>
          <w:tcPr>
            <w:tcW w:w="1077" w:type="dxa"/>
            <w:shd w:val="clear" w:color="auto" w:fill="E5F1FF"/>
            <w:vAlign w:val="center"/>
          </w:tcPr>
          <w:p w14:paraId="10582368" w14:textId="77777777" w:rsidR="005218B5" w:rsidRPr="002B413D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Dosažená hodnota</w:t>
            </w:r>
          </w:p>
          <w:p w14:paraId="20531623" w14:textId="77777777" w:rsidR="005218B5" w:rsidRPr="002B413D" w:rsidRDefault="005218B5" w:rsidP="002D1679">
            <w:pPr>
              <w:pStyle w:val="tabulka"/>
              <w:jc w:val="center"/>
              <w:rPr>
                <w:b/>
              </w:rPr>
            </w:pPr>
            <w:r w:rsidRPr="002B413D">
              <w:rPr>
                <w:b/>
              </w:rPr>
              <w:t>(v %)</w:t>
            </w:r>
          </w:p>
        </w:tc>
      </w:tr>
      <w:tr w:rsidR="005218B5" w:rsidRPr="002B413D" w14:paraId="6EB4CE5D" w14:textId="77777777" w:rsidTr="003B2BB9">
        <w:trPr>
          <w:trHeight w:val="300"/>
          <w:jc w:val="center"/>
        </w:trPr>
        <w:tc>
          <w:tcPr>
            <w:tcW w:w="1041" w:type="dxa"/>
            <w:vAlign w:val="center"/>
          </w:tcPr>
          <w:p w14:paraId="41BF42C5" w14:textId="5545155C" w:rsidR="005218B5" w:rsidRPr="002B413D" w:rsidRDefault="000E5070" w:rsidP="002D1679">
            <w:pPr>
              <w:pStyle w:val="tabulka"/>
              <w:jc w:val="center"/>
            </w:pPr>
            <w:r>
              <w:t>V</w:t>
            </w:r>
            <w:r w:rsidR="005218B5" w:rsidRPr="002B413D">
              <w:t>ýstup</w:t>
            </w:r>
          </w:p>
        </w:tc>
        <w:tc>
          <w:tcPr>
            <w:tcW w:w="4535" w:type="dxa"/>
            <w:vAlign w:val="center"/>
          </w:tcPr>
          <w:p w14:paraId="61714818" w14:textId="77777777" w:rsidR="005218B5" w:rsidRPr="002B413D" w:rsidRDefault="005218B5" w:rsidP="002D1679">
            <w:pPr>
              <w:pStyle w:val="tabulka"/>
              <w:jc w:val="left"/>
            </w:pPr>
            <w:r w:rsidRPr="002B413D">
              <w:t>6 00 00 Celkový počet účastníků (osoby)</w:t>
            </w:r>
          </w:p>
        </w:tc>
        <w:tc>
          <w:tcPr>
            <w:tcW w:w="1361" w:type="dxa"/>
            <w:vAlign w:val="center"/>
          </w:tcPr>
          <w:p w14:paraId="51E7BA54" w14:textId="77777777" w:rsidR="005218B5" w:rsidRPr="002B413D" w:rsidRDefault="005218B5" w:rsidP="003D1AB6">
            <w:pPr>
              <w:pStyle w:val="tabulka"/>
              <w:ind w:right="207"/>
            </w:pPr>
            <w:r w:rsidRPr="002B413D">
              <w:t>35</w:t>
            </w:r>
          </w:p>
        </w:tc>
        <w:tc>
          <w:tcPr>
            <w:tcW w:w="1077" w:type="dxa"/>
            <w:noWrap/>
            <w:vAlign w:val="center"/>
          </w:tcPr>
          <w:p w14:paraId="41E3FAC9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52</w:t>
            </w:r>
          </w:p>
        </w:tc>
        <w:tc>
          <w:tcPr>
            <w:tcW w:w="1077" w:type="dxa"/>
            <w:vAlign w:val="center"/>
          </w:tcPr>
          <w:p w14:paraId="6218DBCA" w14:textId="77777777" w:rsidR="005218B5" w:rsidRPr="002B413D" w:rsidRDefault="005218B5" w:rsidP="003D1AB6">
            <w:pPr>
              <w:pStyle w:val="tabulka"/>
              <w:ind w:right="91"/>
            </w:pPr>
            <w:r w:rsidRPr="002B413D">
              <w:t>148,57</w:t>
            </w:r>
          </w:p>
        </w:tc>
      </w:tr>
      <w:tr w:rsidR="005218B5" w:rsidRPr="002B413D" w14:paraId="010D1565" w14:textId="77777777" w:rsidTr="003B2BB9">
        <w:trPr>
          <w:trHeight w:val="300"/>
          <w:jc w:val="center"/>
        </w:trPr>
        <w:tc>
          <w:tcPr>
            <w:tcW w:w="1041" w:type="dxa"/>
            <w:vAlign w:val="center"/>
          </w:tcPr>
          <w:p w14:paraId="295DBAE6" w14:textId="56515E1C" w:rsidR="005218B5" w:rsidRPr="002B413D" w:rsidRDefault="000E5070" w:rsidP="002D1679">
            <w:pPr>
              <w:pStyle w:val="tabulka"/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5218B5" w:rsidRPr="002B413D">
              <w:rPr>
                <w:lang w:eastAsia="cs-CZ"/>
              </w:rPr>
              <w:t>ýstup</w:t>
            </w:r>
          </w:p>
        </w:tc>
        <w:tc>
          <w:tcPr>
            <w:tcW w:w="4535" w:type="dxa"/>
            <w:vAlign w:val="center"/>
          </w:tcPr>
          <w:p w14:paraId="0BD7DFCD" w14:textId="77777777" w:rsidR="005218B5" w:rsidRPr="002B413D" w:rsidRDefault="005218B5" w:rsidP="002D1679">
            <w:pPr>
              <w:pStyle w:val="tabulka"/>
              <w:jc w:val="left"/>
              <w:rPr>
                <w:lang w:eastAsia="cs-CZ"/>
              </w:rPr>
            </w:pPr>
            <w:r w:rsidRPr="002B413D">
              <w:rPr>
                <w:lang w:eastAsia="cs-CZ"/>
              </w:rPr>
              <w:t xml:space="preserve">6 70 01 Kapacita podpořených služeb </w:t>
            </w:r>
            <w:r w:rsidRPr="002B413D">
              <w:t>(místa)</w:t>
            </w:r>
          </w:p>
        </w:tc>
        <w:tc>
          <w:tcPr>
            <w:tcW w:w="1361" w:type="dxa"/>
            <w:vAlign w:val="center"/>
          </w:tcPr>
          <w:p w14:paraId="73B17191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49</w:t>
            </w:r>
          </w:p>
        </w:tc>
        <w:tc>
          <w:tcPr>
            <w:tcW w:w="1077" w:type="dxa"/>
            <w:noWrap/>
            <w:vAlign w:val="center"/>
          </w:tcPr>
          <w:p w14:paraId="795ECD6B" w14:textId="77777777" w:rsidR="005218B5" w:rsidRPr="002B413D" w:rsidRDefault="005218B5" w:rsidP="000E5070">
            <w:pPr>
              <w:pStyle w:val="tabulka"/>
              <w:ind w:right="57"/>
              <w:rPr>
                <w:lang w:eastAsia="cs-CZ"/>
              </w:rPr>
            </w:pPr>
            <w:r w:rsidRPr="002B413D">
              <w:rPr>
                <w:lang w:eastAsia="cs-CZ"/>
              </w:rPr>
              <w:t>46,5</w:t>
            </w:r>
          </w:p>
        </w:tc>
        <w:tc>
          <w:tcPr>
            <w:tcW w:w="1077" w:type="dxa"/>
            <w:vAlign w:val="center"/>
          </w:tcPr>
          <w:p w14:paraId="44FB8AEA" w14:textId="77777777" w:rsidR="005218B5" w:rsidRPr="002B413D" w:rsidRDefault="005218B5" w:rsidP="003D1AB6">
            <w:pPr>
              <w:pStyle w:val="tabulka"/>
              <w:ind w:right="91"/>
            </w:pPr>
            <w:r w:rsidRPr="002B413D">
              <w:t>94,90</w:t>
            </w:r>
          </w:p>
        </w:tc>
      </w:tr>
      <w:tr w:rsidR="005218B5" w:rsidRPr="002B413D" w14:paraId="47B8BA79" w14:textId="77777777" w:rsidTr="003B2BB9">
        <w:trPr>
          <w:trHeight w:val="300"/>
          <w:jc w:val="center"/>
        </w:trPr>
        <w:tc>
          <w:tcPr>
            <w:tcW w:w="1041" w:type="dxa"/>
            <w:vAlign w:val="center"/>
          </w:tcPr>
          <w:p w14:paraId="6DFA63C2" w14:textId="0A944366" w:rsidR="005218B5" w:rsidRPr="002B413D" w:rsidRDefault="000E5070" w:rsidP="002D1679">
            <w:pPr>
              <w:pStyle w:val="tabulka"/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5218B5" w:rsidRPr="002B413D">
              <w:rPr>
                <w:lang w:eastAsia="cs-CZ"/>
              </w:rPr>
              <w:t>ýsledek</w:t>
            </w:r>
          </w:p>
        </w:tc>
        <w:tc>
          <w:tcPr>
            <w:tcW w:w="4535" w:type="dxa"/>
            <w:vAlign w:val="center"/>
          </w:tcPr>
          <w:p w14:paraId="39D1FFCA" w14:textId="77777777" w:rsidR="005218B5" w:rsidRPr="002B413D" w:rsidRDefault="005218B5" w:rsidP="002D1679">
            <w:pPr>
              <w:pStyle w:val="tabulka"/>
              <w:jc w:val="left"/>
              <w:rPr>
                <w:lang w:eastAsia="cs-CZ"/>
              </w:rPr>
            </w:pPr>
            <w:r w:rsidRPr="002B413D">
              <w:rPr>
                <w:lang w:eastAsia="cs-CZ"/>
              </w:rPr>
              <w:t xml:space="preserve">6 70 10 Využívání podpořených služeb </w:t>
            </w:r>
            <w:r w:rsidRPr="002B413D">
              <w:t>(osoby)</w:t>
            </w:r>
          </w:p>
        </w:tc>
        <w:tc>
          <w:tcPr>
            <w:tcW w:w="1361" w:type="dxa"/>
            <w:vAlign w:val="center"/>
          </w:tcPr>
          <w:p w14:paraId="484EC691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3 700</w:t>
            </w:r>
          </w:p>
        </w:tc>
        <w:tc>
          <w:tcPr>
            <w:tcW w:w="1077" w:type="dxa"/>
            <w:noWrap/>
            <w:vAlign w:val="center"/>
          </w:tcPr>
          <w:p w14:paraId="11248EE2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4 317</w:t>
            </w:r>
          </w:p>
        </w:tc>
        <w:tc>
          <w:tcPr>
            <w:tcW w:w="1077" w:type="dxa"/>
            <w:vAlign w:val="center"/>
          </w:tcPr>
          <w:p w14:paraId="428A1E49" w14:textId="77777777" w:rsidR="005218B5" w:rsidRPr="002B413D" w:rsidRDefault="005218B5" w:rsidP="003D1AB6">
            <w:pPr>
              <w:pStyle w:val="tabulka"/>
              <w:ind w:right="91"/>
            </w:pPr>
            <w:r w:rsidRPr="002B413D">
              <w:t>116,68</w:t>
            </w:r>
          </w:p>
        </w:tc>
      </w:tr>
      <w:tr w:rsidR="005218B5" w:rsidRPr="002B413D" w14:paraId="13EA15D3" w14:textId="77777777" w:rsidTr="003B2BB9">
        <w:trPr>
          <w:trHeight w:val="300"/>
          <w:jc w:val="center"/>
        </w:trPr>
        <w:tc>
          <w:tcPr>
            <w:tcW w:w="1041" w:type="dxa"/>
            <w:vAlign w:val="center"/>
          </w:tcPr>
          <w:p w14:paraId="14D699A3" w14:textId="74EA50C1" w:rsidR="005218B5" w:rsidRPr="002B413D" w:rsidRDefault="000E5070" w:rsidP="002D1679">
            <w:pPr>
              <w:pStyle w:val="tabulka"/>
              <w:jc w:val="center"/>
            </w:pPr>
            <w:r>
              <w:t>V</w:t>
            </w:r>
            <w:r w:rsidR="005218B5" w:rsidRPr="002B413D">
              <w:t>ýsledek</w:t>
            </w:r>
          </w:p>
        </w:tc>
        <w:tc>
          <w:tcPr>
            <w:tcW w:w="4535" w:type="dxa"/>
            <w:vAlign w:val="center"/>
          </w:tcPr>
          <w:p w14:paraId="07D0C85A" w14:textId="77777777" w:rsidR="005218B5" w:rsidRPr="002B413D" w:rsidRDefault="005218B5" w:rsidP="002D1679">
            <w:pPr>
              <w:pStyle w:val="tabulka"/>
              <w:jc w:val="left"/>
            </w:pPr>
            <w:r w:rsidRPr="002B413D">
              <w:t>6 26 00 Účastníci, kteří získali kvalifikaci po ukončení své účasti (osoby)</w:t>
            </w:r>
          </w:p>
        </w:tc>
        <w:tc>
          <w:tcPr>
            <w:tcW w:w="1361" w:type="dxa"/>
            <w:vAlign w:val="center"/>
          </w:tcPr>
          <w:p w14:paraId="6FA2D8C5" w14:textId="77777777" w:rsidR="005218B5" w:rsidRPr="002B413D" w:rsidRDefault="005218B5" w:rsidP="003D1AB6">
            <w:pPr>
              <w:pStyle w:val="tabulka"/>
              <w:ind w:right="207"/>
            </w:pPr>
            <w:r w:rsidRPr="002B413D">
              <w:t>35</w:t>
            </w:r>
          </w:p>
        </w:tc>
        <w:tc>
          <w:tcPr>
            <w:tcW w:w="1077" w:type="dxa"/>
            <w:noWrap/>
            <w:vAlign w:val="center"/>
          </w:tcPr>
          <w:p w14:paraId="5562E09F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52</w:t>
            </w:r>
          </w:p>
        </w:tc>
        <w:tc>
          <w:tcPr>
            <w:tcW w:w="1077" w:type="dxa"/>
            <w:vAlign w:val="center"/>
          </w:tcPr>
          <w:p w14:paraId="4D5012B2" w14:textId="77777777" w:rsidR="005218B5" w:rsidRPr="002B413D" w:rsidRDefault="005218B5" w:rsidP="003D1AB6">
            <w:pPr>
              <w:pStyle w:val="tabulka"/>
              <w:ind w:right="91"/>
            </w:pPr>
            <w:r w:rsidRPr="002B413D">
              <w:t>148,57</w:t>
            </w:r>
          </w:p>
        </w:tc>
      </w:tr>
      <w:tr w:rsidR="005218B5" w:rsidRPr="002B413D" w14:paraId="4CDDBFCF" w14:textId="77777777" w:rsidTr="003B2BB9">
        <w:trPr>
          <w:trHeight w:val="300"/>
          <w:jc w:val="center"/>
        </w:trPr>
        <w:tc>
          <w:tcPr>
            <w:tcW w:w="1041" w:type="dxa"/>
            <w:vAlign w:val="center"/>
          </w:tcPr>
          <w:p w14:paraId="16540D5B" w14:textId="5C28FEDD" w:rsidR="005218B5" w:rsidRPr="002B413D" w:rsidRDefault="000E5070" w:rsidP="002D1679">
            <w:pPr>
              <w:pStyle w:val="tabulka"/>
              <w:jc w:val="center"/>
            </w:pPr>
            <w:r>
              <w:t>V</w:t>
            </w:r>
            <w:r w:rsidR="005218B5" w:rsidRPr="002B413D">
              <w:t>ýstup</w:t>
            </w:r>
          </w:p>
        </w:tc>
        <w:tc>
          <w:tcPr>
            <w:tcW w:w="4535" w:type="dxa"/>
            <w:vAlign w:val="center"/>
          </w:tcPr>
          <w:p w14:paraId="31911D66" w14:textId="6F16659F" w:rsidR="005218B5" w:rsidRPr="002B413D" w:rsidRDefault="005218B5" w:rsidP="002D1679">
            <w:pPr>
              <w:pStyle w:val="tabulka"/>
              <w:jc w:val="left"/>
            </w:pPr>
            <w:r w:rsidRPr="002B413D">
              <w:t>8 05 00 Počet napsaných a zveřejněných analytických a strategických dokumentů (vč. evaluačních</w:t>
            </w:r>
            <w:r w:rsidR="000E5070">
              <w:t>;</w:t>
            </w:r>
            <w:r w:rsidRPr="002B413D">
              <w:t xml:space="preserve"> dokumenty)</w:t>
            </w:r>
          </w:p>
        </w:tc>
        <w:tc>
          <w:tcPr>
            <w:tcW w:w="1361" w:type="dxa"/>
            <w:vAlign w:val="center"/>
          </w:tcPr>
          <w:p w14:paraId="27219485" w14:textId="77777777" w:rsidR="005218B5" w:rsidRPr="002B413D" w:rsidRDefault="005218B5" w:rsidP="003D1AB6">
            <w:pPr>
              <w:pStyle w:val="tabulka"/>
              <w:ind w:right="207"/>
            </w:pPr>
            <w:r w:rsidRPr="002B413D">
              <w:t>4</w:t>
            </w:r>
          </w:p>
        </w:tc>
        <w:tc>
          <w:tcPr>
            <w:tcW w:w="1077" w:type="dxa"/>
            <w:noWrap/>
            <w:vAlign w:val="center"/>
          </w:tcPr>
          <w:p w14:paraId="4E4B6A36" w14:textId="77777777" w:rsidR="005218B5" w:rsidRPr="002B413D" w:rsidRDefault="005218B5" w:rsidP="003D1AB6">
            <w:pPr>
              <w:pStyle w:val="tabulka"/>
              <w:ind w:right="207"/>
              <w:rPr>
                <w:lang w:eastAsia="cs-CZ"/>
              </w:rPr>
            </w:pPr>
            <w:r w:rsidRPr="002B413D">
              <w:rPr>
                <w:lang w:eastAsia="cs-CZ"/>
              </w:rPr>
              <w:t>4</w:t>
            </w:r>
          </w:p>
        </w:tc>
        <w:tc>
          <w:tcPr>
            <w:tcW w:w="1077" w:type="dxa"/>
            <w:vAlign w:val="center"/>
          </w:tcPr>
          <w:p w14:paraId="3E3686CA" w14:textId="77777777" w:rsidR="005218B5" w:rsidRPr="002B413D" w:rsidRDefault="005218B5" w:rsidP="003D1AB6">
            <w:pPr>
              <w:pStyle w:val="tabulka"/>
              <w:ind w:right="91"/>
              <w:jc w:val="center"/>
            </w:pPr>
            <w:r w:rsidRPr="002B413D">
              <w:t>100</w:t>
            </w:r>
          </w:p>
        </w:tc>
      </w:tr>
    </w:tbl>
    <w:p w14:paraId="72144C87" w14:textId="494581F7" w:rsidR="005218B5" w:rsidRDefault="005218B5" w:rsidP="006C11EE">
      <w:pPr>
        <w:pStyle w:val="Poznmka"/>
      </w:pPr>
      <w:r w:rsidRPr="00441578">
        <w:rPr>
          <w:b/>
        </w:rPr>
        <w:t>Zdroj:</w:t>
      </w:r>
      <w:r w:rsidR="003D1AB6">
        <w:t xml:space="preserve"> </w:t>
      </w:r>
      <w:r w:rsidR="000E5070">
        <w:t>z</w:t>
      </w:r>
      <w:r w:rsidRPr="00FB59E0">
        <w:t>ávěrečná zpráva o realizaci</w:t>
      </w:r>
      <w:r>
        <w:t>.</w:t>
      </w:r>
    </w:p>
    <w:p w14:paraId="2D8D5CC2" w14:textId="20E760DD" w:rsidR="00935DD6" w:rsidRDefault="00935DD6" w:rsidP="00431C7E">
      <w:pPr>
        <w:widowControl/>
        <w:spacing w:before="240"/>
      </w:pPr>
      <w:r>
        <w:t>P</w:t>
      </w:r>
      <w:r w:rsidRPr="008F54C9">
        <w:t xml:space="preserve">říjemci dotace podpoření v rámci Projektu 7277 předložili </w:t>
      </w:r>
      <w:proofErr w:type="spellStart"/>
      <w:r>
        <w:t>MZ</w:t>
      </w:r>
      <w:r w:rsidR="000E5070">
        <w:t>d</w:t>
      </w:r>
      <w:proofErr w:type="spellEnd"/>
      <w:r>
        <w:t xml:space="preserve"> </w:t>
      </w:r>
      <w:r w:rsidRPr="008F54C9">
        <w:t>zprávy o</w:t>
      </w:r>
      <w:r>
        <w:t> </w:t>
      </w:r>
      <w:r w:rsidRPr="008F54C9">
        <w:t>běžném provozu paliativního programu v nemocnici, ze kterých je zřejmé, že specializované paliativní týmy fungovaly v podpořených nemocnicích i v roce 2021 a 2022</w:t>
      </w:r>
      <w:r>
        <w:t>.</w:t>
      </w:r>
    </w:p>
    <w:p w14:paraId="3C0B711E" w14:textId="2564E0A6" w:rsidR="00D942D8" w:rsidRDefault="009F7B52" w:rsidP="00920565">
      <w:r>
        <w:t xml:space="preserve">NKÚ na základě zjištěných skutečností u </w:t>
      </w:r>
      <w:proofErr w:type="spellStart"/>
      <w:r>
        <w:t>MZ</w:t>
      </w:r>
      <w:r w:rsidR="00E25431">
        <w:t>d</w:t>
      </w:r>
      <w:proofErr w:type="spellEnd"/>
      <w:r>
        <w:t xml:space="preserve"> a na kontrolním vzorku 29 neinvestičních</w:t>
      </w:r>
      <w:r w:rsidR="00C15B5F">
        <w:t xml:space="preserve"> projektů </w:t>
      </w:r>
      <w:r>
        <w:t xml:space="preserve">realizovaných příjemci podpory poskytnuté </w:t>
      </w:r>
      <w:r w:rsidR="00EB3B06">
        <w:t>prostřednictvím</w:t>
      </w:r>
      <w:r>
        <w:t xml:space="preserve"> PPNNO</w:t>
      </w:r>
      <w:r w:rsidR="00C15B5F">
        <w:t xml:space="preserve"> ze státního rozpočtu </w:t>
      </w:r>
      <w:r>
        <w:t xml:space="preserve">ověřil, že peněžní prostředky byly poskytnuty účelně. Díky těmto prostředkům došlo k zajištění vzdělávacích akcí pro pracovníky z oblasti paliativy, </w:t>
      </w:r>
      <w:r w:rsidR="00106423">
        <w:t xml:space="preserve">byly vydány a distribuovány materiály pro zvýšení </w:t>
      </w:r>
      <w:r w:rsidR="00D942D8">
        <w:t xml:space="preserve">informovanosti odborné i laické veřejnosti a </w:t>
      </w:r>
      <w:r w:rsidR="00106423">
        <w:t>došlo také ke</w:t>
      </w:r>
      <w:r w:rsidR="00D942D8">
        <w:t xml:space="preserve"> zlepšení vybavenosti zařízení poskytujících tento druh péče.</w:t>
      </w:r>
    </w:p>
    <w:p w14:paraId="0440B5E5" w14:textId="7BFBA9FC" w:rsidR="00920565" w:rsidRPr="009113BC" w:rsidRDefault="00920565" w:rsidP="00920565">
      <w:r>
        <w:t>NKÚ na základě skutečností</w:t>
      </w:r>
      <w:r w:rsidR="0002556E" w:rsidRPr="0002556E">
        <w:t xml:space="preserve"> </w:t>
      </w:r>
      <w:r w:rsidR="0002556E">
        <w:t>zjištěných</w:t>
      </w:r>
      <w:r>
        <w:t xml:space="preserve"> u </w:t>
      </w:r>
      <w:proofErr w:type="spellStart"/>
      <w:r>
        <w:t>MZ</w:t>
      </w:r>
      <w:r w:rsidR="0002556E">
        <w:t>d</w:t>
      </w:r>
      <w:proofErr w:type="spellEnd"/>
      <w:r>
        <w:t xml:space="preserve"> konstatuje, že účelnost peněžních prostředků vynaložených prostřednictvím</w:t>
      </w:r>
      <w:r w:rsidR="009F6260">
        <w:t xml:space="preserve"> investičního</w:t>
      </w:r>
      <w:r>
        <w:t xml:space="preserve"> programu č. 135 100 bude možné vyhodnotit až po </w:t>
      </w:r>
      <w:r w:rsidR="0002556E">
        <w:t>skončení</w:t>
      </w:r>
      <w:r>
        <w:t xml:space="preserve"> jeho realizace, kter</w:t>
      </w:r>
      <w:r w:rsidR="0002556E">
        <w:t>é</w:t>
      </w:r>
      <w:r>
        <w:t xml:space="preserve"> je plánován</w:t>
      </w:r>
      <w:r w:rsidR="0002556E">
        <w:t>o</w:t>
      </w:r>
      <w:r>
        <w:t xml:space="preserve"> na polovinu roku 2024. Z celkového rozpočtu 80,5 mil Kč bylo v kontrolovaném období let 2017 až 2021 proplaceno pouze necelých 5,1</w:t>
      </w:r>
      <w:r w:rsidR="003B2BB9">
        <w:t> </w:t>
      </w:r>
      <w:r>
        <w:t>mil.</w:t>
      </w:r>
      <w:r w:rsidR="003B2BB9">
        <w:t> </w:t>
      </w:r>
      <w:r>
        <w:t xml:space="preserve">Kč, viz bod </w:t>
      </w:r>
      <w:r w:rsidR="006A22F4">
        <w:t>6</w:t>
      </w:r>
      <w:r>
        <w:t xml:space="preserve"> kap. IV</w:t>
      </w:r>
      <w:r w:rsidR="009F6260">
        <w:t xml:space="preserve"> tohoto kontrolního závěru</w:t>
      </w:r>
      <w:r>
        <w:t>.</w:t>
      </w:r>
    </w:p>
    <w:p w14:paraId="5BDDDB85" w14:textId="7D71FA34" w:rsidR="00821756" w:rsidRDefault="006C11EE" w:rsidP="006C11EE">
      <w:pPr>
        <w:pStyle w:val="Nadpis2"/>
        <w:numPr>
          <w:ilvl w:val="0"/>
          <w:numId w:val="0"/>
        </w:numPr>
        <w:ind w:left="284" w:hanging="284"/>
        <w:jc w:val="left"/>
      </w:pPr>
      <w:r>
        <w:t xml:space="preserve">2. </w:t>
      </w:r>
      <w:proofErr w:type="spellStart"/>
      <w:r w:rsidR="00D90DBD" w:rsidRPr="00AB3C11">
        <w:t>MZ</w:t>
      </w:r>
      <w:r w:rsidR="0002556E">
        <w:t>d</w:t>
      </w:r>
      <w:proofErr w:type="spellEnd"/>
      <w:r w:rsidR="00D90DBD" w:rsidRPr="00AB3C11">
        <w:t xml:space="preserve"> při realizaci projektů spolufinancovaných z rozpočtu EU nepostupovalo </w:t>
      </w:r>
      <w:r w:rsidR="00D90DBD">
        <w:t>vždy v souladu se závaznými pravidly</w:t>
      </w:r>
      <w:r w:rsidR="00821756" w:rsidRPr="00AB3C11">
        <w:t>.</w:t>
      </w:r>
      <w:r w:rsidR="00821756">
        <w:t xml:space="preserve"> </w:t>
      </w:r>
    </w:p>
    <w:p w14:paraId="19F96435" w14:textId="0DE8B4A8" w:rsidR="000E6E38" w:rsidRDefault="000E6E38" w:rsidP="00BE5415">
      <w:proofErr w:type="spellStart"/>
      <w:r w:rsidRPr="00112AD5">
        <w:t>MZ</w:t>
      </w:r>
      <w:r w:rsidR="0002556E">
        <w:t>d</w:t>
      </w:r>
      <w:proofErr w:type="spellEnd"/>
      <w:r w:rsidRPr="00112AD5">
        <w:t xml:space="preserve"> </w:t>
      </w:r>
      <w:r>
        <w:t>v</w:t>
      </w:r>
      <w:r w:rsidRPr="00112AD5">
        <w:t xml:space="preserve"> rámci obou projektů </w:t>
      </w:r>
      <w:r>
        <w:t xml:space="preserve">mj. </w:t>
      </w:r>
      <w:r w:rsidRPr="00112AD5">
        <w:t xml:space="preserve">uplatňovalo výdaje na služby </w:t>
      </w:r>
      <w:r>
        <w:t xml:space="preserve">z </w:t>
      </w:r>
      <w:r w:rsidRPr="00112AD5">
        <w:t>oblast</w:t>
      </w:r>
      <w:r>
        <w:t>i</w:t>
      </w:r>
      <w:r w:rsidRPr="00112AD5">
        <w:t xml:space="preserve"> </w:t>
      </w:r>
      <w:r>
        <w:t>informačních technologií</w:t>
      </w:r>
      <w:r w:rsidRPr="00112AD5">
        <w:t xml:space="preserve">. </w:t>
      </w:r>
      <w:r w:rsidR="008227C3">
        <w:t>D</w:t>
      </w:r>
      <w:r w:rsidRPr="00112AD5">
        <w:t>odavatele</w:t>
      </w:r>
      <w:r w:rsidR="008227C3">
        <w:t xml:space="preserve"> těchto</w:t>
      </w:r>
      <w:r w:rsidRPr="00112AD5">
        <w:t xml:space="preserve"> </w:t>
      </w:r>
      <w:r w:rsidR="008227C3">
        <w:t xml:space="preserve">služeb </w:t>
      </w:r>
      <w:proofErr w:type="spellStart"/>
      <w:r w:rsidR="008227C3">
        <w:t>MZ</w:t>
      </w:r>
      <w:r w:rsidR="00574FD3">
        <w:t>d</w:t>
      </w:r>
      <w:proofErr w:type="spellEnd"/>
      <w:r w:rsidR="008227C3">
        <w:t xml:space="preserve"> </w:t>
      </w:r>
      <w:r w:rsidRPr="00112AD5">
        <w:t xml:space="preserve">samo nevybíralo, ale přistoupilo k rámcové dohodě, kterou </w:t>
      </w:r>
      <w:r>
        <w:t xml:space="preserve">již dříve </w:t>
      </w:r>
      <w:r w:rsidR="002E14BA">
        <w:t>uzavřel</w:t>
      </w:r>
      <w:r>
        <w:t>a</w:t>
      </w:r>
      <w:r w:rsidR="008227C3">
        <w:t xml:space="preserve"> jemu</w:t>
      </w:r>
      <w:r w:rsidRPr="00112AD5">
        <w:t xml:space="preserve"> </w:t>
      </w:r>
      <w:r w:rsidR="008227C3">
        <w:t xml:space="preserve">podřízená </w:t>
      </w:r>
      <w:r w:rsidRPr="00112AD5">
        <w:t>organizace</w:t>
      </w:r>
      <w:r>
        <w:t xml:space="preserve">. </w:t>
      </w:r>
      <w:r w:rsidR="002E14BA">
        <w:t>T</w:t>
      </w:r>
      <w:r w:rsidR="008227C3">
        <w:t xml:space="preserve">ato rámcová dohoda nebyla podle zjištění </w:t>
      </w:r>
      <w:r w:rsidR="002B3572">
        <w:t>řídicího orgánu</w:t>
      </w:r>
      <w:r w:rsidR="002B3572">
        <w:rPr>
          <w:rStyle w:val="Znakapoznpodarou"/>
        </w:rPr>
        <w:footnoteReference w:id="11"/>
      </w:r>
      <w:r w:rsidR="002B3572">
        <w:t xml:space="preserve"> </w:t>
      </w:r>
      <w:r w:rsidR="008227C3">
        <w:t>uzavřena v</w:t>
      </w:r>
      <w:r w:rsidR="002B3572">
        <w:t> </w:t>
      </w:r>
      <w:r w:rsidR="008227C3">
        <w:t>souladu</w:t>
      </w:r>
      <w:r w:rsidR="002B3572">
        <w:t xml:space="preserve"> s podmínkami dotace, resp. </w:t>
      </w:r>
      <w:r w:rsidR="008227C3">
        <w:t>s právními předpisy</w:t>
      </w:r>
      <w:r w:rsidR="002B3572">
        <w:rPr>
          <w:rStyle w:val="Znakapoznpodarou"/>
        </w:rPr>
        <w:footnoteReference w:id="12"/>
      </w:r>
      <w:r w:rsidR="002E14BA">
        <w:t>.</w:t>
      </w:r>
      <w:r>
        <w:t xml:space="preserve"> </w:t>
      </w:r>
      <w:proofErr w:type="spellStart"/>
      <w:r>
        <w:t>MZ</w:t>
      </w:r>
      <w:r w:rsidR="004B1D24">
        <w:t>d</w:t>
      </w:r>
      <w:proofErr w:type="spellEnd"/>
      <w:r w:rsidR="008227C3">
        <w:t xml:space="preserve"> k ní</w:t>
      </w:r>
      <w:r>
        <w:t xml:space="preserve"> </w:t>
      </w:r>
      <w:r w:rsidR="002E14BA">
        <w:t xml:space="preserve">však </w:t>
      </w:r>
      <w:r w:rsidR="008227C3">
        <w:t>sjednalo</w:t>
      </w:r>
      <w:r w:rsidRPr="001043E4">
        <w:t xml:space="preserve"> tři prováděcí smlouvy</w:t>
      </w:r>
      <w:r>
        <w:t xml:space="preserve"> na plnění</w:t>
      </w:r>
      <w:r w:rsidRPr="00F705EE">
        <w:t xml:space="preserve"> </w:t>
      </w:r>
      <w:r>
        <w:t xml:space="preserve">v celkové hodnotě </w:t>
      </w:r>
      <w:r w:rsidR="00182E32">
        <w:t xml:space="preserve">necelých </w:t>
      </w:r>
      <w:r w:rsidRPr="00F705EE">
        <w:t>69</w:t>
      </w:r>
      <w:r w:rsidR="00182E32">
        <w:t>7</w:t>
      </w:r>
      <w:r w:rsidR="002E14BA">
        <w:t>,0</w:t>
      </w:r>
      <w:r w:rsidR="00182E32">
        <w:t xml:space="preserve"> tis.</w:t>
      </w:r>
      <w:r w:rsidRPr="00F705EE">
        <w:t xml:space="preserve"> </w:t>
      </w:r>
      <w:r>
        <w:t>Kč, které měl</w:t>
      </w:r>
      <w:r w:rsidR="002E14BA">
        <w:t>y</w:t>
      </w:r>
      <w:r>
        <w:t xml:space="preserve"> být hrazen</w:t>
      </w:r>
      <w:r w:rsidR="002E14BA">
        <w:t>y</w:t>
      </w:r>
      <w:r>
        <w:t xml:space="preserve"> z rozpočtu </w:t>
      </w:r>
      <w:r w:rsidRPr="001043E4">
        <w:t>Projektu 7277</w:t>
      </w:r>
      <w:r>
        <w:t>,</w:t>
      </w:r>
      <w:r w:rsidRPr="001043E4">
        <w:t xml:space="preserve"> </w:t>
      </w:r>
      <w:r>
        <w:t>a jednu prová</w:t>
      </w:r>
      <w:r w:rsidRPr="00F705EE">
        <w:t>děcí smlouvu</w:t>
      </w:r>
      <w:r>
        <w:t xml:space="preserve"> na plnění v celkové hodnotě </w:t>
      </w:r>
      <w:r w:rsidRPr="00E04F0B">
        <w:t>10</w:t>
      </w:r>
      <w:r w:rsidR="002E14BA">
        <w:t>4,5</w:t>
      </w:r>
      <w:r w:rsidR="00182E32">
        <w:t xml:space="preserve"> tis.</w:t>
      </w:r>
      <w:r>
        <w:t xml:space="preserve"> Kč pro</w:t>
      </w:r>
      <w:r w:rsidR="00FE119E">
        <w:t> </w:t>
      </w:r>
      <w:r>
        <w:t>Projekt</w:t>
      </w:r>
      <w:r w:rsidRPr="00F705EE">
        <w:t xml:space="preserve"> 8214</w:t>
      </w:r>
      <w:r>
        <w:t>.</w:t>
      </w:r>
      <w:r w:rsidRPr="00F705EE">
        <w:t xml:space="preserve"> </w:t>
      </w:r>
      <w:r w:rsidR="008227C3">
        <w:t>Ze strany řídicího orgánu však nebyla čtvrtina těchto výdajů proplacena pro svou nezpůsobilost vz</w:t>
      </w:r>
      <w:r>
        <w:t>hledem k postupu zadavatele v rozporu s právními předpisy z oblasti veřejných zakázek a podmínkami pro příjemce dotací z</w:t>
      </w:r>
      <w:r w:rsidR="00A21B3C">
        <w:t> </w:t>
      </w:r>
      <w:r>
        <w:t>OPZ</w:t>
      </w:r>
      <w:r w:rsidR="00A21B3C">
        <w:t>, a to i přesto, že</w:t>
      </w:r>
      <w:r w:rsidR="003179C2">
        <w:t> </w:t>
      </w:r>
      <w:r w:rsidR="00CE644B">
        <w:t xml:space="preserve">zadavatelem </w:t>
      </w:r>
      <w:r w:rsidR="00A21B3C">
        <w:t xml:space="preserve">v tomto případě nebylo přímo </w:t>
      </w:r>
      <w:proofErr w:type="spellStart"/>
      <w:r w:rsidR="00A21B3C">
        <w:t>MZ</w:t>
      </w:r>
      <w:r w:rsidR="004B1D24">
        <w:t>d</w:t>
      </w:r>
      <w:proofErr w:type="spellEnd"/>
      <w:r w:rsidR="008227C3">
        <w:t>.</w:t>
      </w:r>
      <w:r>
        <w:t xml:space="preserve"> </w:t>
      </w:r>
      <w:proofErr w:type="spellStart"/>
      <w:r>
        <w:t>MZ</w:t>
      </w:r>
      <w:r w:rsidR="004B1D24">
        <w:t>d</w:t>
      </w:r>
      <w:proofErr w:type="spellEnd"/>
      <w:r>
        <w:t xml:space="preserve"> tak muselo část výdajů Projektu 7277</w:t>
      </w:r>
      <w:r w:rsidR="00A21B3C">
        <w:t xml:space="preserve"> a Projektu 8214</w:t>
      </w:r>
      <w:r>
        <w:t xml:space="preserve"> v celkové výši </w:t>
      </w:r>
      <w:r w:rsidR="00A21B3C">
        <w:t>200</w:t>
      </w:r>
      <w:r w:rsidR="002E14BA">
        <w:t>,4</w:t>
      </w:r>
      <w:r w:rsidR="00A21B3C">
        <w:t xml:space="preserve"> tis.</w:t>
      </w:r>
      <w:r>
        <w:t xml:space="preserve"> Kč uhradit z</w:t>
      </w:r>
      <w:r w:rsidR="00A21B3C">
        <w:t>e státního</w:t>
      </w:r>
      <w:r>
        <w:t xml:space="preserve"> rozpočtu, přestože v rámci obou projektů zůstala značná část nevyčerpaných prostředků. V</w:t>
      </w:r>
      <w:r w:rsidRPr="00EE4D34">
        <w:t xml:space="preserve"> případě Projektu 7277</w:t>
      </w:r>
      <w:r w:rsidR="000446F9" w:rsidRPr="000446F9">
        <w:t xml:space="preserve"> </w:t>
      </w:r>
      <w:r w:rsidR="000446F9">
        <w:t>nevyužilo</w:t>
      </w:r>
      <w:r>
        <w:t xml:space="preserve"> </w:t>
      </w:r>
      <w:proofErr w:type="spellStart"/>
      <w:r>
        <w:t>MZ</w:t>
      </w:r>
      <w:r w:rsidR="000446F9">
        <w:t>d</w:t>
      </w:r>
      <w:proofErr w:type="spellEnd"/>
      <w:r>
        <w:t xml:space="preserve"> </w:t>
      </w:r>
      <w:r w:rsidRPr="00EE4D34">
        <w:t xml:space="preserve">téměř 5,7 mil. Kč, tj. 10 % </w:t>
      </w:r>
      <w:r w:rsidR="00CE644B">
        <w:t xml:space="preserve">z </w:t>
      </w:r>
      <w:r w:rsidRPr="00EE4D34">
        <w:t>celkov</w:t>
      </w:r>
      <w:r w:rsidR="00CE644B">
        <w:t>ých</w:t>
      </w:r>
      <w:r w:rsidRPr="00EE4D34">
        <w:t xml:space="preserve"> </w:t>
      </w:r>
      <w:r w:rsidR="00CE644B" w:rsidRPr="00EE4D34">
        <w:t>schválených prostředků</w:t>
      </w:r>
      <w:r w:rsidRPr="00EE4D34">
        <w:t>, a</w:t>
      </w:r>
      <w:r>
        <w:t> u </w:t>
      </w:r>
      <w:r w:rsidRPr="00EE4D34">
        <w:t xml:space="preserve">Projektu 8214 </w:t>
      </w:r>
      <w:r>
        <w:t xml:space="preserve">zůstalo nevyčerpáno </w:t>
      </w:r>
      <w:r w:rsidRPr="00EE4D34">
        <w:t>dokonce 21</w:t>
      </w:r>
      <w:r w:rsidR="006A542A">
        <w:t>,0</w:t>
      </w:r>
      <w:r w:rsidR="003179C2">
        <w:t> </w:t>
      </w:r>
      <w:r w:rsidRPr="00EE4D34">
        <w:t>mil.</w:t>
      </w:r>
      <w:r w:rsidR="003179C2">
        <w:t> </w:t>
      </w:r>
      <w:r w:rsidRPr="00EE4D34">
        <w:t>Kč, tj. 30</w:t>
      </w:r>
      <w:r>
        <w:t> </w:t>
      </w:r>
      <w:r w:rsidRPr="00EE4D34">
        <w:t>% z</w:t>
      </w:r>
      <w:r w:rsidR="00FE119E">
        <w:t> </w:t>
      </w:r>
      <w:r w:rsidRPr="00EE4D34">
        <w:t>celkových schválených prostředků</w:t>
      </w:r>
      <w:r>
        <w:t>.</w:t>
      </w:r>
    </w:p>
    <w:p w14:paraId="0F8602A0" w14:textId="33675AFD" w:rsidR="000E6E38" w:rsidRDefault="000E6E38" w:rsidP="00BE5415">
      <w:pPr>
        <w:spacing w:after="0"/>
      </w:pPr>
      <w:r>
        <w:t xml:space="preserve">Na kontrolovaném vzorku šesti dotací poskytnutých v rámci těchto projektů NKÚ zjistil, že </w:t>
      </w:r>
      <w:proofErr w:type="spellStart"/>
      <w:r>
        <w:t>MZ</w:t>
      </w:r>
      <w:r w:rsidR="004B1D24">
        <w:t>d</w:t>
      </w:r>
      <w:proofErr w:type="spellEnd"/>
      <w:r>
        <w:t xml:space="preserve"> důsledně nevyžadovalo plnění podmínek poskytnutí dotace. Ve třech případech akceptovalo jejich porušení ze strany příjemce dotace, které bylo zřejmé ze zpráv o realizaci jednotlivých podpořených projektů</w:t>
      </w:r>
      <w:r w:rsidR="00182E32">
        <w:t xml:space="preserve">, když příjemci v projektech prováděli předem neschválené změny nebo řádně </w:t>
      </w:r>
      <w:proofErr w:type="spellStart"/>
      <w:r w:rsidR="00182E32">
        <w:t>MZ</w:t>
      </w:r>
      <w:r w:rsidR="004B1D24">
        <w:t>d</w:t>
      </w:r>
      <w:proofErr w:type="spellEnd"/>
      <w:r w:rsidR="00182E32">
        <w:t xml:space="preserve"> nepředkládali dokumentaci k doložení splnění základních požadavků na tým poskytující paliativní péči.</w:t>
      </w:r>
    </w:p>
    <w:p w14:paraId="6975F7D9" w14:textId="77777777" w:rsidR="00BE5415" w:rsidRDefault="00BE5415" w:rsidP="00BE5415">
      <w:pPr>
        <w:spacing w:after="0"/>
      </w:pPr>
    </w:p>
    <w:bookmarkEnd w:id="4"/>
    <w:p w14:paraId="0AD50046" w14:textId="559057B0" w:rsidR="00821756" w:rsidRDefault="006C11EE" w:rsidP="006C11EE">
      <w:pPr>
        <w:pStyle w:val="Nadpis2"/>
        <w:widowControl/>
        <w:numPr>
          <w:ilvl w:val="0"/>
          <w:numId w:val="0"/>
        </w:numPr>
        <w:ind w:left="284" w:hanging="284"/>
        <w:jc w:val="left"/>
      </w:pPr>
      <w:r>
        <w:t xml:space="preserve">3. </w:t>
      </w:r>
      <w:r w:rsidR="009F34FC">
        <w:t xml:space="preserve">Rozhodování </w:t>
      </w:r>
      <w:proofErr w:type="spellStart"/>
      <w:r w:rsidR="009F34FC">
        <w:t>MZ</w:t>
      </w:r>
      <w:r w:rsidR="004B1D24">
        <w:t>d</w:t>
      </w:r>
      <w:proofErr w:type="spellEnd"/>
      <w:r w:rsidR="009F34FC">
        <w:t xml:space="preserve"> o přidělení dotací </w:t>
      </w:r>
      <w:r w:rsidR="002420A9">
        <w:t>ze státního rozpočtu</w:t>
      </w:r>
      <w:r w:rsidR="009F34FC">
        <w:t xml:space="preserve"> nebylo </w:t>
      </w:r>
      <w:r w:rsidR="008F6893">
        <w:t>zcela</w:t>
      </w:r>
      <w:r w:rsidR="009F34FC">
        <w:t xml:space="preserve"> transparentní. </w:t>
      </w:r>
      <w:proofErr w:type="spellStart"/>
      <w:r w:rsidR="009F34FC">
        <w:t>MZ</w:t>
      </w:r>
      <w:r w:rsidR="004B1D24">
        <w:t>d</w:t>
      </w:r>
      <w:proofErr w:type="spellEnd"/>
      <w:r w:rsidR="009F34FC">
        <w:t xml:space="preserve"> navíc při</w:t>
      </w:r>
      <w:r w:rsidR="001C1F75">
        <w:t xml:space="preserve"> </w:t>
      </w:r>
      <w:r w:rsidR="009F34FC">
        <w:t>jejich administraci chybovalo</w:t>
      </w:r>
      <w:r w:rsidR="00821756">
        <w:t>.</w:t>
      </w:r>
    </w:p>
    <w:p w14:paraId="7111EE76" w14:textId="1F1A5A1A" w:rsidR="000A4BB5" w:rsidRDefault="008F6893" w:rsidP="00F32C52">
      <w:proofErr w:type="spellStart"/>
      <w:r>
        <w:t>MZ</w:t>
      </w:r>
      <w:r w:rsidR="004B1D24">
        <w:t>d</w:t>
      </w:r>
      <w:proofErr w:type="spellEnd"/>
      <w:r>
        <w:t xml:space="preserve"> v</w:t>
      </w:r>
      <w:r w:rsidR="00597161">
        <w:t xml:space="preserve"> metodikách PPNNO </w:t>
      </w:r>
      <w:r w:rsidR="00E879E2">
        <w:t>účinných v </w:t>
      </w:r>
      <w:r w:rsidR="00597161">
        <w:t>období</w:t>
      </w:r>
      <w:r w:rsidR="00E879E2">
        <w:t xml:space="preserve"> let</w:t>
      </w:r>
      <w:r w:rsidR="00597161">
        <w:t xml:space="preserve"> 2017 až 2021 stanovilo pro odborné hodnocení podaných žádostí </w:t>
      </w:r>
      <w:r w:rsidR="00E879E2">
        <w:t xml:space="preserve">o poskytnutí dotace </w:t>
      </w:r>
      <w:r w:rsidR="00597161">
        <w:t xml:space="preserve">vždy několik oblastí, </w:t>
      </w:r>
      <w:r w:rsidR="000A4BB5">
        <w:t>na něž měl být brán ohled při posuzování projektů</w:t>
      </w:r>
      <w:r w:rsidR="004C6BB3">
        <w:t xml:space="preserve">. </w:t>
      </w:r>
      <w:proofErr w:type="spellStart"/>
      <w:r w:rsidR="004C6BB3">
        <w:t>MZ</w:t>
      </w:r>
      <w:r w:rsidR="004B1D24">
        <w:t>d</w:t>
      </w:r>
      <w:proofErr w:type="spellEnd"/>
      <w:r w:rsidR="004C6BB3">
        <w:t xml:space="preserve"> však ne</w:t>
      </w:r>
      <w:r w:rsidR="007F550C">
        <w:t>nasta</w:t>
      </w:r>
      <w:r w:rsidR="004C6BB3">
        <w:t>vilo jejich</w:t>
      </w:r>
      <w:r w:rsidR="000A4BB5">
        <w:t xml:space="preserve"> bodové ohodnocení či v</w:t>
      </w:r>
      <w:r w:rsidR="007562CA">
        <w:t>á</w:t>
      </w:r>
      <w:r w:rsidR="000A4BB5">
        <w:t>h</w:t>
      </w:r>
      <w:r w:rsidR="007562CA">
        <w:t>y</w:t>
      </w:r>
      <w:r w:rsidR="000A4BB5">
        <w:t xml:space="preserve">. V metodice pro dotační řízení na rok 2018 dokonce nebyla </w:t>
      </w:r>
      <w:r w:rsidR="007F550C">
        <w:t>definována</w:t>
      </w:r>
      <w:r w:rsidR="000A4BB5">
        <w:t xml:space="preserve"> žádná kritéria, podle nichž by měly být dotace rozdělovány.</w:t>
      </w:r>
      <w:r w:rsidR="007F550C">
        <w:t xml:space="preserve"> </w:t>
      </w:r>
      <w:r w:rsidR="000A4BB5">
        <w:t xml:space="preserve">Záznamy z jednání dotační komise, která byla za návrhy přidělení konkrétních částek dotací zodpovědná, </w:t>
      </w:r>
      <w:r w:rsidR="007F550C">
        <w:t xml:space="preserve">navíc </w:t>
      </w:r>
      <w:r w:rsidR="000A4BB5">
        <w:t>nijak nedokumentuj</w:t>
      </w:r>
      <w:r w:rsidR="004C6BB3">
        <w:t>í</w:t>
      </w:r>
      <w:r w:rsidR="000A4BB5">
        <w:t xml:space="preserve">, jak a zda vůbec byly </w:t>
      </w:r>
      <w:r w:rsidR="007F550C">
        <w:t>stanovené</w:t>
      </w:r>
      <w:r w:rsidR="000A4BB5">
        <w:t xml:space="preserve"> </w:t>
      </w:r>
      <w:r w:rsidR="00A362DB">
        <w:t>oblasti</w:t>
      </w:r>
      <w:r w:rsidR="000A4BB5">
        <w:t xml:space="preserve"> při hodnocení využity. </w:t>
      </w:r>
    </w:p>
    <w:p w14:paraId="70A85B3C" w14:textId="50FF6824" w:rsidR="00A17509" w:rsidRDefault="00A17509" w:rsidP="00821756">
      <w:r>
        <w:t>Kromě výše uvedených nedostatků posuzování žádostí o dotace zjistil</w:t>
      </w:r>
      <w:r w:rsidR="00006620" w:rsidRPr="00006620">
        <w:t xml:space="preserve"> </w:t>
      </w:r>
      <w:r w:rsidR="00006620">
        <w:t>NKÚ</w:t>
      </w:r>
      <w:r>
        <w:t>, že v roce 2017 jedna z podaných žádostí nebyla posuzována v rámci prvního kola, v němž bylo posuzováno splnění formálních požadavků a soulad s cíli PPNNO. V roce 2018 pak přehledy projektů pro</w:t>
      </w:r>
      <w:r w:rsidR="004B1D24">
        <w:t xml:space="preserve"> </w:t>
      </w:r>
      <w:r>
        <w:t xml:space="preserve">formální a odborné posuzování žádostí obsahovaly rozpory, na jejichž základě nelze </w:t>
      </w:r>
      <w:r w:rsidR="00BD26A5">
        <w:t xml:space="preserve">s jistotou </w:t>
      </w:r>
      <w:r>
        <w:t>říc</w:t>
      </w:r>
      <w:r w:rsidR="00BD26A5">
        <w:t>i</w:t>
      </w:r>
      <w:r>
        <w:t>, zda byly skutečně všechny projekty posuzovány v obou fázích.</w:t>
      </w:r>
    </w:p>
    <w:p w14:paraId="155EE081" w14:textId="1D9FBE59" w:rsidR="007B5F9E" w:rsidRDefault="00A71ECC" w:rsidP="007B5F9E">
      <w:proofErr w:type="spellStart"/>
      <w:r>
        <w:t>MZ</w:t>
      </w:r>
      <w:r w:rsidR="004B1D24">
        <w:t>d</w:t>
      </w:r>
      <w:proofErr w:type="spellEnd"/>
      <w:r>
        <w:t xml:space="preserve"> v</w:t>
      </w:r>
      <w:r w:rsidR="007B5F9E" w:rsidRPr="00920565">
        <w:t> letech</w:t>
      </w:r>
      <w:r w:rsidR="007B5F9E">
        <w:t xml:space="preserve"> 2017 až 2020 nezveřejňovalo seznam a pořadí úspěšnosti žádostí, které úspěšně prošly výběrovým dotačním řízením</w:t>
      </w:r>
      <w:r w:rsidR="00CD788E">
        <w:t>, do konce roku předcházejícího období, jehož se dotační řízení týkalo</w:t>
      </w:r>
      <w:r>
        <w:t>, což</w:t>
      </w:r>
      <w:r w:rsidR="007B5F9E">
        <w:t xml:space="preserve"> bylo v rozporu s příslušnými metodikami PPNNO.</w:t>
      </w:r>
    </w:p>
    <w:p w14:paraId="73D76D0F" w14:textId="4652B6BB" w:rsidR="007B5F9E" w:rsidRDefault="007B5F9E" w:rsidP="007B5F9E">
      <w:r>
        <w:t xml:space="preserve">Metodiky </w:t>
      </w:r>
      <w:r w:rsidR="000657F7">
        <w:t>PPNNO</w:t>
      </w:r>
      <w:r>
        <w:t xml:space="preserve"> obsahovaly také formální nedostatky, když předepsané přílohy žádostí o</w:t>
      </w:r>
      <w:r w:rsidR="00771B92">
        <w:t> </w:t>
      </w:r>
      <w:r w:rsidR="000657F7">
        <w:t>poskytnutí</w:t>
      </w:r>
      <w:r>
        <w:t xml:space="preserve"> dotace na roky 2017 a 2018 nenavazovaly na požadavky stanovené v</w:t>
      </w:r>
      <w:r w:rsidR="000657F7">
        <w:t xml:space="preserve"> těchto </w:t>
      </w:r>
      <w:r>
        <w:t xml:space="preserve">metodikách. Na rok 2017 pak metodika obsahovala i ustanovení o provádění hodnocení realizace projektů komisí </w:t>
      </w:r>
      <w:proofErr w:type="spellStart"/>
      <w:r>
        <w:t>MZ</w:t>
      </w:r>
      <w:r w:rsidR="004B1D24">
        <w:t>d</w:t>
      </w:r>
      <w:proofErr w:type="spellEnd"/>
      <w:r>
        <w:t xml:space="preserve">, ve skutečnosti však </w:t>
      </w:r>
      <w:proofErr w:type="spellStart"/>
      <w:r>
        <w:t>MZ</w:t>
      </w:r>
      <w:r w:rsidR="004B1D24">
        <w:t>d</w:t>
      </w:r>
      <w:proofErr w:type="spellEnd"/>
      <w:r>
        <w:t xml:space="preserve"> takové hodnocení neprovádělo.</w:t>
      </w:r>
    </w:p>
    <w:p w14:paraId="2A7FBB22" w14:textId="69EFED87" w:rsidR="007B5F9E" w:rsidRDefault="007B5F9E" w:rsidP="00920565">
      <w:r>
        <w:t xml:space="preserve">NKÚ zjistil také porušování příslušných pravidel na vzorku sedmnácti projektů, u kterých provedl kontrolu jejich administrace </w:t>
      </w:r>
      <w:proofErr w:type="spellStart"/>
      <w:r>
        <w:t>MZ</w:t>
      </w:r>
      <w:r w:rsidR="004B1D24">
        <w:t>d</w:t>
      </w:r>
      <w:proofErr w:type="spellEnd"/>
      <w:r>
        <w:t xml:space="preserve"> jako poskytovatele</w:t>
      </w:r>
      <w:r w:rsidR="00006620">
        <w:t>m</w:t>
      </w:r>
      <w:r>
        <w:t xml:space="preserve"> dotací. </w:t>
      </w:r>
      <w:proofErr w:type="spellStart"/>
      <w:r>
        <w:t>MZ</w:t>
      </w:r>
      <w:r w:rsidR="004B1D24">
        <w:t>d</w:t>
      </w:r>
      <w:proofErr w:type="spellEnd"/>
      <w:r>
        <w:t xml:space="preserve"> např. důsledně nevyžadovalo po žadatelích o dotace, resp. jejich příjemcích</w:t>
      </w:r>
      <w:r w:rsidR="004B1D24">
        <w:t>,</w:t>
      </w:r>
      <w:r>
        <w:t xml:space="preserve"> předkládání všech dokumentů stanovených metodikou PPNNO či rozhodnutími o poskytnutí dotace, a to jak ve fázi předkládání žádostí, tak i po</w:t>
      </w:r>
      <w:r w:rsidR="004B1D24">
        <w:t xml:space="preserve"> </w:t>
      </w:r>
      <w:r>
        <w:t xml:space="preserve">ukončení realizace projektů, a stejně tak ani dodržování termínů pro jejich doručování. Dále </w:t>
      </w:r>
      <w:proofErr w:type="spellStart"/>
      <w:r>
        <w:t>MZ</w:t>
      </w:r>
      <w:r w:rsidR="004B1D24">
        <w:t>d</w:t>
      </w:r>
      <w:proofErr w:type="spellEnd"/>
      <w:r>
        <w:t xml:space="preserve"> v jednom případě nepromítlo do vydaného rozhodnutí podmínky dotační komise, za nichž měl být projekt podpořen</w:t>
      </w:r>
      <w:r w:rsidR="00CD788E">
        <w:t>. Umožnilo také podpořit</w:t>
      </w:r>
      <w:r>
        <w:t xml:space="preserve"> sebepropagaci příjemce, kterou příslušná metodika PPNNO nedovolovala. V letech 2017 až 2020 pak </w:t>
      </w:r>
      <w:proofErr w:type="spellStart"/>
      <w:r>
        <w:t>MZ</w:t>
      </w:r>
      <w:r w:rsidR="004B1D24">
        <w:t>d</w:t>
      </w:r>
      <w:proofErr w:type="spellEnd"/>
      <w:r>
        <w:t xml:space="preserve"> v rozporu se zásadami vlády pro poskytování dotací nestátním neziskovým organizacím</w:t>
      </w:r>
      <w:r w:rsidRPr="00363889">
        <w:rPr>
          <w:vertAlign w:val="superscript"/>
        </w:rPr>
        <w:footnoteReference w:id="13"/>
      </w:r>
      <w:r>
        <w:t xml:space="preserve"> dotace nevyplatilo do konce března příslušného rozpočtového roku, </w:t>
      </w:r>
      <w:r w:rsidRPr="00232DA8">
        <w:t>ale se zpožděním od jednoho až po téměř pět měsíců</w:t>
      </w:r>
      <w:r>
        <w:t xml:space="preserve">. Dále např. </w:t>
      </w:r>
      <w:r w:rsidR="00006620">
        <w:t xml:space="preserve">v letech 2019 až 2021 </w:t>
      </w:r>
      <w:proofErr w:type="spellStart"/>
      <w:r>
        <w:t>MZ</w:t>
      </w:r>
      <w:r w:rsidR="00A02C06">
        <w:t>d</w:t>
      </w:r>
      <w:proofErr w:type="spellEnd"/>
      <w:r>
        <w:t xml:space="preserve"> nepoužívalo pro hodnocení realizace projektů kritéria stanovená metodikou</w:t>
      </w:r>
      <w:r w:rsidR="000657F7">
        <w:t xml:space="preserve"> PPNNO</w:t>
      </w:r>
      <w:r>
        <w:t xml:space="preserve">. V jednom případě pak </w:t>
      </w:r>
      <w:proofErr w:type="spellStart"/>
      <w:r>
        <w:t>MZ</w:t>
      </w:r>
      <w:r w:rsidR="00A02C06">
        <w:t>d</w:t>
      </w:r>
      <w:proofErr w:type="spellEnd"/>
      <w:r>
        <w:t xml:space="preserve"> nerozporovalo vyúčtování, z něhož bylo patrné, že příjemce v projektu uplatnil náklady </w:t>
      </w:r>
      <w:r w:rsidR="009E4593">
        <w:t>z</w:t>
      </w:r>
      <w:r>
        <w:t xml:space="preserve">a věcně nesouvisející období a u dvou projektů akceptovalo změny v pořizovaném vybavení oproti podaným žádostem o dotace. </w:t>
      </w:r>
    </w:p>
    <w:p w14:paraId="6054B162" w14:textId="09F870DC" w:rsidR="00B2709C" w:rsidRDefault="008604E1" w:rsidP="00821756">
      <w:r w:rsidRPr="008604E1">
        <w:t>Uvedené nedostatky z období let 2017 až 2021 v</w:t>
      </w:r>
      <w:r w:rsidR="00B2709C" w:rsidRPr="008604E1">
        <w:t>nitřní kontrolní systém</w:t>
      </w:r>
      <w:r w:rsidR="005D2AEB">
        <w:rPr>
          <w:rStyle w:val="Znakapoznpodarou"/>
        </w:rPr>
        <w:footnoteReference w:id="14"/>
      </w:r>
      <w:r w:rsidR="00B2709C" w:rsidRPr="008604E1">
        <w:t xml:space="preserve"> </w:t>
      </w:r>
      <w:proofErr w:type="spellStart"/>
      <w:r w:rsidR="00B2709C" w:rsidRPr="008604E1">
        <w:t>MZ</w:t>
      </w:r>
      <w:r w:rsidR="00A02C06">
        <w:t>d</w:t>
      </w:r>
      <w:proofErr w:type="spellEnd"/>
      <w:r w:rsidR="00B2709C" w:rsidRPr="008604E1">
        <w:t xml:space="preserve"> nedetekoval</w:t>
      </w:r>
      <w:r w:rsidRPr="008604E1">
        <w:t>.</w:t>
      </w:r>
    </w:p>
    <w:p w14:paraId="250D508F" w14:textId="69089275" w:rsidR="00821756" w:rsidRDefault="006C11EE" w:rsidP="006C11EE">
      <w:pPr>
        <w:pStyle w:val="Nadpis2"/>
        <w:widowControl/>
        <w:numPr>
          <w:ilvl w:val="0"/>
          <w:numId w:val="0"/>
        </w:numPr>
        <w:ind w:left="284" w:hanging="284"/>
        <w:jc w:val="left"/>
      </w:pPr>
      <w:r>
        <w:t xml:space="preserve">4. </w:t>
      </w:r>
      <w:proofErr w:type="spellStart"/>
      <w:r w:rsidR="007562CA">
        <w:t>MZ</w:t>
      </w:r>
      <w:r w:rsidR="00A02C06">
        <w:t>d</w:t>
      </w:r>
      <w:proofErr w:type="spellEnd"/>
      <w:r w:rsidR="007562CA">
        <w:t xml:space="preserve"> provádělo kontrolu využití dota</w:t>
      </w:r>
      <w:r w:rsidR="00D77037">
        <w:t>cí ze státního rozpočtu</w:t>
      </w:r>
      <w:r w:rsidR="007562CA">
        <w:t xml:space="preserve"> u jejich příjemců pouze minimálně</w:t>
      </w:r>
      <w:r w:rsidR="00821756">
        <w:t>.</w:t>
      </w:r>
    </w:p>
    <w:p w14:paraId="4E7FE641" w14:textId="37DD7BCE" w:rsidR="00231A14" w:rsidRDefault="00231A14" w:rsidP="00231A14">
      <w:r>
        <w:t xml:space="preserve">Z Projektu 7277 </w:t>
      </w:r>
      <w:r w:rsidR="005A3A41">
        <w:t xml:space="preserve">spolufinancovaného z rozpočtu EU </w:t>
      </w:r>
      <w:r>
        <w:t>byly poskytnuty dotace na realizaci sedmi projektů</w:t>
      </w:r>
      <w:r w:rsidR="001A432B">
        <w:t xml:space="preserve"> v období let 2019 až 2021</w:t>
      </w:r>
      <w:r>
        <w:t xml:space="preserve">. Všechny byly ze strany </w:t>
      </w:r>
      <w:proofErr w:type="spellStart"/>
      <w:r>
        <w:t>MZ</w:t>
      </w:r>
      <w:r w:rsidR="00537CDD">
        <w:t>d</w:t>
      </w:r>
      <w:proofErr w:type="spellEnd"/>
      <w:r>
        <w:t xml:space="preserve"> prověřovány v průběhu realizace přímo u příjemců dotací. Stejně tak provedlo </w:t>
      </w:r>
      <w:proofErr w:type="spellStart"/>
      <w:r>
        <w:t>MZ</w:t>
      </w:r>
      <w:r w:rsidR="00537CDD">
        <w:t>d</w:t>
      </w:r>
      <w:proofErr w:type="spellEnd"/>
      <w:r>
        <w:t xml:space="preserve"> kontrolu v posledních měsících pilotního provozu u všech devíti příjemců dotací</w:t>
      </w:r>
      <w:r w:rsidR="001A432B">
        <w:t xml:space="preserve"> na roky 2019 až 2022</w:t>
      </w:r>
      <w:r>
        <w:t xml:space="preserve"> přidělovaných v rámci Projektu 8214</w:t>
      </w:r>
      <w:r w:rsidR="005A3A41">
        <w:t xml:space="preserve"> spolufinancovaného z rozpočtu EU</w:t>
      </w:r>
      <w:r>
        <w:t>.</w:t>
      </w:r>
      <w:r w:rsidR="00F23C21">
        <w:t xml:space="preserve"> </w:t>
      </w:r>
      <w:r w:rsidR="00F23C21" w:rsidRPr="000B6C2F">
        <w:t xml:space="preserve">Těmito kontrolami </w:t>
      </w:r>
      <w:proofErr w:type="spellStart"/>
      <w:r w:rsidR="00F23C21" w:rsidRPr="000B6C2F">
        <w:t>MZ</w:t>
      </w:r>
      <w:r w:rsidR="00537CDD">
        <w:t>d</w:t>
      </w:r>
      <w:proofErr w:type="spellEnd"/>
      <w:r w:rsidR="00F23C21" w:rsidRPr="000B6C2F">
        <w:t xml:space="preserve"> u některých příjemců zjistilo nedostatky a provedlo příslušná opatření</w:t>
      </w:r>
      <w:r w:rsidR="00734EC5" w:rsidRPr="000B6C2F">
        <w:t>.</w:t>
      </w:r>
      <w:r w:rsidR="00F23C21">
        <w:t xml:space="preserve"> </w:t>
      </w:r>
    </w:p>
    <w:p w14:paraId="6B830267" w14:textId="5B0D4FD2" w:rsidR="008D41B5" w:rsidRDefault="008D41B5" w:rsidP="00231A14">
      <w:r>
        <w:t>Z celkem 178 projektů podpořených v letech 2017 až 2021 neinvestičními dotacemi</w:t>
      </w:r>
      <w:r w:rsidR="00015C98">
        <w:t xml:space="preserve"> ze státního rozpočtu</w:t>
      </w:r>
      <w:r>
        <w:t xml:space="preserve"> z PPNNO zkontrolovalo </w:t>
      </w:r>
      <w:proofErr w:type="spellStart"/>
      <w:r>
        <w:t>MZ</w:t>
      </w:r>
      <w:r w:rsidR="00537CDD">
        <w:t>d</w:t>
      </w:r>
      <w:proofErr w:type="spellEnd"/>
      <w:r>
        <w:t xml:space="preserve"> přímo u příjemce pouze tři projekty z roku 2018 </w:t>
      </w:r>
      <w:r w:rsidR="00006620">
        <w:t>u </w:t>
      </w:r>
      <w:r>
        <w:t>dvou příjemců dotací</w:t>
      </w:r>
      <w:r w:rsidR="00985DA8">
        <w:t>. P</w:t>
      </w:r>
      <w:r w:rsidR="00985DA8" w:rsidRPr="00985DA8">
        <w:t xml:space="preserve">rostřednictvím místního šetření </w:t>
      </w:r>
      <w:r w:rsidR="00985DA8">
        <w:t xml:space="preserve">tak </w:t>
      </w:r>
      <w:proofErr w:type="spellStart"/>
      <w:r w:rsidR="00985DA8">
        <w:t>MZ</w:t>
      </w:r>
      <w:r w:rsidR="00537CDD">
        <w:t>d</w:t>
      </w:r>
      <w:proofErr w:type="spellEnd"/>
      <w:r w:rsidR="00985DA8">
        <w:t xml:space="preserve"> prověřilo využití 0,5</w:t>
      </w:r>
      <w:r w:rsidR="003D1AB6">
        <w:t> </w:t>
      </w:r>
      <w:r w:rsidR="00985DA8">
        <w:t>mil.</w:t>
      </w:r>
      <w:r w:rsidR="003D1AB6">
        <w:t> </w:t>
      </w:r>
      <w:r w:rsidR="00985DA8">
        <w:t>Kč z celkem poskytnutých 28,5 mil. Kč.</w:t>
      </w:r>
    </w:p>
    <w:p w14:paraId="40AD2C86" w14:textId="69826E24" w:rsidR="00231A14" w:rsidRDefault="00985DA8" w:rsidP="00231A14">
      <w:r>
        <w:t>V případě investičních dotací</w:t>
      </w:r>
      <w:r w:rsidR="00015C98">
        <w:t xml:space="preserve"> ze státního rozpočtu</w:t>
      </w:r>
      <w:r>
        <w:t xml:space="preserve"> z programu č. 135 100</w:t>
      </w:r>
      <w:r w:rsidR="002B1AC3" w:rsidRPr="002B1AC3">
        <w:t xml:space="preserve"> </w:t>
      </w:r>
      <w:r w:rsidR="002B1AC3" w:rsidRPr="00985DA8">
        <w:t>provádělo</w:t>
      </w:r>
      <w:r>
        <w:t xml:space="preserve"> </w:t>
      </w:r>
      <w:proofErr w:type="spellStart"/>
      <w:r>
        <w:t>MZ</w:t>
      </w:r>
      <w:r w:rsidR="002B1AC3">
        <w:t>d</w:t>
      </w:r>
      <w:proofErr w:type="spellEnd"/>
      <w:r>
        <w:t xml:space="preserve"> </w:t>
      </w:r>
      <w:r w:rsidR="00231A14" w:rsidRPr="00985DA8">
        <w:t xml:space="preserve">průběžnou a následnou </w:t>
      </w:r>
      <w:r w:rsidR="007664CF">
        <w:t xml:space="preserve">kontrolu </w:t>
      </w:r>
      <w:r w:rsidR="00231A14" w:rsidRPr="00985DA8">
        <w:t xml:space="preserve">v rámci procesu administrace jednotlivých akcí. Kontrolu přímo u </w:t>
      </w:r>
      <w:r w:rsidR="00157646">
        <w:t>příjemců</w:t>
      </w:r>
      <w:r w:rsidR="00231A14" w:rsidRPr="00985DA8">
        <w:t xml:space="preserve"> </w:t>
      </w:r>
      <w:r w:rsidR="00157646">
        <w:t xml:space="preserve">však </w:t>
      </w:r>
      <w:r w:rsidR="00231A14" w:rsidRPr="00985DA8">
        <w:t>neprovedlo žádnou</w:t>
      </w:r>
      <w:r w:rsidR="00CF000E">
        <w:t>. V</w:t>
      </w:r>
      <w:r w:rsidRPr="00985DA8">
        <w:t xml:space="preserve"> kontrolovaném období</w:t>
      </w:r>
      <w:r w:rsidR="00CF000E">
        <w:t xml:space="preserve"> </w:t>
      </w:r>
      <w:proofErr w:type="spellStart"/>
      <w:r w:rsidR="00CF000E">
        <w:t>MZ</w:t>
      </w:r>
      <w:r w:rsidR="002B1AC3">
        <w:t>d</w:t>
      </w:r>
      <w:proofErr w:type="spellEnd"/>
      <w:r w:rsidRPr="00985DA8">
        <w:t xml:space="preserve"> zařadilo do programu č. 135 100 celkem 20 akcí se souhrnnou schválenou dotací ve výši 5,6 mil. Kč.</w:t>
      </w:r>
    </w:p>
    <w:p w14:paraId="2781BF82" w14:textId="05F9F033" w:rsidR="00821756" w:rsidRDefault="006C11EE" w:rsidP="006C11EE">
      <w:pPr>
        <w:pStyle w:val="Nadpis2"/>
        <w:numPr>
          <w:ilvl w:val="0"/>
          <w:numId w:val="0"/>
        </w:numPr>
      </w:pPr>
      <w:r>
        <w:rPr>
          <w:rStyle w:val="Nadpis2Char"/>
          <w:b/>
          <w:bCs/>
        </w:rPr>
        <w:t xml:space="preserve">5. </w:t>
      </w:r>
      <w:r w:rsidR="00821756" w:rsidRPr="00821756">
        <w:rPr>
          <w:rStyle w:val="Nadpis2Char"/>
          <w:b/>
          <w:bCs/>
        </w:rPr>
        <w:t>U příjemců dotací</w:t>
      </w:r>
      <w:r w:rsidR="00D81946">
        <w:rPr>
          <w:rStyle w:val="Nadpis2Char"/>
          <w:b/>
          <w:bCs/>
        </w:rPr>
        <w:t xml:space="preserve"> ze státního rozpočtu</w:t>
      </w:r>
      <w:r w:rsidR="00821756" w:rsidRPr="00821756">
        <w:rPr>
          <w:rStyle w:val="Nadpis2Char"/>
          <w:b/>
          <w:bCs/>
        </w:rPr>
        <w:t xml:space="preserve"> byla zjištěna </w:t>
      </w:r>
      <w:r w:rsidR="008F6893">
        <w:rPr>
          <w:rStyle w:val="Nadpis2Char"/>
          <w:b/>
          <w:bCs/>
        </w:rPr>
        <w:t>pochybení</w:t>
      </w:r>
      <w:r w:rsidR="00821756" w:rsidRPr="00821756">
        <w:t>.</w:t>
      </w:r>
    </w:p>
    <w:p w14:paraId="789B7C4B" w14:textId="138A69C4" w:rsidR="00810CCF" w:rsidRDefault="00520A58" w:rsidP="00520A58">
      <w:r>
        <w:t xml:space="preserve">NKÚ při kontrole nakládání s dotačními prostředky </w:t>
      </w:r>
      <w:r w:rsidR="003B7A22">
        <w:t xml:space="preserve">u příjemců </w:t>
      </w:r>
      <w:r>
        <w:t xml:space="preserve">neshledal, že by poskytnuté peněžní prostředky využívali k jinému než stanovenému účelu. </w:t>
      </w:r>
    </w:p>
    <w:p w14:paraId="260AA7C4" w14:textId="0CD503EC" w:rsidR="00520A58" w:rsidRDefault="00520A58" w:rsidP="00520A58">
      <w:r>
        <w:t xml:space="preserve">Pouze v případě </w:t>
      </w:r>
      <w:r w:rsidR="003B7A22">
        <w:t>tří</w:t>
      </w:r>
      <w:r w:rsidRPr="00243BD7">
        <w:t xml:space="preserve"> </w:t>
      </w:r>
      <w:r w:rsidR="008F4B6F" w:rsidRPr="00243BD7">
        <w:t>projektů</w:t>
      </w:r>
      <w:r w:rsidR="00243BD7" w:rsidRPr="00243BD7">
        <w:t xml:space="preserve"> podpořených ze státního rozpočtu</w:t>
      </w:r>
      <w:r w:rsidR="008F4B6F" w:rsidRPr="00243BD7">
        <w:t xml:space="preserve"> z</w:t>
      </w:r>
      <w:r w:rsidR="00243BD7" w:rsidRPr="00243BD7">
        <w:t> celkových 29 kontrolovaných</w:t>
      </w:r>
      <w:r>
        <w:t xml:space="preserve"> nebyly do doby ukončení kontroly NKÚ distribuovány</w:t>
      </w:r>
      <w:r w:rsidRPr="002B5595">
        <w:t xml:space="preserve"> </w:t>
      </w:r>
      <w:r>
        <w:t>jejich cílové skupině veškeré tištěné publikace, jež vznikly díky podpoře, přestože od jejich vydání uplynulo i více než pět let.</w:t>
      </w:r>
      <w:r w:rsidR="00243BD7">
        <w:t xml:space="preserve"> K</w:t>
      </w:r>
      <w:r w:rsidR="003B7A22">
        <w:t xml:space="preserve"> datu ukončení kontroly </w:t>
      </w:r>
      <w:r w:rsidR="00695022">
        <w:t xml:space="preserve">NKÚ </w:t>
      </w:r>
      <w:r w:rsidR="003B7A22">
        <w:t>tak v těchto případech nedošlo k úplnému naplnění</w:t>
      </w:r>
      <w:r w:rsidR="00243BD7">
        <w:t xml:space="preserve"> cíle</w:t>
      </w:r>
      <w:r w:rsidR="003B7A22">
        <w:t>.</w:t>
      </w:r>
      <w:r w:rsidR="00243BD7">
        <w:t xml:space="preserve"> </w:t>
      </w:r>
      <w:proofErr w:type="spellStart"/>
      <w:r w:rsidR="003B7A22" w:rsidRPr="00810107">
        <w:t>MZ</w:t>
      </w:r>
      <w:r w:rsidR="002B1AC3">
        <w:t>d</w:t>
      </w:r>
      <w:proofErr w:type="spellEnd"/>
      <w:r w:rsidR="003B7A22" w:rsidRPr="00810107">
        <w:t xml:space="preserve"> však v</w:t>
      </w:r>
      <w:r w:rsidR="00810107" w:rsidRPr="00810107">
        <w:t> </w:t>
      </w:r>
      <w:r w:rsidR="003B7A22" w:rsidRPr="00810107">
        <w:t>podmínkách</w:t>
      </w:r>
      <w:r w:rsidR="00810107" w:rsidRPr="00810107">
        <w:t xml:space="preserve"> </w:t>
      </w:r>
      <w:r w:rsidR="003B7A22" w:rsidRPr="00810107">
        <w:t>termín pro dokončení distribuce publikací nestanovilo</w:t>
      </w:r>
      <w:r w:rsidR="003B7A22">
        <w:t>.</w:t>
      </w:r>
    </w:p>
    <w:p w14:paraId="2524E7AB" w14:textId="31F1CC81" w:rsidR="0037059A" w:rsidRDefault="0037059A" w:rsidP="00810107">
      <w:pPr>
        <w:spacing w:after="0"/>
      </w:pPr>
      <w:r>
        <w:t>Příjemci dotací</w:t>
      </w:r>
      <w:r w:rsidR="00810107">
        <w:t xml:space="preserve"> ze státního rozpočtu</w:t>
      </w:r>
      <w:r>
        <w:t xml:space="preserve"> se dopustili v několika případech porušení podmínek, za</w:t>
      </w:r>
      <w:r w:rsidR="00FE119E">
        <w:t> </w:t>
      </w:r>
      <w:r>
        <w:t xml:space="preserve">nichž jim byla podpora ze strany </w:t>
      </w:r>
      <w:proofErr w:type="spellStart"/>
      <w:r>
        <w:t>MZ</w:t>
      </w:r>
      <w:r w:rsidR="002B1AC3">
        <w:t>d</w:t>
      </w:r>
      <w:proofErr w:type="spellEnd"/>
      <w:r>
        <w:t xml:space="preserve"> poskytnuta. Jeden z příjemců u dvou projektů nezveřejňoval stanoveným způsobem kompletní znění publikací, na jejichž vznik </w:t>
      </w:r>
      <w:proofErr w:type="spellStart"/>
      <w:r>
        <w:t>MZ</w:t>
      </w:r>
      <w:r w:rsidR="002B1AC3">
        <w:t>d</w:t>
      </w:r>
      <w:proofErr w:type="spellEnd"/>
      <w:r>
        <w:t xml:space="preserve"> poskytlo dotace. Příjemci dále chybovali</w:t>
      </w:r>
      <w:r w:rsidR="001274E3">
        <w:t xml:space="preserve"> v dodržování skladby nákladů, využití prostředků v daném rozpočtovém období, v uzavíraných dohodách o provedení práce nebo v dodržování termínů pro předkládání předepsaných dokumentů po ukončení projektů</w:t>
      </w:r>
      <w:r>
        <w:t>.</w:t>
      </w:r>
    </w:p>
    <w:p w14:paraId="009952F6" w14:textId="77777777" w:rsidR="001274E3" w:rsidRDefault="001274E3" w:rsidP="001274E3">
      <w:pPr>
        <w:spacing w:after="0"/>
      </w:pPr>
    </w:p>
    <w:p w14:paraId="69EA6FB2" w14:textId="14AFD45F" w:rsidR="00520A58" w:rsidRPr="00147878" w:rsidRDefault="00520A58" w:rsidP="008F3801">
      <w:r w:rsidRPr="00FA6E17">
        <w:t xml:space="preserve">U </w:t>
      </w:r>
      <w:r>
        <w:t>osmi</w:t>
      </w:r>
      <w:r w:rsidRPr="00FA6E17">
        <w:t xml:space="preserve"> </w:t>
      </w:r>
      <w:r>
        <w:t>příjemců dotací</w:t>
      </w:r>
      <w:r w:rsidR="00810107">
        <w:t xml:space="preserve"> </w:t>
      </w:r>
      <w:r w:rsidRPr="00FA6E17">
        <w:t xml:space="preserve">zjištěné </w:t>
      </w:r>
      <w:r w:rsidR="008F3801" w:rsidRPr="008F3801">
        <w:t>skutečnost</w:t>
      </w:r>
      <w:r w:rsidR="008F3801">
        <w:t>i</w:t>
      </w:r>
      <w:r w:rsidR="008F3801" w:rsidRPr="008F3801">
        <w:t xml:space="preserve"> nasvědč</w:t>
      </w:r>
      <w:r w:rsidR="008F3801">
        <w:t>ovaly</w:t>
      </w:r>
      <w:r w:rsidR="008F3801" w:rsidRPr="008F3801">
        <w:t xml:space="preserve"> porušení rozpočtové kázně</w:t>
      </w:r>
      <w:r w:rsidRPr="00FA6E17">
        <w:t>.</w:t>
      </w:r>
    </w:p>
    <w:p w14:paraId="0D7A2D76" w14:textId="243F4B3B" w:rsidR="00821756" w:rsidRDefault="006C11EE" w:rsidP="006C11EE">
      <w:pPr>
        <w:pStyle w:val="Nadpis2"/>
        <w:numPr>
          <w:ilvl w:val="0"/>
          <w:numId w:val="0"/>
        </w:numPr>
      </w:pPr>
      <w:r>
        <w:t xml:space="preserve">6. </w:t>
      </w:r>
      <w:proofErr w:type="spellStart"/>
      <w:r w:rsidR="00821756">
        <w:t>MZ</w:t>
      </w:r>
      <w:r w:rsidR="002B1AC3">
        <w:t>d</w:t>
      </w:r>
      <w:proofErr w:type="spellEnd"/>
      <w:r w:rsidR="00821756">
        <w:t xml:space="preserve"> investiční dotační program naplánovalo </w:t>
      </w:r>
      <w:r w:rsidR="00E85F52">
        <w:t>ne</w:t>
      </w:r>
      <w:r w:rsidR="00821756">
        <w:t>realisticky.</w:t>
      </w:r>
    </w:p>
    <w:p w14:paraId="22ED469F" w14:textId="77777777" w:rsidR="00301092" w:rsidRDefault="00156C2D" w:rsidP="00A66326">
      <w:r>
        <w:t>Dokumentace programu č. 135 100 byla schválena v roce 2016</w:t>
      </w:r>
      <w:r w:rsidR="0031246F">
        <w:t>. J</w:t>
      </w:r>
      <w:r>
        <w:t>eho realizace začala v roce 2017</w:t>
      </w:r>
      <w:r w:rsidR="00D15996">
        <w:t xml:space="preserve"> a byla</w:t>
      </w:r>
      <w:r w:rsidR="00A66326">
        <w:t xml:space="preserve"> plánovaná do 31. 12. 2022. </w:t>
      </w:r>
      <w:r w:rsidR="00A66326" w:rsidRPr="00DE3165">
        <w:t>Celková účast státního rozpočtu na</w:t>
      </w:r>
      <w:r w:rsidR="00A66326">
        <w:t> </w:t>
      </w:r>
      <w:r w:rsidR="00A66326" w:rsidRPr="00DE3165">
        <w:t>financování programu</w:t>
      </w:r>
      <w:r w:rsidR="00A66326">
        <w:t xml:space="preserve"> č. 135 100</w:t>
      </w:r>
      <w:r w:rsidR="00A66326" w:rsidRPr="00DE3165">
        <w:t xml:space="preserve"> </w:t>
      </w:r>
      <w:r w:rsidR="00A66326">
        <w:t>byla nastavena na </w:t>
      </w:r>
      <w:r w:rsidR="00A66326" w:rsidRPr="00DE3165">
        <w:t>80,5 mil. Kč</w:t>
      </w:r>
      <w:r w:rsidR="00A66326">
        <w:t>.</w:t>
      </w:r>
    </w:p>
    <w:p w14:paraId="1586C227" w14:textId="4BC85AE8" w:rsidR="00301092" w:rsidRDefault="00A66326" w:rsidP="00A66326">
      <w:r>
        <w:t>Ve druhé polovině roku 2021 došlo</w:t>
      </w:r>
      <w:r w:rsidR="0031246F">
        <w:t xml:space="preserve"> na základě žádosti </w:t>
      </w:r>
      <w:proofErr w:type="spellStart"/>
      <w:r w:rsidR="0031246F">
        <w:t>MZ</w:t>
      </w:r>
      <w:r w:rsidR="002B1AC3">
        <w:t>d</w:t>
      </w:r>
      <w:proofErr w:type="spellEnd"/>
      <w:r w:rsidR="0031246F">
        <w:t xml:space="preserve"> </w:t>
      </w:r>
      <w:r>
        <w:t>k prodloužení realizace programu do 30. 6. 2024. Zároveň byl snížen parametr počtu hospicových lůžek ze 40 ks na 20 ks</w:t>
      </w:r>
      <w:r w:rsidR="00A75483">
        <w:t>, p</w:t>
      </w:r>
      <w:r w:rsidR="000B6C2F">
        <w:t>lánovaný rozpočet</w:t>
      </w:r>
      <w:r w:rsidR="00CF000E">
        <w:t xml:space="preserve"> </w:t>
      </w:r>
      <w:proofErr w:type="spellStart"/>
      <w:r w:rsidR="00CF000E">
        <w:t>MZ</w:t>
      </w:r>
      <w:r w:rsidR="002B1AC3">
        <w:t>d</w:t>
      </w:r>
      <w:proofErr w:type="spellEnd"/>
      <w:r w:rsidR="000B6C2F">
        <w:t xml:space="preserve"> </w:t>
      </w:r>
      <w:r w:rsidR="00D211BA">
        <w:t xml:space="preserve">na vznik těchto lůžek ve výši 67,5 mil. Kč </w:t>
      </w:r>
      <w:r w:rsidR="0031246F">
        <w:t>však krácen nebyl</w:t>
      </w:r>
      <w:r>
        <w:t>.</w:t>
      </w:r>
      <w:r w:rsidR="004A3D8D">
        <w:t xml:space="preserve"> Z</w:t>
      </w:r>
      <w:r w:rsidR="00301092">
        <w:t> </w:t>
      </w:r>
      <w:r w:rsidR="004A3D8D">
        <w:t>podkladů</w:t>
      </w:r>
      <w:r w:rsidR="00301092">
        <w:t xml:space="preserve">, které </w:t>
      </w:r>
      <w:proofErr w:type="spellStart"/>
      <w:r w:rsidR="00301092">
        <w:t>MZ</w:t>
      </w:r>
      <w:r w:rsidR="002B1AC3">
        <w:t>d</w:t>
      </w:r>
      <w:proofErr w:type="spellEnd"/>
      <w:r w:rsidR="00301092">
        <w:t xml:space="preserve"> </w:t>
      </w:r>
      <w:r w:rsidR="0031246F">
        <w:t>předkláda</w:t>
      </w:r>
      <w:r w:rsidR="00301092">
        <w:t>lo</w:t>
      </w:r>
      <w:r w:rsidR="00195B70">
        <w:t xml:space="preserve"> Ministerstvu financí</w:t>
      </w:r>
      <w:r w:rsidR="0031246F">
        <w:t xml:space="preserve"> </w:t>
      </w:r>
      <w:r w:rsidR="00195B70">
        <w:t xml:space="preserve">(dále také „MF“) </w:t>
      </w:r>
      <w:r w:rsidR="004A3D8D">
        <w:t>pro</w:t>
      </w:r>
      <w:r w:rsidR="0031246F">
        <w:t> </w:t>
      </w:r>
      <w:r w:rsidR="004A3D8D">
        <w:t xml:space="preserve">schválení </w:t>
      </w:r>
      <w:r w:rsidR="00301092">
        <w:t>těchto</w:t>
      </w:r>
      <w:r w:rsidR="004A3D8D">
        <w:t xml:space="preserve"> změn vyplývá, že</w:t>
      </w:r>
      <w:r w:rsidR="002B1AC3">
        <w:t xml:space="preserve"> </w:t>
      </w:r>
      <w:r w:rsidR="00D15996">
        <w:t>při</w:t>
      </w:r>
      <w:r w:rsidR="002B1AC3">
        <w:t xml:space="preserve"> </w:t>
      </w:r>
      <w:r w:rsidR="00D15996">
        <w:t xml:space="preserve">přípravě programu č. 135 100 </w:t>
      </w:r>
      <w:r w:rsidR="00301092">
        <w:t>neprovedlo řádnou analýzu předpokládaných nákladů. V</w:t>
      </w:r>
      <w:r w:rsidR="004A3D8D">
        <w:t>ýznamně</w:t>
      </w:r>
      <w:r w:rsidR="00301092">
        <w:t xml:space="preserve"> tak</w:t>
      </w:r>
      <w:r w:rsidR="004A3D8D">
        <w:t xml:space="preserve"> podhodnotilo finanční náročnost vzniku hospicových lůžek v nových zařízeních, přestože již </w:t>
      </w:r>
      <w:r w:rsidR="0031246F">
        <w:t>ve</w:t>
      </w:r>
      <w:r w:rsidR="002B1AC3">
        <w:t xml:space="preserve"> </w:t>
      </w:r>
      <w:r w:rsidR="0031246F">
        <w:t xml:space="preserve">fázi </w:t>
      </w:r>
      <w:r w:rsidR="00D15996">
        <w:t>jeho</w:t>
      </w:r>
      <w:r w:rsidR="004A3D8D">
        <w:t xml:space="preserve"> schvalování v roce 2016 mohlo využít údaje z obdobných </w:t>
      </w:r>
      <w:r w:rsidR="0031246F">
        <w:t>výstaveb</w:t>
      </w:r>
      <w:r w:rsidR="004A3D8D">
        <w:t xml:space="preserve"> realizovaných v </w:t>
      </w:r>
      <w:r w:rsidR="00374660">
        <w:t>předchozích</w:t>
      </w:r>
      <w:r w:rsidR="004A3D8D">
        <w:t xml:space="preserve"> několika letech.</w:t>
      </w:r>
    </w:p>
    <w:p w14:paraId="62C730F8" w14:textId="2052C740" w:rsidR="00A66326" w:rsidRDefault="004A3D8D" w:rsidP="0033192A">
      <w:pPr>
        <w:widowControl/>
      </w:pPr>
      <w:r>
        <w:t>V listopadu 2022</w:t>
      </w:r>
      <w:r w:rsidR="002B1AC3" w:rsidRPr="002B1AC3">
        <w:t xml:space="preserve"> </w:t>
      </w:r>
      <w:r w:rsidR="002B1AC3">
        <w:t>požádalo</w:t>
      </w:r>
      <w:r>
        <w:t xml:space="preserve"> </w:t>
      </w:r>
      <w:proofErr w:type="spellStart"/>
      <w:r>
        <w:t>MZ</w:t>
      </w:r>
      <w:r w:rsidR="002B1AC3">
        <w:t>d</w:t>
      </w:r>
      <w:proofErr w:type="spellEnd"/>
      <w:r>
        <w:t xml:space="preserve"> o druhou změnu, jejímž předmětem byla zásadní změna parametrů programu, která spočívala ve vypuštění dvou původních a doplnění jednoho nového</w:t>
      </w:r>
      <w:r w:rsidR="006C6C58">
        <w:t xml:space="preserve"> parametru</w:t>
      </w:r>
      <w:r>
        <w:t>.</w:t>
      </w:r>
      <w:r w:rsidR="00195B70">
        <w:t xml:space="preserve"> MF tuto změnu schválilo.</w:t>
      </w:r>
    </w:p>
    <w:p w14:paraId="50253C97" w14:textId="77777777" w:rsidR="004A3D8D" w:rsidRPr="00A66326" w:rsidRDefault="004A3D8D" w:rsidP="006F080A">
      <w:pPr>
        <w:pStyle w:val="Nzevtabulky"/>
        <w:spacing w:after="40"/>
        <w:ind w:left="1276" w:hanging="1276"/>
      </w:pPr>
      <w:r w:rsidRPr="00A66326">
        <w:t>Parametry programu č. 135 100</w:t>
      </w:r>
    </w:p>
    <w:tbl>
      <w:tblPr>
        <w:tblStyle w:val="Mkatabulky"/>
        <w:tblW w:w="5000" w:type="pct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70"/>
        <w:gridCol w:w="1658"/>
        <w:gridCol w:w="1130"/>
        <w:gridCol w:w="1130"/>
        <w:gridCol w:w="1130"/>
        <w:gridCol w:w="1147"/>
      </w:tblGrid>
      <w:tr w:rsidR="004A3D8D" w:rsidRPr="00835D6D" w14:paraId="646DEF46" w14:textId="77777777" w:rsidTr="008533CC">
        <w:tc>
          <w:tcPr>
            <w:tcW w:w="1585" w:type="pct"/>
            <w:vMerge w:val="restart"/>
            <w:shd w:val="clear" w:color="auto" w:fill="E5F1FF"/>
            <w:vAlign w:val="center"/>
          </w:tcPr>
          <w:p w14:paraId="3F924E30" w14:textId="77777777" w:rsidR="004A3D8D" w:rsidRPr="00835D6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Název</w:t>
            </w:r>
          </w:p>
        </w:tc>
        <w:tc>
          <w:tcPr>
            <w:tcW w:w="916" w:type="pct"/>
            <w:vMerge w:val="restart"/>
            <w:shd w:val="clear" w:color="auto" w:fill="E5F1FF"/>
            <w:vAlign w:val="center"/>
          </w:tcPr>
          <w:p w14:paraId="6ACE5F67" w14:textId="77777777" w:rsidR="004A3D8D" w:rsidRPr="00835D6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Měrná jednotka</w:t>
            </w:r>
          </w:p>
        </w:tc>
        <w:tc>
          <w:tcPr>
            <w:tcW w:w="625" w:type="pct"/>
            <w:shd w:val="clear" w:color="auto" w:fill="E5F1FF"/>
            <w:vAlign w:val="center"/>
          </w:tcPr>
          <w:p w14:paraId="0A2ED5B4" w14:textId="77777777" w:rsidR="004A3D8D" w:rsidRPr="00835D6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</w:p>
        </w:tc>
        <w:tc>
          <w:tcPr>
            <w:tcW w:w="625" w:type="pct"/>
            <w:shd w:val="clear" w:color="auto" w:fill="E5F1FF"/>
          </w:tcPr>
          <w:p w14:paraId="41C9016E" w14:textId="77777777" w:rsidR="004A3D8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Hodnota</w:t>
            </w:r>
          </w:p>
        </w:tc>
        <w:tc>
          <w:tcPr>
            <w:tcW w:w="625" w:type="pct"/>
            <w:shd w:val="clear" w:color="auto" w:fill="E5F1FF"/>
          </w:tcPr>
          <w:p w14:paraId="5748A4CA" w14:textId="77777777" w:rsidR="004A3D8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</w:p>
        </w:tc>
        <w:tc>
          <w:tcPr>
            <w:tcW w:w="624" w:type="pct"/>
            <w:vMerge w:val="restart"/>
            <w:shd w:val="clear" w:color="auto" w:fill="E5F1FF"/>
            <w:vAlign w:val="center"/>
          </w:tcPr>
          <w:p w14:paraId="18E6AC55" w14:textId="755912F1" w:rsidR="004A3D8D" w:rsidRPr="00835D6D" w:rsidRDefault="004A3D8D" w:rsidP="006C11EE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Závaznost</w:t>
            </w:r>
            <w:r w:rsidR="00015C98">
              <w:rPr>
                <w:b/>
                <w:lang w:eastAsia="cs-CZ"/>
              </w:rPr>
              <w:t>*</w:t>
            </w:r>
          </w:p>
        </w:tc>
      </w:tr>
      <w:tr w:rsidR="004A3D8D" w:rsidRPr="000D330C" w14:paraId="32C7FDDF" w14:textId="77777777" w:rsidTr="008533CC">
        <w:tc>
          <w:tcPr>
            <w:tcW w:w="1585" w:type="pct"/>
            <w:vMerge/>
            <w:shd w:val="clear" w:color="auto" w:fill="E5F1FF"/>
            <w:vAlign w:val="center"/>
          </w:tcPr>
          <w:p w14:paraId="68814BAF" w14:textId="77777777" w:rsidR="004A3D8D" w:rsidRPr="000D330C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</w:p>
        </w:tc>
        <w:tc>
          <w:tcPr>
            <w:tcW w:w="916" w:type="pct"/>
            <w:vMerge/>
            <w:shd w:val="clear" w:color="auto" w:fill="E5F1FF"/>
            <w:vAlign w:val="center"/>
          </w:tcPr>
          <w:p w14:paraId="4341710F" w14:textId="77777777" w:rsidR="004A3D8D" w:rsidRPr="000D330C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</w:p>
        </w:tc>
        <w:tc>
          <w:tcPr>
            <w:tcW w:w="625" w:type="pct"/>
            <w:shd w:val="clear" w:color="auto" w:fill="E5F1FF"/>
            <w:vAlign w:val="center"/>
          </w:tcPr>
          <w:p w14:paraId="409B2949" w14:textId="22B2AF6E" w:rsidR="004A3D8D" w:rsidRPr="000D330C" w:rsidRDefault="002B1AC3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="004A3D8D" w:rsidRPr="000D330C">
              <w:rPr>
                <w:lang w:eastAsia="cs-CZ"/>
              </w:rPr>
              <w:t>ůvodní</w:t>
            </w:r>
          </w:p>
        </w:tc>
        <w:tc>
          <w:tcPr>
            <w:tcW w:w="625" w:type="pct"/>
            <w:shd w:val="clear" w:color="auto" w:fill="E5F1FF"/>
          </w:tcPr>
          <w:p w14:paraId="1B8BB162" w14:textId="77777777" w:rsidR="004A3D8D" w:rsidRPr="000D330C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 w:rsidRPr="000D330C">
              <w:rPr>
                <w:lang w:eastAsia="cs-CZ"/>
              </w:rPr>
              <w:t>1. změn</w:t>
            </w:r>
            <w:r>
              <w:rPr>
                <w:lang w:eastAsia="cs-CZ"/>
              </w:rPr>
              <w:t>a</w:t>
            </w:r>
          </w:p>
        </w:tc>
        <w:tc>
          <w:tcPr>
            <w:tcW w:w="625" w:type="pct"/>
            <w:shd w:val="clear" w:color="auto" w:fill="E5F1FF"/>
          </w:tcPr>
          <w:p w14:paraId="5920CA9A" w14:textId="77777777" w:rsidR="004A3D8D" w:rsidRPr="000D330C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 w:rsidRPr="000D330C">
              <w:rPr>
                <w:lang w:eastAsia="cs-CZ"/>
              </w:rPr>
              <w:t>2. změn</w:t>
            </w:r>
            <w:r>
              <w:rPr>
                <w:lang w:eastAsia="cs-CZ"/>
              </w:rPr>
              <w:t>a</w:t>
            </w:r>
          </w:p>
        </w:tc>
        <w:tc>
          <w:tcPr>
            <w:tcW w:w="624" w:type="pct"/>
            <w:vMerge/>
            <w:shd w:val="clear" w:color="auto" w:fill="E5F1FF"/>
            <w:vAlign w:val="center"/>
          </w:tcPr>
          <w:p w14:paraId="5A095328" w14:textId="77777777" w:rsidR="004A3D8D" w:rsidRPr="000D330C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</w:p>
        </w:tc>
      </w:tr>
      <w:tr w:rsidR="004A3D8D" w14:paraId="456CEEBD" w14:textId="77777777" w:rsidTr="008533CC">
        <w:tc>
          <w:tcPr>
            <w:tcW w:w="1585" w:type="pct"/>
            <w:vAlign w:val="center"/>
          </w:tcPr>
          <w:p w14:paraId="3D6333C5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Polohovací lůžka</w:t>
            </w:r>
          </w:p>
        </w:tc>
        <w:tc>
          <w:tcPr>
            <w:tcW w:w="916" w:type="pct"/>
            <w:vAlign w:val="center"/>
          </w:tcPr>
          <w:p w14:paraId="21C5EBA7" w14:textId="3C00C5E2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4A3D8D">
              <w:rPr>
                <w:lang w:eastAsia="cs-CZ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0EE2C67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2A30E1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5" w:type="pct"/>
            <w:vAlign w:val="center"/>
          </w:tcPr>
          <w:p w14:paraId="49A1E9D3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4" w:type="pct"/>
            <w:vAlign w:val="center"/>
          </w:tcPr>
          <w:p w14:paraId="6394256F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  <w:tr w:rsidR="004A3D8D" w14:paraId="2F524230" w14:textId="77777777" w:rsidTr="008533CC">
        <w:tc>
          <w:tcPr>
            <w:tcW w:w="1585" w:type="pct"/>
            <w:vAlign w:val="center"/>
          </w:tcPr>
          <w:p w14:paraId="7F0F9336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Antidekubitní matrace</w:t>
            </w:r>
          </w:p>
        </w:tc>
        <w:tc>
          <w:tcPr>
            <w:tcW w:w="916" w:type="pct"/>
            <w:vAlign w:val="center"/>
          </w:tcPr>
          <w:p w14:paraId="138F748F" w14:textId="04B44E6A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4A3D8D">
              <w:rPr>
                <w:lang w:eastAsia="cs-CZ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17741D5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7253E7A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5" w:type="pct"/>
            <w:vAlign w:val="center"/>
          </w:tcPr>
          <w:p w14:paraId="4ADAADB4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  <w:tc>
          <w:tcPr>
            <w:tcW w:w="624" w:type="pct"/>
            <w:vAlign w:val="center"/>
          </w:tcPr>
          <w:p w14:paraId="4246C076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  <w:tr w:rsidR="004A3D8D" w14:paraId="700C7775" w14:textId="77777777" w:rsidTr="008533CC">
        <w:tc>
          <w:tcPr>
            <w:tcW w:w="1585" w:type="pct"/>
            <w:vAlign w:val="center"/>
          </w:tcPr>
          <w:p w14:paraId="01C204AE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Zvedáky pro imobilní pacienty</w:t>
            </w:r>
          </w:p>
        </w:tc>
        <w:tc>
          <w:tcPr>
            <w:tcW w:w="916" w:type="pct"/>
            <w:vAlign w:val="center"/>
          </w:tcPr>
          <w:p w14:paraId="0B3A4781" w14:textId="1430EDC9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4A3D8D">
              <w:rPr>
                <w:lang w:eastAsia="cs-CZ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D5CD7F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9635D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16</w:t>
            </w:r>
          </w:p>
        </w:tc>
        <w:tc>
          <w:tcPr>
            <w:tcW w:w="625" w:type="pct"/>
            <w:vAlign w:val="center"/>
          </w:tcPr>
          <w:p w14:paraId="62A58FFE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16</w:t>
            </w:r>
          </w:p>
        </w:tc>
        <w:tc>
          <w:tcPr>
            <w:tcW w:w="624" w:type="pct"/>
            <w:vAlign w:val="center"/>
          </w:tcPr>
          <w:p w14:paraId="0491FFBC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  <w:tr w:rsidR="004A3D8D" w14:paraId="775B2F54" w14:textId="77777777" w:rsidTr="008533CC">
        <w:tc>
          <w:tcPr>
            <w:tcW w:w="1585" w:type="pct"/>
            <w:vAlign w:val="center"/>
          </w:tcPr>
          <w:p w14:paraId="294FAB22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Infuzní pumpy</w:t>
            </w:r>
          </w:p>
        </w:tc>
        <w:tc>
          <w:tcPr>
            <w:tcW w:w="916" w:type="pct"/>
            <w:vAlign w:val="center"/>
          </w:tcPr>
          <w:p w14:paraId="7064F2EB" w14:textId="341EF11E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4A3D8D">
              <w:rPr>
                <w:lang w:eastAsia="cs-CZ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C80AB8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4501DAA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625" w:type="pct"/>
            <w:vAlign w:val="center"/>
          </w:tcPr>
          <w:p w14:paraId="408F0775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  <w:tc>
          <w:tcPr>
            <w:tcW w:w="624" w:type="pct"/>
            <w:vAlign w:val="center"/>
          </w:tcPr>
          <w:p w14:paraId="4A1DE15B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  <w:tr w:rsidR="004A3D8D" w14:paraId="7E4A12F3" w14:textId="77777777" w:rsidTr="008533CC">
        <w:tc>
          <w:tcPr>
            <w:tcW w:w="1585" w:type="pct"/>
            <w:vAlign w:val="center"/>
          </w:tcPr>
          <w:p w14:paraId="0033B077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Hospicové lůžko</w:t>
            </w:r>
          </w:p>
        </w:tc>
        <w:tc>
          <w:tcPr>
            <w:tcW w:w="916" w:type="pct"/>
            <w:vAlign w:val="center"/>
          </w:tcPr>
          <w:p w14:paraId="5A057DF3" w14:textId="2214CF1C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="004A3D8D">
              <w:rPr>
                <w:lang w:eastAsia="cs-CZ"/>
              </w:rPr>
              <w:t>očet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FBDC060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D89F6B8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625" w:type="pct"/>
            <w:vAlign w:val="center"/>
          </w:tcPr>
          <w:p w14:paraId="40CAD480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624" w:type="pct"/>
            <w:vAlign w:val="center"/>
          </w:tcPr>
          <w:p w14:paraId="4046FC4E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  <w:tr w:rsidR="004A3D8D" w14:paraId="11C3D0A1" w14:textId="77777777" w:rsidTr="008533CC">
        <w:tc>
          <w:tcPr>
            <w:tcW w:w="1585" w:type="pct"/>
            <w:vAlign w:val="center"/>
          </w:tcPr>
          <w:p w14:paraId="7AC5F394" w14:textId="77777777" w:rsidR="004A3D8D" w:rsidRDefault="004A3D8D" w:rsidP="006C11EE">
            <w:pPr>
              <w:pStyle w:val="tabulka"/>
              <w:keepNext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Dopravní prostředky</w:t>
            </w:r>
          </w:p>
        </w:tc>
        <w:tc>
          <w:tcPr>
            <w:tcW w:w="916" w:type="pct"/>
            <w:vAlign w:val="center"/>
          </w:tcPr>
          <w:p w14:paraId="171E65FC" w14:textId="135A3C64" w:rsidR="004A3D8D" w:rsidRDefault="00374660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4A3D8D">
              <w:rPr>
                <w:lang w:eastAsia="cs-CZ"/>
              </w:rPr>
              <w:t>s</w:t>
            </w:r>
          </w:p>
        </w:tc>
        <w:tc>
          <w:tcPr>
            <w:tcW w:w="625" w:type="pct"/>
            <w:vAlign w:val="center"/>
          </w:tcPr>
          <w:p w14:paraId="043B39B6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  <w:tc>
          <w:tcPr>
            <w:tcW w:w="625" w:type="pct"/>
          </w:tcPr>
          <w:p w14:paraId="6F21A154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  <w:tc>
          <w:tcPr>
            <w:tcW w:w="625" w:type="pct"/>
          </w:tcPr>
          <w:p w14:paraId="783705C7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624" w:type="pct"/>
            <w:vAlign w:val="center"/>
          </w:tcPr>
          <w:p w14:paraId="71E5A3A4" w14:textId="77777777" w:rsidR="004A3D8D" w:rsidRDefault="004A3D8D" w:rsidP="006C11EE">
            <w:pPr>
              <w:pStyle w:val="tabulka"/>
              <w:keepNext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MIN</w:t>
            </w:r>
          </w:p>
        </w:tc>
      </w:tr>
    </w:tbl>
    <w:p w14:paraId="20276251" w14:textId="07CB8C4B" w:rsidR="004A3D8D" w:rsidRDefault="004A3D8D" w:rsidP="006C11EE">
      <w:pPr>
        <w:pStyle w:val="Poznmka"/>
      </w:pPr>
      <w:bookmarkStart w:id="6" w:name="_Hlk121140594"/>
      <w:r w:rsidRPr="00FD38E2">
        <w:rPr>
          <w:b/>
        </w:rPr>
        <w:t>Zdroj:</w:t>
      </w:r>
      <w:r w:rsidR="006F080A">
        <w:t xml:space="preserve"> </w:t>
      </w:r>
      <w:r w:rsidR="002B1AC3">
        <w:t>d</w:t>
      </w:r>
      <w:r>
        <w:t>okumentace programu č. 135 100 vč. znění jednotlivých změn.</w:t>
      </w:r>
    </w:p>
    <w:p w14:paraId="187D14F7" w14:textId="7A6402D9" w:rsidR="00015C98" w:rsidRPr="0053114B" w:rsidRDefault="00015C98" w:rsidP="006C11EE">
      <w:pPr>
        <w:pStyle w:val="Poznmka"/>
        <w:spacing w:after="240"/>
      </w:pPr>
      <w:r w:rsidRPr="00015C98">
        <w:t>*</w:t>
      </w:r>
      <w:r>
        <w:tab/>
        <w:t>Závaznost MIN – cílové hodnoty parametrů stanoveny jako minimální.</w:t>
      </w:r>
    </w:p>
    <w:bookmarkEnd w:id="6"/>
    <w:p w14:paraId="06D4B729" w14:textId="31EE37E0" w:rsidR="007933B6" w:rsidRDefault="007933B6" w:rsidP="007933B6">
      <w:r>
        <w:t>V</w:t>
      </w:r>
      <w:r w:rsidRPr="004A3D8D">
        <w:t xml:space="preserve"> prvních pěti letech fungování programu č. 135</w:t>
      </w:r>
      <w:r w:rsidR="006C6C58">
        <w:t> </w:t>
      </w:r>
      <w:r w:rsidRPr="004A3D8D">
        <w:t>100</w:t>
      </w:r>
      <w:r w:rsidR="006C6C58">
        <w:t xml:space="preserve"> se</w:t>
      </w:r>
      <w:r w:rsidRPr="004A3D8D">
        <w:t xml:space="preserve"> skutečné čerpání jeho konečného rozpočtu pohybovalo maximálně v jednotkách procent</w:t>
      </w:r>
      <w:r>
        <w:t>.</w:t>
      </w:r>
    </w:p>
    <w:p w14:paraId="37AC86B8" w14:textId="258BFC6C" w:rsidR="00156C2D" w:rsidRPr="00A66326" w:rsidRDefault="00156C2D" w:rsidP="006F080A">
      <w:pPr>
        <w:pStyle w:val="Nzevtabulky"/>
        <w:spacing w:after="40"/>
        <w:ind w:left="1276" w:hanging="1276"/>
        <w:jc w:val="both"/>
      </w:pPr>
      <w:r w:rsidRPr="00A66326">
        <w:t>Výdaje účelově určené na financování programu č. 135 100 v letech 2017─2021 (v tis. Kč)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632"/>
        <w:gridCol w:w="1632"/>
        <w:gridCol w:w="1304"/>
        <w:gridCol w:w="2221"/>
        <w:gridCol w:w="1361"/>
      </w:tblGrid>
      <w:tr w:rsidR="00156C2D" w:rsidRPr="0053114B" w14:paraId="7650B732" w14:textId="77777777" w:rsidTr="0022173B">
        <w:trPr>
          <w:cantSplit/>
          <w:trHeight w:val="28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0B904BA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4F74324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Schválený rozpočet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CD78164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Rozpočet po změnách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28B8D7B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Konečný rozpočet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EBF6B59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Skutečnost (vč. čerpání z NNPV* a MRZ**)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085E9A1" w14:textId="6F4F0E34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Plnění</w:t>
            </w:r>
            <w:r>
              <w:rPr>
                <w:b/>
              </w:rPr>
              <w:t xml:space="preserve"> KR</w:t>
            </w:r>
            <w:r w:rsidR="0022173B" w:rsidRPr="0053114B">
              <w:rPr>
                <w:b/>
              </w:rPr>
              <w:t>***</w:t>
            </w:r>
          </w:p>
          <w:p w14:paraId="0C60BD74" w14:textId="77777777" w:rsidR="00156C2D" w:rsidRPr="0053114B" w:rsidRDefault="00156C2D" w:rsidP="00156C2D">
            <w:pPr>
              <w:pStyle w:val="tabulka"/>
              <w:jc w:val="center"/>
              <w:rPr>
                <w:b/>
              </w:rPr>
            </w:pPr>
            <w:r w:rsidRPr="0053114B">
              <w:rPr>
                <w:b/>
              </w:rPr>
              <w:t>(v %)</w:t>
            </w:r>
          </w:p>
        </w:tc>
      </w:tr>
      <w:tr w:rsidR="00156C2D" w:rsidRPr="00A834A3" w14:paraId="1C5B12F1" w14:textId="77777777" w:rsidTr="0022173B">
        <w:trPr>
          <w:cantSplit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1E0" w14:textId="77777777" w:rsidR="00156C2D" w:rsidRPr="00A834A3" w:rsidRDefault="00156C2D" w:rsidP="00156C2D">
            <w:pPr>
              <w:pStyle w:val="tabulka"/>
              <w:jc w:val="center"/>
            </w:pPr>
            <w:r w:rsidRPr="00A834A3">
              <w:t>2017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E9D5" w14:textId="77777777" w:rsidR="00156C2D" w:rsidRPr="00A834A3" w:rsidRDefault="00156C2D" w:rsidP="006F080A">
            <w:pPr>
              <w:pStyle w:val="tabulka"/>
              <w:ind w:right="343"/>
            </w:pPr>
            <w:r>
              <w:t>10 500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07B" w14:textId="77777777" w:rsidR="00156C2D" w:rsidRPr="00A834A3" w:rsidRDefault="00156C2D" w:rsidP="006F080A">
            <w:pPr>
              <w:pStyle w:val="tabulka"/>
              <w:ind w:right="343"/>
            </w:pPr>
            <w:r>
              <w:t>10 500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00E" w14:textId="77777777" w:rsidR="00156C2D" w:rsidRPr="00A834A3" w:rsidRDefault="00156C2D" w:rsidP="006F080A">
            <w:pPr>
              <w:pStyle w:val="tabulka"/>
              <w:ind w:right="343"/>
            </w:pPr>
            <w:r>
              <w:t>10 500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15B" w14:textId="77777777" w:rsidR="00156C2D" w:rsidRPr="00A834A3" w:rsidRDefault="00156C2D" w:rsidP="006F080A">
            <w:pPr>
              <w:pStyle w:val="tabulka"/>
              <w:ind w:right="343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9B5" w14:textId="77777777" w:rsidR="00156C2D" w:rsidRPr="00A834A3" w:rsidRDefault="00156C2D" w:rsidP="006F080A">
            <w:pPr>
              <w:pStyle w:val="tabulka"/>
              <w:ind w:right="343"/>
            </w:pPr>
            <w:r>
              <w:t>0,00</w:t>
            </w:r>
          </w:p>
        </w:tc>
      </w:tr>
      <w:tr w:rsidR="00156C2D" w:rsidRPr="00A834A3" w14:paraId="4FA42090" w14:textId="77777777" w:rsidTr="0022173B">
        <w:trPr>
          <w:cantSplit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763" w14:textId="77777777" w:rsidR="00156C2D" w:rsidRPr="00A834A3" w:rsidRDefault="00156C2D" w:rsidP="00156C2D">
            <w:pPr>
              <w:pStyle w:val="tabulka"/>
              <w:jc w:val="center"/>
            </w:pPr>
            <w:r w:rsidRPr="00A834A3">
              <w:t>2018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7E1" w14:textId="77777777" w:rsidR="00156C2D" w:rsidRPr="00A834A3" w:rsidRDefault="00156C2D" w:rsidP="006F080A">
            <w:pPr>
              <w:pStyle w:val="tabulka"/>
              <w:ind w:right="343"/>
            </w:pPr>
            <w:r>
              <w:t>5 500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067" w14:textId="77777777" w:rsidR="00156C2D" w:rsidRPr="00A834A3" w:rsidRDefault="00156C2D" w:rsidP="006F080A">
            <w:pPr>
              <w:pStyle w:val="tabulka"/>
              <w:ind w:right="343"/>
            </w:pPr>
            <w:r>
              <w:t>5 500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C10" w14:textId="77777777" w:rsidR="00156C2D" w:rsidRPr="00A834A3" w:rsidRDefault="00156C2D" w:rsidP="006F080A">
            <w:pPr>
              <w:pStyle w:val="tabulka"/>
              <w:ind w:right="343"/>
            </w:pPr>
            <w:r>
              <w:t>16 000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A56" w14:textId="77777777" w:rsidR="00156C2D" w:rsidRPr="00A834A3" w:rsidRDefault="00156C2D" w:rsidP="006F080A">
            <w:pPr>
              <w:pStyle w:val="tabulka"/>
              <w:ind w:right="343"/>
            </w:pPr>
            <w:r>
              <w:t>1 150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DFF" w14:textId="77777777" w:rsidR="00156C2D" w:rsidRPr="00A834A3" w:rsidRDefault="00156C2D" w:rsidP="006F080A">
            <w:pPr>
              <w:pStyle w:val="tabulka"/>
              <w:ind w:right="343"/>
            </w:pPr>
            <w:r>
              <w:t>7,19</w:t>
            </w:r>
          </w:p>
        </w:tc>
      </w:tr>
      <w:tr w:rsidR="00156C2D" w:rsidRPr="00A834A3" w14:paraId="32F15429" w14:textId="77777777" w:rsidTr="0022173B">
        <w:trPr>
          <w:cantSplit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259A" w14:textId="77777777" w:rsidR="00156C2D" w:rsidRPr="00A834A3" w:rsidRDefault="00156C2D" w:rsidP="00156C2D">
            <w:pPr>
              <w:pStyle w:val="tabulka"/>
              <w:jc w:val="center"/>
            </w:pPr>
            <w:r w:rsidRPr="00A834A3">
              <w:t>2019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75D" w14:textId="77777777" w:rsidR="00156C2D" w:rsidRPr="00A834A3" w:rsidRDefault="00156C2D" w:rsidP="006F080A">
            <w:pPr>
              <w:pStyle w:val="tabulka"/>
              <w:ind w:right="343"/>
            </w:pPr>
            <w:r>
              <w:t>12 500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C45" w14:textId="77777777" w:rsidR="00156C2D" w:rsidRPr="00A834A3" w:rsidRDefault="00156C2D" w:rsidP="006F080A">
            <w:pPr>
              <w:pStyle w:val="tabulka"/>
              <w:ind w:right="343"/>
            </w:pPr>
            <w:r>
              <w:t>24 500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9D3" w14:textId="77777777" w:rsidR="00156C2D" w:rsidRPr="00A834A3" w:rsidRDefault="00156C2D" w:rsidP="006F080A">
            <w:pPr>
              <w:pStyle w:val="tabulka"/>
              <w:ind w:right="343"/>
            </w:pPr>
            <w:r>
              <w:t>39 350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01C" w14:textId="77777777" w:rsidR="00156C2D" w:rsidRPr="00A834A3" w:rsidRDefault="00156C2D" w:rsidP="006F080A">
            <w:pPr>
              <w:pStyle w:val="tabulka"/>
              <w:ind w:right="343"/>
            </w:pPr>
            <w:r>
              <w:t>2 385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0C5" w14:textId="77777777" w:rsidR="00156C2D" w:rsidRPr="00A834A3" w:rsidRDefault="00156C2D" w:rsidP="006F080A">
            <w:pPr>
              <w:pStyle w:val="tabulka"/>
              <w:ind w:right="343"/>
            </w:pPr>
            <w:r>
              <w:t>6,06</w:t>
            </w:r>
          </w:p>
        </w:tc>
      </w:tr>
      <w:tr w:rsidR="00156C2D" w:rsidRPr="00A834A3" w14:paraId="1EF5BBAD" w14:textId="77777777" w:rsidTr="0022173B">
        <w:trPr>
          <w:cantSplit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6A1" w14:textId="77777777" w:rsidR="00156C2D" w:rsidRPr="00A834A3" w:rsidRDefault="00156C2D" w:rsidP="00156C2D">
            <w:pPr>
              <w:pStyle w:val="tabulka"/>
              <w:jc w:val="center"/>
            </w:pPr>
            <w:r w:rsidRPr="00A834A3">
              <w:t>2020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B13F" w14:textId="77777777" w:rsidR="00156C2D" w:rsidRPr="00A834A3" w:rsidRDefault="00156C2D" w:rsidP="006F080A">
            <w:pPr>
              <w:pStyle w:val="tabulka"/>
              <w:ind w:right="343"/>
            </w:pPr>
            <w:r>
              <w:t>15 000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80F4" w14:textId="77777777" w:rsidR="00156C2D" w:rsidRPr="00A834A3" w:rsidRDefault="00156C2D" w:rsidP="006F080A">
            <w:pPr>
              <w:pStyle w:val="tabulka"/>
              <w:ind w:right="343"/>
            </w:pPr>
            <w:r>
              <w:t>15 000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38E" w14:textId="77777777" w:rsidR="00156C2D" w:rsidRPr="00A834A3" w:rsidRDefault="00156C2D" w:rsidP="006F080A">
            <w:pPr>
              <w:pStyle w:val="tabulka"/>
              <w:ind w:right="343"/>
            </w:pPr>
            <w:r>
              <w:t>51 965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127" w14:textId="77777777" w:rsidR="00156C2D" w:rsidRPr="00A834A3" w:rsidRDefault="00156C2D" w:rsidP="006F080A">
            <w:pPr>
              <w:pStyle w:val="tabulka"/>
              <w:ind w:right="343"/>
            </w:pPr>
            <w:r>
              <w:t>449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B99" w14:textId="77777777" w:rsidR="00156C2D" w:rsidRPr="00A834A3" w:rsidRDefault="00156C2D" w:rsidP="006F080A">
            <w:pPr>
              <w:pStyle w:val="tabulka"/>
              <w:ind w:right="343"/>
            </w:pPr>
            <w:r>
              <w:t>0,86</w:t>
            </w:r>
          </w:p>
        </w:tc>
      </w:tr>
      <w:tr w:rsidR="00156C2D" w:rsidRPr="00A834A3" w14:paraId="19B642EC" w14:textId="77777777" w:rsidTr="0022173B">
        <w:trPr>
          <w:cantSplit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8D13" w14:textId="77777777" w:rsidR="00156C2D" w:rsidRPr="00A834A3" w:rsidRDefault="00156C2D" w:rsidP="00156C2D">
            <w:pPr>
              <w:pStyle w:val="tabulka"/>
              <w:jc w:val="center"/>
            </w:pPr>
            <w:r w:rsidRPr="00A834A3">
              <w:t>2021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F8B4" w14:textId="77777777" w:rsidR="00156C2D" w:rsidRPr="00A834A3" w:rsidRDefault="00156C2D" w:rsidP="006F080A">
            <w:pPr>
              <w:pStyle w:val="tabulka"/>
              <w:ind w:right="343"/>
            </w:pPr>
            <w:r w:rsidRPr="00A834A3">
              <w:t>15 000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353" w14:textId="77777777" w:rsidR="00156C2D" w:rsidRPr="00A834A3" w:rsidRDefault="00156C2D" w:rsidP="006F080A">
            <w:pPr>
              <w:pStyle w:val="tabulka"/>
              <w:ind w:right="343"/>
            </w:pPr>
            <w:r w:rsidRPr="00A834A3">
              <w:t>3 000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A37" w14:textId="77777777" w:rsidR="00156C2D" w:rsidRPr="00A834A3" w:rsidRDefault="00156C2D" w:rsidP="006F080A">
            <w:pPr>
              <w:pStyle w:val="tabulka"/>
              <w:ind w:right="343"/>
            </w:pPr>
            <w:r w:rsidRPr="00A834A3">
              <w:t>54 517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5943" w14:textId="77777777" w:rsidR="00156C2D" w:rsidRPr="00A834A3" w:rsidRDefault="00156C2D" w:rsidP="006F080A">
            <w:pPr>
              <w:pStyle w:val="tabulka"/>
              <w:ind w:right="343"/>
            </w:pPr>
            <w:r w:rsidRPr="00A834A3">
              <w:t>1 109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B8B" w14:textId="77777777" w:rsidR="00156C2D" w:rsidRPr="00A834A3" w:rsidRDefault="00156C2D" w:rsidP="006F080A">
            <w:pPr>
              <w:pStyle w:val="tabulka"/>
              <w:ind w:right="343"/>
            </w:pPr>
            <w:r w:rsidRPr="00A834A3">
              <w:t>2</w:t>
            </w:r>
            <w:r>
              <w:t>,03</w:t>
            </w:r>
          </w:p>
        </w:tc>
      </w:tr>
    </w:tbl>
    <w:p w14:paraId="00321FE5" w14:textId="5834D790" w:rsidR="00156C2D" w:rsidRPr="0053114B" w:rsidRDefault="00156C2D" w:rsidP="006C11EE">
      <w:pPr>
        <w:pStyle w:val="Poznmka"/>
      </w:pPr>
      <w:r w:rsidRPr="00FD38E2">
        <w:rPr>
          <w:b/>
        </w:rPr>
        <w:t>Zdroj:</w:t>
      </w:r>
      <w:r w:rsidR="006F080A">
        <w:t xml:space="preserve"> </w:t>
      </w:r>
      <w:r w:rsidR="002B1AC3">
        <w:t>z</w:t>
      </w:r>
      <w:r w:rsidRPr="0053114B">
        <w:t xml:space="preserve">ávěrečné účty kapitoly 335 – </w:t>
      </w:r>
      <w:r w:rsidRPr="00310326">
        <w:rPr>
          <w:i/>
        </w:rPr>
        <w:t>Ministerstv</w:t>
      </w:r>
      <w:r w:rsidR="002B1AC3" w:rsidRPr="00310326">
        <w:rPr>
          <w:i/>
        </w:rPr>
        <w:t>o</w:t>
      </w:r>
      <w:r w:rsidRPr="00310326">
        <w:rPr>
          <w:i/>
        </w:rPr>
        <w:t xml:space="preserve"> zdravotnictví České republiky</w:t>
      </w:r>
      <w:r w:rsidRPr="0053114B">
        <w:t xml:space="preserve"> za roky 201</w:t>
      </w:r>
      <w:r>
        <w:t>7–</w:t>
      </w:r>
      <w:r w:rsidRPr="0053114B">
        <w:t>20</w:t>
      </w:r>
      <w:r>
        <w:t>2</w:t>
      </w:r>
      <w:r w:rsidRPr="0053114B">
        <w:t>1</w:t>
      </w:r>
      <w:r>
        <w:t>.</w:t>
      </w:r>
    </w:p>
    <w:p w14:paraId="6E639011" w14:textId="77777777" w:rsidR="0022173B" w:rsidRDefault="00156C2D" w:rsidP="00623AA0">
      <w:pPr>
        <w:pStyle w:val="Poznmka"/>
        <w:ind w:left="397" w:hanging="397"/>
      </w:pPr>
      <w:r w:rsidRPr="00E261AD">
        <w:t>*</w:t>
      </w:r>
      <w:r>
        <w:tab/>
      </w:r>
      <w:r w:rsidRPr="0053114B">
        <w:t>NNPV</w:t>
      </w:r>
      <w:r>
        <w:t xml:space="preserve"> </w:t>
      </w:r>
      <w:r w:rsidRPr="00194DD1">
        <w:t>─</w:t>
      </w:r>
      <w:r>
        <w:t xml:space="preserve"> </w:t>
      </w:r>
      <w:r w:rsidRPr="0053114B">
        <w:t>nároky z nespotřebovaných profilujících výdajů</w:t>
      </w:r>
      <w:r>
        <w:t>.</w:t>
      </w:r>
    </w:p>
    <w:p w14:paraId="3E9A6219" w14:textId="05D9C962" w:rsidR="00156C2D" w:rsidRDefault="0022173B" w:rsidP="00623AA0">
      <w:pPr>
        <w:pStyle w:val="Poznmka"/>
        <w:ind w:left="397" w:hanging="397"/>
      </w:pPr>
      <w:r w:rsidRPr="00DD5DA2">
        <w:t>**</w:t>
      </w:r>
      <w:r>
        <w:tab/>
      </w:r>
      <w:r w:rsidRPr="00DD5DA2">
        <w:t>MRZ</w:t>
      </w:r>
      <w:r>
        <w:t xml:space="preserve"> </w:t>
      </w:r>
      <w:r w:rsidRPr="00194DD1">
        <w:t>─</w:t>
      </w:r>
      <w:r>
        <w:t xml:space="preserve"> </w:t>
      </w:r>
      <w:r w:rsidRPr="00DD5DA2">
        <w:t>mimorozpočtové zdroje</w:t>
      </w:r>
      <w:r>
        <w:t>.</w:t>
      </w:r>
    </w:p>
    <w:p w14:paraId="0F0F76FE" w14:textId="2AC52397" w:rsidR="00623AA0" w:rsidRDefault="00623AA0" w:rsidP="00623AA0">
      <w:pPr>
        <w:pStyle w:val="Poznmka"/>
        <w:ind w:left="397" w:hanging="397"/>
      </w:pPr>
      <w:r w:rsidRPr="00DD5DA2">
        <w:t>***</w:t>
      </w:r>
      <w:r>
        <w:tab/>
        <w:t>K</w:t>
      </w:r>
      <w:r w:rsidRPr="00DD5DA2">
        <w:t>R</w:t>
      </w:r>
      <w:r>
        <w:t xml:space="preserve"> </w:t>
      </w:r>
      <w:r w:rsidRPr="00194DD1">
        <w:t>─</w:t>
      </w:r>
      <w:r>
        <w:t xml:space="preserve"> konečný </w:t>
      </w:r>
      <w:r w:rsidRPr="00DD5DA2">
        <w:t>rozpoč</w:t>
      </w:r>
      <w:r>
        <w:t>e</w:t>
      </w:r>
      <w:r w:rsidRPr="00DD5DA2">
        <w:t>t</w:t>
      </w:r>
      <w:r>
        <w:t>.</w:t>
      </w:r>
    </w:p>
    <w:p w14:paraId="7DE5980C" w14:textId="2FDABF3A" w:rsidR="006F080A" w:rsidRDefault="007933B6" w:rsidP="00431C7E">
      <w:pPr>
        <w:spacing w:before="240" w:after="600"/>
      </w:pPr>
      <w:bookmarkStart w:id="7" w:name="_Hlk121140665"/>
      <w:r>
        <w:t>Program č. 135 100</w:t>
      </w:r>
      <w:r w:rsidR="002B1AC3" w:rsidRPr="002B1AC3">
        <w:t xml:space="preserve"> </w:t>
      </w:r>
      <w:r w:rsidR="002B1AC3">
        <w:t>naplánovalo</w:t>
      </w:r>
      <w:r>
        <w:t xml:space="preserve"> </w:t>
      </w:r>
      <w:proofErr w:type="spellStart"/>
      <w:r w:rsidR="006C6C58">
        <w:t>MZ</w:t>
      </w:r>
      <w:r w:rsidR="002B1AC3">
        <w:t>d</w:t>
      </w:r>
      <w:proofErr w:type="spellEnd"/>
      <w:r>
        <w:t xml:space="preserve"> nerealisticky. </w:t>
      </w:r>
      <w:r w:rsidR="006C6C58">
        <w:t>N</w:t>
      </w:r>
      <w:r>
        <w:t xml:space="preserve">epodařilo </w:t>
      </w:r>
      <w:r w:rsidR="006C6C58">
        <w:t xml:space="preserve">se </w:t>
      </w:r>
      <w:r>
        <w:t>naplňovat stanovené cíle a</w:t>
      </w:r>
      <w:r w:rsidR="00FE119E">
        <w:t> </w:t>
      </w:r>
      <w:r>
        <w:t>parametry podle původních plánů, a to jak z časového, věcného, tak i</w:t>
      </w:r>
      <w:r w:rsidR="002B1AC3">
        <w:t> </w:t>
      </w:r>
      <w:r>
        <w:t>finančního hlediska.</w:t>
      </w:r>
      <w:r w:rsidR="009603BC">
        <w:t xml:space="preserve"> V</w:t>
      </w:r>
      <w:r w:rsidR="00FE119E">
        <w:t> </w:t>
      </w:r>
      <w:r w:rsidR="009603BC">
        <w:t xml:space="preserve">období provádění kontroly NKÚ nebylo možné </w:t>
      </w:r>
      <w:r w:rsidR="000B0373">
        <w:t>celkově vyhodnotit</w:t>
      </w:r>
      <w:r w:rsidR="009603BC">
        <w:t xml:space="preserve"> naplnění jeho cílů</w:t>
      </w:r>
      <w:r w:rsidR="00050917">
        <w:t>, neboť fáze realizace programu byla prodloužena do 30.</w:t>
      </w:r>
      <w:r w:rsidR="002B1AC3">
        <w:t> </w:t>
      </w:r>
      <w:r w:rsidR="00050917">
        <w:t>6.</w:t>
      </w:r>
      <w:r w:rsidR="002B1AC3">
        <w:t> </w:t>
      </w:r>
      <w:r w:rsidR="00050917">
        <w:t>2024. K</w:t>
      </w:r>
      <w:r w:rsidR="009603BC">
        <w:t>líčový projekt zaměřený na vznik nových hospicových lůžek</w:t>
      </w:r>
      <w:r w:rsidR="008C6D8B">
        <w:t xml:space="preserve">, díky němuž by mělo dojít naplnění hlavních cílů v podobě </w:t>
      </w:r>
      <w:r w:rsidR="002B1AC3">
        <w:t xml:space="preserve">dosažení určitého </w:t>
      </w:r>
      <w:r w:rsidR="008C6D8B">
        <w:t>počtu těchto lůžek na 100 tis</w:t>
      </w:r>
      <w:r w:rsidR="002B1AC3">
        <w:t>íc</w:t>
      </w:r>
      <w:r w:rsidR="008C6D8B">
        <w:t xml:space="preserve"> obyvatel a maximální dojezdové vzdálenosti,</w:t>
      </w:r>
      <w:r w:rsidR="009603BC">
        <w:t xml:space="preserve"> v kontrolovaném období let 2017 až 2021 nebyl </w:t>
      </w:r>
      <w:r w:rsidR="002B1AC3">
        <w:t>z</w:t>
      </w:r>
      <w:r w:rsidR="00050917">
        <w:t>realizován</w:t>
      </w:r>
      <w:r w:rsidR="009603BC">
        <w:t>.</w:t>
      </w:r>
      <w:bookmarkEnd w:id="7"/>
    </w:p>
    <w:p w14:paraId="5DF2A546" w14:textId="77777777" w:rsidR="006F080A" w:rsidRDefault="006F080A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14:paraId="25EDB5F1" w14:textId="0261D2EE" w:rsidR="00E5265F" w:rsidRDefault="00E620F7" w:rsidP="006F080A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Seznam zkratek</w:t>
      </w:r>
    </w:p>
    <w:p w14:paraId="1C7076DA" w14:textId="4C372AEA" w:rsidR="002512F6" w:rsidRDefault="002512F6" w:rsidP="006F080A">
      <w:pPr>
        <w:pStyle w:val="Bezmezer"/>
        <w:spacing w:after="60"/>
        <w:ind w:left="1418" w:hanging="1418"/>
      </w:pPr>
      <w:r>
        <w:t>ČR</w:t>
      </w:r>
      <w:r>
        <w:tab/>
        <w:t>Česká republika</w:t>
      </w:r>
    </w:p>
    <w:p w14:paraId="6B948DBD" w14:textId="7B76304A" w:rsidR="000740B5" w:rsidRDefault="00A34116" w:rsidP="006F080A">
      <w:pPr>
        <w:pStyle w:val="Bezmezer"/>
        <w:spacing w:after="60"/>
        <w:ind w:left="1418" w:hanging="1418"/>
      </w:pPr>
      <w:r>
        <w:t>EU</w:t>
      </w:r>
      <w:r w:rsidR="000740B5">
        <w:tab/>
      </w:r>
      <w:r>
        <w:t>Evropská unie</w:t>
      </w:r>
    </w:p>
    <w:p w14:paraId="661662BD" w14:textId="00278C8F" w:rsidR="00195B70" w:rsidRDefault="00195B70" w:rsidP="006F080A">
      <w:pPr>
        <w:pStyle w:val="Bezmezer"/>
        <w:spacing w:after="60"/>
        <w:ind w:left="1418" w:hanging="1418"/>
      </w:pPr>
      <w:r>
        <w:t>MF</w:t>
      </w:r>
      <w:r>
        <w:tab/>
        <w:t>Ministerstvo financí</w:t>
      </w:r>
    </w:p>
    <w:p w14:paraId="0EF1C823" w14:textId="310F275A" w:rsidR="00E5265F" w:rsidRDefault="00E620F7" w:rsidP="006F080A">
      <w:pPr>
        <w:pStyle w:val="Bezmezer"/>
        <w:spacing w:after="60"/>
        <w:ind w:left="1418" w:hanging="1418"/>
      </w:pPr>
      <w:proofErr w:type="spellStart"/>
      <w:r>
        <w:t>MZ</w:t>
      </w:r>
      <w:r w:rsidR="008049FB">
        <w:t>d</w:t>
      </w:r>
      <w:proofErr w:type="spellEnd"/>
      <w:r>
        <w:tab/>
        <w:t>Ministerstvo zdravotnictví</w:t>
      </w:r>
    </w:p>
    <w:p w14:paraId="1022A58C" w14:textId="4D170D2B" w:rsidR="00E5265F" w:rsidRDefault="00E620F7" w:rsidP="006F080A">
      <w:pPr>
        <w:pStyle w:val="Bezmezer"/>
        <w:spacing w:after="60"/>
        <w:ind w:left="1418" w:hanging="1418"/>
      </w:pPr>
      <w:r>
        <w:t>NKÚ</w:t>
      </w:r>
      <w:r>
        <w:tab/>
        <w:t>Nejvyšší kontrolní úřad</w:t>
      </w:r>
    </w:p>
    <w:p w14:paraId="592AD6BC" w14:textId="75E6D508" w:rsidR="003439A7" w:rsidRDefault="00A34116" w:rsidP="006F080A">
      <w:pPr>
        <w:pStyle w:val="Bezmezer"/>
        <w:spacing w:after="60"/>
        <w:ind w:left="1418" w:hanging="1418"/>
      </w:pPr>
      <w:r>
        <w:t>OPZ</w:t>
      </w:r>
      <w:r w:rsidR="003439A7">
        <w:tab/>
      </w:r>
      <w:r w:rsidR="008049FB">
        <w:t>o</w:t>
      </w:r>
      <w:r>
        <w:t xml:space="preserve">perační program </w:t>
      </w:r>
      <w:r w:rsidRPr="00310326">
        <w:rPr>
          <w:i/>
        </w:rPr>
        <w:t>Zaměstnanost</w:t>
      </w:r>
    </w:p>
    <w:p w14:paraId="62655807" w14:textId="4C3CF3CF" w:rsidR="00203EB0" w:rsidRDefault="00203EB0" w:rsidP="006F080A">
      <w:pPr>
        <w:pStyle w:val="Bezmezer"/>
        <w:spacing w:after="60"/>
        <w:ind w:left="1418" w:hanging="1418"/>
      </w:pPr>
      <w:r>
        <w:t>PPNNO</w:t>
      </w:r>
      <w:r>
        <w:tab/>
      </w:r>
      <w:r w:rsidRPr="00203EB0">
        <w:t>P</w:t>
      </w:r>
      <w:r w:rsidRPr="00310326">
        <w:rPr>
          <w:i/>
        </w:rPr>
        <w:t>rogram na podporu činnosti nestátních neziskových organizací působících v</w:t>
      </w:r>
      <w:r w:rsidR="00D05916" w:rsidRPr="00310326">
        <w:rPr>
          <w:i/>
        </w:rPr>
        <w:t> </w:t>
      </w:r>
      <w:r w:rsidRPr="00310326">
        <w:rPr>
          <w:i/>
        </w:rPr>
        <w:t>oblasti zdravotnictví vč. paliativní hospicové péče</w:t>
      </w:r>
      <w:r>
        <w:t>,</w:t>
      </w:r>
      <w:r w:rsidRPr="00203EB0">
        <w:t xml:space="preserve"> </w:t>
      </w:r>
      <w:r w:rsidRPr="00310326">
        <w:rPr>
          <w:i/>
        </w:rPr>
        <w:t>Program na podporu nestátních neziskových organizací pečujících o pacienty v terminálním stádiu onemocnění</w:t>
      </w:r>
    </w:p>
    <w:p w14:paraId="71DDD322" w14:textId="33878041" w:rsidR="00A669F0" w:rsidRDefault="00A669F0" w:rsidP="006F080A">
      <w:pPr>
        <w:pStyle w:val="Bezmezer"/>
        <w:spacing w:after="60"/>
        <w:ind w:left="1418" w:hanging="1418"/>
      </w:pPr>
      <w:r>
        <w:t>Projekt 7277</w:t>
      </w:r>
      <w:r>
        <w:tab/>
      </w:r>
      <w:r w:rsidR="008049FB">
        <w:t>p</w:t>
      </w:r>
      <w:r>
        <w:t xml:space="preserve">rojekt </w:t>
      </w:r>
      <w:proofErr w:type="spellStart"/>
      <w:r w:rsidRPr="00A669F0">
        <w:t>reg</w:t>
      </w:r>
      <w:proofErr w:type="spellEnd"/>
      <w:r w:rsidRPr="00A669F0">
        <w:t xml:space="preserve">. č. CZ.03.2.63/0.0/0.0/15_039/0007277 </w:t>
      </w:r>
      <w:r w:rsidRPr="00310326">
        <w:rPr>
          <w:i/>
        </w:rPr>
        <w:t>Podpora paliativní péče – zvýšení dostupnosti zdravotních služeb v oblasti paliativní péče v nemocnicích akutní a následné péče</w:t>
      </w:r>
    </w:p>
    <w:p w14:paraId="265713ED" w14:textId="70500A43" w:rsidR="00BB1616" w:rsidRDefault="00A669F0" w:rsidP="006F080A">
      <w:pPr>
        <w:pStyle w:val="Bezmezer"/>
        <w:spacing w:after="60"/>
        <w:ind w:left="1418" w:hanging="1418"/>
      </w:pPr>
      <w:r>
        <w:t>Projekt 8214</w:t>
      </w:r>
      <w:r>
        <w:tab/>
      </w:r>
      <w:r w:rsidR="008049FB">
        <w:t>p</w:t>
      </w:r>
      <w:r>
        <w:t xml:space="preserve">rojekt </w:t>
      </w:r>
      <w:proofErr w:type="spellStart"/>
      <w:r w:rsidRPr="00A669F0">
        <w:t>reg</w:t>
      </w:r>
      <w:proofErr w:type="spellEnd"/>
      <w:r w:rsidRPr="00A669F0">
        <w:t xml:space="preserve">. č. CZ.03.2.63/0.0/0.0/15_039/0008214 </w:t>
      </w:r>
      <w:r w:rsidRPr="00310326">
        <w:rPr>
          <w:i/>
        </w:rPr>
        <w:t>Podpora paliativní péče – zvýšení dostupnosti domácí specializované paliativní péče</w:t>
      </w:r>
    </w:p>
    <w:p w14:paraId="6331A0A1" w14:textId="77777777" w:rsidR="006F080A" w:rsidRDefault="006F080A" w:rsidP="006F080A">
      <w:pPr>
        <w:pStyle w:val="Bezmezer"/>
        <w:spacing w:after="60"/>
        <w:ind w:left="1418" w:hanging="1418"/>
      </w:pPr>
    </w:p>
    <w:p w14:paraId="791B8407" w14:textId="77777777" w:rsidR="00D05916" w:rsidRDefault="00D05916" w:rsidP="00D05916">
      <w:pPr>
        <w:pStyle w:val="Bezmezer"/>
        <w:spacing w:after="60"/>
        <w:ind w:left="1418" w:hanging="1418"/>
      </w:pPr>
    </w:p>
    <w:p w14:paraId="3EF42602" w14:textId="144D6B56" w:rsidR="00D05916" w:rsidRDefault="00D05916" w:rsidP="00D05916">
      <w:pPr>
        <w:pStyle w:val="Bezmezer"/>
        <w:spacing w:after="60"/>
        <w:ind w:left="1418" w:hanging="1418"/>
        <w:sectPr w:rsidR="00D05916" w:rsidSect="000C3859">
          <w:footerReference w:type="default" r:id="rId19"/>
          <w:pgSz w:w="11909" w:h="16838" w:code="9"/>
          <w:pgMar w:top="1417" w:right="1417" w:bottom="1417" w:left="1417" w:header="709" w:footer="709" w:gutter="0"/>
          <w:pgNumType w:start="3"/>
          <w:cols w:space="60"/>
          <w:noEndnote/>
          <w:docGrid w:linePitch="326"/>
        </w:sectPr>
      </w:pPr>
    </w:p>
    <w:p w14:paraId="76B5A143" w14:textId="77777777" w:rsidR="00BB1616" w:rsidRPr="0083082B" w:rsidRDefault="00BB1616" w:rsidP="00BB1616">
      <w:pPr>
        <w:jc w:val="right"/>
        <w:rPr>
          <w:b/>
        </w:rPr>
      </w:pPr>
      <w:r w:rsidRPr="0083082B">
        <w:rPr>
          <w:b/>
        </w:rPr>
        <w:t>Příloha č. 1</w:t>
      </w:r>
    </w:p>
    <w:p w14:paraId="30F87962" w14:textId="77777777" w:rsidR="00BB1616" w:rsidRPr="00D05916" w:rsidRDefault="00BB1616" w:rsidP="00D05916">
      <w:pPr>
        <w:jc w:val="center"/>
        <w:rPr>
          <w:b/>
        </w:rPr>
      </w:pPr>
      <w:r w:rsidRPr="00D05916">
        <w:rPr>
          <w:b/>
        </w:rPr>
        <w:t>Vzorek projektů kontrolovaných NKÚ u příjemců dotací</w:t>
      </w:r>
    </w:p>
    <w:p w14:paraId="475569C3" w14:textId="77777777" w:rsidR="00BB1616" w:rsidRDefault="00BB1616" w:rsidP="00733A0A">
      <w:pPr>
        <w:pStyle w:val="Nzevtabulky"/>
        <w:numPr>
          <w:ilvl w:val="1"/>
          <w:numId w:val="6"/>
        </w:numPr>
        <w:spacing w:before="240" w:after="40"/>
        <w:ind w:left="1276" w:hanging="1276"/>
        <w:rPr>
          <w:lang w:eastAsia="cs-CZ"/>
        </w:rPr>
      </w:pPr>
      <w:r>
        <w:rPr>
          <w:lang w:eastAsia="cs-CZ"/>
        </w:rPr>
        <w:t xml:space="preserve">Projekty podpořené v Projektu 7277 z programu </w:t>
      </w:r>
      <w:r w:rsidRPr="0083082B">
        <w:rPr>
          <w:lang w:eastAsia="cs-CZ"/>
        </w:rPr>
        <w:t>Podpora paliativní péče – zvýšení dostupnosti zdravotních služeb v oblasti paliativní péče v nemocnicích akutní a následné péče</w:t>
      </w:r>
    </w:p>
    <w:tbl>
      <w:tblPr>
        <w:tblStyle w:val="Mkatabulky"/>
        <w:tblW w:w="5010" w:type="pct"/>
        <w:jc w:val="center"/>
        <w:tblLook w:val="04A0" w:firstRow="1" w:lastRow="0" w:firstColumn="1" w:lastColumn="0" w:noHBand="0" w:noVBand="1"/>
      </w:tblPr>
      <w:tblGrid>
        <w:gridCol w:w="1226"/>
        <w:gridCol w:w="1824"/>
        <w:gridCol w:w="3519"/>
        <w:gridCol w:w="1245"/>
        <w:gridCol w:w="1269"/>
      </w:tblGrid>
      <w:tr w:rsidR="00BB1616" w14:paraId="2440E686" w14:textId="77777777" w:rsidTr="00733A0A">
        <w:trPr>
          <w:jc w:val="center"/>
        </w:trPr>
        <w:tc>
          <w:tcPr>
            <w:tcW w:w="1191" w:type="dxa"/>
            <w:shd w:val="clear" w:color="auto" w:fill="E5F1FF"/>
            <w:vAlign w:val="center"/>
          </w:tcPr>
          <w:p w14:paraId="32C72A6B" w14:textId="77777777" w:rsidR="00BB1616" w:rsidRPr="00A163C3" w:rsidRDefault="00BB1616" w:rsidP="00733A0A">
            <w:pPr>
              <w:pStyle w:val="tabulka"/>
              <w:keepNext w:val="0"/>
              <w:ind w:left="-57" w:right="-57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Číslo RoPD</w:t>
            </w:r>
          </w:p>
        </w:tc>
        <w:tc>
          <w:tcPr>
            <w:tcW w:w="1832" w:type="dxa"/>
            <w:shd w:val="clear" w:color="auto" w:fill="E5F1FF"/>
            <w:vAlign w:val="center"/>
          </w:tcPr>
          <w:p w14:paraId="1DB316C7" w14:textId="77777777" w:rsidR="00BB1616" w:rsidRPr="00A73F5D" w:rsidRDefault="00BB1616" w:rsidP="009035C3">
            <w:pPr>
              <w:pStyle w:val="tabulka"/>
              <w:keepNext w:val="0"/>
              <w:jc w:val="center"/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3543" w:type="dxa"/>
            <w:shd w:val="clear" w:color="auto" w:fill="E5F1FF"/>
            <w:vAlign w:val="center"/>
          </w:tcPr>
          <w:p w14:paraId="7A7D83D7" w14:textId="77777777" w:rsidR="00BB1616" w:rsidRPr="00A163C3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Název projektu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3C37CE1C" w14:textId="77777777" w:rsidR="00BB1616" w:rsidRPr="00A163C3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Schválená dotace (Kč)</w:t>
            </w:r>
          </w:p>
        </w:tc>
        <w:tc>
          <w:tcPr>
            <w:tcW w:w="1270" w:type="dxa"/>
            <w:shd w:val="clear" w:color="auto" w:fill="E5F1FF"/>
            <w:vAlign w:val="center"/>
          </w:tcPr>
          <w:p w14:paraId="43EADD84" w14:textId="77777777" w:rsidR="00BB1616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Proplaceno (Kč)</w:t>
            </w:r>
          </w:p>
        </w:tc>
      </w:tr>
      <w:tr w:rsidR="00BB1616" w14:paraId="4CC71D44" w14:textId="77777777" w:rsidTr="00733A0A">
        <w:trPr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8D866CA" w14:textId="77777777" w:rsidR="00BB1616" w:rsidRDefault="00BB1616" w:rsidP="00733A0A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8" w:name="_Hlk140678858"/>
            <w:r>
              <w:rPr>
                <w:lang w:eastAsia="cs-CZ"/>
              </w:rPr>
              <w:t>3/7277/2019</w:t>
            </w:r>
          </w:p>
        </w:tc>
        <w:tc>
          <w:tcPr>
            <w:tcW w:w="1832" w:type="dxa"/>
            <w:vAlign w:val="center"/>
          </w:tcPr>
          <w:p w14:paraId="50EC317E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416D3A">
              <w:rPr>
                <w:lang w:eastAsia="cs-CZ"/>
              </w:rPr>
              <w:t>Fakultní nemocnice Olomouc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338E03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8D0C03">
              <w:rPr>
                <w:lang w:eastAsia="cs-CZ"/>
              </w:rPr>
              <w:t>Pilotní provoz konziliárního týmu paliativní péče ve Fakultní nemocnici Olomouc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DBB766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>
              <w:rPr>
                <w:lang w:eastAsia="cs-CZ"/>
              </w:rPr>
              <w:t>4 935 504</w:t>
            </w:r>
          </w:p>
        </w:tc>
        <w:tc>
          <w:tcPr>
            <w:tcW w:w="1270" w:type="dxa"/>
            <w:vAlign w:val="center"/>
          </w:tcPr>
          <w:p w14:paraId="1C178146" w14:textId="77777777" w:rsidR="00BB1616" w:rsidRDefault="00BB1616" w:rsidP="00733A0A">
            <w:pPr>
              <w:pStyle w:val="tabulka"/>
              <w:keepNext w:val="0"/>
              <w:ind w:right="-57"/>
              <w:rPr>
                <w:lang w:eastAsia="cs-CZ"/>
              </w:rPr>
            </w:pPr>
            <w:r w:rsidRPr="00305FCD">
              <w:rPr>
                <w:lang w:eastAsia="cs-CZ"/>
              </w:rPr>
              <w:t>4 732 740,53</w:t>
            </w:r>
          </w:p>
        </w:tc>
      </w:tr>
      <w:tr w:rsidR="00BB1616" w14:paraId="0FB5C392" w14:textId="77777777" w:rsidTr="00733A0A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DBA9472" w14:textId="77777777" w:rsidR="00BB1616" w:rsidRDefault="00BB1616" w:rsidP="00733A0A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9" w:name="_Hlk140670739"/>
            <w:bookmarkEnd w:id="8"/>
            <w:r>
              <w:rPr>
                <w:lang w:eastAsia="cs-CZ"/>
              </w:rPr>
              <w:t>5/7277/2019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9DD8B9E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416D3A">
              <w:rPr>
                <w:lang w:eastAsia="cs-CZ"/>
              </w:rPr>
              <w:t>Všeobecná fakultní nemocnice v Praze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341FAB3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2E6221">
              <w:rPr>
                <w:lang w:eastAsia="cs-CZ"/>
              </w:rPr>
              <w:t>Centrum podpůrné a paliativní péče Všeobecné fakultní nemocnice v Praze</w:t>
            </w:r>
          </w:p>
        </w:tc>
        <w:tc>
          <w:tcPr>
            <w:tcW w:w="1247" w:type="dxa"/>
            <w:vAlign w:val="center"/>
          </w:tcPr>
          <w:p w14:paraId="253B77C0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>
              <w:rPr>
                <w:lang w:eastAsia="cs-CZ"/>
              </w:rPr>
              <w:t>4 936 336</w:t>
            </w:r>
          </w:p>
        </w:tc>
        <w:tc>
          <w:tcPr>
            <w:tcW w:w="1270" w:type="dxa"/>
            <w:vAlign w:val="center"/>
          </w:tcPr>
          <w:p w14:paraId="756DC89A" w14:textId="77777777" w:rsidR="00BB1616" w:rsidRDefault="00BB1616" w:rsidP="00733A0A">
            <w:pPr>
              <w:pStyle w:val="tabulka"/>
              <w:keepNext w:val="0"/>
              <w:ind w:right="188"/>
              <w:rPr>
                <w:lang w:eastAsia="cs-CZ"/>
              </w:rPr>
            </w:pPr>
            <w:r w:rsidRPr="00E9715F">
              <w:rPr>
                <w:lang w:eastAsia="cs-CZ"/>
              </w:rPr>
              <w:t>4 920 997</w:t>
            </w:r>
          </w:p>
        </w:tc>
      </w:tr>
    </w:tbl>
    <w:bookmarkEnd w:id="9"/>
    <w:p w14:paraId="4B1C62D3" w14:textId="77777777" w:rsidR="00BB1616" w:rsidRDefault="00BB1616" w:rsidP="00733A0A">
      <w:pPr>
        <w:pStyle w:val="Nzevtabulky"/>
        <w:numPr>
          <w:ilvl w:val="1"/>
          <w:numId w:val="6"/>
        </w:numPr>
        <w:spacing w:before="240" w:after="40"/>
        <w:ind w:left="1276" w:hanging="1276"/>
        <w:rPr>
          <w:lang w:eastAsia="cs-CZ"/>
        </w:rPr>
      </w:pPr>
      <w:r>
        <w:rPr>
          <w:lang w:eastAsia="cs-CZ"/>
        </w:rPr>
        <w:t xml:space="preserve">Projekty podpořené v Projektu 8214 z </w:t>
      </w:r>
      <w:r w:rsidRPr="0083082B">
        <w:rPr>
          <w:lang w:eastAsia="cs-CZ"/>
        </w:rPr>
        <w:t>Program</w:t>
      </w:r>
      <w:r>
        <w:rPr>
          <w:lang w:eastAsia="cs-CZ"/>
        </w:rPr>
        <w:t>u</w:t>
      </w:r>
      <w:r w:rsidRPr="0083082B">
        <w:rPr>
          <w:lang w:eastAsia="cs-CZ"/>
        </w:rPr>
        <w:t xml:space="preserve"> podpory mobilní specializované paliativní péče</w:t>
      </w:r>
    </w:p>
    <w:tbl>
      <w:tblPr>
        <w:tblStyle w:val="Mkatabulky"/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1226"/>
        <w:gridCol w:w="1965"/>
        <w:gridCol w:w="3402"/>
        <w:gridCol w:w="1245"/>
        <w:gridCol w:w="1269"/>
      </w:tblGrid>
      <w:tr w:rsidR="00BB1616" w14:paraId="5F21B65E" w14:textId="77777777" w:rsidTr="00733903">
        <w:trPr>
          <w:jc w:val="center"/>
        </w:trPr>
        <w:tc>
          <w:tcPr>
            <w:tcW w:w="1226" w:type="dxa"/>
            <w:shd w:val="clear" w:color="auto" w:fill="E5F1FF"/>
            <w:vAlign w:val="center"/>
          </w:tcPr>
          <w:p w14:paraId="1B0807A1" w14:textId="77777777" w:rsidR="00BB1616" w:rsidRPr="00A163C3" w:rsidRDefault="00BB1616" w:rsidP="00733903">
            <w:pPr>
              <w:pStyle w:val="tabulka"/>
              <w:keepNext w:val="0"/>
              <w:ind w:left="-57" w:right="-57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Číslo RoPD</w:t>
            </w:r>
          </w:p>
        </w:tc>
        <w:tc>
          <w:tcPr>
            <w:tcW w:w="1965" w:type="dxa"/>
            <w:shd w:val="clear" w:color="auto" w:fill="E5F1FF"/>
            <w:vAlign w:val="center"/>
          </w:tcPr>
          <w:p w14:paraId="1E197033" w14:textId="77777777" w:rsidR="00BB1616" w:rsidRPr="00A73F5D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</w:rPr>
              <w:t>Příjemce</w:t>
            </w:r>
          </w:p>
        </w:tc>
        <w:tc>
          <w:tcPr>
            <w:tcW w:w="3402" w:type="dxa"/>
            <w:shd w:val="clear" w:color="auto" w:fill="E5F1FF"/>
            <w:vAlign w:val="center"/>
          </w:tcPr>
          <w:p w14:paraId="50F21DA8" w14:textId="77777777" w:rsidR="00BB1616" w:rsidRPr="00A163C3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Název projektu</w:t>
            </w:r>
          </w:p>
        </w:tc>
        <w:tc>
          <w:tcPr>
            <w:tcW w:w="1245" w:type="dxa"/>
            <w:shd w:val="clear" w:color="auto" w:fill="E5F1FF"/>
            <w:vAlign w:val="center"/>
          </w:tcPr>
          <w:p w14:paraId="73689AA8" w14:textId="77777777" w:rsidR="00BB1616" w:rsidRPr="00A163C3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Schválená dotace (Kč)</w:t>
            </w:r>
          </w:p>
        </w:tc>
        <w:tc>
          <w:tcPr>
            <w:tcW w:w="1269" w:type="dxa"/>
            <w:shd w:val="clear" w:color="auto" w:fill="E5F1FF"/>
            <w:vAlign w:val="center"/>
          </w:tcPr>
          <w:p w14:paraId="0F021D10" w14:textId="77777777" w:rsidR="00BB1616" w:rsidRDefault="00BB1616" w:rsidP="009035C3">
            <w:pPr>
              <w:pStyle w:val="tabulka"/>
              <w:keepNext w:val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Proplaceno (Kč)</w:t>
            </w:r>
          </w:p>
        </w:tc>
      </w:tr>
      <w:tr w:rsidR="00BB1616" w14:paraId="6C232ADD" w14:textId="77777777" w:rsidTr="00733903"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 w14:paraId="2B5E1FE6" w14:textId="77777777" w:rsidR="00BB1616" w:rsidRDefault="00BB1616" w:rsidP="00733903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10" w:name="_Hlk140666727"/>
            <w:r>
              <w:rPr>
                <w:lang w:eastAsia="cs-CZ"/>
              </w:rPr>
              <w:t>3/8214/2019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FA75AC" w14:textId="41BEC350" w:rsidR="00BB1616" w:rsidRDefault="00BB1616" w:rsidP="009A37C6">
            <w:pPr>
              <w:pStyle w:val="tabulka"/>
              <w:keepNext w:val="0"/>
              <w:ind w:right="-57"/>
              <w:jc w:val="left"/>
              <w:rPr>
                <w:lang w:eastAsia="cs-CZ"/>
              </w:rPr>
            </w:pPr>
            <w:r w:rsidRPr="00F8730E">
              <w:rPr>
                <w:lang w:eastAsia="cs-CZ"/>
              </w:rPr>
              <w:t>Domov – plzeňská hospicová</w:t>
            </w:r>
            <w:r w:rsidRPr="004560AC">
              <w:rPr>
                <w:sz w:val="16"/>
                <w:lang w:eastAsia="cs-CZ"/>
              </w:rPr>
              <w:t xml:space="preserve"> </w:t>
            </w:r>
            <w:r w:rsidRPr="00F8730E">
              <w:rPr>
                <w:lang w:eastAsia="cs-CZ"/>
              </w:rPr>
              <w:t>péče,</w:t>
            </w:r>
            <w:r w:rsidRPr="004560AC">
              <w:rPr>
                <w:sz w:val="14"/>
                <w:lang w:eastAsia="cs-CZ"/>
              </w:rPr>
              <w:t xml:space="preserve"> </w:t>
            </w:r>
            <w:r w:rsidRPr="00F8730E">
              <w:rPr>
                <w:lang w:eastAsia="cs-CZ"/>
              </w:rPr>
              <w:t>z.</w:t>
            </w:r>
            <w:r w:rsidRPr="004560AC">
              <w:rPr>
                <w:sz w:val="14"/>
                <w:lang w:eastAsia="cs-CZ"/>
              </w:rPr>
              <w:t xml:space="preserve"> </w:t>
            </w:r>
            <w:r w:rsidRPr="00F8730E">
              <w:rPr>
                <w:lang w:eastAsia="cs-CZ"/>
              </w:rPr>
              <w:t>ú.</w:t>
            </w:r>
            <w:r>
              <w:rPr>
                <w:lang w:eastAsia="cs-CZ"/>
              </w:rPr>
              <w:t xml:space="preserve"> /</w:t>
            </w:r>
            <w:r w:rsidR="009A37C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SPOLU</w:t>
            </w:r>
            <w:r w:rsidRPr="00942181">
              <w:rPr>
                <w:sz w:val="16"/>
                <w:lang w:eastAsia="cs-CZ"/>
              </w:rPr>
              <w:t xml:space="preserve"> </w:t>
            </w:r>
            <w:r>
              <w:rPr>
                <w:lang w:eastAsia="cs-CZ"/>
              </w:rPr>
              <w:t>DOMA,</w:t>
            </w:r>
            <w:r w:rsidRPr="00996A14">
              <w:rPr>
                <w:sz w:val="14"/>
                <w:lang w:eastAsia="cs-CZ"/>
              </w:rPr>
              <w:t xml:space="preserve"> </w:t>
            </w:r>
            <w:r>
              <w:rPr>
                <w:lang w:eastAsia="cs-CZ"/>
              </w:rPr>
              <w:t>z.</w:t>
            </w:r>
            <w:r w:rsidRPr="00996A14">
              <w:rPr>
                <w:sz w:val="16"/>
                <w:lang w:eastAsia="cs-CZ"/>
              </w:rPr>
              <w:t xml:space="preserve"> </w:t>
            </w:r>
            <w:r>
              <w:rPr>
                <w:lang w:eastAsia="cs-CZ"/>
              </w:rPr>
              <w:t>ú.</w:t>
            </w:r>
            <w:bookmarkStart w:id="11" w:name="_Ref142316195"/>
            <w:r>
              <w:rPr>
                <w:rStyle w:val="Znakapoznpodarou"/>
                <w:lang w:eastAsia="cs-CZ"/>
              </w:rPr>
              <w:footnoteReference w:id="15"/>
            </w:r>
            <w:bookmarkEnd w:id="11"/>
          </w:p>
        </w:tc>
        <w:tc>
          <w:tcPr>
            <w:tcW w:w="3402" w:type="dxa"/>
            <w:shd w:val="clear" w:color="auto" w:fill="auto"/>
            <w:vAlign w:val="center"/>
          </w:tcPr>
          <w:p w14:paraId="27812D63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bookmarkStart w:id="12" w:name="_Hlk140666351"/>
            <w:r w:rsidRPr="00F8730E">
              <w:rPr>
                <w:lang w:eastAsia="cs-CZ"/>
              </w:rPr>
              <w:t>Domov – plzeňská hospicová péče,</w:t>
            </w:r>
            <w:r w:rsidRPr="00942181">
              <w:rPr>
                <w:sz w:val="16"/>
                <w:lang w:eastAsia="cs-CZ"/>
              </w:rPr>
              <w:t xml:space="preserve"> </w:t>
            </w:r>
            <w:r w:rsidRPr="00F8730E">
              <w:rPr>
                <w:lang w:eastAsia="cs-CZ"/>
              </w:rPr>
              <w:t>z.</w:t>
            </w:r>
            <w:r w:rsidRPr="00942181">
              <w:rPr>
                <w:lang w:eastAsia="cs-CZ"/>
              </w:rPr>
              <w:t xml:space="preserve"> </w:t>
            </w:r>
            <w:r w:rsidRPr="00F8730E">
              <w:rPr>
                <w:lang w:eastAsia="cs-CZ"/>
              </w:rPr>
              <w:t>ú.</w:t>
            </w:r>
            <w:bookmarkEnd w:id="12"/>
          </w:p>
        </w:tc>
        <w:tc>
          <w:tcPr>
            <w:tcW w:w="1245" w:type="dxa"/>
            <w:shd w:val="clear" w:color="auto" w:fill="auto"/>
            <w:vAlign w:val="center"/>
          </w:tcPr>
          <w:p w14:paraId="21B70A01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>
              <w:rPr>
                <w:lang w:eastAsia="cs-CZ"/>
              </w:rPr>
              <w:t>4 799 865</w:t>
            </w:r>
          </w:p>
        </w:tc>
        <w:tc>
          <w:tcPr>
            <w:tcW w:w="1269" w:type="dxa"/>
            <w:vAlign w:val="center"/>
          </w:tcPr>
          <w:p w14:paraId="06079671" w14:textId="77777777" w:rsidR="00BB1616" w:rsidRDefault="00BB1616" w:rsidP="00733A0A">
            <w:pPr>
              <w:pStyle w:val="tabulka"/>
              <w:keepNext w:val="0"/>
              <w:ind w:right="-57"/>
              <w:rPr>
                <w:lang w:eastAsia="cs-CZ"/>
              </w:rPr>
            </w:pPr>
            <w:r w:rsidRPr="00F8730E">
              <w:rPr>
                <w:lang w:eastAsia="cs-CZ"/>
              </w:rPr>
              <w:t>4 103 813,11</w:t>
            </w:r>
          </w:p>
        </w:tc>
      </w:tr>
      <w:tr w:rsidR="00BB1616" w14:paraId="19017ABF" w14:textId="77777777" w:rsidTr="00733903"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 w14:paraId="1C305ADF" w14:textId="77777777" w:rsidR="00BB1616" w:rsidRDefault="00BB1616" w:rsidP="00733903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13" w:name="_Hlk140676081"/>
            <w:bookmarkEnd w:id="10"/>
            <w:r>
              <w:rPr>
                <w:lang w:eastAsia="cs-CZ"/>
              </w:rPr>
              <w:t>4/8214/2019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61AD6C9" w14:textId="27EF79C6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B33D2C">
              <w:rPr>
                <w:lang w:eastAsia="cs-CZ"/>
              </w:rPr>
              <w:t>Hospic sv. Jana N.</w:t>
            </w:r>
            <w:r w:rsidR="009A37C6">
              <w:rPr>
                <w:lang w:eastAsia="cs-CZ"/>
              </w:rPr>
              <w:t> </w:t>
            </w:r>
            <w:r w:rsidRPr="00B33D2C">
              <w:rPr>
                <w:lang w:eastAsia="cs-CZ"/>
              </w:rPr>
              <w:t>Neumanna, o.p.s.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AE9238" w14:textId="60C19DA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B33D2C">
              <w:rPr>
                <w:lang w:eastAsia="cs-CZ"/>
              </w:rPr>
              <w:t>Domácí hospic pro Strakonicko a</w:t>
            </w:r>
            <w:r w:rsidR="009A37C6">
              <w:rPr>
                <w:lang w:eastAsia="cs-CZ"/>
              </w:rPr>
              <w:t> </w:t>
            </w:r>
            <w:proofErr w:type="spellStart"/>
            <w:r w:rsidRPr="00B33D2C">
              <w:rPr>
                <w:lang w:eastAsia="cs-CZ"/>
              </w:rPr>
              <w:t>Prachaticko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1A2C46D6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 w:rsidRPr="00B33D2C">
              <w:rPr>
                <w:lang w:eastAsia="cs-CZ"/>
              </w:rPr>
              <w:t>4 400 000</w:t>
            </w:r>
          </w:p>
        </w:tc>
        <w:tc>
          <w:tcPr>
            <w:tcW w:w="1269" w:type="dxa"/>
            <w:vAlign w:val="center"/>
          </w:tcPr>
          <w:p w14:paraId="2FA64713" w14:textId="77777777" w:rsidR="00BB1616" w:rsidRPr="00B33D2C" w:rsidRDefault="00BB1616" w:rsidP="00733A0A">
            <w:pPr>
              <w:pStyle w:val="tabulka"/>
              <w:keepNext w:val="0"/>
              <w:ind w:right="-57"/>
              <w:rPr>
                <w:lang w:eastAsia="cs-CZ"/>
              </w:rPr>
            </w:pPr>
            <w:r w:rsidRPr="003170A8">
              <w:rPr>
                <w:lang w:eastAsia="cs-CZ"/>
              </w:rPr>
              <w:t>3 875 927,12</w:t>
            </w:r>
          </w:p>
        </w:tc>
      </w:tr>
      <w:tr w:rsidR="00BB1616" w14:paraId="539AA9A0" w14:textId="77777777" w:rsidTr="00733903"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 w14:paraId="68CEB8DE" w14:textId="77777777" w:rsidR="00BB1616" w:rsidRDefault="00BB1616" w:rsidP="00733903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14" w:name="_Hlk140673287"/>
            <w:bookmarkEnd w:id="13"/>
            <w:r>
              <w:rPr>
                <w:lang w:eastAsia="cs-CZ"/>
              </w:rPr>
              <w:t>8/8214/2019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97016D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B33D2C">
              <w:rPr>
                <w:lang w:eastAsia="cs-CZ"/>
              </w:rPr>
              <w:t>Domácí hospic Athelas – středisko Husitské diakonie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1E9834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bookmarkStart w:id="15" w:name="_Hlk140673273"/>
            <w:r>
              <w:rPr>
                <w:lang w:eastAsia="cs-CZ"/>
              </w:rPr>
              <w:t>Pilotní provoz domácího hospice Athelas</w:t>
            </w:r>
            <w:bookmarkEnd w:id="15"/>
          </w:p>
        </w:tc>
        <w:tc>
          <w:tcPr>
            <w:tcW w:w="1245" w:type="dxa"/>
            <w:shd w:val="clear" w:color="auto" w:fill="auto"/>
            <w:vAlign w:val="center"/>
          </w:tcPr>
          <w:p w14:paraId="01C1C20F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>
              <w:rPr>
                <w:lang w:eastAsia="cs-CZ"/>
              </w:rPr>
              <w:t>4 799 980</w:t>
            </w:r>
          </w:p>
        </w:tc>
        <w:tc>
          <w:tcPr>
            <w:tcW w:w="1269" w:type="dxa"/>
            <w:vAlign w:val="center"/>
          </w:tcPr>
          <w:p w14:paraId="013E71A6" w14:textId="77777777" w:rsidR="00BB1616" w:rsidRDefault="00BB1616" w:rsidP="00733A0A">
            <w:pPr>
              <w:pStyle w:val="tabulka"/>
              <w:keepNext w:val="0"/>
              <w:ind w:right="214"/>
              <w:rPr>
                <w:lang w:eastAsia="cs-CZ"/>
              </w:rPr>
            </w:pPr>
            <w:r w:rsidRPr="00707148">
              <w:rPr>
                <w:lang w:eastAsia="cs-CZ"/>
              </w:rPr>
              <w:t>4 118 276</w:t>
            </w:r>
          </w:p>
        </w:tc>
      </w:tr>
      <w:tr w:rsidR="00BB1616" w14:paraId="1611168A" w14:textId="77777777" w:rsidTr="00733903"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 w14:paraId="6F6A3210" w14:textId="77777777" w:rsidR="00BB1616" w:rsidRDefault="00BB1616" w:rsidP="00733903">
            <w:pPr>
              <w:pStyle w:val="tabulka"/>
              <w:keepNext w:val="0"/>
              <w:ind w:left="-57" w:right="-57"/>
              <w:jc w:val="center"/>
              <w:rPr>
                <w:lang w:eastAsia="cs-CZ"/>
              </w:rPr>
            </w:pPr>
            <w:bookmarkStart w:id="16" w:name="_Hlk140673945"/>
            <w:bookmarkEnd w:id="14"/>
            <w:r>
              <w:rPr>
                <w:lang w:eastAsia="cs-CZ"/>
              </w:rPr>
              <w:t>7/8214/2019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F7FD4" w14:textId="34125324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bookmarkStart w:id="17" w:name="_Hlk140673711"/>
            <w:r w:rsidRPr="00B33D2C">
              <w:rPr>
                <w:lang w:eastAsia="cs-CZ"/>
              </w:rPr>
              <w:t>Hospicová péče sv.</w:t>
            </w:r>
            <w:r w:rsidR="009A37C6">
              <w:rPr>
                <w:lang w:eastAsia="cs-CZ"/>
              </w:rPr>
              <w:t> </w:t>
            </w:r>
            <w:r w:rsidRPr="00B33D2C">
              <w:rPr>
                <w:lang w:eastAsia="cs-CZ"/>
              </w:rPr>
              <w:t>Kleofáše, o.p.s.</w:t>
            </w:r>
            <w:bookmarkEnd w:id="17"/>
          </w:p>
        </w:tc>
        <w:tc>
          <w:tcPr>
            <w:tcW w:w="3402" w:type="dxa"/>
            <w:shd w:val="clear" w:color="auto" w:fill="auto"/>
            <w:vAlign w:val="center"/>
          </w:tcPr>
          <w:p w14:paraId="65A7D722" w14:textId="77777777" w:rsidR="00BB1616" w:rsidRDefault="00BB1616" w:rsidP="009035C3">
            <w:pPr>
              <w:pStyle w:val="tabulka"/>
              <w:keepNext w:val="0"/>
              <w:jc w:val="left"/>
              <w:rPr>
                <w:lang w:eastAsia="cs-CZ"/>
              </w:rPr>
            </w:pPr>
            <w:r w:rsidRPr="00B33D2C">
              <w:rPr>
                <w:lang w:eastAsia="cs-CZ"/>
              </w:rPr>
              <w:t>Hospicová péče sv. Kleofáše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2F51B80" w14:textId="77777777" w:rsidR="00BB1616" w:rsidRDefault="00BB1616" w:rsidP="009035C3">
            <w:pPr>
              <w:pStyle w:val="tabulka"/>
              <w:keepNext w:val="0"/>
              <w:rPr>
                <w:lang w:eastAsia="cs-CZ"/>
              </w:rPr>
            </w:pPr>
            <w:r w:rsidRPr="00B33D2C">
              <w:rPr>
                <w:lang w:eastAsia="cs-CZ"/>
              </w:rPr>
              <w:t>4 799 854</w:t>
            </w:r>
          </w:p>
        </w:tc>
        <w:tc>
          <w:tcPr>
            <w:tcW w:w="1269" w:type="dxa"/>
            <w:vAlign w:val="center"/>
          </w:tcPr>
          <w:p w14:paraId="402CE9C6" w14:textId="77777777" w:rsidR="00BB1616" w:rsidRPr="00B33D2C" w:rsidRDefault="00BB1616" w:rsidP="00733A0A">
            <w:pPr>
              <w:pStyle w:val="tabulka"/>
              <w:keepNext w:val="0"/>
              <w:ind w:right="-57"/>
              <w:rPr>
                <w:lang w:eastAsia="cs-CZ"/>
              </w:rPr>
            </w:pPr>
            <w:r w:rsidRPr="009F341C">
              <w:rPr>
                <w:lang w:eastAsia="cs-CZ"/>
              </w:rPr>
              <w:t>4 473 367,32</w:t>
            </w:r>
          </w:p>
        </w:tc>
      </w:tr>
    </w:tbl>
    <w:bookmarkEnd w:id="16"/>
    <w:p w14:paraId="289A7C28" w14:textId="77777777" w:rsidR="00BB1616" w:rsidRDefault="00BB1616" w:rsidP="006F080A">
      <w:pPr>
        <w:pStyle w:val="Nzevtabulky"/>
        <w:keepNext w:val="0"/>
        <w:numPr>
          <w:ilvl w:val="1"/>
          <w:numId w:val="6"/>
        </w:numPr>
        <w:spacing w:before="240" w:after="40"/>
        <w:jc w:val="both"/>
        <w:rPr>
          <w:lang w:eastAsia="cs-CZ"/>
        </w:rPr>
      </w:pPr>
      <w:r>
        <w:rPr>
          <w:lang w:eastAsia="cs-CZ"/>
        </w:rPr>
        <w:t>Projekty podpořené z neinvestičního PPNNO</w:t>
      </w:r>
    </w:p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55"/>
        <w:gridCol w:w="1191"/>
        <w:gridCol w:w="1191"/>
      </w:tblGrid>
      <w:tr w:rsidR="00BB1616" w:rsidRPr="00733903" w14:paraId="3A831954" w14:textId="77777777" w:rsidTr="00733903">
        <w:trPr>
          <w:jc w:val="center"/>
        </w:trPr>
        <w:tc>
          <w:tcPr>
            <w:tcW w:w="567" w:type="dxa"/>
            <w:shd w:val="clear" w:color="auto" w:fill="E5F1FF"/>
            <w:vAlign w:val="center"/>
          </w:tcPr>
          <w:p w14:paraId="4999E412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b/>
                <w:lang w:eastAsia="cs-CZ"/>
              </w:rPr>
            </w:pPr>
            <w:r w:rsidRPr="00733903">
              <w:rPr>
                <w:rFonts w:cs="Calibri"/>
                <w:b/>
                <w:lang w:eastAsia="cs-CZ"/>
              </w:rPr>
              <w:t>Rok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2FCF62B4" w14:textId="77777777" w:rsidR="00BB1616" w:rsidRPr="00733903" w:rsidRDefault="00BB1616" w:rsidP="009035C3">
            <w:pPr>
              <w:pStyle w:val="tabulka"/>
              <w:keepNext w:val="0"/>
              <w:jc w:val="center"/>
              <w:rPr>
                <w:rFonts w:cs="Calibri"/>
                <w:b/>
                <w:lang w:eastAsia="cs-CZ"/>
              </w:rPr>
            </w:pPr>
            <w:r w:rsidRPr="00733903">
              <w:rPr>
                <w:rFonts w:cs="Calibri"/>
                <w:b/>
              </w:rPr>
              <w:t>Příjemce</w:t>
            </w:r>
          </w:p>
        </w:tc>
        <w:tc>
          <w:tcPr>
            <w:tcW w:w="3855" w:type="dxa"/>
            <w:shd w:val="clear" w:color="auto" w:fill="E5F1FF"/>
            <w:vAlign w:val="center"/>
          </w:tcPr>
          <w:p w14:paraId="420A56E7" w14:textId="77777777" w:rsidR="00BB1616" w:rsidRPr="00733903" w:rsidRDefault="00BB1616" w:rsidP="009035C3">
            <w:pPr>
              <w:pStyle w:val="tabulka"/>
              <w:keepNext w:val="0"/>
              <w:jc w:val="center"/>
              <w:rPr>
                <w:rFonts w:cs="Calibri"/>
                <w:b/>
                <w:lang w:eastAsia="cs-CZ"/>
              </w:rPr>
            </w:pPr>
            <w:r w:rsidRPr="00733903">
              <w:rPr>
                <w:rFonts w:cs="Calibri"/>
                <w:b/>
                <w:lang w:eastAsia="cs-CZ"/>
              </w:rPr>
              <w:t>Název projektu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21B4A8A6" w14:textId="77777777" w:rsidR="00BB1616" w:rsidRPr="00733903" w:rsidRDefault="00BB1616" w:rsidP="009035C3">
            <w:pPr>
              <w:pStyle w:val="tabulka"/>
              <w:keepNext w:val="0"/>
              <w:jc w:val="center"/>
              <w:rPr>
                <w:rFonts w:cs="Calibri"/>
                <w:b/>
                <w:lang w:eastAsia="cs-CZ"/>
              </w:rPr>
            </w:pPr>
            <w:r w:rsidRPr="00733903">
              <w:rPr>
                <w:rFonts w:cs="Calibri"/>
                <w:b/>
                <w:lang w:eastAsia="cs-CZ"/>
              </w:rPr>
              <w:t>Schválená dotace (Kč)</w:t>
            </w:r>
          </w:p>
        </w:tc>
        <w:tc>
          <w:tcPr>
            <w:tcW w:w="1191" w:type="dxa"/>
            <w:shd w:val="clear" w:color="auto" w:fill="E5F1FF"/>
            <w:vAlign w:val="center"/>
          </w:tcPr>
          <w:p w14:paraId="2AB69BC8" w14:textId="77777777" w:rsidR="00BB1616" w:rsidRPr="00733903" w:rsidRDefault="00BB1616" w:rsidP="009035C3">
            <w:pPr>
              <w:pStyle w:val="tabulka"/>
              <w:keepNext w:val="0"/>
              <w:jc w:val="center"/>
              <w:rPr>
                <w:rFonts w:cs="Calibri"/>
                <w:b/>
                <w:lang w:eastAsia="cs-CZ"/>
              </w:rPr>
            </w:pPr>
            <w:r w:rsidRPr="00733903">
              <w:rPr>
                <w:rFonts w:cs="Calibri"/>
                <w:b/>
                <w:lang w:eastAsia="cs-CZ"/>
              </w:rPr>
              <w:t>Proplaceno (Kč)</w:t>
            </w:r>
          </w:p>
        </w:tc>
      </w:tr>
      <w:tr w:rsidR="00BB1616" w:rsidRPr="00733903" w14:paraId="20FDACD0" w14:textId="77777777" w:rsidTr="00733903">
        <w:trPr>
          <w:jc w:val="center"/>
        </w:trPr>
        <w:tc>
          <w:tcPr>
            <w:tcW w:w="567" w:type="dxa"/>
            <w:vAlign w:val="center"/>
          </w:tcPr>
          <w:p w14:paraId="526F84E7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2017</w:t>
            </w:r>
          </w:p>
        </w:tc>
        <w:tc>
          <w:tcPr>
            <w:tcW w:w="2268" w:type="dxa"/>
            <w:vAlign w:val="center"/>
          </w:tcPr>
          <w:p w14:paraId="1B4A8682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Cesta domů, </w:t>
            </w:r>
            <w:proofErr w:type="spellStart"/>
            <w:r w:rsidRPr="00733903">
              <w:rPr>
                <w:rFonts w:cs="Calibri"/>
                <w:lang w:eastAsia="cs-CZ"/>
              </w:rPr>
              <w:t>z.ú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1516F4FB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Edice Cesty domů</w:t>
            </w:r>
          </w:p>
        </w:tc>
        <w:tc>
          <w:tcPr>
            <w:tcW w:w="1191" w:type="dxa"/>
            <w:vAlign w:val="center"/>
          </w:tcPr>
          <w:p w14:paraId="2CC10D2A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263 000</w:t>
            </w:r>
          </w:p>
        </w:tc>
        <w:tc>
          <w:tcPr>
            <w:tcW w:w="1191" w:type="dxa"/>
            <w:vAlign w:val="center"/>
          </w:tcPr>
          <w:p w14:paraId="0522BEC8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263 000</w:t>
            </w:r>
          </w:p>
        </w:tc>
      </w:tr>
      <w:tr w:rsidR="00BB1616" w:rsidRPr="00733903" w14:paraId="063DC29A" w14:textId="77777777" w:rsidTr="00733903">
        <w:trPr>
          <w:jc w:val="center"/>
        </w:trPr>
        <w:tc>
          <w:tcPr>
            <w:tcW w:w="567" w:type="dxa"/>
            <w:vAlign w:val="center"/>
          </w:tcPr>
          <w:p w14:paraId="3EDB7D35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055F2556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Cesta domů, </w:t>
            </w:r>
            <w:proofErr w:type="spellStart"/>
            <w:r w:rsidRPr="00733903">
              <w:rPr>
                <w:rFonts w:cs="Calibri"/>
                <w:lang w:eastAsia="cs-CZ"/>
              </w:rPr>
              <w:t>z.ú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2E2807DF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Pomůcky do pokojů Komplexního centra paliativní péče</w:t>
            </w:r>
          </w:p>
        </w:tc>
        <w:tc>
          <w:tcPr>
            <w:tcW w:w="1191" w:type="dxa"/>
            <w:vAlign w:val="center"/>
          </w:tcPr>
          <w:p w14:paraId="50C2AF42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207 900</w:t>
            </w:r>
          </w:p>
        </w:tc>
        <w:tc>
          <w:tcPr>
            <w:tcW w:w="1191" w:type="dxa"/>
            <w:vAlign w:val="center"/>
          </w:tcPr>
          <w:p w14:paraId="57CA481F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207 900</w:t>
            </w:r>
          </w:p>
        </w:tc>
      </w:tr>
      <w:tr w:rsidR="00BB1616" w:rsidRPr="00733903" w14:paraId="5ADEF278" w14:textId="77777777" w:rsidTr="00733903">
        <w:trPr>
          <w:jc w:val="center"/>
        </w:trPr>
        <w:tc>
          <w:tcPr>
            <w:tcW w:w="567" w:type="dxa"/>
            <w:vAlign w:val="center"/>
          </w:tcPr>
          <w:p w14:paraId="0A5F52A8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05F2C02A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Cesta domů, </w:t>
            </w:r>
            <w:proofErr w:type="spellStart"/>
            <w:r w:rsidRPr="00733903">
              <w:rPr>
                <w:rFonts w:cs="Calibri"/>
                <w:lang w:eastAsia="cs-CZ"/>
              </w:rPr>
              <w:t>z.ú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4CC2C986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Pane doktore, máte chvilku?</w:t>
            </w:r>
          </w:p>
        </w:tc>
        <w:tc>
          <w:tcPr>
            <w:tcW w:w="1191" w:type="dxa"/>
            <w:vAlign w:val="center"/>
          </w:tcPr>
          <w:p w14:paraId="67B9F158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190 200</w:t>
            </w:r>
          </w:p>
        </w:tc>
        <w:tc>
          <w:tcPr>
            <w:tcW w:w="1191" w:type="dxa"/>
            <w:vAlign w:val="center"/>
          </w:tcPr>
          <w:p w14:paraId="636CAABD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190 200</w:t>
            </w:r>
          </w:p>
        </w:tc>
      </w:tr>
      <w:tr w:rsidR="00BB1616" w:rsidRPr="00733903" w14:paraId="112C1B03" w14:textId="77777777" w:rsidTr="00733903">
        <w:trPr>
          <w:jc w:val="center"/>
        </w:trPr>
        <w:tc>
          <w:tcPr>
            <w:tcW w:w="567" w:type="dxa"/>
            <w:vAlign w:val="center"/>
          </w:tcPr>
          <w:p w14:paraId="3608CF52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0B063B95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Česká lékařská společnost Jana Evangelisty Purkyně, z.s.</w:t>
            </w:r>
          </w:p>
        </w:tc>
        <w:tc>
          <w:tcPr>
            <w:tcW w:w="3855" w:type="dxa"/>
            <w:vAlign w:val="center"/>
          </w:tcPr>
          <w:p w14:paraId="09287EDA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Rozvoj dětské paliativní péče</w:t>
            </w:r>
          </w:p>
        </w:tc>
        <w:tc>
          <w:tcPr>
            <w:tcW w:w="1191" w:type="dxa"/>
            <w:vAlign w:val="center"/>
          </w:tcPr>
          <w:p w14:paraId="71971BC0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410 700</w:t>
            </w:r>
          </w:p>
        </w:tc>
        <w:tc>
          <w:tcPr>
            <w:tcW w:w="1191" w:type="dxa"/>
            <w:vAlign w:val="center"/>
          </w:tcPr>
          <w:p w14:paraId="4D109B8C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365 142</w:t>
            </w:r>
          </w:p>
        </w:tc>
      </w:tr>
      <w:tr w:rsidR="00BB1616" w:rsidRPr="00733903" w14:paraId="20BEC2C2" w14:textId="77777777" w:rsidTr="00733903">
        <w:trPr>
          <w:jc w:val="center"/>
        </w:trPr>
        <w:tc>
          <w:tcPr>
            <w:tcW w:w="567" w:type="dxa"/>
            <w:vAlign w:val="center"/>
          </w:tcPr>
          <w:p w14:paraId="6414EAB3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2020</w:t>
            </w:r>
          </w:p>
        </w:tc>
        <w:tc>
          <w:tcPr>
            <w:tcW w:w="2268" w:type="dxa"/>
            <w:vAlign w:val="center"/>
          </w:tcPr>
          <w:p w14:paraId="117CC01A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Česká lékařská společnost Jana Evangelisty Purkyně, z.s.</w:t>
            </w:r>
          </w:p>
        </w:tc>
        <w:tc>
          <w:tcPr>
            <w:tcW w:w="3855" w:type="dxa"/>
            <w:vAlign w:val="center"/>
          </w:tcPr>
          <w:p w14:paraId="79E26E92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Podpora dobré praxe v dětské paliativní péči</w:t>
            </w:r>
          </w:p>
        </w:tc>
        <w:tc>
          <w:tcPr>
            <w:tcW w:w="1191" w:type="dxa"/>
            <w:vAlign w:val="center"/>
          </w:tcPr>
          <w:p w14:paraId="7EB8E207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262 000</w:t>
            </w:r>
          </w:p>
        </w:tc>
        <w:tc>
          <w:tcPr>
            <w:tcW w:w="1191" w:type="dxa"/>
            <w:vAlign w:val="center"/>
          </w:tcPr>
          <w:p w14:paraId="15C424A6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193 760</w:t>
            </w:r>
          </w:p>
        </w:tc>
      </w:tr>
      <w:tr w:rsidR="00BB1616" w:rsidRPr="00733903" w14:paraId="66DA2261" w14:textId="77777777" w:rsidTr="00733903">
        <w:trPr>
          <w:jc w:val="center"/>
        </w:trPr>
        <w:tc>
          <w:tcPr>
            <w:tcW w:w="567" w:type="dxa"/>
            <w:vAlign w:val="center"/>
          </w:tcPr>
          <w:p w14:paraId="514246C5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2020</w:t>
            </w:r>
          </w:p>
        </w:tc>
        <w:tc>
          <w:tcPr>
            <w:tcW w:w="2268" w:type="dxa"/>
            <w:vAlign w:val="center"/>
          </w:tcPr>
          <w:p w14:paraId="76A1D98A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Česká lékařská společnost Jana Evangelisty Purkyně, z.s.</w:t>
            </w:r>
          </w:p>
        </w:tc>
        <w:tc>
          <w:tcPr>
            <w:tcW w:w="3855" w:type="dxa"/>
            <w:vAlign w:val="center"/>
          </w:tcPr>
          <w:p w14:paraId="3A238B81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Rozvoj dětské paliativní péče</w:t>
            </w:r>
          </w:p>
        </w:tc>
        <w:tc>
          <w:tcPr>
            <w:tcW w:w="1191" w:type="dxa"/>
            <w:vAlign w:val="center"/>
          </w:tcPr>
          <w:p w14:paraId="00AB9DD2" w14:textId="77777777" w:rsidR="00BB1616" w:rsidRPr="00733903" w:rsidRDefault="00BB1616" w:rsidP="009035C3">
            <w:pPr>
              <w:pStyle w:val="tabulka"/>
              <w:keepNext w:val="0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443 900*</w:t>
            </w:r>
          </w:p>
        </w:tc>
        <w:tc>
          <w:tcPr>
            <w:tcW w:w="1191" w:type="dxa"/>
            <w:vAlign w:val="center"/>
          </w:tcPr>
          <w:p w14:paraId="52D23F7B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373 325</w:t>
            </w:r>
          </w:p>
        </w:tc>
      </w:tr>
      <w:tr w:rsidR="00BB1616" w:rsidRPr="00733903" w14:paraId="7C56923F" w14:textId="77777777" w:rsidTr="00733903">
        <w:trPr>
          <w:jc w:val="center"/>
        </w:trPr>
        <w:tc>
          <w:tcPr>
            <w:tcW w:w="567" w:type="dxa"/>
            <w:vAlign w:val="center"/>
          </w:tcPr>
          <w:p w14:paraId="5965E098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2018</w:t>
            </w:r>
          </w:p>
        </w:tc>
        <w:tc>
          <w:tcPr>
            <w:tcW w:w="2268" w:type="dxa"/>
            <w:vAlign w:val="center"/>
          </w:tcPr>
          <w:p w14:paraId="3465FCA3" w14:textId="756B3BFF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cs="Calibri"/>
                <w:lang w:eastAsia="cs-CZ"/>
              </w:rPr>
              <w:t>Domov – plzeňská hospicová péče, z.</w:t>
            </w:r>
            <w:r w:rsidR="009A37C6">
              <w:rPr>
                <w:rFonts w:cs="Calibri"/>
                <w:lang w:eastAsia="cs-CZ"/>
              </w:rPr>
              <w:t> </w:t>
            </w:r>
            <w:proofErr w:type="spellStart"/>
            <w:r w:rsidRPr="00733903">
              <w:rPr>
                <w:rFonts w:cs="Calibri"/>
                <w:lang w:eastAsia="cs-CZ"/>
              </w:rPr>
              <w:t>ú.</w:t>
            </w:r>
            <w:proofErr w:type="spellEnd"/>
            <w:r w:rsidR="009A37C6">
              <w:rPr>
                <w:rFonts w:cs="Calibri"/>
                <w:lang w:eastAsia="cs-CZ"/>
              </w:rPr>
              <w:t xml:space="preserve"> </w:t>
            </w:r>
            <w:r w:rsidRPr="00733903">
              <w:rPr>
                <w:rFonts w:cs="Calibri"/>
                <w:lang w:eastAsia="cs-CZ"/>
              </w:rPr>
              <w:t>/</w:t>
            </w:r>
            <w:r w:rsidR="009A37C6">
              <w:rPr>
                <w:rFonts w:cs="Calibri"/>
                <w:lang w:eastAsia="cs-CZ"/>
              </w:rPr>
              <w:t xml:space="preserve"> </w:t>
            </w:r>
            <w:r w:rsidRPr="00733903">
              <w:rPr>
                <w:rFonts w:cs="Calibri"/>
                <w:lang w:eastAsia="cs-CZ"/>
              </w:rPr>
              <w:t>SPOLU DOMA, z. ú.</w:t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begin"/>
            </w:r>
            <w:r w:rsidRPr="00733903">
              <w:rPr>
                <w:rFonts w:cs="Calibri"/>
                <w:vertAlign w:val="superscript"/>
                <w:lang w:eastAsia="cs-CZ"/>
              </w:rPr>
              <w:instrText xml:space="preserve"> NOTEREF _Ref142316195 \h  \* MERGEFORMAT </w:instrText>
            </w:r>
            <w:r w:rsidRPr="00733903">
              <w:rPr>
                <w:rFonts w:cs="Calibri"/>
                <w:vertAlign w:val="superscript"/>
                <w:lang w:eastAsia="cs-CZ"/>
              </w:rPr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separate"/>
            </w:r>
            <w:r w:rsidR="00822583">
              <w:rPr>
                <w:rFonts w:cs="Calibri"/>
                <w:vertAlign w:val="superscript"/>
                <w:lang w:eastAsia="cs-CZ"/>
              </w:rPr>
              <w:t>14</w:t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14:paraId="4799D5C0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eastAsiaTheme="minorHAnsi" w:cs="Calibri"/>
              </w:rPr>
              <w:t>Vybavení pro Domov – plzeňskou hospicovou péči, z. ú.</w:t>
            </w:r>
          </w:p>
        </w:tc>
        <w:tc>
          <w:tcPr>
            <w:tcW w:w="1191" w:type="dxa"/>
            <w:vAlign w:val="center"/>
          </w:tcPr>
          <w:p w14:paraId="73AA0D19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34 742</w:t>
            </w:r>
          </w:p>
        </w:tc>
        <w:tc>
          <w:tcPr>
            <w:tcW w:w="1191" w:type="dxa"/>
            <w:vAlign w:val="center"/>
          </w:tcPr>
          <w:p w14:paraId="5DC57CEE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eastAsiaTheme="minorHAnsi" w:cs="Calibri"/>
              </w:rPr>
              <w:t>34 742</w:t>
            </w:r>
          </w:p>
        </w:tc>
      </w:tr>
      <w:tr w:rsidR="00BB1616" w:rsidRPr="00733903" w14:paraId="79A233C7" w14:textId="77777777" w:rsidTr="00733903">
        <w:trPr>
          <w:jc w:val="center"/>
        </w:trPr>
        <w:tc>
          <w:tcPr>
            <w:tcW w:w="567" w:type="dxa"/>
            <w:vAlign w:val="center"/>
          </w:tcPr>
          <w:p w14:paraId="20356849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3BEE737D" w14:textId="7815F4A4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Domov – plzeňská hospicová péče, z.</w:t>
            </w:r>
            <w:r w:rsidR="009A37C6">
              <w:rPr>
                <w:rFonts w:cs="Calibri"/>
                <w:lang w:eastAsia="cs-CZ"/>
              </w:rPr>
              <w:t> </w:t>
            </w:r>
            <w:proofErr w:type="spellStart"/>
            <w:r w:rsidRPr="00733903">
              <w:rPr>
                <w:rFonts w:cs="Calibri"/>
                <w:lang w:eastAsia="cs-CZ"/>
              </w:rPr>
              <w:t>ú.</w:t>
            </w:r>
            <w:proofErr w:type="spellEnd"/>
            <w:r w:rsidR="009A37C6">
              <w:rPr>
                <w:rFonts w:cs="Calibri"/>
                <w:lang w:eastAsia="cs-CZ"/>
              </w:rPr>
              <w:t xml:space="preserve"> </w:t>
            </w:r>
            <w:r w:rsidRPr="00733903">
              <w:rPr>
                <w:rFonts w:cs="Calibri"/>
                <w:lang w:eastAsia="cs-CZ"/>
              </w:rPr>
              <w:t>/</w:t>
            </w:r>
            <w:r w:rsidR="009A37C6">
              <w:rPr>
                <w:rFonts w:cs="Calibri"/>
                <w:lang w:eastAsia="cs-CZ"/>
              </w:rPr>
              <w:t xml:space="preserve"> </w:t>
            </w:r>
            <w:r w:rsidRPr="00733903">
              <w:rPr>
                <w:rFonts w:cs="Calibri"/>
                <w:lang w:eastAsia="cs-CZ"/>
              </w:rPr>
              <w:t>SPOLU DOMA, z. ú.</w:t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begin"/>
            </w:r>
            <w:r w:rsidRPr="00733903">
              <w:rPr>
                <w:rFonts w:cs="Calibri"/>
                <w:vertAlign w:val="superscript"/>
                <w:lang w:eastAsia="cs-CZ"/>
              </w:rPr>
              <w:instrText xml:space="preserve"> NOTEREF _Ref142316195 \h  \* MERGEFORMAT </w:instrText>
            </w:r>
            <w:r w:rsidRPr="00733903">
              <w:rPr>
                <w:rFonts w:cs="Calibri"/>
                <w:vertAlign w:val="superscript"/>
                <w:lang w:eastAsia="cs-CZ"/>
              </w:rPr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separate"/>
            </w:r>
            <w:r w:rsidR="00822583">
              <w:rPr>
                <w:rFonts w:cs="Calibri"/>
                <w:vertAlign w:val="superscript"/>
                <w:lang w:eastAsia="cs-CZ"/>
              </w:rPr>
              <w:t>14</w:t>
            </w:r>
            <w:r w:rsidRPr="00733903">
              <w:rPr>
                <w:rFonts w:cs="Calibri"/>
                <w:vertAlign w:val="superscript"/>
                <w:lang w:eastAsia="cs-CZ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14:paraId="45D15A60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Nákup zdravotních pomůcek pro Domov</w:t>
            </w:r>
          </w:p>
        </w:tc>
        <w:tc>
          <w:tcPr>
            <w:tcW w:w="1191" w:type="dxa"/>
            <w:vAlign w:val="center"/>
          </w:tcPr>
          <w:p w14:paraId="0B84F829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</w:rPr>
            </w:pPr>
            <w:r w:rsidRPr="00733903">
              <w:rPr>
                <w:rFonts w:eastAsiaTheme="minorHAnsi" w:cs="Calibri"/>
              </w:rPr>
              <w:t>9 221</w:t>
            </w:r>
          </w:p>
        </w:tc>
        <w:tc>
          <w:tcPr>
            <w:tcW w:w="1191" w:type="dxa"/>
            <w:vAlign w:val="center"/>
          </w:tcPr>
          <w:p w14:paraId="0730E3DC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eastAsiaTheme="minorHAnsi" w:cs="Calibri"/>
              </w:rPr>
              <w:t>9 221</w:t>
            </w:r>
          </w:p>
        </w:tc>
      </w:tr>
      <w:tr w:rsidR="00BB1616" w:rsidRPr="00733903" w14:paraId="07A92249" w14:textId="77777777" w:rsidTr="00733903">
        <w:trPr>
          <w:jc w:val="center"/>
        </w:trPr>
        <w:tc>
          <w:tcPr>
            <w:tcW w:w="567" w:type="dxa"/>
            <w:vAlign w:val="center"/>
          </w:tcPr>
          <w:p w14:paraId="5EA956B9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2170D3BF" w14:textId="78BC6392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Jana N.</w:t>
            </w:r>
            <w:r w:rsidR="009A37C6">
              <w:rPr>
                <w:rFonts w:cs="Calibri"/>
                <w:lang w:eastAsia="cs-CZ"/>
              </w:rPr>
              <w:t> </w:t>
            </w:r>
            <w:r w:rsidRPr="00733903">
              <w:rPr>
                <w:rFonts w:cs="Calibri"/>
                <w:lang w:eastAsia="cs-CZ"/>
              </w:rPr>
              <w:t>Neumanna, o.p.s.</w:t>
            </w:r>
          </w:p>
        </w:tc>
        <w:tc>
          <w:tcPr>
            <w:tcW w:w="3855" w:type="dxa"/>
          </w:tcPr>
          <w:p w14:paraId="00780661" w14:textId="63BDE1F5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Rozvoj a rozšíření hospicové péče v</w:t>
            </w:r>
            <w:r w:rsidR="009A37C6">
              <w:rPr>
                <w:rFonts w:cs="Calibri"/>
              </w:rPr>
              <w:t> </w:t>
            </w:r>
            <w:r w:rsidRPr="00733903">
              <w:rPr>
                <w:rFonts w:cs="Calibri"/>
              </w:rPr>
              <w:t>Jihočeském kraji</w:t>
            </w:r>
          </w:p>
        </w:tc>
        <w:tc>
          <w:tcPr>
            <w:tcW w:w="1191" w:type="dxa"/>
            <w:vAlign w:val="center"/>
          </w:tcPr>
          <w:p w14:paraId="17996F5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374 650</w:t>
            </w:r>
          </w:p>
        </w:tc>
        <w:tc>
          <w:tcPr>
            <w:tcW w:w="1191" w:type="dxa"/>
            <w:vAlign w:val="center"/>
          </w:tcPr>
          <w:p w14:paraId="7451F822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374 650</w:t>
            </w:r>
          </w:p>
        </w:tc>
      </w:tr>
      <w:tr w:rsidR="00BB1616" w:rsidRPr="00733903" w14:paraId="20D32D88" w14:textId="77777777" w:rsidTr="00733903">
        <w:trPr>
          <w:jc w:val="center"/>
        </w:trPr>
        <w:tc>
          <w:tcPr>
            <w:tcW w:w="567" w:type="dxa"/>
            <w:vAlign w:val="center"/>
          </w:tcPr>
          <w:p w14:paraId="7E94F201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33150600" w14:textId="6A81C8AA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Jana N.</w:t>
            </w:r>
            <w:r w:rsidR="00F74ABA">
              <w:rPr>
                <w:rFonts w:cs="Calibri"/>
                <w:lang w:eastAsia="cs-CZ"/>
              </w:rPr>
              <w:t> </w:t>
            </w:r>
            <w:r w:rsidRPr="00733903">
              <w:rPr>
                <w:rFonts w:cs="Calibri"/>
                <w:lang w:eastAsia="cs-CZ"/>
              </w:rPr>
              <w:t>Neumanna, o.p.s.</w:t>
            </w:r>
          </w:p>
        </w:tc>
        <w:tc>
          <w:tcPr>
            <w:tcW w:w="3855" w:type="dxa"/>
            <w:vAlign w:val="center"/>
          </w:tcPr>
          <w:p w14:paraId="48940EBB" w14:textId="3A9AF146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</w:rPr>
            </w:pPr>
            <w:r w:rsidRPr="00733903">
              <w:rPr>
                <w:rFonts w:cs="Calibri"/>
              </w:rPr>
              <w:t>Materiální vybavení Hospice sv. Jana N.</w:t>
            </w:r>
            <w:r w:rsidR="009A37C6">
              <w:rPr>
                <w:rFonts w:cs="Calibri"/>
              </w:rPr>
              <w:t> </w:t>
            </w:r>
            <w:r w:rsidRPr="00733903">
              <w:rPr>
                <w:rFonts w:cs="Calibri"/>
              </w:rPr>
              <w:t>Neumanna a sdružených domácích hospiců</w:t>
            </w:r>
          </w:p>
        </w:tc>
        <w:tc>
          <w:tcPr>
            <w:tcW w:w="1191" w:type="dxa"/>
            <w:vAlign w:val="center"/>
          </w:tcPr>
          <w:p w14:paraId="730608E0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</w:rPr>
            </w:pPr>
            <w:r w:rsidRPr="00733903">
              <w:rPr>
                <w:rFonts w:cs="Calibri"/>
              </w:rPr>
              <w:t>714 830</w:t>
            </w:r>
          </w:p>
        </w:tc>
        <w:tc>
          <w:tcPr>
            <w:tcW w:w="1191" w:type="dxa"/>
            <w:vAlign w:val="center"/>
          </w:tcPr>
          <w:p w14:paraId="498F7DA0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714 830</w:t>
            </w:r>
          </w:p>
        </w:tc>
      </w:tr>
      <w:tr w:rsidR="00BB1616" w:rsidRPr="00733903" w14:paraId="779D0C8C" w14:textId="77777777" w:rsidTr="00733903">
        <w:trPr>
          <w:jc w:val="center"/>
        </w:trPr>
        <w:tc>
          <w:tcPr>
            <w:tcW w:w="567" w:type="dxa"/>
            <w:vAlign w:val="center"/>
          </w:tcPr>
          <w:p w14:paraId="60867C0B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2017</w:t>
            </w:r>
          </w:p>
        </w:tc>
        <w:tc>
          <w:tcPr>
            <w:tcW w:w="2268" w:type="dxa"/>
            <w:vAlign w:val="center"/>
          </w:tcPr>
          <w:p w14:paraId="22519055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Zdislavy, o.p.s.</w:t>
            </w:r>
          </w:p>
        </w:tc>
        <w:tc>
          <w:tcPr>
            <w:tcW w:w="3855" w:type="dxa"/>
            <w:vAlign w:val="center"/>
          </w:tcPr>
          <w:p w14:paraId="2E1ADAA8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Informovanost ošetřujících a praktických lékařů o možnostech hospicové paliativní péče v Libereckém kraji a postupu přijetí do lůžkového hospice, dovybavení lůžkového hospice antidekubitními pomůckami</w:t>
            </w:r>
          </w:p>
        </w:tc>
        <w:tc>
          <w:tcPr>
            <w:tcW w:w="1191" w:type="dxa"/>
            <w:vAlign w:val="center"/>
          </w:tcPr>
          <w:p w14:paraId="57432756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64 575</w:t>
            </w:r>
          </w:p>
        </w:tc>
        <w:tc>
          <w:tcPr>
            <w:tcW w:w="1191" w:type="dxa"/>
            <w:vAlign w:val="center"/>
          </w:tcPr>
          <w:p w14:paraId="4648F2F2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64 575</w:t>
            </w:r>
          </w:p>
        </w:tc>
      </w:tr>
      <w:tr w:rsidR="00BB1616" w:rsidRPr="00733903" w14:paraId="162C52B8" w14:textId="77777777" w:rsidTr="00733903">
        <w:trPr>
          <w:jc w:val="center"/>
        </w:trPr>
        <w:tc>
          <w:tcPr>
            <w:tcW w:w="567" w:type="dxa"/>
            <w:vAlign w:val="center"/>
          </w:tcPr>
          <w:p w14:paraId="5EF74082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2018</w:t>
            </w:r>
          </w:p>
        </w:tc>
        <w:tc>
          <w:tcPr>
            <w:tcW w:w="2268" w:type="dxa"/>
            <w:vAlign w:val="center"/>
          </w:tcPr>
          <w:p w14:paraId="4E729990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Zdislavy, o.p.s.</w:t>
            </w:r>
          </w:p>
        </w:tc>
        <w:tc>
          <w:tcPr>
            <w:tcW w:w="3855" w:type="dxa"/>
            <w:vAlign w:val="center"/>
          </w:tcPr>
          <w:p w14:paraId="1D79F717" w14:textId="1DA8D86B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Doplnění vybavení lůžkového Hospice sv.</w:t>
            </w:r>
            <w:r w:rsidR="009A37C6">
              <w:rPr>
                <w:rFonts w:cs="Calibri"/>
              </w:rPr>
              <w:t> </w:t>
            </w:r>
            <w:r w:rsidRPr="00733903">
              <w:rPr>
                <w:rFonts w:cs="Calibri"/>
              </w:rPr>
              <w:t>Zdislavy a půjčovny kompenzačních pomůcek</w:t>
            </w:r>
          </w:p>
        </w:tc>
        <w:tc>
          <w:tcPr>
            <w:tcW w:w="1191" w:type="dxa"/>
            <w:vAlign w:val="center"/>
          </w:tcPr>
          <w:p w14:paraId="6B08F5A9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105 130</w:t>
            </w:r>
          </w:p>
        </w:tc>
        <w:tc>
          <w:tcPr>
            <w:tcW w:w="1191" w:type="dxa"/>
            <w:vAlign w:val="center"/>
          </w:tcPr>
          <w:p w14:paraId="51C53919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105 130</w:t>
            </w:r>
          </w:p>
        </w:tc>
      </w:tr>
      <w:tr w:rsidR="00BB1616" w:rsidRPr="00733903" w14:paraId="26454E0D" w14:textId="77777777" w:rsidTr="00733903">
        <w:trPr>
          <w:jc w:val="center"/>
        </w:trPr>
        <w:tc>
          <w:tcPr>
            <w:tcW w:w="567" w:type="dxa"/>
            <w:vAlign w:val="center"/>
          </w:tcPr>
          <w:p w14:paraId="3D6E2021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44D3702C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Zdislavy, o.p.s.</w:t>
            </w:r>
          </w:p>
        </w:tc>
        <w:tc>
          <w:tcPr>
            <w:tcW w:w="3855" w:type="dxa"/>
            <w:vAlign w:val="center"/>
          </w:tcPr>
          <w:p w14:paraId="7E832E2F" w14:textId="51598D8E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Doplnění vybavení lůžkového hospice o</w:t>
            </w:r>
            <w:r w:rsidR="009A37C6">
              <w:rPr>
                <w:rFonts w:cs="Calibri"/>
              </w:rPr>
              <w:t> </w:t>
            </w:r>
            <w:r w:rsidRPr="00733903">
              <w:rPr>
                <w:rFonts w:cs="Calibri"/>
              </w:rPr>
              <w:t>antidekubitní pomůcky a mobilní koupací vanu</w:t>
            </w:r>
          </w:p>
        </w:tc>
        <w:tc>
          <w:tcPr>
            <w:tcW w:w="1191" w:type="dxa"/>
            <w:vAlign w:val="center"/>
          </w:tcPr>
          <w:p w14:paraId="098FB7F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60 116</w:t>
            </w:r>
          </w:p>
        </w:tc>
        <w:tc>
          <w:tcPr>
            <w:tcW w:w="1191" w:type="dxa"/>
            <w:vAlign w:val="center"/>
          </w:tcPr>
          <w:p w14:paraId="69922293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60 116</w:t>
            </w:r>
          </w:p>
        </w:tc>
      </w:tr>
      <w:tr w:rsidR="00BB1616" w:rsidRPr="00733903" w14:paraId="05469813" w14:textId="77777777" w:rsidTr="00733903">
        <w:trPr>
          <w:jc w:val="center"/>
        </w:trPr>
        <w:tc>
          <w:tcPr>
            <w:tcW w:w="567" w:type="dxa"/>
            <w:vAlign w:val="center"/>
          </w:tcPr>
          <w:p w14:paraId="4BD00ABC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0738A91D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sv. Zdislavy, o.p.s.</w:t>
            </w:r>
          </w:p>
        </w:tc>
        <w:tc>
          <w:tcPr>
            <w:tcW w:w="3855" w:type="dxa"/>
            <w:vAlign w:val="center"/>
          </w:tcPr>
          <w:p w14:paraId="23BC76B5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Prevence dekubitů</w:t>
            </w:r>
          </w:p>
        </w:tc>
        <w:tc>
          <w:tcPr>
            <w:tcW w:w="1191" w:type="dxa"/>
            <w:vAlign w:val="center"/>
          </w:tcPr>
          <w:p w14:paraId="1022C7F0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62 790</w:t>
            </w:r>
          </w:p>
        </w:tc>
        <w:tc>
          <w:tcPr>
            <w:tcW w:w="1191" w:type="dxa"/>
            <w:vAlign w:val="center"/>
          </w:tcPr>
          <w:p w14:paraId="215CEEEC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62 790</w:t>
            </w:r>
          </w:p>
        </w:tc>
      </w:tr>
      <w:tr w:rsidR="00BB1616" w:rsidRPr="00733903" w14:paraId="26AC6A48" w14:textId="77777777" w:rsidTr="00733903">
        <w:trPr>
          <w:jc w:val="center"/>
        </w:trPr>
        <w:tc>
          <w:tcPr>
            <w:tcW w:w="567" w:type="dxa"/>
            <w:vAlign w:val="center"/>
          </w:tcPr>
          <w:p w14:paraId="0044B732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18" w:name="_Hlk140666468"/>
            <w:r w:rsidRPr="00733903">
              <w:rPr>
                <w:rFonts w:cs="Calibri"/>
                <w:lang w:eastAsia="cs-CZ"/>
              </w:rPr>
              <w:t>2018</w:t>
            </w:r>
          </w:p>
        </w:tc>
        <w:tc>
          <w:tcPr>
            <w:tcW w:w="2268" w:type="dxa"/>
            <w:vAlign w:val="center"/>
          </w:tcPr>
          <w:p w14:paraId="6734A5AB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Hospic svatého Lazara </w:t>
            </w:r>
            <w:proofErr w:type="spellStart"/>
            <w:r w:rsidRPr="00733903">
              <w:rPr>
                <w:rFonts w:cs="Calibri"/>
                <w:lang w:eastAsia="cs-CZ"/>
              </w:rPr>
              <w:t>z.s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69C48D47" w14:textId="2DEFCC90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Zvýšení kvality péče doplněním vybavení a</w:t>
            </w:r>
            <w:r w:rsidR="00733A0A">
              <w:rPr>
                <w:rFonts w:eastAsiaTheme="minorHAnsi" w:cs="Calibri"/>
              </w:rPr>
              <w:t> </w:t>
            </w:r>
            <w:r w:rsidRPr="00733903">
              <w:rPr>
                <w:rFonts w:eastAsiaTheme="minorHAnsi" w:cs="Calibri"/>
              </w:rPr>
              <w:t>obměnou nevyhovujícího</w:t>
            </w:r>
          </w:p>
        </w:tc>
        <w:tc>
          <w:tcPr>
            <w:tcW w:w="1191" w:type="dxa"/>
            <w:vAlign w:val="center"/>
          </w:tcPr>
          <w:p w14:paraId="346CC432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270 620</w:t>
            </w:r>
          </w:p>
        </w:tc>
        <w:tc>
          <w:tcPr>
            <w:tcW w:w="1191" w:type="dxa"/>
            <w:vAlign w:val="center"/>
          </w:tcPr>
          <w:p w14:paraId="4BAF7F1D" w14:textId="77777777" w:rsidR="00BB1616" w:rsidRPr="00733903" w:rsidRDefault="00BB1616" w:rsidP="00F46E59">
            <w:pPr>
              <w:pStyle w:val="tabulka"/>
              <w:keepNext w:val="0"/>
              <w:ind w:right="-11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236 709,21</w:t>
            </w:r>
          </w:p>
        </w:tc>
      </w:tr>
      <w:tr w:rsidR="00BB1616" w:rsidRPr="00733903" w14:paraId="7682C9B6" w14:textId="77777777" w:rsidTr="00733903">
        <w:trPr>
          <w:jc w:val="center"/>
        </w:trPr>
        <w:tc>
          <w:tcPr>
            <w:tcW w:w="567" w:type="dxa"/>
            <w:vAlign w:val="center"/>
          </w:tcPr>
          <w:p w14:paraId="3F761177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2F88DCBF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Hospic svatého Lazara </w:t>
            </w:r>
            <w:proofErr w:type="spellStart"/>
            <w:r w:rsidRPr="00733903">
              <w:rPr>
                <w:rFonts w:cs="Calibri"/>
                <w:lang w:eastAsia="cs-CZ"/>
              </w:rPr>
              <w:t>z.s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30894F0C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Vzdělávání zdravotnických pracovníků</w:t>
            </w:r>
          </w:p>
        </w:tc>
        <w:tc>
          <w:tcPr>
            <w:tcW w:w="1191" w:type="dxa"/>
            <w:vAlign w:val="center"/>
          </w:tcPr>
          <w:p w14:paraId="1EAA5A06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16 800</w:t>
            </w:r>
          </w:p>
        </w:tc>
        <w:tc>
          <w:tcPr>
            <w:tcW w:w="1191" w:type="dxa"/>
            <w:vAlign w:val="center"/>
          </w:tcPr>
          <w:p w14:paraId="084C69C8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16 800</w:t>
            </w:r>
          </w:p>
        </w:tc>
      </w:tr>
      <w:tr w:rsidR="00BB1616" w:rsidRPr="00733903" w14:paraId="34C99CA5" w14:textId="77777777" w:rsidTr="00733903">
        <w:trPr>
          <w:jc w:val="center"/>
        </w:trPr>
        <w:tc>
          <w:tcPr>
            <w:tcW w:w="567" w:type="dxa"/>
            <w:vAlign w:val="center"/>
          </w:tcPr>
          <w:p w14:paraId="128143D4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0413E779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Hospic svatého Lazara </w:t>
            </w:r>
            <w:proofErr w:type="spellStart"/>
            <w:r w:rsidRPr="00733903">
              <w:rPr>
                <w:rFonts w:cs="Calibri"/>
                <w:lang w:eastAsia="cs-CZ"/>
              </w:rPr>
              <w:t>z.s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0AA3BD11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Zakoupení přístrojového a dalšího vybavení</w:t>
            </w:r>
          </w:p>
        </w:tc>
        <w:tc>
          <w:tcPr>
            <w:tcW w:w="1191" w:type="dxa"/>
            <w:vAlign w:val="center"/>
          </w:tcPr>
          <w:p w14:paraId="4698D9D1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132 794</w:t>
            </w:r>
          </w:p>
        </w:tc>
        <w:tc>
          <w:tcPr>
            <w:tcW w:w="1191" w:type="dxa"/>
            <w:vAlign w:val="center"/>
          </w:tcPr>
          <w:p w14:paraId="70E8F9F2" w14:textId="77777777" w:rsidR="00BB1616" w:rsidRPr="00733903" w:rsidRDefault="00BB1616" w:rsidP="00F46E59">
            <w:pPr>
              <w:pStyle w:val="tabulka"/>
              <w:keepNext w:val="0"/>
              <w:ind w:right="-11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129 686,18</w:t>
            </w:r>
          </w:p>
        </w:tc>
      </w:tr>
      <w:tr w:rsidR="00BB1616" w:rsidRPr="00733903" w14:paraId="641D8463" w14:textId="77777777" w:rsidTr="00733903">
        <w:trPr>
          <w:jc w:val="center"/>
        </w:trPr>
        <w:tc>
          <w:tcPr>
            <w:tcW w:w="567" w:type="dxa"/>
            <w:vAlign w:val="center"/>
          </w:tcPr>
          <w:p w14:paraId="358B36CA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2020</w:t>
            </w:r>
          </w:p>
        </w:tc>
        <w:tc>
          <w:tcPr>
            <w:tcW w:w="2268" w:type="dxa"/>
            <w:vAlign w:val="center"/>
          </w:tcPr>
          <w:p w14:paraId="38C1BCD9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Hospic svatého Lazara </w:t>
            </w:r>
            <w:proofErr w:type="spellStart"/>
            <w:r w:rsidRPr="00733903">
              <w:rPr>
                <w:rFonts w:cs="Calibri"/>
                <w:lang w:eastAsia="cs-CZ"/>
              </w:rPr>
              <w:t>z.s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7B76A606" w14:textId="386FC6A6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Zakoupení přístrojového a dalšího vybavení pro hospicovou péči o pacienty v</w:t>
            </w:r>
            <w:r w:rsidR="009A37C6">
              <w:rPr>
                <w:rFonts w:eastAsiaTheme="minorHAnsi" w:cs="Calibri"/>
              </w:rPr>
              <w:t> </w:t>
            </w:r>
            <w:r w:rsidRPr="00733903">
              <w:rPr>
                <w:rFonts w:eastAsiaTheme="minorHAnsi" w:cs="Calibri"/>
              </w:rPr>
              <w:t>terminálním stádiu onemocnění</w:t>
            </w:r>
          </w:p>
        </w:tc>
        <w:tc>
          <w:tcPr>
            <w:tcW w:w="1191" w:type="dxa"/>
            <w:vAlign w:val="center"/>
          </w:tcPr>
          <w:p w14:paraId="11CC222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243 943</w:t>
            </w:r>
          </w:p>
        </w:tc>
        <w:tc>
          <w:tcPr>
            <w:tcW w:w="1191" w:type="dxa"/>
            <w:vAlign w:val="center"/>
          </w:tcPr>
          <w:p w14:paraId="5F47E4B3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243 943</w:t>
            </w:r>
          </w:p>
        </w:tc>
      </w:tr>
      <w:tr w:rsidR="00BB1616" w:rsidRPr="00733903" w14:paraId="4DD4AF13" w14:textId="77777777" w:rsidTr="00733903">
        <w:trPr>
          <w:jc w:val="center"/>
        </w:trPr>
        <w:tc>
          <w:tcPr>
            <w:tcW w:w="567" w:type="dxa"/>
            <w:vAlign w:val="center"/>
          </w:tcPr>
          <w:p w14:paraId="5B6CB03E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73B21209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 xml:space="preserve">Hospic svatého Lazara </w:t>
            </w:r>
            <w:proofErr w:type="spellStart"/>
            <w:r w:rsidRPr="00733903">
              <w:rPr>
                <w:rFonts w:cs="Calibri"/>
                <w:lang w:eastAsia="cs-CZ"/>
              </w:rPr>
              <w:t>z.s</w:t>
            </w:r>
            <w:proofErr w:type="spellEnd"/>
            <w:r w:rsidRPr="00733903">
              <w:rPr>
                <w:rFonts w:cs="Calibri"/>
                <w:lang w:eastAsia="cs-CZ"/>
              </w:rPr>
              <w:t>.</w:t>
            </w:r>
          </w:p>
        </w:tc>
        <w:tc>
          <w:tcPr>
            <w:tcW w:w="3855" w:type="dxa"/>
            <w:vAlign w:val="center"/>
          </w:tcPr>
          <w:p w14:paraId="116AE978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Pořízení ošetřovatelských lůžek a matrací pro pacienty hospice</w:t>
            </w:r>
          </w:p>
        </w:tc>
        <w:tc>
          <w:tcPr>
            <w:tcW w:w="1191" w:type="dxa"/>
            <w:vAlign w:val="center"/>
          </w:tcPr>
          <w:p w14:paraId="4D8B605B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205 800</w:t>
            </w:r>
          </w:p>
        </w:tc>
        <w:tc>
          <w:tcPr>
            <w:tcW w:w="1191" w:type="dxa"/>
            <w:vAlign w:val="center"/>
          </w:tcPr>
          <w:p w14:paraId="76FC7300" w14:textId="77777777" w:rsidR="00BB1616" w:rsidRPr="00733903" w:rsidRDefault="00BB1616" w:rsidP="00F46E59">
            <w:pPr>
              <w:pStyle w:val="tabulka"/>
              <w:keepNext w:val="0"/>
              <w:ind w:right="-11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203 665,91</w:t>
            </w:r>
          </w:p>
        </w:tc>
      </w:tr>
      <w:tr w:rsidR="00BB1616" w:rsidRPr="00733903" w14:paraId="7C0E9741" w14:textId="251B3A5B" w:rsidTr="00733903">
        <w:trPr>
          <w:jc w:val="center"/>
        </w:trPr>
        <w:tc>
          <w:tcPr>
            <w:tcW w:w="567" w:type="dxa"/>
            <w:vAlign w:val="center"/>
          </w:tcPr>
          <w:p w14:paraId="734D5147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19" w:name="_Hlk140670272"/>
            <w:r w:rsidRPr="00733903">
              <w:rPr>
                <w:rFonts w:cs="Calibri"/>
                <w:lang w:eastAsia="cs-CZ"/>
              </w:rPr>
              <w:t>2017</w:t>
            </w:r>
          </w:p>
        </w:tc>
        <w:tc>
          <w:tcPr>
            <w:tcW w:w="2268" w:type="dxa"/>
            <w:vAlign w:val="center"/>
          </w:tcPr>
          <w:p w14:paraId="783407C7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bookmarkStart w:id="20" w:name="_Hlk140670036"/>
            <w:r w:rsidRPr="00733903">
              <w:rPr>
                <w:rFonts w:cs="Calibri"/>
                <w:lang w:eastAsia="cs-CZ"/>
              </w:rPr>
              <w:t>Hospic Štrasburk o.p.s.</w:t>
            </w:r>
            <w:bookmarkEnd w:id="20"/>
          </w:p>
        </w:tc>
        <w:tc>
          <w:tcPr>
            <w:tcW w:w="3855" w:type="dxa"/>
            <w:vAlign w:val="center"/>
          </w:tcPr>
          <w:p w14:paraId="7F1B4836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Obnova 10 polohovacích lůžek pro pacienty terminálního onkologického hospicu</w:t>
            </w:r>
          </w:p>
        </w:tc>
        <w:tc>
          <w:tcPr>
            <w:tcW w:w="1191" w:type="dxa"/>
            <w:vAlign w:val="center"/>
          </w:tcPr>
          <w:p w14:paraId="54AE479C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259 538</w:t>
            </w:r>
          </w:p>
        </w:tc>
        <w:tc>
          <w:tcPr>
            <w:tcW w:w="1191" w:type="dxa"/>
            <w:vAlign w:val="center"/>
          </w:tcPr>
          <w:p w14:paraId="3CFE1F96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259 538</w:t>
            </w:r>
          </w:p>
        </w:tc>
      </w:tr>
      <w:tr w:rsidR="00BB1616" w:rsidRPr="00733903" w14:paraId="0AE9F6C4" w14:textId="77777777" w:rsidTr="00733903">
        <w:trPr>
          <w:jc w:val="center"/>
        </w:trPr>
        <w:tc>
          <w:tcPr>
            <w:tcW w:w="567" w:type="dxa"/>
            <w:vAlign w:val="center"/>
          </w:tcPr>
          <w:p w14:paraId="56CD89AE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21" w:name="_Hlk140670407"/>
            <w:bookmarkEnd w:id="19"/>
            <w:r w:rsidRPr="00733903">
              <w:rPr>
                <w:rFonts w:cs="Calibri"/>
                <w:lang w:eastAsia="cs-CZ"/>
              </w:rPr>
              <w:t>2018</w:t>
            </w:r>
          </w:p>
        </w:tc>
        <w:tc>
          <w:tcPr>
            <w:tcW w:w="2268" w:type="dxa"/>
            <w:vAlign w:val="center"/>
          </w:tcPr>
          <w:p w14:paraId="2627B5CC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 Štrasburk o.p.s.</w:t>
            </w:r>
          </w:p>
        </w:tc>
        <w:tc>
          <w:tcPr>
            <w:tcW w:w="3855" w:type="dxa"/>
            <w:vAlign w:val="center"/>
          </w:tcPr>
          <w:p w14:paraId="5C7627ED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Obnova 10 polohovacích lůžek pro pacienty terminálního onkologického hospice</w:t>
            </w:r>
          </w:p>
        </w:tc>
        <w:tc>
          <w:tcPr>
            <w:tcW w:w="1191" w:type="dxa"/>
            <w:vAlign w:val="center"/>
          </w:tcPr>
          <w:p w14:paraId="3BE6A09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265 987</w:t>
            </w:r>
          </w:p>
        </w:tc>
        <w:tc>
          <w:tcPr>
            <w:tcW w:w="1191" w:type="dxa"/>
            <w:vAlign w:val="center"/>
          </w:tcPr>
          <w:p w14:paraId="19AC87FF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265 987</w:t>
            </w:r>
          </w:p>
        </w:tc>
      </w:tr>
      <w:tr w:rsidR="00BB1616" w:rsidRPr="00733903" w14:paraId="5BAFEB58" w14:textId="77777777" w:rsidTr="00733903">
        <w:trPr>
          <w:trHeight w:val="597"/>
          <w:jc w:val="center"/>
        </w:trPr>
        <w:tc>
          <w:tcPr>
            <w:tcW w:w="567" w:type="dxa"/>
            <w:vAlign w:val="center"/>
          </w:tcPr>
          <w:p w14:paraId="4CAC685D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22" w:name="_Hlk140674503"/>
            <w:r w:rsidRPr="00733903">
              <w:rPr>
                <w:rFonts w:cs="Calibri"/>
                <w:lang w:eastAsia="cs-CZ"/>
              </w:rPr>
              <w:t>2017</w:t>
            </w:r>
          </w:p>
        </w:tc>
        <w:tc>
          <w:tcPr>
            <w:tcW w:w="2268" w:type="dxa"/>
            <w:vAlign w:val="center"/>
          </w:tcPr>
          <w:p w14:paraId="0D2C833E" w14:textId="1A82D335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Hospicová péče sv.</w:t>
            </w:r>
            <w:r w:rsidR="00F74ABA">
              <w:rPr>
                <w:rFonts w:cs="Calibri"/>
                <w:lang w:eastAsia="cs-CZ"/>
              </w:rPr>
              <w:t> </w:t>
            </w:r>
            <w:r w:rsidRPr="00733903">
              <w:rPr>
                <w:rFonts w:cs="Calibri"/>
                <w:lang w:eastAsia="cs-CZ"/>
              </w:rPr>
              <w:t>Kleofáše, o.p.s.</w:t>
            </w:r>
          </w:p>
        </w:tc>
        <w:tc>
          <w:tcPr>
            <w:tcW w:w="3855" w:type="dxa"/>
            <w:vAlign w:val="center"/>
          </w:tcPr>
          <w:p w14:paraId="7FB391A0" w14:textId="1D9604AC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Kompenzační pomůcky k zapůjčení pro klienty mobilního hospice na Třeboňsku a</w:t>
            </w:r>
            <w:r w:rsidR="009A37C6">
              <w:rPr>
                <w:rFonts w:cs="Calibri"/>
              </w:rPr>
              <w:t> </w:t>
            </w:r>
            <w:r w:rsidRPr="00733903">
              <w:rPr>
                <w:rFonts w:cs="Calibri"/>
              </w:rPr>
              <w:t>okolí</w:t>
            </w:r>
          </w:p>
        </w:tc>
        <w:tc>
          <w:tcPr>
            <w:tcW w:w="1191" w:type="dxa"/>
            <w:vAlign w:val="center"/>
          </w:tcPr>
          <w:p w14:paraId="26E6987E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83 200</w:t>
            </w:r>
          </w:p>
        </w:tc>
        <w:tc>
          <w:tcPr>
            <w:tcW w:w="1191" w:type="dxa"/>
            <w:vAlign w:val="center"/>
          </w:tcPr>
          <w:p w14:paraId="7774ECDE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83 200</w:t>
            </w:r>
          </w:p>
        </w:tc>
      </w:tr>
      <w:bookmarkEnd w:id="22"/>
      <w:tr w:rsidR="00BB1616" w:rsidRPr="00733903" w14:paraId="4DB2D134" w14:textId="77777777" w:rsidTr="00733903">
        <w:trPr>
          <w:jc w:val="center"/>
        </w:trPr>
        <w:tc>
          <w:tcPr>
            <w:tcW w:w="567" w:type="dxa"/>
            <w:vAlign w:val="center"/>
          </w:tcPr>
          <w:p w14:paraId="06E481FD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075B736C" w14:textId="599E0724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Hospicová péče sv.</w:t>
            </w:r>
            <w:r w:rsidR="00F74ABA">
              <w:rPr>
                <w:rFonts w:cs="Calibri"/>
                <w:lang w:eastAsia="cs-CZ"/>
              </w:rPr>
              <w:t> </w:t>
            </w:r>
            <w:r w:rsidRPr="00733903">
              <w:rPr>
                <w:rFonts w:cs="Calibri"/>
                <w:lang w:eastAsia="cs-CZ"/>
              </w:rPr>
              <w:t>Kleofáše, o.p.s.</w:t>
            </w:r>
          </w:p>
        </w:tc>
        <w:tc>
          <w:tcPr>
            <w:tcW w:w="3855" w:type="dxa"/>
            <w:vAlign w:val="center"/>
          </w:tcPr>
          <w:p w14:paraId="5A67A5AA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Kompenzační pomůcky pro mobilní hospicovou péči</w:t>
            </w:r>
          </w:p>
        </w:tc>
        <w:tc>
          <w:tcPr>
            <w:tcW w:w="1191" w:type="dxa"/>
            <w:vAlign w:val="center"/>
          </w:tcPr>
          <w:p w14:paraId="554B43C6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135 676</w:t>
            </w:r>
          </w:p>
        </w:tc>
        <w:tc>
          <w:tcPr>
            <w:tcW w:w="1191" w:type="dxa"/>
            <w:vAlign w:val="center"/>
          </w:tcPr>
          <w:p w14:paraId="4373D4AD" w14:textId="77777777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  <w:lang w:eastAsia="cs-CZ"/>
              </w:rPr>
            </w:pPr>
            <w:r w:rsidRPr="00733903">
              <w:rPr>
                <w:rFonts w:cs="Calibri"/>
              </w:rPr>
              <w:t>135 675</w:t>
            </w:r>
          </w:p>
        </w:tc>
      </w:tr>
      <w:tr w:rsidR="00BB1616" w:rsidRPr="00733903" w14:paraId="56BE6AB5" w14:textId="77777777" w:rsidTr="00733903">
        <w:trPr>
          <w:jc w:val="center"/>
        </w:trPr>
        <w:tc>
          <w:tcPr>
            <w:tcW w:w="567" w:type="dxa"/>
            <w:vAlign w:val="center"/>
          </w:tcPr>
          <w:p w14:paraId="6010A85B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23" w:name="_Hlk140668042"/>
            <w:bookmarkEnd w:id="21"/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7A179D8C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Uherské Hradiště</w:t>
            </w:r>
          </w:p>
        </w:tc>
        <w:tc>
          <w:tcPr>
            <w:tcW w:w="3855" w:type="dxa"/>
            <w:vAlign w:val="center"/>
          </w:tcPr>
          <w:p w14:paraId="7703F2AD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Podpora vznikajícího týmu MSPP v území ORP Uherské Hradiště</w:t>
            </w:r>
          </w:p>
        </w:tc>
        <w:tc>
          <w:tcPr>
            <w:tcW w:w="1191" w:type="dxa"/>
            <w:vAlign w:val="center"/>
          </w:tcPr>
          <w:p w14:paraId="6D81C98F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149 140</w:t>
            </w:r>
          </w:p>
        </w:tc>
        <w:tc>
          <w:tcPr>
            <w:tcW w:w="1191" w:type="dxa"/>
            <w:vAlign w:val="center"/>
          </w:tcPr>
          <w:p w14:paraId="271E76C0" w14:textId="75F105BD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149 140</w:t>
            </w:r>
          </w:p>
        </w:tc>
      </w:tr>
      <w:tr w:rsidR="00BB1616" w:rsidRPr="00733903" w14:paraId="557DD511" w14:textId="77777777" w:rsidTr="00733903">
        <w:trPr>
          <w:jc w:val="center"/>
        </w:trPr>
        <w:tc>
          <w:tcPr>
            <w:tcW w:w="567" w:type="dxa"/>
            <w:vAlign w:val="center"/>
          </w:tcPr>
          <w:p w14:paraId="62107C1E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24" w:name="_Hlk140668617"/>
            <w:bookmarkStart w:id="25" w:name="_Hlk140668596"/>
            <w:bookmarkEnd w:id="23"/>
            <w:r w:rsidRPr="00733903">
              <w:rPr>
                <w:rFonts w:cs="Calibri"/>
                <w:lang w:eastAsia="cs-CZ"/>
              </w:rPr>
              <w:t>2020</w:t>
            </w:r>
          </w:p>
        </w:tc>
        <w:tc>
          <w:tcPr>
            <w:tcW w:w="2268" w:type="dxa"/>
            <w:vAlign w:val="center"/>
          </w:tcPr>
          <w:p w14:paraId="2D7666FD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Uherské Hradiště</w:t>
            </w:r>
          </w:p>
        </w:tc>
        <w:tc>
          <w:tcPr>
            <w:tcW w:w="3855" w:type="dxa"/>
            <w:vAlign w:val="center"/>
          </w:tcPr>
          <w:p w14:paraId="3259B474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Doplnění hmotného ošetřovatelského vybavení a zdravotnické techniky Domácího hospice Antonínek Charity Uherské Hradiště</w:t>
            </w:r>
          </w:p>
        </w:tc>
        <w:tc>
          <w:tcPr>
            <w:tcW w:w="1191" w:type="dxa"/>
            <w:vAlign w:val="center"/>
          </w:tcPr>
          <w:p w14:paraId="366C96F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125 350</w:t>
            </w:r>
          </w:p>
        </w:tc>
        <w:tc>
          <w:tcPr>
            <w:tcW w:w="1191" w:type="dxa"/>
            <w:vAlign w:val="center"/>
          </w:tcPr>
          <w:p w14:paraId="7EE9415F" w14:textId="37568788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125 350</w:t>
            </w:r>
          </w:p>
        </w:tc>
      </w:tr>
      <w:bookmarkEnd w:id="24"/>
      <w:bookmarkEnd w:id="25"/>
      <w:tr w:rsidR="00BB1616" w:rsidRPr="00733903" w14:paraId="2F7A7430" w14:textId="77777777" w:rsidTr="00733903">
        <w:trPr>
          <w:jc w:val="center"/>
        </w:trPr>
        <w:tc>
          <w:tcPr>
            <w:tcW w:w="567" w:type="dxa"/>
            <w:vAlign w:val="center"/>
          </w:tcPr>
          <w:p w14:paraId="5763DB3F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2CDED335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Uherské Hradiště</w:t>
            </w:r>
          </w:p>
        </w:tc>
        <w:tc>
          <w:tcPr>
            <w:tcW w:w="3855" w:type="dxa"/>
            <w:vAlign w:val="center"/>
          </w:tcPr>
          <w:p w14:paraId="7B59717D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Doplnění zdravotnické techniky Domácího hospice Antonínek Charity Uherské Hradiště</w:t>
            </w:r>
          </w:p>
        </w:tc>
        <w:tc>
          <w:tcPr>
            <w:tcW w:w="1191" w:type="dxa"/>
            <w:vAlign w:val="center"/>
          </w:tcPr>
          <w:p w14:paraId="3163D56D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74 748</w:t>
            </w:r>
          </w:p>
        </w:tc>
        <w:tc>
          <w:tcPr>
            <w:tcW w:w="1191" w:type="dxa"/>
            <w:vAlign w:val="center"/>
          </w:tcPr>
          <w:p w14:paraId="5DFF8ABE" w14:textId="28FD497B" w:rsidR="00BB1616" w:rsidRPr="00733903" w:rsidRDefault="00BB1616" w:rsidP="00F46E59">
            <w:pPr>
              <w:pStyle w:val="tabulka"/>
              <w:keepNext w:val="0"/>
              <w:ind w:right="157"/>
              <w:rPr>
                <w:rFonts w:cs="Calibri"/>
              </w:rPr>
            </w:pPr>
            <w:r w:rsidRPr="00733903">
              <w:rPr>
                <w:rFonts w:cs="Calibri"/>
              </w:rPr>
              <w:t>74 748</w:t>
            </w:r>
          </w:p>
        </w:tc>
      </w:tr>
      <w:tr w:rsidR="00BB1616" w:rsidRPr="00733903" w14:paraId="4CD8002E" w14:textId="77777777" w:rsidTr="00733903">
        <w:trPr>
          <w:jc w:val="center"/>
        </w:trPr>
        <w:tc>
          <w:tcPr>
            <w:tcW w:w="567" w:type="dxa"/>
            <w:vAlign w:val="center"/>
          </w:tcPr>
          <w:p w14:paraId="07C83520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bookmarkStart w:id="26" w:name="_Hlk140668649"/>
            <w:bookmarkStart w:id="27" w:name="_Hlk140669132"/>
            <w:r w:rsidRPr="00733903">
              <w:rPr>
                <w:rFonts w:cs="Calibri"/>
                <w:lang w:eastAsia="cs-CZ"/>
              </w:rPr>
              <w:t>2019</w:t>
            </w:r>
          </w:p>
        </w:tc>
        <w:tc>
          <w:tcPr>
            <w:tcW w:w="2268" w:type="dxa"/>
            <w:vAlign w:val="center"/>
          </w:tcPr>
          <w:p w14:paraId="26AABE61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Uherský Brod</w:t>
            </w:r>
          </w:p>
        </w:tc>
        <w:tc>
          <w:tcPr>
            <w:tcW w:w="3855" w:type="dxa"/>
            <w:vAlign w:val="center"/>
          </w:tcPr>
          <w:p w14:paraId="7F565A17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Pořízení vybavení pro paliativní péči Oblastní charita Uherský Brod</w:t>
            </w:r>
          </w:p>
        </w:tc>
        <w:tc>
          <w:tcPr>
            <w:tcW w:w="1191" w:type="dxa"/>
            <w:vAlign w:val="center"/>
          </w:tcPr>
          <w:p w14:paraId="2ECB0FCE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99 617</w:t>
            </w:r>
          </w:p>
        </w:tc>
        <w:tc>
          <w:tcPr>
            <w:tcW w:w="1191" w:type="dxa"/>
            <w:vAlign w:val="center"/>
          </w:tcPr>
          <w:p w14:paraId="3F2A1798" w14:textId="6784B531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99 617</w:t>
            </w:r>
          </w:p>
        </w:tc>
      </w:tr>
      <w:tr w:rsidR="00BB1616" w:rsidRPr="00733903" w14:paraId="02F71E36" w14:textId="77777777" w:rsidTr="00733903">
        <w:trPr>
          <w:jc w:val="center"/>
        </w:trPr>
        <w:tc>
          <w:tcPr>
            <w:tcW w:w="567" w:type="dxa"/>
            <w:vAlign w:val="center"/>
          </w:tcPr>
          <w:p w14:paraId="158BB603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2020</w:t>
            </w:r>
          </w:p>
        </w:tc>
        <w:tc>
          <w:tcPr>
            <w:tcW w:w="2268" w:type="dxa"/>
            <w:vAlign w:val="center"/>
          </w:tcPr>
          <w:p w14:paraId="2BD247A4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Uherský Brod</w:t>
            </w:r>
          </w:p>
        </w:tc>
        <w:tc>
          <w:tcPr>
            <w:tcW w:w="3855" w:type="dxa"/>
            <w:vAlign w:val="center"/>
          </w:tcPr>
          <w:p w14:paraId="3D131B0C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Pořízení vybavení pro domácí hospicovou péči – Charita Uherský Brod</w:t>
            </w:r>
          </w:p>
        </w:tc>
        <w:tc>
          <w:tcPr>
            <w:tcW w:w="1191" w:type="dxa"/>
            <w:vAlign w:val="center"/>
          </w:tcPr>
          <w:p w14:paraId="2101653E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374 057</w:t>
            </w:r>
          </w:p>
        </w:tc>
        <w:tc>
          <w:tcPr>
            <w:tcW w:w="1191" w:type="dxa"/>
            <w:vAlign w:val="center"/>
          </w:tcPr>
          <w:p w14:paraId="4D95B2BF" w14:textId="671B4648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374 057</w:t>
            </w:r>
          </w:p>
        </w:tc>
      </w:tr>
      <w:tr w:rsidR="00BB1616" w:rsidRPr="00733903" w14:paraId="05CC7CD0" w14:textId="77777777" w:rsidTr="00733903">
        <w:trPr>
          <w:jc w:val="center"/>
        </w:trPr>
        <w:tc>
          <w:tcPr>
            <w:tcW w:w="567" w:type="dxa"/>
            <w:vAlign w:val="center"/>
          </w:tcPr>
          <w:p w14:paraId="5D4EA268" w14:textId="77777777" w:rsidR="00BB1616" w:rsidRPr="00733903" w:rsidRDefault="00BB1616" w:rsidP="00795825">
            <w:pPr>
              <w:pStyle w:val="tabulka"/>
              <w:keepNext w:val="0"/>
              <w:ind w:left="-57" w:right="-57"/>
              <w:jc w:val="center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2021</w:t>
            </w:r>
          </w:p>
        </w:tc>
        <w:tc>
          <w:tcPr>
            <w:tcW w:w="2268" w:type="dxa"/>
            <w:vAlign w:val="center"/>
          </w:tcPr>
          <w:p w14:paraId="2CB950BE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cs="Calibri"/>
                <w:lang w:eastAsia="cs-CZ"/>
              </w:rPr>
            </w:pPr>
            <w:r w:rsidRPr="00733903">
              <w:rPr>
                <w:rFonts w:cs="Calibri"/>
                <w:lang w:eastAsia="cs-CZ"/>
              </w:rPr>
              <w:t>Charita Uherský Brod</w:t>
            </w:r>
          </w:p>
        </w:tc>
        <w:tc>
          <w:tcPr>
            <w:tcW w:w="3855" w:type="dxa"/>
            <w:vAlign w:val="center"/>
          </w:tcPr>
          <w:p w14:paraId="5C5B5526" w14:textId="77777777" w:rsidR="00BB1616" w:rsidRPr="00733903" w:rsidRDefault="00BB1616" w:rsidP="009035C3">
            <w:pPr>
              <w:pStyle w:val="tabulka"/>
              <w:keepNext w:val="0"/>
              <w:jc w:val="left"/>
              <w:rPr>
                <w:rFonts w:eastAsiaTheme="minorHAnsi" w:cs="Calibri"/>
              </w:rPr>
            </w:pPr>
            <w:r w:rsidRPr="00733903">
              <w:rPr>
                <w:rFonts w:cs="Calibri"/>
              </w:rPr>
              <w:t>Podpora Domácí hospicové péče</w:t>
            </w:r>
          </w:p>
        </w:tc>
        <w:tc>
          <w:tcPr>
            <w:tcW w:w="1191" w:type="dxa"/>
            <w:vAlign w:val="center"/>
          </w:tcPr>
          <w:p w14:paraId="36DE81A0" w14:textId="77777777" w:rsidR="00BB1616" w:rsidRPr="00733903" w:rsidRDefault="00BB1616" w:rsidP="001371FA">
            <w:pPr>
              <w:pStyle w:val="tabulka"/>
              <w:keepNext w:val="0"/>
              <w:ind w:right="123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300 347</w:t>
            </w:r>
          </w:p>
        </w:tc>
        <w:tc>
          <w:tcPr>
            <w:tcW w:w="1191" w:type="dxa"/>
            <w:vAlign w:val="center"/>
          </w:tcPr>
          <w:p w14:paraId="111FA368" w14:textId="1A4D13F8" w:rsidR="00BB1616" w:rsidRPr="00733903" w:rsidRDefault="00BB1616" w:rsidP="00F46E59">
            <w:pPr>
              <w:pStyle w:val="tabulka"/>
              <w:keepNext w:val="0"/>
              <w:ind w:right="157"/>
              <w:rPr>
                <w:rFonts w:eastAsiaTheme="minorHAnsi" w:cs="Calibri"/>
              </w:rPr>
            </w:pPr>
            <w:r w:rsidRPr="00733903">
              <w:rPr>
                <w:rFonts w:eastAsiaTheme="minorHAnsi" w:cs="Calibri"/>
              </w:rPr>
              <w:t>300 347</w:t>
            </w:r>
          </w:p>
        </w:tc>
      </w:tr>
    </w:tbl>
    <w:bookmarkEnd w:id="18"/>
    <w:bookmarkEnd w:id="26"/>
    <w:bookmarkEnd w:id="27"/>
    <w:p w14:paraId="5E416478" w14:textId="49A6A593" w:rsidR="00BB1616" w:rsidRPr="00D05916" w:rsidRDefault="00BB1616" w:rsidP="00D05916">
      <w:pPr>
        <w:spacing w:before="40" w:after="0"/>
      </w:pPr>
      <w:r w:rsidRPr="00D05916">
        <w:rPr>
          <w:rFonts w:eastAsiaTheme="minorHAnsi" w:cs="Calibri"/>
          <w:sz w:val="20"/>
        </w:rPr>
        <w:t xml:space="preserve">* </w:t>
      </w:r>
      <w:r w:rsidR="00E9654A">
        <w:rPr>
          <w:rFonts w:eastAsiaTheme="minorHAnsi" w:cs="Calibri"/>
          <w:sz w:val="20"/>
        </w:rPr>
        <w:t>N</w:t>
      </w:r>
      <w:r w:rsidRPr="00D05916">
        <w:rPr>
          <w:rFonts w:eastAsiaTheme="minorHAnsi" w:cs="Calibri"/>
          <w:sz w:val="20"/>
        </w:rPr>
        <w:t xml:space="preserve">a základě změnového </w:t>
      </w:r>
      <w:proofErr w:type="spellStart"/>
      <w:r w:rsidRPr="00D05916">
        <w:rPr>
          <w:rFonts w:eastAsiaTheme="minorHAnsi" w:cs="Calibri"/>
          <w:sz w:val="20"/>
        </w:rPr>
        <w:t>RoPD</w:t>
      </w:r>
      <w:proofErr w:type="spellEnd"/>
      <w:r w:rsidRPr="00D05916">
        <w:rPr>
          <w:rFonts w:eastAsiaTheme="minorHAnsi" w:cs="Calibri"/>
          <w:sz w:val="20"/>
        </w:rPr>
        <w:t xml:space="preserve"> </w:t>
      </w:r>
      <w:r w:rsidR="00781A4D">
        <w:rPr>
          <w:rFonts w:eastAsiaTheme="minorHAnsi" w:cs="Calibri"/>
          <w:sz w:val="20"/>
        </w:rPr>
        <w:t xml:space="preserve">dotace činila </w:t>
      </w:r>
      <w:r w:rsidRPr="00D05916">
        <w:rPr>
          <w:rFonts w:eastAsiaTheme="minorHAnsi" w:cs="Calibri"/>
          <w:sz w:val="20"/>
        </w:rPr>
        <w:t>403 300 Kč</w:t>
      </w:r>
      <w:r w:rsidR="00781A4D">
        <w:rPr>
          <w:rFonts w:eastAsiaTheme="minorHAnsi" w:cs="Calibri"/>
          <w:sz w:val="20"/>
        </w:rPr>
        <w:t>.</w:t>
      </w:r>
    </w:p>
    <w:sectPr w:rsidR="00BB1616" w:rsidRPr="00D05916" w:rsidSect="00E41375">
      <w:footerReference w:type="default" r:id="rId20"/>
      <w:pgSz w:w="11909" w:h="16838" w:code="9"/>
      <w:pgMar w:top="1417" w:right="1417" w:bottom="1417" w:left="141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0FAF" w14:textId="77777777" w:rsidR="00D078F6" w:rsidRDefault="00D078F6">
      <w:r>
        <w:separator/>
      </w:r>
    </w:p>
  </w:endnote>
  <w:endnote w:type="continuationSeparator" w:id="0">
    <w:p w14:paraId="4222ABB2" w14:textId="77777777" w:rsidR="00D078F6" w:rsidRDefault="00D078F6">
      <w:r>
        <w:continuationSeparator/>
      </w:r>
    </w:p>
  </w:endnote>
  <w:endnote w:type="continuationNotice" w:id="1">
    <w:p w14:paraId="794B340A" w14:textId="77777777" w:rsidR="00D078F6" w:rsidRDefault="00D078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6C39" w14:textId="04435AB9" w:rsidR="00D078F6" w:rsidRDefault="00D078F6" w:rsidP="00E4137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4343755"/>
      <w:docPartObj>
        <w:docPartGallery w:val="Page Numbers (Bottom of Page)"/>
        <w:docPartUnique/>
      </w:docPartObj>
    </w:sdtPr>
    <w:sdtEndPr/>
    <w:sdtContent>
      <w:p w14:paraId="10C3118D" w14:textId="31214369" w:rsidR="00D078F6" w:rsidRDefault="00D078F6" w:rsidP="00E41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564848"/>
      <w:docPartObj>
        <w:docPartGallery w:val="Page Numbers (Bottom of Page)"/>
        <w:docPartUnique/>
      </w:docPartObj>
    </w:sdtPr>
    <w:sdtEndPr/>
    <w:sdtContent>
      <w:p w14:paraId="71386EE3" w14:textId="77777777" w:rsidR="00D078F6" w:rsidRDefault="00D078F6" w:rsidP="00E41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739048"/>
      <w:docPartObj>
        <w:docPartGallery w:val="Page Numbers (Bottom of Page)"/>
        <w:docPartUnique/>
      </w:docPartObj>
    </w:sdtPr>
    <w:sdtEndPr/>
    <w:sdtContent>
      <w:p w14:paraId="2C8A6C96" w14:textId="77777777" w:rsidR="00D078F6" w:rsidRDefault="00D07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376205"/>
      <w:docPartObj>
        <w:docPartGallery w:val="Page Numbers (Bottom of Page)"/>
        <w:docPartUnique/>
      </w:docPartObj>
    </w:sdtPr>
    <w:sdtEndPr/>
    <w:sdtContent>
      <w:p w14:paraId="5A3C4C6D" w14:textId="73D9FBFE" w:rsidR="00D078F6" w:rsidRDefault="00D078F6" w:rsidP="007958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CAAB" w14:textId="77777777" w:rsidR="00D078F6" w:rsidRDefault="00D078F6" w:rsidP="00CD7A37">
      <w:pPr>
        <w:spacing w:after="0"/>
      </w:pPr>
      <w:r>
        <w:separator/>
      </w:r>
    </w:p>
  </w:footnote>
  <w:footnote w:type="continuationSeparator" w:id="0">
    <w:p w14:paraId="66BDED2B" w14:textId="77777777" w:rsidR="00D078F6" w:rsidRDefault="00D078F6" w:rsidP="00FE5C8F">
      <w:r>
        <w:continuationSeparator/>
      </w:r>
    </w:p>
  </w:footnote>
  <w:footnote w:type="continuationNotice" w:id="1">
    <w:p w14:paraId="39114D5A" w14:textId="77777777" w:rsidR="00D078F6" w:rsidRDefault="00D078F6">
      <w:pPr>
        <w:spacing w:after="0"/>
      </w:pPr>
    </w:p>
  </w:footnote>
  <w:footnote w:id="2">
    <w:p w14:paraId="39814700" w14:textId="78A6FA33" w:rsidR="00D078F6" w:rsidRDefault="00D078F6" w:rsidP="00FC02E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A76477">
        <w:t xml:space="preserve">stanovení § 10 odst. 1 </w:t>
      </w:r>
      <w:r>
        <w:t xml:space="preserve">zákona České národní rady č. 2/1969 Sb., </w:t>
      </w:r>
      <w:r w:rsidRPr="00FC02E2">
        <w:t>o zřízení ministerstev a jiných ústředních orgánů státní správy České republiky</w:t>
      </w:r>
      <w:r>
        <w:t>.</w:t>
      </w:r>
    </w:p>
  </w:footnote>
  <w:footnote w:id="3">
    <w:p w14:paraId="0BE9E848" w14:textId="0747191F" w:rsidR="00D078F6" w:rsidRDefault="00D078F6" w:rsidP="00BF3D2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5 odst. 2 písm. h) zákona č. 372/2011 Sb., o zdravotních službách a podmínkách jejich poskytování (zákon o zdravotních službách).</w:t>
      </w:r>
    </w:p>
  </w:footnote>
  <w:footnote w:id="4">
    <w:p w14:paraId="384B4FB7" w14:textId="77777777" w:rsidR="00D078F6" w:rsidRDefault="00D078F6" w:rsidP="00A277F0">
      <w:pPr>
        <w:pStyle w:val="Textpoznpodarou"/>
        <w:ind w:left="284" w:hanging="284"/>
        <w:jc w:val="left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400FE">
        <w:rPr>
          <w:i/>
        </w:rPr>
        <w:t>Paliativní péče v České republice 2016 – Situační analýza</w:t>
      </w:r>
      <w:r>
        <w:t>,</w:t>
      </w:r>
      <w:r w:rsidRPr="00D548CD">
        <w:t xml:space="preserve"> Česk</w:t>
      </w:r>
      <w:r>
        <w:t>á</w:t>
      </w:r>
      <w:r w:rsidRPr="00D548CD">
        <w:t xml:space="preserve"> společnost paliativní medicíny</w:t>
      </w:r>
      <w:r>
        <w:t xml:space="preserve"> ČLS JEP 2016 (dostupné z </w:t>
      </w:r>
      <w:hyperlink r:id="rId1" w:history="1">
        <w:r w:rsidRPr="00E2751E">
          <w:rPr>
            <w:rStyle w:val="Hypertextovodkaz"/>
          </w:rPr>
          <w:t>https://www.paliativa.cz/sites/default/files/2019-09/situacni-analyza-paliativni-pece.pdf</w:t>
        </w:r>
      </w:hyperlink>
      <w:r>
        <w:t>).</w:t>
      </w:r>
    </w:p>
  </w:footnote>
  <w:footnote w:id="5">
    <w:p w14:paraId="22539DE5" w14:textId="0FB1CC28" w:rsidR="00D078F6" w:rsidRDefault="00D078F6" w:rsidP="00A277F0">
      <w:pPr>
        <w:pStyle w:val="Textpoznpodarou"/>
        <w:ind w:left="284" w:hanging="284"/>
        <w:jc w:val="left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400FE">
        <w:rPr>
          <w:i/>
        </w:rPr>
        <w:t>Proměny věkového složení obyvatelstva</w:t>
      </w:r>
      <w:r>
        <w:t>, Český statistický úřad, Praha 2019 (dostupné z </w:t>
      </w:r>
      <w:hyperlink r:id="rId2" w:history="1">
        <w:r w:rsidRPr="002D76CF">
          <w:rPr>
            <w:rStyle w:val="Hypertextovodkaz"/>
          </w:rPr>
          <w:t>https://www.czso.cz/csu/czso/promeny-vekoveho-slozeni-obyvatelstva-cr-2001-2050</w:t>
        </w:r>
      </w:hyperlink>
      <w:r>
        <w:t>).</w:t>
      </w:r>
    </w:p>
  </w:footnote>
  <w:footnote w:id="6">
    <w:p w14:paraId="5AF1DCE9" w14:textId="20C8E1E7" w:rsidR="00D078F6" w:rsidRDefault="00D078F6" w:rsidP="006D1C3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roce 2017 byly kromě paliativní péče podporovány také projekty související s reformou psychiatrické péče, účast na tvorbě, realizaci a monitorování ucelených zdravotnických strategií a organizačně administrativní servis v rámci svépomocných aktivit organizací. Od roku 2018 se PPNNO zaměřovaly pouze na paliativní péči.</w:t>
      </w:r>
    </w:p>
  </w:footnote>
  <w:footnote w:id="7">
    <w:p w14:paraId="65E9B2F7" w14:textId="40BBBCE0" w:rsidR="00D078F6" w:rsidRDefault="00D078F6" w:rsidP="00003D9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003D96">
        <w:t xml:space="preserve">Proces poskytování dotací z programu </w:t>
      </w:r>
      <w:r w:rsidRPr="00F81CEB">
        <w:rPr>
          <w:i/>
        </w:rPr>
        <w:t>Rozvojové projekty zdravotní péče</w:t>
      </w:r>
      <w:r w:rsidRPr="00003D96">
        <w:t xml:space="preserve"> ani jednotlivé projekty podpořené jeho prostřednictvím nebyly předmětem kontroly NKÚ.</w:t>
      </w:r>
    </w:p>
  </w:footnote>
  <w:footnote w:id="8">
    <w:p w14:paraId="0488DBA9" w14:textId="39949EC0" w:rsidR="00D078F6" w:rsidRDefault="00D078F6" w:rsidP="00553A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změně některých souvisejících zákonů (rozpočtová pravidla).</w:t>
      </w:r>
    </w:p>
  </w:footnote>
  <w:footnote w:id="9">
    <w:p w14:paraId="5B1BA736" w14:textId="4EEA9A82" w:rsidR="00D078F6" w:rsidRDefault="00D078F6" w:rsidP="00553A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134/2016 Sb., o zadávání veřejných zakázek.</w:t>
      </w:r>
    </w:p>
  </w:footnote>
  <w:footnote w:id="10">
    <w:p w14:paraId="14C63C35" w14:textId="2FF9FD66" w:rsidR="00D078F6" w:rsidRDefault="00D078F6" w:rsidP="00553A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320/2001 Sb., </w:t>
      </w:r>
      <w:r w:rsidRPr="00553AB2">
        <w:t>o finanční kontrole ve veřejné správě a o změně některých zákonů</w:t>
      </w:r>
      <w:r>
        <w:t xml:space="preserve"> (zákon o finanční kontrole).</w:t>
      </w:r>
    </w:p>
  </w:footnote>
  <w:footnote w:id="11">
    <w:p w14:paraId="7AC558EC" w14:textId="77777777" w:rsidR="00D078F6" w:rsidRDefault="00D078F6" w:rsidP="002B357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Řídicím orgánem OPZ je Ministerstvo práce a sociálních věcí.</w:t>
      </w:r>
    </w:p>
  </w:footnote>
  <w:footnote w:id="12">
    <w:p w14:paraId="228ABA83" w14:textId="5BC0FD3C" w:rsidR="00D078F6" w:rsidRDefault="00D078F6" w:rsidP="009E4AF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Porušení právních předpisů při zadávání příslušné zakázky konstatoval i Úřad pro ochranu hospodářské soutěže svým rozhodnutím č.</w:t>
      </w:r>
      <w:r w:rsidRPr="00D63DAC">
        <w:t xml:space="preserve"> j</w:t>
      </w:r>
      <w:r>
        <w:t>.</w:t>
      </w:r>
      <w:r w:rsidRPr="00D63DAC">
        <w:t xml:space="preserve"> ÚOHS-42016/2020/523/JŠi</w:t>
      </w:r>
      <w:r>
        <w:t xml:space="preserve"> ze dne </w:t>
      </w:r>
      <w:r w:rsidRPr="00D63DAC">
        <w:t>31. prosince 2020</w:t>
      </w:r>
      <w:r>
        <w:t xml:space="preserve">, resp. rozhodnutím předsedy </w:t>
      </w:r>
      <w:r w:rsidRPr="00D63DAC">
        <w:t>ÚOHS-08059/2021/161/JSu</w:t>
      </w:r>
      <w:r>
        <w:t xml:space="preserve"> ze dne 4. 3. 2021.</w:t>
      </w:r>
    </w:p>
  </w:footnote>
  <w:footnote w:id="13">
    <w:p w14:paraId="23004452" w14:textId="77777777" w:rsidR="00D078F6" w:rsidRDefault="00D078F6" w:rsidP="007B5F9E">
      <w:pPr>
        <w:pStyle w:val="Textpoznpodarou"/>
        <w:ind w:left="426" w:hanging="426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4E5A69">
        <w:t xml:space="preserve">odst. </w:t>
      </w:r>
      <w:r>
        <w:t>8</w:t>
      </w:r>
      <w:r w:rsidRPr="004E5A69">
        <w:t xml:space="preserve"> části druhé </w:t>
      </w:r>
      <w:r w:rsidRPr="007400FE">
        <w:rPr>
          <w:i/>
        </w:rPr>
        <w:t>Zásad vlády pro poskytování dotací ze státního rozpočtu České republiky nestátním neziskovým organizacím ústředními orgány státní správy</w:t>
      </w:r>
      <w:r>
        <w:t>.</w:t>
      </w:r>
    </w:p>
  </w:footnote>
  <w:footnote w:id="14">
    <w:p w14:paraId="249D7B04" w14:textId="702D1A70" w:rsidR="00D078F6" w:rsidRDefault="00D078F6" w:rsidP="005D2AEB">
      <w:pPr>
        <w:pStyle w:val="Textpoznpodarou"/>
        <w:ind w:left="426" w:hanging="426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</w:t>
      </w:r>
    </w:p>
  </w:footnote>
  <w:footnote w:id="15">
    <w:p w14:paraId="08ACF3BA" w14:textId="77777777" w:rsidR="00D078F6" w:rsidRDefault="00D078F6" w:rsidP="00BB161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A7BA6">
        <w:t xml:space="preserve">Dne 29. 12. 2022 došlo ke změně názvu příjemce </w:t>
      </w:r>
      <w:r>
        <w:t xml:space="preserve">z </w:t>
      </w:r>
      <w:r w:rsidRPr="00F8730E">
        <w:rPr>
          <w:lang w:eastAsia="cs-CZ"/>
        </w:rPr>
        <w:t>Domov – plzeňská hospicová péče, z. ú.</w:t>
      </w:r>
      <w:r>
        <w:rPr>
          <w:lang w:eastAsia="cs-CZ"/>
        </w:rPr>
        <w:t xml:space="preserve">, </w:t>
      </w:r>
      <w:r w:rsidRPr="007A7BA6">
        <w:t>na SPOLU DOMA,</w:t>
      </w:r>
      <w:r>
        <w:t> </w:t>
      </w:r>
      <w:r w:rsidRPr="007A7BA6">
        <w:t>z.ú.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18D"/>
    <w:multiLevelType w:val="hybridMultilevel"/>
    <w:tmpl w:val="D0A4C636"/>
    <w:lvl w:ilvl="0" w:tplc="12F0E826">
      <w:start w:val="1"/>
      <w:numFmt w:val="decimal"/>
      <w:pStyle w:val="Obrzek"/>
      <w:lvlText w:val="Obrázek č. %1:"/>
      <w:lvlJc w:val="right"/>
      <w:pPr>
        <w:ind w:left="1285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17204D0" w:tentative="1">
      <w:start w:val="1"/>
      <w:numFmt w:val="lowerLetter"/>
      <w:lvlText w:val="%2."/>
      <w:lvlJc w:val="left"/>
      <w:pPr>
        <w:ind w:left="2005" w:hanging="360"/>
      </w:pPr>
    </w:lvl>
    <w:lvl w:ilvl="2" w:tplc="1CE6FC94" w:tentative="1">
      <w:start w:val="1"/>
      <w:numFmt w:val="lowerRoman"/>
      <w:lvlText w:val="%3."/>
      <w:lvlJc w:val="right"/>
      <w:pPr>
        <w:ind w:left="2725" w:hanging="180"/>
      </w:pPr>
    </w:lvl>
    <w:lvl w:ilvl="3" w:tplc="7C043002" w:tentative="1">
      <w:start w:val="1"/>
      <w:numFmt w:val="decimal"/>
      <w:lvlText w:val="%4."/>
      <w:lvlJc w:val="left"/>
      <w:pPr>
        <w:ind w:left="3445" w:hanging="360"/>
      </w:pPr>
    </w:lvl>
    <w:lvl w:ilvl="4" w:tplc="45EE503A" w:tentative="1">
      <w:start w:val="1"/>
      <w:numFmt w:val="lowerLetter"/>
      <w:lvlText w:val="%5."/>
      <w:lvlJc w:val="left"/>
      <w:pPr>
        <w:ind w:left="4165" w:hanging="360"/>
      </w:pPr>
    </w:lvl>
    <w:lvl w:ilvl="5" w:tplc="52EEF0A2" w:tentative="1">
      <w:start w:val="1"/>
      <w:numFmt w:val="lowerRoman"/>
      <w:lvlText w:val="%6."/>
      <w:lvlJc w:val="right"/>
      <w:pPr>
        <w:ind w:left="4885" w:hanging="180"/>
      </w:pPr>
    </w:lvl>
    <w:lvl w:ilvl="6" w:tplc="0114A6F4" w:tentative="1">
      <w:start w:val="1"/>
      <w:numFmt w:val="decimal"/>
      <w:lvlText w:val="%7."/>
      <w:lvlJc w:val="left"/>
      <w:pPr>
        <w:ind w:left="5605" w:hanging="360"/>
      </w:pPr>
    </w:lvl>
    <w:lvl w:ilvl="7" w:tplc="753AB0A4" w:tentative="1">
      <w:start w:val="1"/>
      <w:numFmt w:val="lowerLetter"/>
      <w:lvlText w:val="%8."/>
      <w:lvlJc w:val="left"/>
      <w:pPr>
        <w:ind w:left="6325" w:hanging="360"/>
      </w:pPr>
    </w:lvl>
    <w:lvl w:ilvl="8" w:tplc="0EDA1CD6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02DB4870"/>
    <w:multiLevelType w:val="hybridMultilevel"/>
    <w:tmpl w:val="6AF6BF54"/>
    <w:lvl w:ilvl="0" w:tplc="09DA60D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F7FC0F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7F43F04" w:tentative="1">
      <w:start w:val="1"/>
      <w:numFmt w:val="lowerRoman"/>
      <w:lvlText w:val="%3."/>
      <w:lvlJc w:val="right"/>
      <w:pPr>
        <w:ind w:left="2160" w:hanging="180"/>
      </w:pPr>
    </w:lvl>
    <w:lvl w:ilvl="3" w:tplc="11E4D48A" w:tentative="1">
      <w:start w:val="1"/>
      <w:numFmt w:val="decimal"/>
      <w:lvlText w:val="%4."/>
      <w:lvlJc w:val="left"/>
      <w:pPr>
        <w:ind w:left="2880" w:hanging="360"/>
      </w:pPr>
    </w:lvl>
    <w:lvl w:ilvl="4" w:tplc="4490D3F6" w:tentative="1">
      <w:start w:val="1"/>
      <w:numFmt w:val="lowerLetter"/>
      <w:lvlText w:val="%5."/>
      <w:lvlJc w:val="left"/>
      <w:pPr>
        <w:ind w:left="3600" w:hanging="360"/>
      </w:pPr>
    </w:lvl>
    <w:lvl w:ilvl="5" w:tplc="10D40FE2" w:tentative="1">
      <w:start w:val="1"/>
      <w:numFmt w:val="lowerRoman"/>
      <w:lvlText w:val="%6."/>
      <w:lvlJc w:val="right"/>
      <w:pPr>
        <w:ind w:left="4320" w:hanging="180"/>
      </w:pPr>
    </w:lvl>
    <w:lvl w:ilvl="6" w:tplc="CD4A3540" w:tentative="1">
      <w:start w:val="1"/>
      <w:numFmt w:val="decimal"/>
      <w:lvlText w:val="%7."/>
      <w:lvlJc w:val="left"/>
      <w:pPr>
        <w:ind w:left="5040" w:hanging="360"/>
      </w:pPr>
    </w:lvl>
    <w:lvl w:ilvl="7" w:tplc="57AE1B02" w:tentative="1">
      <w:start w:val="1"/>
      <w:numFmt w:val="lowerLetter"/>
      <w:lvlText w:val="%8."/>
      <w:lvlJc w:val="left"/>
      <w:pPr>
        <w:ind w:left="5760" w:hanging="360"/>
      </w:pPr>
    </w:lvl>
    <w:lvl w:ilvl="8" w:tplc="86CA6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210C"/>
    <w:multiLevelType w:val="hybridMultilevel"/>
    <w:tmpl w:val="267C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5BB"/>
    <w:multiLevelType w:val="hybridMultilevel"/>
    <w:tmpl w:val="68DE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592"/>
    <w:multiLevelType w:val="hybridMultilevel"/>
    <w:tmpl w:val="F9EC5C1A"/>
    <w:lvl w:ilvl="0" w:tplc="2CF88E1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874"/>
    <w:multiLevelType w:val="hybridMultilevel"/>
    <w:tmpl w:val="61F0B3F6"/>
    <w:lvl w:ilvl="0" w:tplc="6BF29404">
      <w:start w:val="1"/>
      <w:numFmt w:val="decimal"/>
      <w:pStyle w:val="Nzevtabulky"/>
      <w:lvlText w:val="Tabulka č. %1:"/>
      <w:lvlJc w:val="left"/>
      <w:pPr>
        <w:ind w:left="4897" w:hanging="360"/>
      </w:pPr>
      <w:rPr>
        <w:rFonts w:hint="default"/>
      </w:rPr>
    </w:lvl>
    <w:lvl w:ilvl="1" w:tplc="90AA5F78" w:tentative="1">
      <w:start w:val="1"/>
      <w:numFmt w:val="lowerLetter"/>
      <w:lvlText w:val="%2."/>
      <w:lvlJc w:val="left"/>
      <w:pPr>
        <w:ind w:left="1440" w:hanging="360"/>
      </w:pPr>
    </w:lvl>
    <w:lvl w:ilvl="2" w:tplc="F326B368" w:tentative="1">
      <w:start w:val="1"/>
      <w:numFmt w:val="lowerRoman"/>
      <w:lvlText w:val="%3."/>
      <w:lvlJc w:val="right"/>
      <w:pPr>
        <w:ind w:left="2160" w:hanging="180"/>
      </w:pPr>
    </w:lvl>
    <w:lvl w:ilvl="3" w:tplc="17FA159A" w:tentative="1">
      <w:start w:val="1"/>
      <w:numFmt w:val="decimal"/>
      <w:lvlText w:val="%4."/>
      <w:lvlJc w:val="left"/>
      <w:pPr>
        <w:ind w:left="2880" w:hanging="360"/>
      </w:pPr>
    </w:lvl>
    <w:lvl w:ilvl="4" w:tplc="F2E84B6C" w:tentative="1">
      <w:start w:val="1"/>
      <w:numFmt w:val="lowerLetter"/>
      <w:lvlText w:val="%5."/>
      <w:lvlJc w:val="left"/>
      <w:pPr>
        <w:ind w:left="3600" w:hanging="360"/>
      </w:pPr>
    </w:lvl>
    <w:lvl w:ilvl="5" w:tplc="FFE6B288" w:tentative="1">
      <w:start w:val="1"/>
      <w:numFmt w:val="lowerRoman"/>
      <w:lvlText w:val="%6."/>
      <w:lvlJc w:val="right"/>
      <w:pPr>
        <w:ind w:left="4320" w:hanging="180"/>
      </w:pPr>
    </w:lvl>
    <w:lvl w:ilvl="6" w:tplc="7ABCE8B2" w:tentative="1">
      <w:start w:val="1"/>
      <w:numFmt w:val="decimal"/>
      <w:lvlText w:val="%7."/>
      <w:lvlJc w:val="left"/>
      <w:pPr>
        <w:ind w:left="5040" w:hanging="360"/>
      </w:pPr>
    </w:lvl>
    <w:lvl w:ilvl="7" w:tplc="7910EA32" w:tentative="1">
      <w:start w:val="1"/>
      <w:numFmt w:val="lowerLetter"/>
      <w:lvlText w:val="%8."/>
      <w:lvlJc w:val="left"/>
      <w:pPr>
        <w:ind w:left="5760" w:hanging="360"/>
      </w:pPr>
    </w:lvl>
    <w:lvl w:ilvl="8" w:tplc="FD94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D5A"/>
    <w:multiLevelType w:val="hybridMultilevel"/>
    <w:tmpl w:val="BE429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727E"/>
    <w:multiLevelType w:val="hybridMultilevel"/>
    <w:tmpl w:val="02F0F816"/>
    <w:lvl w:ilvl="0" w:tplc="59AC9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483"/>
    <w:multiLevelType w:val="hybridMultilevel"/>
    <w:tmpl w:val="B3565872"/>
    <w:lvl w:ilvl="0" w:tplc="AFA84400">
      <w:start w:val="1"/>
      <w:numFmt w:val="decimal"/>
      <w:lvlText w:val="Tabulka č. %1: X"/>
      <w:lvlJc w:val="left"/>
      <w:pPr>
        <w:ind w:left="720" w:hanging="360"/>
      </w:pPr>
      <w:rPr>
        <w:rFonts w:hint="default"/>
      </w:rPr>
    </w:lvl>
    <w:lvl w:ilvl="1" w:tplc="0F22C788">
      <w:start w:val="1"/>
      <w:numFmt w:val="decimal"/>
      <w:suff w:val="space"/>
      <w:lvlText w:val="Tabulka č. %2:"/>
      <w:lvlJc w:val="left"/>
      <w:pPr>
        <w:ind w:left="567" w:hanging="567"/>
      </w:pPr>
      <w:rPr>
        <w:rFonts w:hint="default"/>
      </w:rPr>
    </w:lvl>
    <w:lvl w:ilvl="2" w:tplc="2FDC6180">
      <w:start w:val="1"/>
      <w:numFmt w:val="lowerRoman"/>
      <w:lvlText w:val="%3."/>
      <w:lvlJc w:val="right"/>
      <w:pPr>
        <w:ind w:left="2160" w:hanging="180"/>
      </w:pPr>
    </w:lvl>
    <w:lvl w:ilvl="3" w:tplc="058890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CC0F438" w:tentative="1">
      <w:start w:val="1"/>
      <w:numFmt w:val="lowerLetter"/>
      <w:lvlText w:val="%5."/>
      <w:lvlJc w:val="left"/>
      <w:pPr>
        <w:ind w:left="3600" w:hanging="360"/>
      </w:pPr>
    </w:lvl>
    <w:lvl w:ilvl="5" w:tplc="8A2C1AAC" w:tentative="1">
      <w:start w:val="1"/>
      <w:numFmt w:val="lowerRoman"/>
      <w:lvlText w:val="%6."/>
      <w:lvlJc w:val="right"/>
      <w:pPr>
        <w:ind w:left="4320" w:hanging="180"/>
      </w:pPr>
    </w:lvl>
    <w:lvl w:ilvl="6" w:tplc="91A87D54" w:tentative="1">
      <w:start w:val="1"/>
      <w:numFmt w:val="decimal"/>
      <w:lvlText w:val="%7."/>
      <w:lvlJc w:val="left"/>
      <w:pPr>
        <w:ind w:left="5040" w:hanging="360"/>
      </w:pPr>
    </w:lvl>
    <w:lvl w:ilvl="7" w:tplc="721AC048" w:tentative="1">
      <w:start w:val="1"/>
      <w:numFmt w:val="lowerLetter"/>
      <w:lvlText w:val="%8."/>
      <w:lvlJc w:val="left"/>
      <w:pPr>
        <w:ind w:left="5760" w:hanging="360"/>
      </w:pPr>
    </w:lvl>
    <w:lvl w:ilvl="8" w:tplc="0DCEE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85C09"/>
    <w:multiLevelType w:val="hybridMultilevel"/>
    <w:tmpl w:val="796A7D10"/>
    <w:lvl w:ilvl="0" w:tplc="3B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7B44"/>
    <w:multiLevelType w:val="hybridMultilevel"/>
    <w:tmpl w:val="5C0E10D2"/>
    <w:lvl w:ilvl="0" w:tplc="C1F0A702">
      <w:start w:val="1"/>
      <w:numFmt w:val="decimal"/>
      <w:pStyle w:val="Graf"/>
      <w:lvlText w:val="Graf č. %1:"/>
      <w:lvlJc w:val="left"/>
      <w:pPr>
        <w:ind w:left="2152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4A5098" w:tentative="1">
      <w:start w:val="1"/>
      <w:numFmt w:val="lowerLetter"/>
      <w:lvlText w:val="%2."/>
      <w:lvlJc w:val="left"/>
      <w:pPr>
        <w:ind w:left="3232" w:hanging="360"/>
      </w:pPr>
    </w:lvl>
    <w:lvl w:ilvl="2" w:tplc="6D942D9C" w:tentative="1">
      <w:start w:val="1"/>
      <w:numFmt w:val="lowerRoman"/>
      <w:lvlText w:val="%3."/>
      <w:lvlJc w:val="right"/>
      <w:pPr>
        <w:ind w:left="3952" w:hanging="180"/>
      </w:pPr>
    </w:lvl>
    <w:lvl w:ilvl="3" w:tplc="350C9584" w:tentative="1">
      <w:start w:val="1"/>
      <w:numFmt w:val="decimal"/>
      <w:lvlText w:val="%4."/>
      <w:lvlJc w:val="left"/>
      <w:pPr>
        <w:ind w:left="4672" w:hanging="360"/>
      </w:pPr>
    </w:lvl>
    <w:lvl w:ilvl="4" w:tplc="917837B4" w:tentative="1">
      <w:start w:val="1"/>
      <w:numFmt w:val="lowerLetter"/>
      <w:lvlText w:val="%5."/>
      <w:lvlJc w:val="left"/>
      <w:pPr>
        <w:ind w:left="5392" w:hanging="360"/>
      </w:pPr>
    </w:lvl>
    <w:lvl w:ilvl="5" w:tplc="404ACECA" w:tentative="1">
      <w:start w:val="1"/>
      <w:numFmt w:val="lowerRoman"/>
      <w:lvlText w:val="%6."/>
      <w:lvlJc w:val="right"/>
      <w:pPr>
        <w:ind w:left="6112" w:hanging="180"/>
      </w:pPr>
    </w:lvl>
    <w:lvl w:ilvl="6" w:tplc="AFE201C8" w:tentative="1">
      <w:start w:val="1"/>
      <w:numFmt w:val="decimal"/>
      <w:lvlText w:val="%7."/>
      <w:lvlJc w:val="left"/>
      <w:pPr>
        <w:ind w:left="6832" w:hanging="360"/>
      </w:pPr>
    </w:lvl>
    <w:lvl w:ilvl="7" w:tplc="C532C262" w:tentative="1">
      <w:start w:val="1"/>
      <w:numFmt w:val="lowerLetter"/>
      <w:lvlText w:val="%8."/>
      <w:lvlJc w:val="left"/>
      <w:pPr>
        <w:ind w:left="7552" w:hanging="360"/>
      </w:pPr>
    </w:lvl>
    <w:lvl w:ilvl="8" w:tplc="CB88D662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11" w15:restartNumberingAfterBreak="0">
    <w:nsid w:val="3CA953BE"/>
    <w:multiLevelType w:val="hybridMultilevel"/>
    <w:tmpl w:val="CB60DC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83E05"/>
    <w:multiLevelType w:val="hybridMultilevel"/>
    <w:tmpl w:val="2940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33AE"/>
    <w:multiLevelType w:val="hybridMultilevel"/>
    <w:tmpl w:val="BFD86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A11BC"/>
    <w:multiLevelType w:val="hybridMultilevel"/>
    <w:tmpl w:val="3A02D29A"/>
    <w:lvl w:ilvl="0" w:tplc="0F22C788">
      <w:start w:val="1"/>
      <w:numFmt w:val="decimal"/>
      <w:suff w:val="space"/>
      <w:lvlText w:val="Tabulka č. %1: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3E2A"/>
    <w:multiLevelType w:val="hybridMultilevel"/>
    <w:tmpl w:val="7D3E1ECC"/>
    <w:lvl w:ilvl="0" w:tplc="39FA8A44">
      <w:start w:val="1"/>
      <w:numFmt w:val="decimal"/>
      <w:lvlText w:val="%1."/>
      <w:lvlJc w:val="left"/>
      <w:pPr>
        <w:ind w:left="720" w:hanging="360"/>
      </w:pPr>
    </w:lvl>
    <w:lvl w:ilvl="1" w:tplc="CB644D7E">
      <w:start w:val="1"/>
      <w:numFmt w:val="decimal"/>
      <w:pStyle w:val="Nadpis2"/>
      <w:lvlText w:val="%2."/>
      <w:lvlJc w:val="left"/>
      <w:pPr>
        <w:ind w:left="1440" w:hanging="360"/>
      </w:pPr>
    </w:lvl>
    <w:lvl w:ilvl="2" w:tplc="67D86B2A" w:tentative="1">
      <w:start w:val="1"/>
      <w:numFmt w:val="lowerRoman"/>
      <w:lvlText w:val="%3."/>
      <w:lvlJc w:val="right"/>
      <w:pPr>
        <w:ind w:left="2160" w:hanging="180"/>
      </w:pPr>
    </w:lvl>
    <w:lvl w:ilvl="3" w:tplc="CCB84FCA" w:tentative="1">
      <w:start w:val="1"/>
      <w:numFmt w:val="decimal"/>
      <w:lvlText w:val="%4."/>
      <w:lvlJc w:val="left"/>
      <w:pPr>
        <w:ind w:left="2880" w:hanging="360"/>
      </w:pPr>
    </w:lvl>
    <w:lvl w:ilvl="4" w:tplc="4D8089F4" w:tentative="1">
      <w:start w:val="1"/>
      <w:numFmt w:val="lowerLetter"/>
      <w:lvlText w:val="%5."/>
      <w:lvlJc w:val="left"/>
      <w:pPr>
        <w:ind w:left="3600" w:hanging="360"/>
      </w:pPr>
    </w:lvl>
    <w:lvl w:ilvl="5" w:tplc="D1D46970" w:tentative="1">
      <w:start w:val="1"/>
      <w:numFmt w:val="lowerRoman"/>
      <w:lvlText w:val="%6."/>
      <w:lvlJc w:val="right"/>
      <w:pPr>
        <w:ind w:left="4320" w:hanging="180"/>
      </w:pPr>
    </w:lvl>
    <w:lvl w:ilvl="6" w:tplc="7450B90A" w:tentative="1">
      <w:start w:val="1"/>
      <w:numFmt w:val="decimal"/>
      <w:lvlText w:val="%7."/>
      <w:lvlJc w:val="left"/>
      <w:pPr>
        <w:ind w:left="5040" w:hanging="360"/>
      </w:pPr>
    </w:lvl>
    <w:lvl w:ilvl="7" w:tplc="63BCB906" w:tentative="1">
      <w:start w:val="1"/>
      <w:numFmt w:val="lowerLetter"/>
      <w:lvlText w:val="%8."/>
      <w:lvlJc w:val="left"/>
      <w:pPr>
        <w:ind w:left="5760" w:hanging="360"/>
      </w:pPr>
    </w:lvl>
    <w:lvl w:ilvl="8" w:tplc="9DB48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F6A06"/>
    <w:multiLevelType w:val="hybridMultilevel"/>
    <w:tmpl w:val="6A76A090"/>
    <w:lvl w:ilvl="0" w:tplc="4D704024">
      <w:start w:val="1"/>
      <w:numFmt w:val="decimal"/>
      <w:lvlText w:val="%1)"/>
      <w:lvlJc w:val="left"/>
      <w:pPr>
        <w:ind w:left="4613" w:hanging="360"/>
      </w:pPr>
    </w:lvl>
    <w:lvl w:ilvl="1" w:tplc="F976B904" w:tentative="1">
      <w:start w:val="1"/>
      <w:numFmt w:val="lowerLetter"/>
      <w:lvlText w:val="%2."/>
      <w:lvlJc w:val="left"/>
      <w:pPr>
        <w:ind w:left="2782" w:hanging="360"/>
      </w:pPr>
    </w:lvl>
    <w:lvl w:ilvl="2" w:tplc="48F8DDBC" w:tentative="1">
      <w:start w:val="1"/>
      <w:numFmt w:val="lowerRoman"/>
      <w:lvlText w:val="%3."/>
      <w:lvlJc w:val="right"/>
      <w:pPr>
        <w:ind w:left="3502" w:hanging="180"/>
      </w:pPr>
    </w:lvl>
    <w:lvl w:ilvl="3" w:tplc="03702F76" w:tentative="1">
      <w:start w:val="1"/>
      <w:numFmt w:val="decimal"/>
      <w:lvlText w:val="%4."/>
      <w:lvlJc w:val="left"/>
      <w:pPr>
        <w:ind w:left="4222" w:hanging="360"/>
      </w:pPr>
    </w:lvl>
    <w:lvl w:ilvl="4" w:tplc="21BC769E" w:tentative="1">
      <w:start w:val="1"/>
      <w:numFmt w:val="lowerLetter"/>
      <w:lvlText w:val="%5."/>
      <w:lvlJc w:val="left"/>
      <w:pPr>
        <w:ind w:left="4942" w:hanging="360"/>
      </w:pPr>
    </w:lvl>
    <w:lvl w:ilvl="5" w:tplc="055A87E4" w:tentative="1">
      <w:start w:val="1"/>
      <w:numFmt w:val="lowerRoman"/>
      <w:lvlText w:val="%6."/>
      <w:lvlJc w:val="right"/>
      <w:pPr>
        <w:ind w:left="5662" w:hanging="180"/>
      </w:pPr>
    </w:lvl>
    <w:lvl w:ilvl="6" w:tplc="B8C01426" w:tentative="1">
      <w:start w:val="1"/>
      <w:numFmt w:val="decimal"/>
      <w:lvlText w:val="%7."/>
      <w:lvlJc w:val="left"/>
      <w:pPr>
        <w:ind w:left="6382" w:hanging="360"/>
      </w:pPr>
    </w:lvl>
    <w:lvl w:ilvl="7" w:tplc="7C0657C6" w:tentative="1">
      <w:start w:val="1"/>
      <w:numFmt w:val="lowerLetter"/>
      <w:lvlText w:val="%8."/>
      <w:lvlJc w:val="left"/>
      <w:pPr>
        <w:ind w:left="7102" w:hanging="360"/>
      </w:pPr>
    </w:lvl>
    <w:lvl w:ilvl="8" w:tplc="BD46C37C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6C635B3E"/>
    <w:multiLevelType w:val="hybridMultilevel"/>
    <w:tmpl w:val="41EA2092"/>
    <w:lvl w:ilvl="0" w:tplc="F96A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11A35"/>
    <w:multiLevelType w:val="hybridMultilevel"/>
    <w:tmpl w:val="232A4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B11EB"/>
    <w:multiLevelType w:val="hybridMultilevel"/>
    <w:tmpl w:val="7340FCF6"/>
    <w:lvl w:ilvl="0" w:tplc="6CC89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278BE"/>
    <w:multiLevelType w:val="hybridMultilevel"/>
    <w:tmpl w:val="D492A60E"/>
    <w:lvl w:ilvl="0" w:tplc="BDDC34BA">
      <w:start w:val="1"/>
      <w:numFmt w:val="decimal"/>
      <w:pStyle w:val="Nadpisshrnut"/>
      <w:lvlText w:val="%1."/>
      <w:lvlJc w:val="left"/>
      <w:pPr>
        <w:ind w:left="720" w:hanging="360"/>
      </w:pPr>
    </w:lvl>
    <w:lvl w:ilvl="1" w:tplc="289A1C68" w:tentative="1">
      <w:start w:val="1"/>
      <w:numFmt w:val="lowerLetter"/>
      <w:lvlText w:val="%2."/>
      <w:lvlJc w:val="left"/>
      <w:pPr>
        <w:ind w:left="1440" w:hanging="360"/>
      </w:pPr>
    </w:lvl>
    <w:lvl w:ilvl="2" w:tplc="1F1A819E" w:tentative="1">
      <w:start w:val="1"/>
      <w:numFmt w:val="lowerRoman"/>
      <w:lvlText w:val="%3."/>
      <w:lvlJc w:val="right"/>
      <w:pPr>
        <w:ind w:left="2160" w:hanging="180"/>
      </w:pPr>
    </w:lvl>
    <w:lvl w:ilvl="3" w:tplc="F6608956" w:tentative="1">
      <w:start w:val="1"/>
      <w:numFmt w:val="decimal"/>
      <w:lvlText w:val="%4."/>
      <w:lvlJc w:val="left"/>
      <w:pPr>
        <w:ind w:left="2880" w:hanging="360"/>
      </w:pPr>
    </w:lvl>
    <w:lvl w:ilvl="4" w:tplc="29A864B8" w:tentative="1">
      <w:start w:val="1"/>
      <w:numFmt w:val="lowerLetter"/>
      <w:lvlText w:val="%5."/>
      <w:lvlJc w:val="left"/>
      <w:pPr>
        <w:ind w:left="3600" w:hanging="360"/>
      </w:pPr>
    </w:lvl>
    <w:lvl w:ilvl="5" w:tplc="733E77EE" w:tentative="1">
      <w:start w:val="1"/>
      <w:numFmt w:val="lowerRoman"/>
      <w:lvlText w:val="%6."/>
      <w:lvlJc w:val="right"/>
      <w:pPr>
        <w:ind w:left="4320" w:hanging="180"/>
      </w:pPr>
    </w:lvl>
    <w:lvl w:ilvl="6" w:tplc="4FE0B2A0" w:tentative="1">
      <w:start w:val="1"/>
      <w:numFmt w:val="decimal"/>
      <w:lvlText w:val="%7."/>
      <w:lvlJc w:val="left"/>
      <w:pPr>
        <w:ind w:left="5040" w:hanging="360"/>
      </w:pPr>
    </w:lvl>
    <w:lvl w:ilvl="7" w:tplc="40A67958" w:tentative="1">
      <w:start w:val="1"/>
      <w:numFmt w:val="lowerLetter"/>
      <w:lvlText w:val="%8."/>
      <w:lvlJc w:val="left"/>
      <w:pPr>
        <w:ind w:left="5760" w:hanging="360"/>
      </w:pPr>
    </w:lvl>
    <w:lvl w:ilvl="8" w:tplc="A9F46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62CE1"/>
    <w:multiLevelType w:val="multilevel"/>
    <w:tmpl w:val="B6EC0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06532E"/>
    <w:multiLevelType w:val="hybridMultilevel"/>
    <w:tmpl w:val="B99A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21"/>
  </w:num>
  <w:num w:numId="6">
    <w:abstractNumId w:val="8"/>
  </w:num>
  <w:num w:numId="7">
    <w:abstractNumId w:val="20"/>
  </w:num>
  <w:num w:numId="8">
    <w:abstractNumId w:val="4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9"/>
  </w:num>
  <w:num w:numId="16">
    <w:abstractNumId w:val="17"/>
  </w:num>
  <w:num w:numId="17">
    <w:abstractNumId w:val="5"/>
  </w:num>
  <w:num w:numId="18">
    <w:abstractNumId w:val="12"/>
  </w:num>
  <w:num w:numId="19">
    <w:abstractNumId w:val="22"/>
  </w:num>
  <w:num w:numId="20">
    <w:abstractNumId w:val="13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20"/>
  </w:num>
  <w:num w:numId="26">
    <w:abstractNumId w:val="20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896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8F"/>
    <w:rsid w:val="00000FFE"/>
    <w:rsid w:val="000015CC"/>
    <w:rsid w:val="00001D11"/>
    <w:rsid w:val="00002DB8"/>
    <w:rsid w:val="00003B12"/>
    <w:rsid w:val="00003D96"/>
    <w:rsid w:val="00004A61"/>
    <w:rsid w:val="000060D1"/>
    <w:rsid w:val="00006620"/>
    <w:rsid w:val="000073B1"/>
    <w:rsid w:val="00010034"/>
    <w:rsid w:val="00010B73"/>
    <w:rsid w:val="000121BC"/>
    <w:rsid w:val="0001294F"/>
    <w:rsid w:val="00015C98"/>
    <w:rsid w:val="00016357"/>
    <w:rsid w:val="00017687"/>
    <w:rsid w:val="0001797C"/>
    <w:rsid w:val="000216FB"/>
    <w:rsid w:val="0002178C"/>
    <w:rsid w:val="00021C82"/>
    <w:rsid w:val="0002274A"/>
    <w:rsid w:val="0002556E"/>
    <w:rsid w:val="00025E8E"/>
    <w:rsid w:val="00026069"/>
    <w:rsid w:val="0003105F"/>
    <w:rsid w:val="00031CCB"/>
    <w:rsid w:val="00032629"/>
    <w:rsid w:val="00032ED4"/>
    <w:rsid w:val="000330A4"/>
    <w:rsid w:val="00037AF8"/>
    <w:rsid w:val="00040565"/>
    <w:rsid w:val="000408D6"/>
    <w:rsid w:val="00042BE4"/>
    <w:rsid w:val="00042F65"/>
    <w:rsid w:val="000437E9"/>
    <w:rsid w:val="000446F9"/>
    <w:rsid w:val="00046147"/>
    <w:rsid w:val="0004687D"/>
    <w:rsid w:val="00050212"/>
    <w:rsid w:val="00050917"/>
    <w:rsid w:val="0005095D"/>
    <w:rsid w:val="00050C66"/>
    <w:rsid w:val="00053A95"/>
    <w:rsid w:val="00054A06"/>
    <w:rsid w:val="00055AC4"/>
    <w:rsid w:val="000567B6"/>
    <w:rsid w:val="000574AB"/>
    <w:rsid w:val="00057731"/>
    <w:rsid w:val="0006108D"/>
    <w:rsid w:val="00062685"/>
    <w:rsid w:val="00063AD6"/>
    <w:rsid w:val="00063EC0"/>
    <w:rsid w:val="000640EC"/>
    <w:rsid w:val="00064EFB"/>
    <w:rsid w:val="00065116"/>
    <w:rsid w:val="000657F7"/>
    <w:rsid w:val="0006583D"/>
    <w:rsid w:val="00065C6E"/>
    <w:rsid w:val="00065CCB"/>
    <w:rsid w:val="000662AD"/>
    <w:rsid w:val="00066E28"/>
    <w:rsid w:val="00067A13"/>
    <w:rsid w:val="0007011A"/>
    <w:rsid w:val="00070402"/>
    <w:rsid w:val="00071C44"/>
    <w:rsid w:val="00072350"/>
    <w:rsid w:val="00072DCB"/>
    <w:rsid w:val="00073931"/>
    <w:rsid w:val="00073F69"/>
    <w:rsid w:val="000740B5"/>
    <w:rsid w:val="00074540"/>
    <w:rsid w:val="000747D8"/>
    <w:rsid w:val="00074C5C"/>
    <w:rsid w:val="00075B4D"/>
    <w:rsid w:val="00075BBE"/>
    <w:rsid w:val="00075DA8"/>
    <w:rsid w:val="00075FD8"/>
    <w:rsid w:val="00077227"/>
    <w:rsid w:val="00077509"/>
    <w:rsid w:val="000778F8"/>
    <w:rsid w:val="00077933"/>
    <w:rsid w:val="000821C1"/>
    <w:rsid w:val="00083C67"/>
    <w:rsid w:val="00084E35"/>
    <w:rsid w:val="0008544F"/>
    <w:rsid w:val="000858B8"/>
    <w:rsid w:val="0008633C"/>
    <w:rsid w:val="00086E22"/>
    <w:rsid w:val="00087257"/>
    <w:rsid w:val="000878F5"/>
    <w:rsid w:val="00087AB1"/>
    <w:rsid w:val="00090D5D"/>
    <w:rsid w:val="00091117"/>
    <w:rsid w:val="0009124C"/>
    <w:rsid w:val="00091341"/>
    <w:rsid w:val="000918E2"/>
    <w:rsid w:val="00093208"/>
    <w:rsid w:val="000938EA"/>
    <w:rsid w:val="0009451E"/>
    <w:rsid w:val="000952F4"/>
    <w:rsid w:val="000962B3"/>
    <w:rsid w:val="0009651C"/>
    <w:rsid w:val="000965D8"/>
    <w:rsid w:val="000971D8"/>
    <w:rsid w:val="0009738D"/>
    <w:rsid w:val="00097B44"/>
    <w:rsid w:val="000A0E9E"/>
    <w:rsid w:val="000A1DCD"/>
    <w:rsid w:val="000A26EA"/>
    <w:rsid w:val="000A476F"/>
    <w:rsid w:val="000A4BB5"/>
    <w:rsid w:val="000A6378"/>
    <w:rsid w:val="000A64D4"/>
    <w:rsid w:val="000A6F64"/>
    <w:rsid w:val="000A772D"/>
    <w:rsid w:val="000A791D"/>
    <w:rsid w:val="000B0373"/>
    <w:rsid w:val="000B0A0A"/>
    <w:rsid w:val="000B0F10"/>
    <w:rsid w:val="000B1323"/>
    <w:rsid w:val="000B1BB8"/>
    <w:rsid w:val="000B20D3"/>
    <w:rsid w:val="000B2980"/>
    <w:rsid w:val="000B3263"/>
    <w:rsid w:val="000B362A"/>
    <w:rsid w:val="000B3E3F"/>
    <w:rsid w:val="000B3F8D"/>
    <w:rsid w:val="000B4501"/>
    <w:rsid w:val="000B6611"/>
    <w:rsid w:val="000B6C2F"/>
    <w:rsid w:val="000C1D2D"/>
    <w:rsid w:val="000C21A4"/>
    <w:rsid w:val="000C3859"/>
    <w:rsid w:val="000C470A"/>
    <w:rsid w:val="000C4F6A"/>
    <w:rsid w:val="000C5B31"/>
    <w:rsid w:val="000C65F4"/>
    <w:rsid w:val="000C6A5E"/>
    <w:rsid w:val="000C6AFE"/>
    <w:rsid w:val="000C75B2"/>
    <w:rsid w:val="000D052B"/>
    <w:rsid w:val="000D05E7"/>
    <w:rsid w:val="000D19E4"/>
    <w:rsid w:val="000D210D"/>
    <w:rsid w:val="000D237F"/>
    <w:rsid w:val="000D2B6A"/>
    <w:rsid w:val="000D4934"/>
    <w:rsid w:val="000D4D4E"/>
    <w:rsid w:val="000E03CD"/>
    <w:rsid w:val="000E1206"/>
    <w:rsid w:val="000E180C"/>
    <w:rsid w:val="000E271D"/>
    <w:rsid w:val="000E2DD2"/>
    <w:rsid w:val="000E3E83"/>
    <w:rsid w:val="000E492F"/>
    <w:rsid w:val="000E5070"/>
    <w:rsid w:val="000E54A6"/>
    <w:rsid w:val="000E571E"/>
    <w:rsid w:val="000E65ED"/>
    <w:rsid w:val="000E68D1"/>
    <w:rsid w:val="000E6E38"/>
    <w:rsid w:val="000E7260"/>
    <w:rsid w:val="000F02A7"/>
    <w:rsid w:val="000F0BAA"/>
    <w:rsid w:val="000F1587"/>
    <w:rsid w:val="000F2AC5"/>
    <w:rsid w:val="000F36E1"/>
    <w:rsid w:val="000F47EB"/>
    <w:rsid w:val="000F4867"/>
    <w:rsid w:val="000F52D7"/>
    <w:rsid w:val="000F5846"/>
    <w:rsid w:val="000F6176"/>
    <w:rsid w:val="001030E8"/>
    <w:rsid w:val="00103434"/>
    <w:rsid w:val="00103837"/>
    <w:rsid w:val="00103C7E"/>
    <w:rsid w:val="001053E8"/>
    <w:rsid w:val="00106423"/>
    <w:rsid w:val="00107200"/>
    <w:rsid w:val="001106ED"/>
    <w:rsid w:val="00110938"/>
    <w:rsid w:val="00110FF4"/>
    <w:rsid w:val="00111B81"/>
    <w:rsid w:val="00111C39"/>
    <w:rsid w:val="001130AA"/>
    <w:rsid w:val="00114029"/>
    <w:rsid w:val="00114194"/>
    <w:rsid w:val="00116961"/>
    <w:rsid w:val="001205D5"/>
    <w:rsid w:val="00121197"/>
    <w:rsid w:val="00121600"/>
    <w:rsid w:val="001217CA"/>
    <w:rsid w:val="00123728"/>
    <w:rsid w:val="00123C85"/>
    <w:rsid w:val="001247C0"/>
    <w:rsid w:val="00126D3F"/>
    <w:rsid w:val="001274E3"/>
    <w:rsid w:val="001279A7"/>
    <w:rsid w:val="00130329"/>
    <w:rsid w:val="001305A0"/>
    <w:rsid w:val="00134A7C"/>
    <w:rsid w:val="00135541"/>
    <w:rsid w:val="001371FA"/>
    <w:rsid w:val="00137F31"/>
    <w:rsid w:val="001407E7"/>
    <w:rsid w:val="001409EA"/>
    <w:rsid w:val="00141A4D"/>
    <w:rsid w:val="00143D7C"/>
    <w:rsid w:val="00143F1E"/>
    <w:rsid w:val="00144BEF"/>
    <w:rsid w:val="0014578A"/>
    <w:rsid w:val="001472B7"/>
    <w:rsid w:val="00147878"/>
    <w:rsid w:val="0015014E"/>
    <w:rsid w:val="00150998"/>
    <w:rsid w:val="00150CC4"/>
    <w:rsid w:val="001516DD"/>
    <w:rsid w:val="00151AD0"/>
    <w:rsid w:val="00151C17"/>
    <w:rsid w:val="001520E1"/>
    <w:rsid w:val="001531A2"/>
    <w:rsid w:val="0015478D"/>
    <w:rsid w:val="00155EBD"/>
    <w:rsid w:val="00155EC4"/>
    <w:rsid w:val="00156013"/>
    <w:rsid w:val="00156C2D"/>
    <w:rsid w:val="00157646"/>
    <w:rsid w:val="00160558"/>
    <w:rsid w:val="00163BD0"/>
    <w:rsid w:val="00164990"/>
    <w:rsid w:val="00166387"/>
    <w:rsid w:val="00167909"/>
    <w:rsid w:val="00171221"/>
    <w:rsid w:val="00171F77"/>
    <w:rsid w:val="00172A89"/>
    <w:rsid w:val="00172DAC"/>
    <w:rsid w:val="001747B8"/>
    <w:rsid w:val="0017660C"/>
    <w:rsid w:val="00177A3E"/>
    <w:rsid w:val="001812B6"/>
    <w:rsid w:val="00181AF1"/>
    <w:rsid w:val="00181B28"/>
    <w:rsid w:val="00182307"/>
    <w:rsid w:val="00182E32"/>
    <w:rsid w:val="00183ACB"/>
    <w:rsid w:val="0018490E"/>
    <w:rsid w:val="00184BBC"/>
    <w:rsid w:val="001857FE"/>
    <w:rsid w:val="00186051"/>
    <w:rsid w:val="00187065"/>
    <w:rsid w:val="00187AA2"/>
    <w:rsid w:val="00191D5C"/>
    <w:rsid w:val="00192C15"/>
    <w:rsid w:val="0019495E"/>
    <w:rsid w:val="00195B70"/>
    <w:rsid w:val="00195E1E"/>
    <w:rsid w:val="00195F40"/>
    <w:rsid w:val="001960DD"/>
    <w:rsid w:val="001A2176"/>
    <w:rsid w:val="001A2F1D"/>
    <w:rsid w:val="001A3787"/>
    <w:rsid w:val="001A40F0"/>
    <w:rsid w:val="001A432B"/>
    <w:rsid w:val="001A4FE3"/>
    <w:rsid w:val="001A69FA"/>
    <w:rsid w:val="001A7D02"/>
    <w:rsid w:val="001B0C71"/>
    <w:rsid w:val="001B0CED"/>
    <w:rsid w:val="001B23F5"/>
    <w:rsid w:val="001B3310"/>
    <w:rsid w:val="001B4DF6"/>
    <w:rsid w:val="001B5387"/>
    <w:rsid w:val="001B5ABA"/>
    <w:rsid w:val="001B6624"/>
    <w:rsid w:val="001B7100"/>
    <w:rsid w:val="001B7D8B"/>
    <w:rsid w:val="001C096D"/>
    <w:rsid w:val="001C1F75"/>
    <w:rsid w:val="001C2518"/>
    <w:rsid w:val="001C2DD1"/>
    <w:rsid w:val="001C61DB"/>
    <w:rsid w:val="001D44F9"/>
    <w:rsid w:val="001D61C9"/>
    <w:rsid w:val="001D7239"/>
    <w:rsid w:val="001D7BDD"/>
    <w:rsid w:val="001E0434"/>
    <w:rsid w:val="001E1506"/>
    <w:rsid w:val="001E16C5"/>
    <w:rsid w:val="001E26CE"/>
    <w:rsid w:val="001E2EC0"/>
    <w:rsid w:val="001E2F6C"/>
    <w:rsid w:val="001E4863"/>
    <w:rsid w:val="001E5C83"/>
    <w:rsid w:val="001E64D7"/>
    <w:rsid w:val="001E757E"/>
    <w:rsid w:val="001E7809"/>
    <w:rsid w:val="001E7DC9"/>
    <w:rsid w:val="001F0D69"/>
    <w:rsid w:val="001F21BE"/>
    <w:rsid w:val="001F2289"/>
    <w:rsid w:val="001F3B10"/>
    <w:rsid w:val="001F4451"/>
    <w:rsid w:val="001F4AE7"/>
    <w:rsid w:val="001F7B5B"/>
    <w:rsid w:val="00203EB0"/>
    <w:rsid w:val="00203F77"/>
    <w:rsid w:val="0020427E"/>
    <w:rsid w:val="002044A8"/>
    <w:rsid w:val="00204BBD"/>
    <w:rsid w:val="00204C5B"/>
    <w:rsid w:val="00211449"/>
    <w:rsid w:val="00212165"/>
    <w:rsid w:val="00212890"/>
    <w:rsid w:val="00214015"/>
    <w:rsid w:val="002155B3"/>
    <w:rsid w:val="00215787"/>
    <w:rsid w:val="00215FA5"/>
    <w:rsid w:val="002160C5"/>
    <w:rsid w:val="00216687"/>
    <w:rsid w:val="00216893"/>
    <w:rsid w:val="00216BDB"/>
    <w:rsid w:val="0021784A"/>
    <w:rsid w:val="0022028B"/>
    <w:rsid w:val="0022038C"/>
    <w:rsid w:val="00220A24"/>
    <w:rsid w:val="0022173B"/>
    <w:rsid w:val="00221BE4"/>
    <w:rsid w:val="0022221D"/>
    <w:rsid w:val="00222EFA"/>
    <w:rsid w:val="00222F37"/>
    <w:rsid w:val="00223565"/>
    <w:rsid w:val="00223758"/>
    <w:rsid w:val="00223C57"/>
    <w:rsid w:val="00223E77"/>
    <w:rsid w:val="00225000"/>
    <w:rsid w:val="00225241"/>
    <w:rsid w:val="00227643"/>
    <w:rsid w:val="002278DA"/>
    <w:rsid w:val="0022799B"/>
    <w:rsid w:val="00230B24"/>
    <w:rsid w:val="00230D72"/>
    <w:rsid w:val="002316B3"/>
    <w:rsid w:val="00231A14"/>
    <w:rsid w:val="00231C8B"/>
    <w:rsid w:val="00231FBD"/>
    <w:rsid w:val="00232298"/>
    <w:rsid w:val="00232B42"/>
    <w:rsid w:val="00232DA8"/>
    <w:rsid w:val="00233EF6"/>
    <w:rsid w:val="00235795"/>
    <w:rsid w:val="00236EB3"/>
    <w:rsid w:val="00237F35"/>
    <w:rsid w:val="002400A8"/>
    <w:rsid w:val="0024176E"/>
    <w:rsid w:val="00241E74"/>
    <w:rsid w:val="002420A9"/>
    <w:rsid w:val="002426A1"/>
    <w:rsid w:val="00243441"/>
    <w:rsid w:val="0024390E"/>
    <w:rsid w:val="00243BD7"/>
    <w:rsid w:val="00243FAA"/>
    <w:rsid w:val="0025129C"/>
    <w:rsid w:val="002512F6"/>
    <w:rsid w:val="002513CB"/>
    <w:rsid w:val="00252898"/>
    <w:rsid w:val="00252A2E"/>
    <w:rsid w:val="00252FC9"/>
    <w:rsid w:val="0025324F"/>
    <w:rsid w:val="00253C07"/>
    <w:rsid w:val="002543EE"/>
    <w:rsid w:val="00256F88"/>
    <w:rsid w:val="002603C2"/>
    <w:rsid w:val="00260734"/>
    <w:rsid w:val="00261B7C"/>
    <w:rsid w:val="00263932"/>
    <w:rsid w:val="00265F9B"/>
    <w:rsid w:val="002667A1"/>
    <w:rsid w:val="00266DDE"/>
    <w:rsid w:val="0026789D"/>
    <w:rsid w:val="002702BB"/>
    <w:rsid w:val="00270771"/>
    <w:rsid w:val="002708F1"/>
    <w:rsid w:val="00271C92"/>
    <w:rsid w:val="0027214B"/>
    <w:rsid w:val="00272C1C"/>
    <w:rsid w:val="0027391B"/>
    <w:rsid w:val="0027558E"/>
    <w:rsid w:val="0028126B"/>
    <w:rsid w:val="00281681"/>
    <w:rsid w:val="00282569"/>
    <w:rsid w:val="002826B8"/>
    <w:rsid w:val="002858B4"/>
    <w:rsid w:val="00286442"/>
    <w:rsid w:val="0028663E"/>
    <w:rsid w:val="0028757A"/>
    <w:rsid w:val="002878D7"/>
    <w:rsid w:val="00291397"/>
    <w:rsid w:val="00291503"/>
    <w:rsid w:val="00292171"/>
    <w:rsid w:val="00292BC0"/>
    <w:rsid w:val="002931CD"/>
    <w:rsid w:val="00295D32"/>
    <w:rsid w:val="00297C7B"/>
    <w:rsid w:val="002A1EEC"/>
    <w:rsid w:val="002A269A"/>
    <w:rsid w:val="002A284B"/>
    <w:rsid w:val="002A30CF"/>
    <w:rsid w:val="002A5221"/>
    <w:rsid w:val="002A55FB"/>
    <w:rsid w:val="002A60B9"/>
    <w:rsid w:val="002A647F"/>
    <w:rsid w:val="002A6899"/>
    <w:rsid w:val="002A73DA"/>
    <w:rsid w:val="002A782E"/>
    <w:rsid w:val="002A7B9A"/>
    <w:rsid w:val="002B1615"/>
    <w:rsid w:val="002B1A1A"/>
    <w:rsid w:val="002B1AC3"/>
    <w:rsid w:val="002B2424"/>
    <w:rsid w:val="002B2475"/>
    <w:rsid w:val="002B3572"/>
    <w:rsid w:val="002B4926"/>
    <w:rsid w:val="002B4E35"/>
    <w:rsid w:val="002B4E7B"/>
    <w:rsid w:val="002B509C"/>
    <w:rsid w:val="002B5A88"/>
    <w:rsid w:val="002B60A2"/>
    <w:rsid w:val="002B75D8"/>
    <w:rsid w:val="002C0D5F"/>
    <w:rsid w:val="002C17D0"/>
    <w:rsid w:val="002C1AEE"/>
    <w:rsid w:val="002C4768"/>
    <w:rsid w:val="002C4C1A"/>
    <w:rsid w:val="002C548A"/>
    <w:rsid w:val="002C63B7"/>
    <w:rsid w:val="002D017E"/>
    <w:rsid w:val="002D1679"/>
    <w:rsid w:val="002D1C73"/>
    <w:rsid w:val="002D38D6"/>
    <w:rsid w:val="002D7C90"/>
    <w:rsid w:val="002D7D46"/>
    <w:rsid w:val="002E0604"/>
    <w:rsid w:val="002E14BA"/>
    <w:rsid w:val="002E1E8B"/>
    <w:rsid w:val="002E33A7"/>
    <w:rsid w:val="002E506F"/>
    <w:rsid w:val="002E6207"/>
    <w:rsid w:val="002E626E"/>
    <w:rsid w:val="002E6D91"/>
    <w:rsid w:val="002E7539"/>
    <w:rsid w:val="002F22AA"/>
    <w:rsid w:val="002F2CFC"/>
    <w:rsid w:val="002F36F4"/>
    <w:rsid w:val="002F44DF"/>
    <w:rsid w:val="002F4BA3"/>
    <w:rsid w:val="002F5C7F"/>
    <w:rsid w:val="002F606F"/>
    <w:rsid w:val="002F6DB5"/>
    <w:rsid w:val="003006CC"/>
    <w:rsid w:val="00301092"/>
    <w:rsid w:val="0030181A"/>
    <w:rsid w:val="003026D9"/>
    <w:rsid w:val="00302D1B"/>
    <w:rsid w:val="00302EB9"/>
    <w:rsid w:val="003052AB"/>
    <w:rsid w:val="003063CC"/>
    <w:rsid w:val="003065A7"/>
    <w:rsid w:val="0030716F"/>
    <w:rsid w:val="00310326"/>
    <w:rsid w:val="0031246F"/>
    <w:rsid w:val="00312F50"/>
    <w:rsid w:val="00315026"/>
    <w:rsid w:val="00315D82"/>
    <w:rsid w:val="00316D6A"/>
    <w:rsid w:val="003179C2"/>
    <w:rsid w:val="003217A6"/>
    <w:rsid w:val="00322CD9"/>
    <w:rsid w:val="00322F9D"/>
    <w:rsid w:val="00326761"/>
    <w:rsid w:val="0032677F"/>
    <w:rsid w:val="00326CD4"/>
    <w:rsid w:val="00326EB8"/>
    <w:rsid w:val="003270AE"/>
    <w:rsid w:val="003271F0"/>
    <w:rsid w:val="00327F0C"/>
    <w:rsid w:val="00330012"/>
    <w:rsid w:val="00330164"/>
    <w:rsid w:val="0033192A"/>
    <w:rsid w:val="00331AC6"/>
    <w:rsid w:val="00331C42"/>
    <w:rsid w:val="00332EA4"/>
    <w:rsid w:val="003337F0"/>
    <w:rsid w:val="003359F6"/>
    <w:rsid w:val="00335CE9"/>
    <w:rsid w:val="00335DF5"/>
    <w:rsid w:val="0033720B"/>
    <w:rsid w:val="003402E1"/>
    <w:rsid w:val="003407E1"/>
    <w:rsid w:val="00340831"/>
    <w:rsid w:val="003409C6"/>
    <w:rsid w:val="003418D3"/>
    <w:rsid w:val="00342814"/>
    <w:rsid w:val="00342F42"/>
    <w:rsid w:val="0034352E"/>
    <w:rsid w:val="00343823"/>
    <w:rsid w:val="003439A7"/>
    <w:rsid w:val="00345176"/>
    <w:rsid w:val="003459DB"/>
    <w:rsid w:val="00345B65"/>
    <w:rsid w:val="0034687B"/>
    <w:rsid w:val="00346A36"/>
    <w:rsid w:val="00346BE2"/>
    <w:rsid w:val="0034708C"/>
    <w:rsid w:val="00347634"/>
    <w:rsid w:val="0035020A"/>
    <w:rsid w:val="00352D75"/>
    <w:rsid w:val="0035373A"/>
    <w:rsid w:val="00354044"/>
    <w:rsid w:val="003543A6"/>
    <w:rsid w:val="00355A1E"/>
    <w:rsid w:val="00355A96"/>
    <w:rsid w:val="00356277"/>
    <w:rsid w:val="00356503"/>
    <w:rsid w:val="00357066"/>
    <w:rsid w:val="003572B2"/>
    <w:rsid w:val="0035789B"/>
    <w:rsid w:val="00357EE5"/>
    <w:rsid w:val="00361CEA"/>
    <w:rsid w:val="00361CEF"/>
    <w:rsid w:val="00363D17"/>
    <w:rsid w:val="0036486B"/>
    <w:rsid w:val="003653D7"/>
    <w:rsid w:val="00365CC4"/>
    <w:rsid w:val="00367EB8"/>
    <w:rsid w:val="0037059A"/>
    <w:rsid w:val="003708DE"/>
    <w:rsid w:val="00371E87"/>
    <w:rsid w:val="00373DA6"/>
    <w:rsid w:val="00373FC1"/>
    <w:rsid w:val="00374660"/>
    <w:rsid w:val="00376B56"/>
    <w:rsid w:val="00376FAB"/>
    <w:rsid w:val="003774A6"/>
    <w:rsid w:val="00377E8D"/>
    <w:rsid w:val="0038169B"/>
    <w:rsid w:val="00382755"/>
    <w:rsid w:val="0038312C"/>
    <w:rsid w:val="003831DC"/>
    <w:rsid w:val="00383582"/>
    <w:rsid w:val="00384C64"/>
    <w:rsid w:val="00384CC9"/>
    <w:rsid w:val="00384EFC"/>
    <w:rsid w:val="003874E4"/>
    <w:rsid w:val="00390584"/>
    <w:rsid w:val="003905E0"/>
    <w:rsid w:val="00390AC4"/>
    <w:rsid w:val="00390BAA"/>
    <w:rsid w:val="00390D57"/>
    <w:rsid w:val="00392404"/>
    <w:rsid w:val="00392980"/>
    <w:rsid w:val="00394AA8"/>
    <w:rsid w:val="00394EFF"/>
    <w:rsid w:val="00395450"/>
    <w:rsid w:val="003959CA"/>
    <w:rsid w:val="00396937"/>
    <w:rsid w:val="00396EA5"/>
    <w:rsid w:val="003A034B"/>
    <w:rsid w:val="003A112B"/>
    <w:rsid w:val="003A18C4"/>
    <w:rsid w:val="003A279B"/>
    <w:rsid w:val="003A3420"/>
    <w:rsid w:val="003A3C53"/>
    <w:rsid w:val="003A5D59"/>
    <w:rsid w:val="003A655E"/>
    <w:rsid w:val="003A656C"/>
    <w:rsid w:val="003A6960"/>
    <w:rsid w:val="003A76EC"/>
    <w:rsid w:val="003A78F3"/>
    <w:rsid w:val="003A7D25"/>
    <w:rsid w:val="003B0352"/>
    <w:rsid w:val="003B110A"/>
    <w:rsid w:val="003B1D7B"/>
    <w:rsid w:val="003B1F3E"/>
    <w:rsid w:val="003B1FD7"/>
    <w:rsid w:val="003B2BB9"/>
    <w:rsid w:val="003B304D"/>
    <w:rsid w:val="003B30B9"/>
    <w:rsid w:val="003B3E44"/>
    <w:rsid w:val="003B40AF"/>
    <w:rsid w:val="003B4694"/>
    <w:rsid w:val="003B6041"/>
    <w:rsid w:val="003B7A22"/>
    <w:rsid w:val="003C104E"/>
    <w:rsid w:val="003C2F8F"/>
    <w:rsid w:val="003C4380"/>
    <w:rsid w:val="003C4AF2"/>
    <w:rsid w:val="003C4E63"/>
    <w:rsid w:val="003C5A48"/>
    <w:rsid w:val="003C5C41"/>
    <w:rsid w:val="003C6A1A"/>
    <w:rsid w:val="003C7776"/>
    <w:rsid w:val="003D17E4"/>
    <w:rsid w:val="003D1AB6"/>
    <w:rsid w:val="003D3618"/>
    <w:rsid w:val="003D6612"/>
    <w:rsid w:val="003E0054"/>
    <w:rsid w:val="003E05C7"/>
    <w:rsid w:val="003E20E7"/>
    <w:rsid w:val="003E2590"/>
    <w:rsid w:val="003E2BFA"/>
    <w:rsid w:val="003E3547"/>
    <w:rsid w:val="003E64EB"/>
    <w:rsid w:val="003E6D37"/>
    <w:rsid w:val="003E6D5E"/>
    <w:rsid w:val="003E7A16"/>
    <w:rsid w:val="003E7B2D"/>
    <w:rsid w:val="003F0F50"/>
    <w:rsid w:val="003F10BB"/>
    <w:rsid w:val="003F1315"/>
    <w:rsid w:val="003F164A"/>
    <w:rsid w:val="003F23AF"/>
    <w:rsid w:val="003F2B2C"/>
    <w:rsid w:val="003F339C"/>
    <w:rsid w:val="003F33D1"/>
    <w:rsid w:val="003F3B76"/>
    <w:rsid w:val="003F646A"/>
    <w:rsid w:val="003F66D1"/>
    <w:rsid w:val="003F6772"/>
    <w:rsid w:val="003F6B23"/>
    <w:rsid w:val="003F6CE5"/>
    <w:rsid w:val="003F769D"/>
    <w:rsid w:val="003F7F29"/>
    <w:rsid w:val="00401533"/>
    <w:rsid w:val="004020CA"/>
    <w:rsid w:val="00402E03"/>
    <w:rsid w:val="0040398F"/>
    <w:rsid w:val="00405459"/>
    <w:rsid w:val="004056B2"/>
    <w:rsid w:val="004120D0"/>
    <w:rsid w:val="00412F8C"/>
    <w:rsid w:val="0041306F"/>
    <w:rsid w:val="004132CF"/>
    <w:rsid w:val="004156B3"/>
    <w:rsid w:val="00417049"/>
    <w:rsid w:val="00420327"/>
    <w:rsid w:val="0042098C"/>
    <w:rsid w:val="00421C70"/>
    <w:rsid w:val="00422358"/>
    <w:rsid w:val="00422483"/>
    <w:rsid w:val="00422EC8"/>
    <w:rsid w:val="00423644"/>
    <w:rsid w:val="0042368A"/>
    <w:rsid w:val="0042646F"/>
    <w:rsid w:val="004272C0"/>
    <w:rsid w:val="00431B26"/>
    <w:rsid w:val="00431C7E"/>
    <w:rsid w:val="00433D81"/>
    <w:rsid w:val="00434516"/>
    <w:rsid w:val="00435A86"/>
    <w:rsid w:val="00436B21"/>
    <w:rsid w:val="00437335"/>
    <w:rsid w:val="00440363"/>
    <w:rsid w:val="00441578"/>
    <w:rsid w:val="00443988"/>
    <w:rsid w:val="004443BC"/>
    <w:rsid w:val="00445EB8"/>
    <w:rsid w:val="00446FAA"/>
    <w:rsid w:val="004528E0"/>
    <w:rsid w:val="00453F1E"/>
    <w:rsid w:val="004547B0"/>
    <w:rsid w:val="0045712F"/>
    <w:rsid w:val="00457601"/>
    <w:rsid w:val="004609EB"/>
    <w:rsid w:val="00461D4B"/>
    <w:rsid w:val="0046259A"/>
    <w:rsid w:val="00462E43"/>
    <w:rsid w:val="0046426C"/>
    <w:rsid w:val="00464AE8"/>
    <w:rsid w:val="00464FD4"/>
    <w:rsid w:val="00467719"/>
    <w:rsid w:val="004707E7"/>
    <w:rsid w:val="00470962"/>
    <w:rsid w:val="004712AF"/>
    <w:rsid w:val="00471832"/>
    <w:rsid w:val="0047212F"/>
    <w:rsid w:val="004725B7"/>
    <w:rsid w:val="0047267B"/>
    <w:rsid w:val="00472A97"/>
    <w:rsid w:val="00473F31"/>
    <w:rsid w:val="00474506"/>
    <w:rsid w:val="00475A33"/>
    <w:rsid w:val="00481563"/>
    <w:rsid w:val="00485875"/>
    <w:rsid w:val="00486096"/>
    <w:rsid w:val="004860A5"/>
    <w:rsid w:val="00486826"/>
    <w:rsid w:val="004878A8"/>
    <w:rsid w:val="00487BCE"/>
    <w:rsid w:val="0049122D"/>
    <w:rsid w:val="0049135F"/>
    <w:rsid w:val="00491D55"/>
    <w:rsid w:val="00492019"/>
    <w:rsid w:val="004920DF"/>
    <w:rsid w:val="0049314F"/>
    <w:rsid w:val="004938B7"/>
    <w:rsid w:val="00493BC7"/>
    <w:rsid w:val="00495885"/>
    <w:rsid w:val="00495BB1"/>
    <w:rsid w:val="00495FA4"/>
    <w:rsid w:val="00496694"/>
    <w:rsid w:val="004969CF"/>
    <w:rsid w:val="004A095B"/>
    <w:rsid w:val="004A09E7"/>
    <w:rsid w:val="004A0A32"/>
    <w:rsid w:val="004A0A89"/>
    <w:rsid w:val="004A0D74"/>
    <w:rsid w:val="004A13C1"/>
    <w:rsid w:val="004A3D8D"/>
    <w:rsid w:val="004A6657"/>
    <w:rsid w:val="004A74ED"/>
    <w:rsid w:val="004B04E7"/>
    <w:rsid w:val="004B09BD"/>
    <w:rsid w:val="004B0F97"/>
    <w:rsid w:val="004B10FD"/>
    <w:rsid w:val="004B1D24"/>
    <w:rsid w:val="004B3036"/>
    <w:rsid w:val="004B38C9"/>
    <w:rsid w:val="004B4DCB"/>
    <w:rsid w:val="004B633E"/>
    <w:rsid w:val="004B6576"/>
    <w:rsid w:val="004B7F0F"/>
    <w:rsid w:val="004C031F"/>
    <w:rsid w:val="004C0375"/>
    <w:rsid w:val="004C04A0"/>
    <w:rsid w:val="004C1B39"/>
    <w:rsid w:val="004C2272"/>
    <w:rsid w:val="004C23C8"/>
    <w:rsid w:val="004C2E3C"/>
    <w:rsid w:val="004C321A"/>
    <w:rsid w:val="004C38AE"/>
    <w:rsid w:val="004C53ED"/>
    <w:rsid w:val="004C6BB3"/>
    <w:rsid w:val="004C774D"/>
    <w:rsid w:val="004C7D0D"/>
    <w:rsid w:val="004D0A56"/>
    <w:rsid w:val="004D3221"/>
    <w:rsid w:val="004D33F6"/>
    <w:rsid w:val="004D390D"/>
    <w:rsid w:val="004D5942"/>
    <w:rsid w:val="004D6814"/>
    <w:rsid w:val="004E062A"/>
    <w:rsid w:val="004E2E1D"/>
    <w:rsid w:val="004E300D"/>
    <w:rsid w:val="004E384F"/>
    <w:rsid w:val="004E393C"/>
    <w:rsid w:val="004E5369"/>
    <w:rsid w:val="004E5A69"/>
    <w:rsid w:val="004E5FB0"/>
    <w:rsid w:val="004E62FB"/>
    <w:rsid w:val="004E7726"/>
    <w:rsid w:val="004F0536"/>
    <w:rsid w:val="004F064A"/>
    <w:rsid w:val="004F21B4"/>
    <w:rsid w:val="004F2935"/>
    <w:rsid w:val="004F41A6"/>
    <w:rsid w:val="004F6A43"/>
    <w:rsid w:val="004F6CFE"/>
    <w:rsid w:val="004F77A7"/>
    <w:rsid w:val="004F7943"/>
    <w:rsid w:val="004F7D03"/>
    <w:rsid w:val="00500207"/>
    <w:rsid w:val="00500BB4"/>
    <w:rsid w:val="00501D4B"/>
    <w:rsid w:val="00502ECC"/>
    <w:rsid w:val="00502F78"/>
    <w:rsid w:val="0050395F"/>
    <w:rsid w:val="0050494A"/>
    <w:rsid w:val="00504CAD"/>
    <w:rsid w:val="00505037"/>
    <w:rsid w:val="0050744F"/>
    <w:rsid w:val="0050784C"/>
    <w:rsid w:val="005079EE"/>
    <w:rsid w:val="0051049D"/>
    <w:rsid w:val="00510852"/>
    <w:rsid w:val="0051155E"/>
    <w:rsid w:val="00511811"/>
    <w:rsid w:val="00512467"/>
    <w:rsid w:val="00512665"/>
    <w:rsid w:val="00513540"/>
    <w:rsid w:val="005136A6"/>
    <w:rsid w:val="005139DA"/>
    <w:rsid w:val="00514497"/>
    <w:rsid w:val="005176F7"/>
    <w:rsid w:val="00520A58"/>
    <w:rsid w:val="00521517"/>
    <w:rsid w:val="005218B5"/>
    <w:rsid w:val="00524F89"/>
    <w:rsid w:val="00526333"/>
    <w:rsid w:val="0053013C"/>
    <w:rsid w:val="00530B11"/>
    <w:rsid w:val="00530BE6"/>
    <w:rsid w:val="00531E8D"/>
    <w:rsid w:val="005324DF"/>
    <w:rsid w:val="0053273C"/>
    <w:rsid w:val="00532BF9"/>
    <w:rsid w:val="00532D9F"/>
    <w:rsid w:val="0053358B"/>
    <w:rsid w:val="005342C6"/>
    <w:rsid w:val="00534FC3"/>
    <w:rsid w:val="00535186"/>
    <w:rsid w:val="005363CB"/>
    <w:rsid w:val="00536A2C"/>
    <w:rsid w:val="00537BA9"/>
    <w:rsid w:val="00537CDD"/>
    <w:rsid w:val="00540B97"/>
    <w:rsid w:val="005418CC"/>
    <w:rsid w:val="00541EE9"/>
    <w:rsid w:val="0054276A"/>
    <w:rsid w:val="00543D1E"/>
    <w:rsid w:val="00544050"/>
    <w:rsid w:val="00546682"/>
    <w:rsid w:val="0054780F"/>
    <w:rsid w:val="00547FDF"/>
    <w:rsid w:val="00550957"/>
    <w:rsid w:val="00553AB2"/>
    <w:rsid w:val="00553E0B"/>
    <w:rsid w:val="00554C7E"/>
    <w:rsid w:val="00555C22"/>
    <w:rsid w:val="00555E03"/>
    <w:rsid w:val="00556AFA"/>
    <w:rsid w:val="005579E6"/>
    <w:rsid w:val="005600B6"/>
    <w:rsid w:val="0056160B"/>
    <w:rsid w:val="00563A9D"/>
    <w:rsid w:val="00563F42"/>
    <w:rsid w:val="00564162"/>
    <w:rsid w:val="00565D0A"/>
    <w:rsid w:val="005663C8"/>
    <w:rsid w:val="00567757"/>
    <w:rsid w:val="00567B1E"/>
    <w:rsid w:val="005709EF"/>
    <w:rsid w:val="005716BE"/>
    <w:rsid w:val="00574814"/>
    <w:rsid w:val="00574FD3"/>
    <w:rsid w:val="005754CE"/>
    <w:rsid w:val="00575660"/>
    <w:rsid w:val="00575BC3"/>
    <w:rsid w:val="00575F80"/>
    <w:rsid w:val="00580759"/>
    <w:rsid w:val="00580842"/>
    <w:rsid w:val="005808B1"/>
    <w:rsid w:val="00580C5E"/>
    <w:rsid w:val="00580CBC"/>
    <w:rsid w:val="005818DA"/>
    <w:rsid w:val="00583192"/>
    <w:rsid w:val="0058487D"/>
    <w:rsid w:val="005858FC"/>
    <w:rsid w:val="00585C75"/>
    <w:rsid w:val="00585E62"/>
    <w:rsid w:val="005872C0"/>
    <w:rsid w:val="00591B94"/>
    <w:rsid w:val="00591FDD"/>
    <w:rsid w:val="00592CD4"/>
    <w:rsid w:val="00594364"/>
    <w:rsid w:val="00594F35"/>
    <w:rsid w:val="00595526"/>
    <w:rsid w:val="00597075"/>
    <w:rsid w:val="00597161"/>
    <w:rsid w:val="005A18D4"/>
    <w:rsid w:val="005A2344"/>
    <w:rsid w:val="005A2D53"/>
    <w:rsid w:val="005A330B"/>
    <w:rsid w:val="005A33A0"/>
    <w:rsid w:val="005A3540"/>
    <w:rsid w:val="005A38BA"/>
    <w:rsid w:val="005A39BD"/>
    <w:rsid w:val="005A3A41"/>
    <w:rsid w:val="005A3F85"/>
    <w:rsid w:val="005A680F"/>
    <w:rsid w:val="005A6B3B"/>
    <w:rsid w:val="005A6BFA"/>
    <w:rsid w:val="005A770C"/>
    <w:rsid w:val="005A7CC8"/>
    <w:rsid w:val="005B000D"/>
    <w:rsid w:val="005B2702"/>
    <w:rsid w:val="005B36C5"/>
    <w:rsid w:val="005B4205"/>
    <w:rsid w:val="005B4DF4"/>
    <w:rsid w:val="005B4EEE"/>
    <w:rsid w:val="005B5C93"/>
    <w:rsid w:val="005B76EF"/>
    <w:rsid w:val="005C2912"/>
    <w:rsid w:val="005C4047"/>
    <w:rsid w:val="005C5BA9"/>
    <w:rsid w:val="005C5CD4"/>
    <w:rsid w:val="005D0861"/>
    <w:rsid w:val="005D1BF1"/>
    <w:rsid w:val="005D2362"/>
    <w:rsid w:val="005D2AEB"/>
    <w:rsid w:val="005D2C1D"/>
    <w:rsid w:val="005D6F38"/>
    <w:rsid w:val="005D7197"/>
    <w:rsid w:val="005E07FD"/>
    <w:rsid w:val="005E0EF9"/>
    <w:rsid w:val="005E19E2"/>
    <w:rsid w:val="005E284B"/>
    <w:rsid w:val="005E4047"/>
    <w:rsid w:val="005E5081"/>
    <w:rsid w:val="005E524A"/>
    <w:rsid w:val="005E5F8A"/>
    <w:rsid w:val="005E606F"/>
    <w:rsid w:val="005E620A"/>
    <w:rsid w:val="005E7B94"/>
    <w:rsid w:val="005F0349"/>
    <w:rsid w:val="005F7323"/>
    <w:rsid w:val="005F7544"/>
    <w:rsid w:val="00600C4D"/>
    <w:rsid w:val="00602673"/>
    <w:rsid w:val="00602D0E"/>
    <w:rsid w:val="0060319D"/>
    <w:rsid w:val="00603FB7"/>
    <w:rsid w:val="00604AC4"/>
    <w:rsid w:val="006055A1"/>
    <w:rsid w:val="0060583C"/>
    <w:rsid w:val="006064A6"/>
    <w:rsid w:val="00606568"/>
    <w:rsid w:val="00607C26"/>
    <w:rsid w:val="00607D38"/>
    <w:rsid w:val="0061017E"/>
    <w:rsid w:val="00611164"/>
    <w:rsid w:val="00611B00"/>
    <w:rsid w:val="00613171"/>
    <w:rsid w:val="006142DE"/>
    <w:rsid w:val="00614805"/>
    <w:rsid w:val="00614971"/>
    <w:rsid w:val="00615883"/>
    <w:rsid w:val="00615C45"/>
    <w:rsid w:val="006160C5"/>
    <w:rsid w:val="00617D3A"/>
    <w:rsid w:val="00620444"/>
    <w:rsid w:val="00620A27"/>
    <w:rsid w:val="006213E8"/>
    <w:rsid w:val="00623AA0"/>
    <w:rsid w:val="00626A8F"/>
    <w:rsid w:val="006275C4"/>
    <w:rsid w:val="00630637"/>
    <w:rsid w:val="00630836"/>
    <w:rsid w:val="006324F7"/>
    <w:rsid w:val="00632833"/>
    <w:rsid w:val="00633BE1"/>
    <w:rsid w:val="00633EF1"/>
    <w:rsid w:val="00634108"/>
    <w:rsid w:val="006343FB"/>
    <w:rsid w:val="0063495E"/>
    <w:rsid w:val="00634DA8"/>
    <w:rsid w:val="006354FA"/>
    <w:rsid w:val="0064054A"/>
    <w:rsid w:val="00640C19"/>
    <w:rsid w:val="006426F3"/>
    <w:rsid w:val="00643B77"/>
    <w:rsid w:val="00643CB7"/>
    <w:rsid w:val="00645AA4"/>
    <w:rsid w:val="00647A01"/>
    <w:rsid w:val="00650E27"/>
    <w:rsid w:val="006514C8"/>
    <w:rsid w:val="0065205E"/>
    <w:rsid w:val="006521F1"/>
    <w:rsid w:val="006525AC"/>
    <w:rsid w:val="00652606"/>
    <w:rsid w:val="00653636"/>
    <w:rsid w:val="0065373F"/>
    <w:rsid w:val="00656E05"/>
    <w:rsid w:val="0066015F"/>
    <w:rsid w:val="00661133"/>
    <w:rsid w:val="006614AD"/>
    <w:rsid w:val="00661FC2"/>
    <w:rsid w:val="00664535"/>
    <w:rsid w:val="00665F7E"/>
    <w:rsid w:val="0066723A"/>
    <w:rsid w:val="00670C8F"/>
    <w:rsid w:val="00671458"/>
    <w:rsid w:val="006740AF"/>
    <w:rsid w:val="00675498"/>
    <w:rsid w:val="00675D1B"/>
    <w:rsid w:val="00675D39"/>
    <w:rsid w:val="006760AE"/>
    <w:rsid w:val="00676EBE"/>
    <w:rsid w:val="006770F8"/>
    <w:rsid w:val="0067723C"/>
    <w:rsid w:val="006777BB"/>
    <w:rsid w:val="00680CD4"/>
    <w:rsid w:val="00681470"/>
    <w:rsid w:val="00681ECE"/>
    <w:rsid w:val="00684260"/>
    <w:rsid w:val="0068546E"/>
    <w:rsid w:val="00686C58"/>
    <w:rsid w:val="00687365"/>
    <w:rsid w:val="00690CE2"/>
    <w:rsid w:val="00690E0F"/>
    <w:rsid w:val="00691253"/>
    <w:rsid w:val="0069128A"/>
    <w:rsid w:val="0069205A"/>
    <w:rsid w:val="006921D7"/>
    <w:rsid w:val="00693E4D"/>
    <w:rsid w:val="006948F9"/>
    <w:rsid w:val="006949B9"/>
    <w:rsid w:val="00695022"/>
    <w:rsid w:val="00696710"/>
    <w:rsid w:val="006977C6"/>
    <w:rsid w:val="00697A86"/>
    <w:rsid w:val="00697B8C"/>
    <w:rsid w:val="00697DBB"/>
    <w:rsid w:val="006A0AA4"/>
    <w:rsid w:val="006A0E5C"/>
    <w:rsid w:val="006A22F4"/>
    <w:rsid w:val="006A542A"/>
    <w:rsid w:val="006A569E"/>
    <w:rsid w:val="006A59B1"/>
    <w:rsid w:val="006A5C92"/>
    <w:rsid w:val="006A7E8A"/>
    <w:rsid w:val="006A7F36"/>
    <w:rsid w:val="006A7F3B"/>
    <w:rsid w:val="006B044B"/>
    <w:rsid w:val="006B1EC0"/>
    <w:rsid w:val="006B2C91"/>
    <w:rsid w:val="006B360F"/>
    <w:rsid w:val="006B4E1C"/>
    <w:rsid w:val="006B6621"/>
    <w:rsid w:val="006B6E15"/>
    <w:rsid w:val="006B761D"/>
    <w:rsid w:val="006C11EE"/>
    <w:rsid w:val="006C2C4B"/>
    <w:rsid w:val="006C3B64"/>
    <w:rsid w:val="006C54D7"/>
    <w:rsid w:val="006C6C58"/>
    <w:rsid w:val="006C746A"/>
    <w:rsid w:val="006D0C0D"/>
    <w:rsid w:val="006D0DB3"/>
    <w:rsid w:val="006D0DBD"/>
    <w:rsid w:val="006D1C31"/>
    <w:rsid w:val="006D231C"/>
    <w:rsid w:val="006D26A6"/>
    <w:rsid w:val="006D39EE"/>
    <w:rsid w:val="006D493C"/>
    <w:rsid w:val="006D507E"/>
    <w:rsid w:val="006D595D"/>
    <w:rsid w:val="006D672C"/>
    <w:rsid w:val="006D6E9C"/>
    <w:rsid w:val="006D7447"/>
    <w:rsid w:val="006D76F2"/>
    <w:rsid w:val="006E0232"/>
    <w:rsid w:val="006E1F31"/>
    <w:rsid w:val="006E4C93"/>
    <w:rsid w:val="006E4DAC"/>
    <w:rsid w:val="006E5C32"/>
    <w:rsid w:val="006E61F2"/>
    <w:rsid w:val="006E6BAC"/>
    <w:rsid w:val="006E7466"/>
    <w:rsid w:val="006F080A"/>
    <w:rsid w:val="006F179D"/>
    <w:rsid w:val="006F1AEC"/>
    <w:rsid w:val="006F2081"/>
    <w:rsid w:val="006F2BFB"/>
    <w:rsid w:val="006F34BD"/>
    <w:rsid w:val="006F41EB"/>
    <w:rsid w:val="006F54AB"/>
    <w:rsid w:val="006F710F"/>
    <w:rsid w:val="006F7AE7"/>
    <w:rsid w:val="00700607"/>
    <w:rsid w:val="007016D7"/>
    <w:rsid w:val="00701E0C"/>
    <w:rsid w:val="00702808"/>
    <w:rsid w:val="007042EB"/>
    <w:rsid w:val="0070490A"/>
    <w:rsid w:val="00704971"/>
    <w:rsid w:val="00707293"/>
    <w:rsid w:val="00707C04"/>
    <w:rsid w:val="00707FDE"/>
    <w:rsid w:val="007119D8"/>
    <w:rsid w:val="007135DC"/>
    <w:rsid w:val="00713E76"/>
    <w:rsid w:val="007153B4"/>
    <w:rsid w:val="00715C02"/>
    <w:rsid w:val="00717461"/>
    <w:rsid w:val="00717713"/>
    <w:rsid w:val="00717FC8"/>
    <w:rsid w:val="00720598"/>
    <w:rsid w:val="007207D3"/>
    <w:rsid w:val="00721668"/>
    <w:rsid w:val="00723265"/>
    <w:rsid w:val="0072334E"/>
    <w:rsid w:val="0072668B"/>
    <w:rsid w:val="00726E55"/>
    <w:rsid w:val="007275FE"/>
    <w:rsid w:val="00727EC5"/>
    <w:rsid w:val="00732A3F"/>
    <w:rsid w:val="007331F4"/>
    <w:rsid w:val="00733903"/>
    <w:rsid w:val="00733A0A"/>
    <w:rsid w:val="00734EC5"/>
    <w:rsid w:val="007360AA"/>
    <w:rsid w:val="00737B76"/>
    <w:rsid w:val="007400FE"/>
    <w:rsid w:val="00743025"/>
    <w:rsid w:val="00743C55"/>
    <w:rsid w:val="007459D2"/>
    <w:rsid w:val="00745C17"/>
    <w:rsid w:val="00750E38"/>
    <w:rsid w:val="00751020"/>
    <w:rsid w:val="00751305"/>
    <w:rsid w:val="00751A8B"/>
    <w:rsid w:val="00752D35"/>
    <w:rsid w:val="0075571E"/>
    <w:rsid w:val="00755785"/>
    <w:rsid w:val="007562CA"/>
    <w:rsid w:val="00756AE6"/>
    <w:rsid w:val="00756D82"/>
    <w:rsid w:val="007578A4"/>
    <w:rsid w:val="00760898"/>
    <w:rsid w:val="00760922"/>
    <w:rsid w:val="00760F5A"/>
    <w:rsid w:val="00761ABC"/>
    <w:rsid w:val="00764B33"/>
    <w:rsid w:val="007651BD"/>
    <w:rsid w:val="00765239"/>
    <w:rsid w:val="00765E04"/>
    <w:rsid w:val="007664CF"/>
    <w:rsid w:val="00766588"/>
    <w:rsid w:val="00767729"/>
    <w:rsid w:val="0077043E"/>
    <w:rsid w:val="00771B92"/>
    <w:rsid w:val="00771BB1"/>
    <w:rsid w:val="00771FDC"/>
    <w:rsid w:val="0077200B"/>
    <w:rsid w:val="007727C4"/>
    <w:rsid w:val="007736DB"/>
    <w:rsid w:val="00773E95"/>
    <w:rsid w:val="00774253"/>
    <w:rsid w:val="00776644"/>
    <w:rsid w:val="00776B61"/>
    <w:rsid w:val="0077725D"/>
    <w:rsid w:val="007775ED"/>
    <w:rsid w:val="007776CC"/>
    <w:rsid w:val="00777D95"/>
    <w:rsid w:val="00780980"/>
    <w:rsid w:val="007817BB"/>
    <w:rsid w:val="00781A4D"/>
    <w:rsid w:val="00784D73"/>
    <w:rsid w:val="0078659D"/>
    <w:rsid w:val="00786B75"/>
    <w:rsid w:val="00791C53"/>
    <w:rsid w:val="007933B6"/>
    <w:rsid w:val="0079359F"/>
    <w:rsid w:val="0079459D"/>
    <w:rsid w:val="00794C09"/>
    <w:rsid w:val="00795034"/>
    <w:rsid w:val="00795825"/>
    <w:rsid w:val="00795C4C"/>
    <w:rsid w:val="0079775C"/>
    <w:rsid w:val="007977BB"/>
    <w:rsid w:val="007A0B77"/>
    <w:rsid w:val="007A3DDA"/>
    <w:rsid w:val="007A480A"/>
    <w:rsid w:val="007A5C8B"/>
    <w:rsid w:val="007A6948"/>
    <w:rsid w:val="007A70C2"/>
    <w:rsid w:val="007A7568"/>
    <w:rsid w:val="007A7618"/>
    <w:rsid w:val="007B0786"/>
    <w:rsid w:val="007B0A5B"/>
    <w:rsid w:val="007B1586"/>
    <w:rsid w:val="007B2043"/>
    <w:rsid w:val="007B214D"/>
    <w:rsid w:val="007B260F"/>
    <w:rsid w:val="007B30BE"/>
    <w:rsid w:val="007B35E9"/>
    <w:rsid w:val="007B50F6"/>
    <w:rsid w:val="007B5100"/>
    <w:rsid w:val="007B567A"/>
    <w:rsid w:val="007B5F9E"/>
    <w:rsid w:val="007B5FF0"/>
    <w:rsid w:val="007B601E"/>
    <w:rsid w:val="007B6600"/>
    <w:rsid w:val="007B7B34"/>
    <w:rsid w:val="007C0369"/>
    <w:rsid w:val="007C27B2"/>
    <w:rsid w:val="007C4928"/>
    <w:rsid w:val="007C4E24"/>
    <w:rsid w:val="007C6FD1"/>
    <w:rsid w:val="007D1492"/>
    <w:rsid w:val="007D1E85"/>
    <w:rsid w:val="007D2070"/>
    <w:rsid w:val="007D51F9"/>
    <w:rsid w:val="007D5C7E"/>
    <w:rsid w:val="007D5E53"/>
    <w:rsid w:val="007D6D40"/>
    <w:rsid w:val="007D6F7D"/>
    <w:rsid w:val="007E0EA0"/>
    <w:rsid w:val="007E15E0"/>
    <w:rsid w:val="007E1C38"/>
    <w:rsid w:val="007E3DC2"/>
    <w:rsid w:val="007E3DD8"/>
    <w:rsid w:val="007E43EE"/>
    <w:rsid w:val="007E5739"/>
    <w:rsid w:val="007E5BC0"/>
    <w:rsid w:val="007F0175"/>
    <w:rsid w:val="007F0966"/>
    <w:rsid w:val="007F0F87"/>
    <w:rsid w:val="007F1327"/>
    <w:rsid w:val="007F1512"/>
    <w:rsid w:val="007F2E68"/>
    <w:rsid w:val="007F3027"/>
    <w:rsid w:val="007F30C3"/>
    <w:rsid w:val="007F3FF7"/>
    <w:rsid w:val="007F550C"/>
    <w:rsid w:val="007F563F"/>
    <w:rsid w:val="007F581C"/>
    <w:rsid w:val="007F6484"/>
    <w:rsid w:val="007F6ADF"/>
    <w:rsid w:val="007F717D"/>
    <w:rsid w:val="00802AD3"/>
    <w:rsid w:val="00802E41"/>
    <w:rsid w:val="008032DC"/>
    <w:rsid w:val="008036AB"/>
    <w:rsid w:val="00803C1B"/>
    <w:rsid w:val="00804542"/>
    <w:rsid w:val="00804764"/>
    <w:rsid w:val="008049FB"/>
    <w:rsid w:val="00804A5B"/>
    <w:rsid w:val="00804C37"/>
    <w:rsid w:val="00804CDF"/>
    <w:rsid w:val="008053F5"/>
    <w:rsid w:val="00805DEF"/>
    <w:rsid w:val="00810107"/>
    <w:rsid w:val="00810CCF"/>
    <w:rsid w:val="00811EB7"/>
    <w:rsid w:val="00812B1A"/>
    <w:rsid w:val="00812B3E"/>
    <w:rsid w:val="0081325C"/>
    <w:rsid w:val="008136C2"/>
    <w:rsid w:val="00814FFA"/>
    <w:rsid w:val="00815014"/>
    <w:rsid w:val="0081633D"/>
    <w:rsid w:val="00816579"/>
    <w:rsid w:val="00817415"/>
    <w:rsid w:val="00820FCA"/>
    <w:rsid w:val="00821756"/>
    <w:rsid w:val="00821781"/>
    <w:rsid w:val="00822583"/>
    <w:rsid w:val="0082276C"/>
    <w:rsid w:val="008227C3"/>
    <w:rsid w:val="00822E25"/>
    <w:rsid w:val="00822EE4"/>
    <w:rsid w:val="00822F41"/>
    <w:rsid w:val="0082466B"/>
    <w:rsid w:val="008260EE"/>
    <w:rsid w:val="008264DD"/>
    <w:rsid w:val="00826B13"/>
    <w:rsid w:val="00830382"/>
    <w:rsid w:val="00831FF6"/>
    <w:rsid w:val="00832633"/>
    <w:rsid w:val="0083270C"/>
    <w:rsid w:val="00833D08"/>
    <w:rsid w:val="00836992"/>
    <w:rsid w:val="0083740E"/>
    <w:rsid w:val="00837457"/>
    <w:rsid w:val="008407AD"/>
    <w:rsid w:val="008411C2"/>
    <w:rsid w:val="008411D3"/>
    <w:rsid w:val="0084275B"/>
    <w:rsid w:val="008468EF"/>
    <w:rsid w:val="008477EF"/>
    <w:rsid w:val="00847F2B"/>
    <w:rsid w:val="00850481"/>
    <w:rsid w:val="008519F2"/>
    <w:rsid w:val="00852461"/>
    <w:rsid w:val="00852899"/>
    <w:rsid w:val="008532AB"/>
    <w:rsid w:val="008533CC"/>
    <w:rsid w:val="00855FA7"/>
    <w:rsid w:val="00857F6B"/>
    <w:rsid w:val="008604E1"/>
    <w:rsid w:val="00861A7E"/>
    <w:rsid w:val="00862733"/>
    <w:rsid w:val="00863CF9"/>
    <w:rsid w:val="00863D58"/>
    <w:rsid w:val="00864B70"/>
    <w:rsid w:val="008655FF"/>
    <w:rsid w:val="00867EF4"/>
    <w:rsid w:val="0087019B"/>
    <w:rsid w:val="0087075B"/>
    <w:rsid w:val="00870D39"/>
    <w:rsid w:val="00872101"/>
    <w:rsid w:val="00873C98"/>
    <w:rsid w:val="00875C70"/>
    <w:rsid w:val="0087673B"/>
    <w:rsid w:val="00877079"/>
    <w:rsid w:val="008776BE"/>
    <w:rsid w:val="00877877"/>
    <w:rsid w:val="0088160B"/>
    <w:rsid w:val="0088462B"/>
    <w:rsid w:val="008862DA"/>
    <w:rsid w:val="00886711"/>
    <w:rsid w:val="00887618"/>
    <w:rsid w:val="008903CD"/>
    <w:rsid w:val="008910F6"/>
    <w:rsid w:val="008912B8"/>
    <w:rsid w:val="00893124"/>
    <w:rsid w:val="008956BF"/>
    <w:rsid w:val="00895CB7"/>
    <w:rsid w:val="00896DB7"/>
    <w:rsid w:val="00897658"/>
    <w:rsid w:val="0089766B"/>
    <w:rsid w:val="00897897"/>
    <w:rsid w:val="0089799D"/>
    <w:rsid w:val="00897F54"/>
    <w:rsid w:val="008A1A37"/>
    <w:rsid w:val="008A27F8"/>
    <w:rsid w:val="008A2957"/>
    <w:rsid w:val="008A315F"/>
    <w:rsid w:val="008A4167"/>
    <w:rsid w:val="008A5248"/>
    <w:rsid w:val="008A74A4"/>
    <w:rsid w:val="008A7E5D"/>
    <w:rsid w:val="008B0A3F"/>
    <w:rsid w:val="008B12AB"/>
    <w:rsid w:val="008B2124"/>
    <w:rsid w:val="008B4B31"/>
    <w:rsid w:val="008B5202"/>
    <w:rsid w:val="008B5BA6"/>
    <w:rsid w:val="008B718A"/>
    <w:rsid w:val="008C0AA9"/>
    <w:rsid w:val="008C0F6F"/>
    <w:rsid w:val="008C1BD2"/>
    <w:rsid w:val="008C1CDF"/>
    <w:rsid w:val="008C2505"/>
    <w:rsid w:val="008C2A4C"/>
    <w:rsid w:val="008C3189"/>
    <w:rsid w:val="008C347D"/>
    <w:rsid w:val="008C446E"/>
    <w:rsid w:val="008C6401"/>
    <w:rsid w:val="008C6A45"/>
    <w:rsid w:val="008C6ACF"/>
    <w:rsid w:val="008C6D8B"/>
    <w:rsid w:val="008C7D20"/>
    <w:rsid w:val="008D0687"/>
    <w:rsid w:val="008D15C8"/>
    <w:rsid w:val="008D1AC0"/>
    <w:rsid w:val="008D1D45"/>
    <w:rsid w:val="008D2B58"/>
    <w:rsid w:val="008D41B5"/>
    <w:rsid w:val="008D5700"/>
    <w:rsid w:val="008D68B9"/>
    <w:rsid w:val="008D6E18"/>
    <w:rsid w:val="008D7016"/>
    <w:rsid w:val="008D7023"/>
    <w:rsid w:val="008E085D"/>
    <w:rsid w:val="008E149F"/>
    <w:rsid w:val="008E1CD8"/>
    <w:rsid w:val="008E431F"/>
    <w:rsid w:val="008E63A3"/>
    <w:rsid w:val="008E66BA"/>
    <w:rsid w:val="008F05CC"/>
    <w:rsid w:val="008F07EB"/>
    <w:rsid w:val="008F3801"/>
    <w:rsid w:val="008F467F"/>
    <w:rsid w:val="008F4B6F"/>
    <w:rsid w:val="008F4D29"/>
    <w:rsid w:val="008F5F65"/>
    <w:rsid w:val="008F6893"/>
    <w:rsid w:val="008F7ABF"/>
    <w:rsid w:val="009011C5"/>
    <w:rsid w:val="00902074"/>
    <w:rsid w:val="009035C3"/>
    <w:rsid w:val="00903BBE"/>
    <w:rsid w:val="00904DDA"/>
    <w:rsid w:val="00907340"/>
    <w:rsid w:val="009073EE"/>
    <w:rsid w:val="00907AF8"/>
    <w:rsid w:val="00907BD2"/>
    <w:rsid w:val="00907CFC"/>
    <w:rsid w:val="009102FB"/>
    <w:rsid w:val="00910875"/>
    <w:rsid w:val="009113BC"/>
    <w:rsid w:val="00912AE0"/>
    <w:rsid w:val="00913703"/>
    <w:rsid w:val="009145FE"/>
    <w:rsid w:val="0091561B"/>
    <w:rsid w:val="00915AE8"/>
    <w:rsid w:val="009161CC"/>
    <w:rsid w:val="00917A19"/>
    <w:rsid w:val="00917CF3"/>
    <w:rsid w:val="00917EBB"/>
    <w:rsid w:val="00920565"/>
    <w:rsid w:val="0092098E"/>
    <w:rsid w:val="009212E7"/>
    <w:rsid w:val="0092138B"/>
    <w:rsid w:val="009213B2"/>
    <w:rsid w:val="00921A9A"/>
    <w:rsid w:val="009232EF"/>
    <w:rsid w:val="00923837"/>
    <w:rsid w:val="0092397A"/>
    <w:rsid w:val="00924392"/>
    <w:rsid w:val="009262EA"/>
    <w:rsid w:val="0092651A"/>
    <w:rsid w:val="00926B7A"/>
    <w:rsid w:val="009272A1"/>
    <w:rsid w:val="00927CF3"/>
    <w:rsid w:val="00931C23"/>
    <w:rsid w:val="00932AE4"/>
    <w:rsid w:val="00933A3E"/>
    <w:rsid w:val="00934725"/>
    <w:rsid w:val="00935DD6"/>
    <w:rsid w:val="00936853"/>
    <w:rsid w:val="00937B68"/>
    <w:rsid w:val="00937F92"/>
    <w:rsid w:val="00940F6E"/>
    <w:rsid w:val="00941466"/>
    <w:rsid w:val="00941CA6"/>
    <w:rsid w:val="009425A5"/>
    <w:rsid w:val="009439C9"/>
    <w:rsid w:val="0094425D"/>
    <w:rsid w:val="0094449D"/>
    <w:rsid w:val="00944FB4"/>
    <w:rsid w:val="009450D3"/>
    <w:rsid w:val="00945477"/>
    <w:rsid w:val="00945C61"/>
    <w:rsid w:val="0094636F"/>
    <w:rsid w:val="00946506"/>
    <w:rsid w:val="00946586"/>
    <w:rsid w:val="009472D6"/>
    <w:rsid w:val="0094776A"/>
    <w:rsid w:val="009478D5"/>
    <w:rsid w:val="00947D84"/>
    <w:rsid w:val="00950EE9"/>
    <w:rsid w:val="00952155"/>
    <w:rsid w:val="00952C53"/>
    <w:rsid w:val="00954198"/>
    <w:rsid w:val="009557E1"/>
    <w:rsid w:val="00955B84"/>
    <w:rsid w:val="00957628"/>
    <w:rsid w:val="009603BC"/>
    <w:rsid w:val="009612A5"/>
    <w:rsid w:val="00961BA0"/>
    <w:rsid w:val="009650F1"/>
    <w:rsid w:val="00965B3A"/>
    <w:rsid w:val="009663EC"/>
    <w:rsid w:val="00966FCA"/>
    <w:rsid w:val="0096780A"/>
    <w:rsid w:val="0096786E"/>
    <w:rsid w:val="00967F42"/>
    <w:rsid w:val="009708D0"/>
    <w:rsid w:val="009709C9"/>
    <w:rsid w:val="00971070"/>
    <w:rsid w:val="009735CE"/>
    <w:rsid w:val="009747A8"/>
    <w:rsid w:val="00974B9B"/>
    <w:rsid w:val="00985DA8"/>
    <w:rsid w:val="009866C0"/>
    <w:rsid w:val="009867D7"/>
    <w:rsid w:val="0098709A"/>
    <w:rsid w:val="009873CD"/>
    <w:rsid w:val="009906B7"/>
    <w:rsid w:val="00990F18"/>
    <w:rsid w:val="00992896"/>
    <w:rsid w:val="00994707"/>
    <w:rsid w:val="00994D20"/>
    <w:rsid w:val="00995AB9"/>
    <w:rsid w:val="0099784A"/>
    <w:rsid w:val="00997CA2"/>
    <w:rsid w:val="009A03C0"/>
    <w:rsid w:val="009A11DB"/>
    <w:rsid w:val="009A2EE8"/>
    <w:rsid w:val="009A36A2"/>
    <w:rsid w:val="009A37C6"/>
    <w:rsid w:val="009A4462"/>
    <w:rsid w:val="009A5B12"/>
    <w:rsid w:val="009B0654"/>
    <w:rsid w:val="009B16C9"/>
    <w:rsid w:val="009B17C8"/>
    <w:rsid w:val="009B1DB1"/>
    <w:rsid w:val="009B1E50"/>
    <w:rsid w:val="009B21E5"/>
    <w:rsid w:val="009B3333"/>
    <w:rsid w:val="009B34E0"/>
    <w:rsid w:val="009B3CED"/>
    <w:rsid w:val="009B44A3"/>
    <w:rsid w:val="009B7C62"/>
    <w:rsid w:val="009B7F41"/>
    <w:rsid w:val="009C082F"/>
    <w:rsid w:val="009C3853"/>
    <w:rsid w:val="009C4507"/>
    <w:rsid w:val="009C59B6"/>
    <w:rsid w:val="009C5FCC"/>
    <w:rsid w:val="009D0ABA"/>
    <w:rsid w:val="009D13DF"/>
    <w:rsid w:val="009D1B1F"/>
    <w:rsid w:val="009D1E0A"/>
    <w:rsid w:val="009D327E"/>
    <w:rsid w:val="009D3463"/>
    <w:rsid w:val="009D3E12"/>
    <w:rsid w:val="009D68FA"/>
    <w:rsid w:val="009D7533"/>
    <w:rsid w:val="009D783D"/>
    <w:rsid w:val="009E2D22"/>
    <w:rsid w:val="009E2DCC"/>
    <w:rsid w:val="009E366B"/>
    <w:rsid w:val="009E4593"/>
    <w:rsid w:val="009E4AFC"/>
    <w:rsid w:val="009E4D76"/>
    <w:rsid w:val="009E5345"/>
    <w:rsid w:val="009E5FED"/>
    <w:rsid w:val="009E6823"/>
    <w:rsid w:val="009E7103"/>
    <w:rsid w:val="009E7F13"/>
    <w:rsid w:val="009F34FC"/>
    <w:rsid w:val="009F421F"/>
    <w:rsid w:val="009F4590"/>
    <w:rsid w:val="009F6260"/>
    <w:rsid w:val="009F6925"/>
    <w:rsid w:val="009F6A41"/>
    <w:rsid w:val="009F76DB"/>
    <w:rsid w:val="009F7B52"/>
    <w:rsid w:val="00A00403"/>
    <w:rsid w:val="00A004C1"/>
    <w:rsid w:val="00A00787"/>
    <w:rsid w:val="00A011DB"/>
    <w:rsid w:val="00A012E1"/>
    <w:rsid w:val="00A02C06"/>
    <w:rsid w:val="00A040B2"/>
    <w:rsid w:val="00A058A5"/>
    <w:rsid w:val="00A05D58"/>
    <w:rsid w:val="00A0600E"/>
    <w:rsid w:val="00A06219"/>
    <w:rsid w:val="00A06C53"/>
    <w:rsid w:val="00A0782D"/>
    <w:rsid w:val="00A0789C"/>
    <w:rsid w:val="00A07F90"/>
    <w:rsid w:val="00A113EE"/>
    <w:rsid w:val="00A120B0"/>
    <w:rsid w:val="00A1259D"/>
    <w:rsid w:val="00A12766"/>
    <w:rsid w:val="00A12E43"/>
    <w:rsid w:val="00A13246"/>
    <w:rsid w:val="00A137EF"/>
    <w:rsid w:val="00A13A0B"/>
    <w:rsid w:val="00A17509"/>
    <w:rsid w:val="00A2003D"/>
    <w:rsid w:val="00A21B3C"/>
    <w:rsid w:val="00A254FD"/>
    <w:rsid w:val="00A259E1"/>
    <w:rsid w:val="00A26B8D"/>
    <w:rsid w:val="00A277F0"/>
    <w:rsid w:val="00A27AF5"/>
    <w:rsid w:val="00A30442"/>
    <w:rsid w:val="00A306DE"/>
    <w:rsid w:val="00A307B7"/>
    <w:rsid w:val="00A325EE"/>
    <w:rsid w:val="00A32CF2"/>
    <w:rsid w:val="00A34116"/>
    <w:rsid w:val="00A3445D"/>
    <w:rsid w:val="00A34AF0"/>
    <w:rsid w:val="00A34C6C"/>
    <w:rsid w:val="00A362DB"/>
    <w:rsid w:val="00A365C1"/>
    <w:rsid w:val="00A373DB"/>
    <w:rsid w:val="00A377B1"/>
    <w:rsid w:val="00A379C4"/>
    <w:rsid w:val="00A429F7"/>
    <w:rsid w:val="00A43552"/>
    <w:rsid w:val="00A43CBB"/>
    <w:rsid w:val="00A4452E"/>
    <w:rsid w:val="00A45010"/>
    <w:rsid w:val="00A45112"/>
    <w:rsid w:val="00A4517F"/>
    <w:rsid w:val="00A459D0"/>
    <w:rsid w:val="00A45A00"/>
    <w:rsid w:val="00A45DBD"/>
    <w:rsid w:val="00A5091B"/>
    <w:rsid w:val="00A50A50"/>
    <w:rsid w:val="00A50E75"/>
    <w:rsid w:val="00A53E7E"/>
    <w:rsid w:val="00A5480A"/>
    <w:rsid w:val="00A5481D"/>
    <w:rsid w:val="00A54AB2"/>
    <w:rsid w:val="00A54FFC"/>
    <w:rsid w:val="00A57787"/>
    <w:rsid w:val="00A579D7"/>
    <w:rsid w:val="00A60BDC"/>
    <w:rsid w:val="00A610A0"/>
    <w:rsid w:val="00A6209F"/>
    <w:rsid w:val="00A624E4"/>
    <w:rsid w:val="00A625E6"/>
    <w:rsid w:val="00A6579D"/>
    <w:rsid w:val="00A658AF"/>
    <w:rsid w:val="00A66326"/>
    <w:rsid w:val="00A66404"/>
    <w:rsid w:val="00A669F0"/>
    <w:rsid w:val="00A67D02"/>
    <w:rsid w:val="00A71ECC"/>
    <w:rsid w:val="00A73978"/>
    <w:rsid w:val="00A75403"/>
    <w:rsid w:val="00A75483"/>
    <w:rsid w:val="00A75860"/>
    <w:rsid w:val="00A76477"/>
    <w:rsid w:val="00A76BE7"/>
    <w:rsid w:val="00A76DCE"/>
    <w:rsid w:val="00A77B43"/>
    <w:rsid w:val="00A77C14"/>
    <w:rsid w:val="00A808FF"/>
    <w:rsid w:val="00A81951"/>
    <w:rsid w:val="00A81AD2"/>
    <w:rsid w:val="00A820F7"/>
    <w:rsid w:val="00A8212D"/>
    <w:rsid w:val="00A82821"/>
    <w:rsid w:val="00A83561"/>
    <w:rsid w:val="00A83566"/>
    <w:rsid w:val="00A83FDB"/>
    <w:rsid w:val="00A8577B"/>
    <w:rsid w:val="00A90CF9"/>
    <w:rsid w:val="00A93120"/>
    <w:rsid w:val="00A94750"/>
    <w:rsid w:val="00A95CED"/>
    <w:rsid w:val="00A963E4"/>
    <w:rsid w:val="00AA0988"/>
    <w:rsid w:val="00AA0EC1"/>
    <w:rsid w:val="00AA2467"/>
    <w:rsid w:val="00AA2C88"/>
    <w:rsid w:val="00AA326A"/>
    <w:rsid w:val="00AA475D"/>
    <w:rsid w:val="00AA483F"/>
    <w:rsid w:val="00AA4C76"/>
    <w:rsid w:val="00AA7159"/>
    <w:rsid w:val="00AB02F9"/>
    <w:rsid w:val="00AB24E1"/>
    <w:rsid w:val="00AB26CD"/>
    <w:rsid w:val="00AB371A"/>
    <w:rsid w:val="00AB3C11"/>
    <w:rsid w:val="00AB5F6D"/>
    <w:rsid w:val="00AB62B6"/>
    <w:rsid w:val="00AB6342"/>
    <w:rsid w:val="00AB7148"/>
    <w:rsid w:val="00AC24F5"/>
    <w:rsid w:val="00AC271A"/>
    <w:rsid w:val="00AC3549"/>
    <w:rsid w:val="00AC376D"/>
    <w:rsid w:val="00AC4334"/>
    <w:rsid w:val="00AC446C"/>
    <w:rsid w:val="00AC4A97"/>
    <w:rsid w:val="00AC5071"/>
    <w:rsid w:val="00AC797B"/>
    <w:rsid w:val="00AD0B6B"/>
    <w:rsid w:val="00AD3C1B"/>
    <w:rsid w:val="00AD4240"/>
    <w:rsid w:val="00AD6BB3"/>
    <w:rsid w:val="00AD7AD3"/>
    <w:rsid w:val="00AD7EBD"/>
    <w:rsid w:val="00AD7F0F"/>
    <w:rsid w:val="00AD7F6B"/>
    <w:rsid w:val="00AE0CAF"/>
    <w:rsid w:val="00AE1512"/>
    <w:rsid w:val="00AE20E3"/>
    <w:rsid w:val="00AE2374"/>
    <w:rsid w:val="00AE2E2C"/>
    <w:rsid w:val="00AE3CB6"/>
    <w:rsid w:val="00AE3D85"/>
    <w:rsid w:val="00AE3DAC"/>
    <w:rsid w:val="00AE57C6"/>
    <w:rsid w:val="00AE6F04"/>
    <w:rsid w:val="00AE71FA"/>
    <w:rsid w:val="00AE7E41"/>
    <w:rsid w:val="00AF0DFA"/>
    <w:rsid w:val="00AF1B11"/>
    <w:rsid w:val="00AF26CD"/>
    <w:rsid w:val="00AF2B86"/>
    <w:rsid w:val="00AF2BCA"/>
    <w:rsid w:val="00AF383E"/>
    <w:rsid w:val="00AF40A0"/>
    <w:rsid w:val="00AF5326"/>
    <w:rsid w:val="00AF60D4"/>
    <w:rsid w:val="00AF6222"/>
    <w:rsid w:val="00AF644A"/>
    <w:rsid w:val="00AF7C17"/>
    <w:rsid w:val="00AF7C70"/>
    <w:rsid w:val="00AF7F9B"/>
    <w:rsid w:val="00B008DE"/>
    <w:rsid w:val="00B00AF2"/>
    <w:rsid w:val="00B01DA5"/>
    <w:rsid w:val="00B059D3"/>
    <w:rsid w:val="00B05B14"/>
    <w:rsid w:val="00B05FDE"/>
    <w:rsid w:val="00B0620A"/>
    <w:rsid w:val="00B06775"/>
    <w:rsid w:val="00B06A9C"/>
    <w:rsid w:val="00B06B0F"/>
    <w:rsid w:val="00B10650"/>
    <w:rsid w:val="00B10B26"/>
    <w:rsid w:val="00B13703"/>
    <w:rsid w:val="00B13B7F"/>
    <w:rsid w:val="00B14D52"/>
    <w:rsid w:val="00B16601"/>
    <w:rsid w:val="00B1674D"/>
    <w:rsid w:val="00B1677F"/>
    <w:rsid w:val="00B171E4"/>
    <w:rsid w:val="00B20654"/>
    <w:rsid w:val="00B2071C"/>
    <w:rsid w:val="00B208B9"/>
    <w:rsid w:val="00B2271E"/>
    <w:rsid w:val="00B2287B"/>
    <w:rsid w:val="00B242FA"/>
    <w:rsid w:val="00B247DD"/>
    <w:rsid w:val="00B24916"/>
    <w:rsid w:val="00B26212"/>
    <w:rsid w:val="00B2709C"/>
    <w:rsid w:val="00B3078A"/>
    <w:rsid w:val="00B3174E"/>
    <w:rsid w:val="00B319DB"/>
    <w:rsid w:val="00B31FF4"/>
    <w:rsid w:val="00B322FC"/>
    <w:rsid w:val="00B32568"/>
    <w:rsid w:val="00B32A2A"/>
    <w:rsid w:val="00B344D9"/>
    <w:rsid w:val="00B34997"/>
    <w:rsid w:val="00B34C74"/>
    <w:rsid w:val="00B3642E"/>
    <w:rsid w:val="00B364EC"/>
    <w:rsid w:val="00B371B4"/>
    <w:rsid w:val="00B37224"/>
    <w:rsid w:val="00B3783B"/>
    <w:rsid w:val="00B37891"/>
    <w:rsid w:val="00B408F8"/>
    <w:rsid w:val="00B40A66"/>
    <w:rsid w:val="00B40BC6"/>
    <w:rsid w:val="00B434D8"/>
    <w:rsid w:val="00B4456E"/>
    <w:rsid w:val="00B45E18"/>
    <w:rsid w:val="00B46413"/>
    <w:rsid w:val="00B46A2C"/>
    <w:rsid w:val="00B50A6D"/>
    <w:rsid w:val="00B51207"/>
    <w:rsid w:val="00B53E32"/>
    <w:rsid w:val="00B54424"/>
    <w:rsid w:val="00B553BF"/>
    <w:rsid w:val="00B559B4"/>
    <w:rsid w:val="00B56DA6"/>
    <w:rsid w:val="00B57CA2"/>
    <w:rsid w:val="00B57E3A"/>
    <w:rsid w:val="00B6171E"/>
    <w:rsid w:val="00B61815"/>
    <w:rsid w:val="00B62039"/>
    <w:rsid w:val="00B625BD"/>
    <w:rsid w:val="00B633D0"/>
    <w:rsid w:val="00B6343C"/>
    <w:rsid w:val="00B63B41"/>
    <w:rsid w:val="00B63D19"/>
    <w:rsid w:val="00B63F0B"/>
    <w:rsid w:val="00B646D0"/>
    <w:rsid w:val="00B6509E"/>
    <w:rsid w:val="00B65405"/>
    <w:rsid w:val="00B65678"/>
    <w:rsid w:val="00B65A61"/>
    <w:rsid w:val="00B65E1D"/>
    <w:rsid w:val="00B72987"/>
    <w:rsid w:val="00B74D84"/>
    <w:rsid w:val="00B750D4"/>
    <w:rsid w:val="00B75C18"/>
    <w:rsid w:val="00B75DD2"/>
    <w:rsid w:val="00B779B7"/>
    <w:rsid w:val="00B77CD8"/>
    <w:rsid w:val="00B8218A"/>
    <w:rsid w:val="00B82590"/>
    <w:rsid w:val="00B82AB5"/>
    <w:rsid w:val="00B83572"/>
    <w:rsid w:val="00B83A32"/>
    <w:rsid w:val="00B83E17"/>
    <w:rsid w:val="00B841BC"/>
    <w:rsid w:val="00B8553B"/>
    <w:rsid w:val="00B86AC6"/>
    <w:rsid w:val="00B87044"/>
    <w:rsid w:val="00B8741A"/>
    <w:rsid w:val="00B903D8"/>
    <w:rsid w:val="00B9093E"/>
    <w:rsid w:val="00B9118A"/>
    <w:rsid w:val="00B91790"/>
    <w:rsid w:val="00B93FDA"/>
    <w:rsid w:val="00B9510E"/>
    <w:rsid w:val="00B97000"/>
    <w:rsid w:val="00B979AC"/>
    <w:rsid w:val="00BA08BE"/>
    <w:rsid w:val="00BA1D9E"/>
    <w:rsid w:val="00BA20C6"/>
    <w:rsid w:val="00BA2F3C"/>
    <w:rsid w:val="00BA533D"/>
    <w:rsid w:val="00BA66B2"/>
    <w:rsid w:val="00BA710B"/>
    <w:rsid w:val="00BA74DA"/>
    <w:rsid w:val="00BB0609"/>
    <w:rsid w:val="00BB083A"/>
    <w:rsid w:val="00BB0971"/>
    <w:rsid w:val="00BB09D6"/>
    <w:rsid w:val="00BB0AC8"/>
    <w:rsid w:val="00BB1616"/>
    <w:rsid w:val="00BB1952"/>
    <w:rsid w:val="00BB21FB"/>
    <w:rsid w:val="00BB4795"/>
    <w:rsid w:val="00BB4C71"/>
    <w:rsid w:val="00BB5E9C"/>
    <w:rsid w:val="00BB6714"/>
    <w:rsid w:val="00BB739C"/>
    <w:rsid w:val="00BB7484"/>
    <w:rsid w:val="00BB7A3E"/>
    <w:rsid w:val="00BC01B1"/>
    <w:rsid w:val="00BC072A"/>
    <w:rsid w:val="00BC12C7"/>
    <w:rsid w:val="00BC210F"/>
    <w:rsid w:val="00BC30CF"/>
    <w:rsid w:val="00BC3A46"/>
    <w:rsid w:val="00BC408D"/>
    <w:rsid w:val="00BC41AF"/>
    <w:rsid w:val="00BC4760"/>
    <w:rsid w:val="00BC4973"/>
    <w:rsid w:val="00BC638B"/>
    <w:rsid w:val="00BC6D1C"/>
    <w:rsid w:val="00BC7056"/>
    <w:rsid w:val="00BD09E8"/>
    <w:rsid w:val="00BD26A5"/>
    <w:rsid w:val="00BD2BDE"/>
    <w:rsid w:val="00BD2C99"/>
    <w:rsid w:val="00BD3454"/>
    <w:rsid w:val="00BD3F9E"/>
    <w:rsid w:val="00BD5D8F"/>
    <w:rsid w:val="00BD5DB5"/>
    <w:rsid w:val="00BD67CF"/>
    <w:rsid w:val="00BD685E"/>
    <w:rsid w:val="00BD70CB"/>
    <w:rsid w:val="00BD7110"/>
    <w:rsid w:val="00BE1713"/>
    <w:rsid w:val="00BE29F7"/>
    <w:rsid w:val="00BE2F41"/>
    <w:rsid w:val="00BE5415"/>
    <w:rsid w:val="00BE7345"/>
    <w:rsid w:val="00BE7CA5"/>
    <w:rsid w:val="00BF09B9"/>
    <w:rsid w:val="00BF2437"/>
    <w:rsid w:val="00BF29BA"/>
    <w:rsid w:val="00BF3786"/>
    <w:rsid w:val="00BF3D22"/>
    <w:rsid w:val="00BF4024"/>
    <w:rsid w:val="00BF6E2B"/>
    <w:rsid w:val="00C0197B"/>
    <w:rsid w:val="00C02771"/>
    <w:rsid w:val="00C028F0"/>
    <w:rsid w:val="00C03164"/>
    <w:rsid w:val="00C04212"/>
    <w:rsid w:val="00C05BF3"/>
    <w:rsid w:val="00C06F96"/>
    <w:rsid w:val="00C077E9"/>
    <w:rsid w:val="00C07E4C"/>
    <w:rsid w:val="00C10C53"/>
    <w:rsid w:val="00C116E6"/>
    <w:rsid w:val="00C11F5B"/>
    <w:rsid w:val="00C126BC"/>
    <w:rsid w:val="00C12CBD"/>
    <w:rsid w:val="00C13809"/>
    <w:rsid w:val="00C13D8A"/>
    <w:rsid w:val="00C15B5F"/>
    <w:rsid w:val="00C15F36"/>
    <w:rsid w:val="00C17B65"/>
    <w:rsid w:val="00C17EF5"/>
    <w:rsid w:val="00C17F72"/>
    <w:rsid w:val="00C20539"/>
    <w:rsid w:val="00C20A1A"/>
    <w:rsid w:val="00C21219"/>
    <w:rsid w:val="00C21FC4"/>
    <w:rsid w:val="00C225FB"/>
    <w:rsid w:val="00C227AD"/>
    <w:rsid w:val="00C24A5B"/>
    <w:rsid w:val="00C25BFA"/>
    <w:rsid w:val="00C260E3"/>
    <w:rsid w:val="00C26C36"/>
    <w:rsid w:val="00C274F7"/>
    <w:rsid w:val="00C30734"/>
    <w:rsid w:val="00C32A85"/>
    <w:rsid w:val="00C3301A"/>
    <w:rsid w:val="00C338AB"/>
    <w:rsid w:val="00C338FF"/>
    <w:rsid w:val="00C33C92"/>
    <w:rsid w:val="00C33F18"/>
    <w:rsid w:val="00C33F5D"/>
    <w:rsid w:val="00C3476C"/>
    <w:rsid w:val="00C347AC"/>
    <w:rsid w:val="00C3512B"/>
    <w:rsid w:val="00C359C7"/>
    <w:rsid w:val="00C36345"/>
    <w:rsid w:val="00C40307"/>
    <w:rsid w:val="00C40850"/>
    <w:rsid w:val="00C408C4"/>
    <w:rsid w:val="00C40B9A"/>
    <w:rsid w:val="00C414FE"/>
    <w:rsid w:val="00C42390"/>
    <w:rsid w:val="00C42DDB"/>
    <w:rsid w:val="00C43304"/>
    <w:rsid w:val="00C44873"/>
    <w:rsid w:val="00C44FC6"/>
    <w:rsid w:val="00C45602"/>
    <w:rsid w:val="00C47909"/>
    <w:rsid w:val="00C509ED"/>
    <w:rsid w:val="00C5266B"/>
    <w:rsid w:val="00C53147"/>
    <w:rsid w:val="00C53727"/>
    <w:rsid w:val="00C53892"/>
    <w:rsid w:val="00C54905"/>
    <w:rsid w:val="00C54FE7"/>
    <w:rsid w:val="00C555C9"/>
    <w:rsid w:val="00C55B06"/>
    <w:rsid w:val="00C61879"/>
    <w:rsid w:val="00C622AF"/>
    <w:rsid w:val="00C627C6"/>
    <w:rsid w:val="00C63D32"/>
    <w:rsid w:val="00C65099"/>
    <w:rsid w:val="00C651BE"/>
    <w:rsid w:val="00C6554F"/>
    <w:rsid w:val="00C66B99"/>
    <w:rsid w:val="00C66C8A"/>
    <w:rsid w:val="00C66D02"/>
    <w:rsid w:val="00C67CED"/>
    <w:rsid w:val="00C70465"/>
    <w:rsid w:val="00C714D7"/>
    <w:rsid w:val="00C71663"/>
    <w:rsid w:val="00C73868"/>
    <w:rsid w:val="00C74011"/>
    <w:rsid w:val="00C7654E"/>
    <w:rsid w:val="00C76BBA"/>
    <w:rsid w:val="00C775E9"/>
    <w:rsid w:val="00C81C5A"/>
    <w:rsid w:val="00C82708"/>
    <w:rsid w:val="00C836A5"/>
    <w:rsid w:val="00C83833"/>
    <w:rsid w:val="00C84DBA"/>
    <w:rsid w:val="00C87EBC"/>
    <w:rsid w:val="00C91649"/>
    <w:rsid w:val="00C92874"/>
    <w:rsid w:val="00C92C92"/>
    <w:rsid w:val="00C92FEA"/>
    <w:rsid w:val="00C93BB9"/>
    <w:rsid w:val="00C95AFF"/>
    <w:rsid w:val="00C96ACA"/>
    <w:rsid w:val="00CA04EE"/>
    <w:rsid w:val="00CA0748"/>
    <w:rsid w:val="00CA0E1E"/>
    <w:rsid w:val="00CA3CB4"/>
    <w:rsid w:val="00CA4C5A"/>
    <w:rsid w:val="00CA7985"/>
    <w:rsid w:val="00CA7F1C"/>
    <w:rsid w:val="00CB0183"/>
    <w:rsid w:val="00CB03D3"/>
    <w:rsid w:val="00CB08B4"/>
    <w:rsid w:val="00CB17E6"/>
    <w:rsid w:val="00CB2E41"/>
    <w:rsid w:val="00CB304A"/>
    <w:rsid w:val="00CB3202"/>
    <w:rsid w:val="00CB3B25"/>
    <w:rsid w:val="00CB542F"/>
    <w:rsid w:val="00CB58F9"/>
    <w:rsid w:val="00CB6050"/>
    <w:rsid w:val="00CB7D3E"/>
    <w:rsid w:val="00CB7D5C"/>
    <w:rsid w:val="00CC09E7"/>
    <w:rsid w:val="00CC0B5F"/>
    <w:rsid w:val="00CC0F47"/>
    <w:rsid w:val="00CC2C1D"/>
    <w:rsid w:val="00CC366C"/>
    <w:rsid w:val="00CC4145"/>
    <w:rsid w:val="00CC63EA"/>
    <w:rsid w:val="00CC6B75"/>
    <w:rsid w:val="00CC7A8E"/>
    <w:rsid w:val="00CD117C"/>
    <w:rsid w:val="00CD1BBF"/>
    <w:rsid w:val="00CD2E54"/>
    <w:rsid w:val="00CD4A59"/>
    <w:rsid w:val="00CD67FD"/>
    <w:rsid w:val="00CD6C90"/>
    <w:rsid w:val="00CD788E"/>
    <w:rsid w:val="00CD7A37"/>
    <w:rsid w:val="00CD7B65"/>
    <w:rsid w:val="00CE0912"/>
    <w:rsid w:val="00CE171E"/>
    <w:rsid w:val="00CE2528"/>
    <w:rsid w:val="00CE4139"/>
    <w:rsid w:val="00CE46C2"/>
    <w:rsid w:val="00CE644B"/>
    <w:rsid w:val="00CE669C"/>
    <w:rsid w:val="00CE735F"/>
    <w:rsid w:val="00CE75EC"/>
    <w:rsid w:val="00CE7B19"/>
    <w:rsid w:val="00CF000E"/>
    <w:rsid w:val="00CF04E3"/>
    <w:rsid w:val="00CF2075"/>
    <w:rsid w:val="00CF2442"/>
    <w:rsid w:val="00CF3742"/>
    <w:rsid w:val="00CF3A14"/>
    <w:rsid w:val="00CF4071"/>
    <w:rsid w:val="00CF4DAB"/>
    <w:rsid w:val="00CF5591"/>
    <w:rsid w:val="00CF58C9"/>
    <w:rsid w:val="00CF5E69"/>
    <w:rsid w:val="00CF761D"/>
    <w:rsid w:val="00D00EBB"/>
    <w:rsid w:val="00D01C47"/>
    <w:rsid w:val="00D01D84"/>
    <w:rsid w:val="00D057DC"/>
    <w:rsid w:val="00D05916"/>
    <w:rsid w:val="00D05C94"/>
    <w:rsid w:val="00D06D92"/>
    <w:rsid w:val="00D078F6"/>
    <w:rsid w:val="00D110DA"/>
    <w:rsid w:val="00D14B4F"/>
    <w:rsid w:val="00D15996"/>
    <w:rsid w:val="00D16ACA"/>
    <w:rsid w:val="00D16B7E"/>
    <w:rsid w:val="00D175B5"/>
    <w:rsid w:val="00D17E33"/>
    <w:rsid w:val="00D211BA"/>
    <w:rsid w:val="00D22830"/>
    <w:rsid w:val="00D2285E"/>
    <w:rsid w:val="00D24B58"/>
    <w:rsid w:val="00D25AC9"/>
    <w:rsid w:val="00D2653F"/>
    <w:rsid w:val="00D27945"/>
    <w:rsid w:val="00D27ECB"/>
    <w:rsid w:val="00D31531"/>
    <w:rsid w:val="00D31D29"/>
    <w:rsid w:val="00D32193"/>
    <w:rsid w:val="00D3256B"/>
    <w:rsid w:val="00D325BA"/>
    <w:rsid w:val="00D3398F"/>
    <w:rsid w:val="00D339AF"/>
    <w:rsid w:val="00D34F0E"/>
    <w:rsid w:val="00D3586A"/>
    <w:rsid w:val="00D36B67"/>
    <w:rsid w:val="00D412A8"/>
    <w:rsid w:val="00D41E20"/>
    <w:rsid w:val="00D42C76"/>
    <w:rsid w:val="00D43F11"/>
    <w:rsid w:val="00D4423C"/>
    <w:rsid w:val="00D45913"/>
    <w:rsid w:val="00D46339"/>
    <w:rsid w:val="00D46C92"/>
    <w:rsid w:val="00D47857"/>
    <w:rsid w:val="00D47F11"/>
    <w:rsid w:val="00D51521"/>
    <w:rsid w:val="00D515A4"/>
    <w:rsid w:val="00D5199B"/>
    <w:rsid w:val="00D53B02"/>
    <w:rsid w:val="00D548CD"/>
    <w:rsid w:val="00D54AA7"/>
    <w:rsid w:val="00D5518D"/>
    <w:rsid w:val="00D5586D"/>
    <w:rsid w:val="00D55D9D"/>
    <w:rsid w:val="00D60C4D"/>
    <w:rsid w:val="00D60EEE"/>
    <w:rsid w:val="00D60F7B"/>
    <w:rsid w:val="00D61065"/>
    <w:rsid w:val="00D624C1"/>
    <w:rsid w:val="00D647DB"/>
    <w:rsid w:val="00D64DE3"/>
    <w:rsid w:val="00D66013"/>
    <w:rsid w:val="00D66797"/>
    <w:rsid w:val="00D66E24"/>
    <w:rsid w:val="00D7099D"/>
    <w:rsid w:val="00D7174C"/>
    <w:rsid w:val="00D719A6"/>
    <w:rsid w:val="00D720D5"/>
    <w:rsid w:val="00D726DB"/>
    <w:rsid w:val="00D72EB6"/>
    <w:rsid w:val="00D72F8A"/>
    <w:rsid w:val="00D7301B"/>
    <w:rsid w:val="00D73369"/>
    <w:rsid w:val="00D77037"/>
    <w:rsid w:val="00D772E3"/>
    <w:rsid w:val="00D779B6"/>
    <w:rsid w:val="00D8070A"/>
    <w:rsid w:val="00D80F6D"/>
    <w:rsid w:val="00D81946"/>
    <w:rsid w:val="00D82566"/>
    <w:rsid w:val="00D82AD7"/>
    <w:rsid w:val="00D82F38"/>
    <w:rsid w:val="00D8306A"/>
    <w:rsid w:val="00D834EF"/>
    <w:rsid w:val="00D83543"/>
    <w:rsid w:val="00D84F64"/>
    <w:rsid w:val="00D87696"/>
    <w:rsid w:val="00D90160"/>
    <w:rsid w:val="00D901EB"/>
    <w:rsid w:val="00D903CE"/>
    <w:rsid w:val="00D90DBD"/>
    <w:rsid w:val="00D92178"/>
    <w:rsid w:val="00D9388F"/>
    <w:rsid w:val="00D93DBC"/>
    <w:rsid w:val="00D942D8"/>
    <w:rsid w:val="00D94BCC"/>
    <w:rsid w:val="00D94CF1"/>
    <w:rsid w:val="00D9506B"/>
    <w:rsid w:val="00D95701"/>
    <w:rsid w:val="00D96144"/>
    <w:rsid w:val="00D9617B"/>
    <w:rsid w:val="00DA05E0"/>
    <w:rsid w:val="00DA096A"/>
    <w:rsid w:val="00DA38B3"/>
    <w:rsid w:val="00DA61D9"/>
    <w:rsid w:val="00DA70E1"/>
    <w:rsid w:val="00DB2687"/>
    <w:rsid w:val="00DB41C9"/>
    <w:rsid w:val="00DB43F2"/>
    <w:rsid w:val="00DB5937"/>
    <w:rsid w:val="00DB5C26"/>
    <w:rsid w:val="00DC01BD"/>
    <w:rsid w:val="00DC09D9"/>
    <w:rsid w:val="00DC0C53"/>
    <w:rsid w:val="00DC0D17"/>
    <w:rsid w:val="00DC2881"/>
    <w:rsid w:val="00DC4543"/>
    <w:rsid w:val="00DC4A84"/>
    <w:rsid w:val="00DC4DDB"/>
    <w:rsid w:val="00DC663F"/>
    <w:rsid w:val="00DC6CA2"/>
    <w:rsid w:val="00DC741A"/>
    <w:rsid w:val="00DD067F"/>
    <w:rsid w:val="00DD1499"/>
    <w:rsid w:val="00DD1FF5"/>
    <w:rsid w:val="00DD39F8"/>
    <w:rsid w:val="00DD41C4"/>
    <w:rsid w:val="00DD4EA2"/>
    <w:rsid w:val="00DD4FAD"/>
    <w:rsid w:val="00DD5399"/>
    <w:rsid w:val="00DD54FB"/>
    <w:rsid w:val="00DD6BB4"/>
    <w:rsid w:val="00DE072B"/>
    <w:rsid w:val="00DE3057"/>
    <w:rsid w:val="00DE3FB3"/>
    <w:rsid w:val="00DE509E"/>
    <w:rsid w:val="00DE5C63"/>
    <w:rsid w:val="00DE61CD"/>
    <w:rsid w:val="00DE6489"/>
    <w:rsid w:val="00DE6BD1"/>
    <w:rsid w:val="00DF03B2"/>
    <w:rsid w:val="00DF0A54"/>
    <w:rsid w:val="00DF155D"/>
    <w:rsid w:val="00DF3EEC"/>
    <w:rsid w:val="00DF469A"/>
    <w:rsid w:val="00DF4B39"/>
    <w:rsid w:val="00DF5C73"/>
    <w:rsid w:val="00DF6B72"/>
    <w:rsid w:val="00DF706D"/>
    <w:rsid w:val="00E00792"/>
    <w:rsid w:val="00E00900"/>
    <w:rsid w:val="00E01043"/>
    <w:rsid w:val="00E01559"/>
    <w:rsid w:val="00E01752"/>
    <w:rsid w:val="00E02265"/>
    <w:rsid w:val="00E033F9"/>
    <w:rsid w:val="00E0525F"/>
    <w:rsid w:val="00E070B5"/>
    <w:rsid w:val="00E07563"/>
    <w:rsid w:val="00E07702"/>
    <w:rsid w:val="00E11E17"/>
    <w:rsid w:val="00E13CC9"/>
    <w:rsid w:val="00E13E8F"/>
    <w:rsid w:val="00E1478E"/>
    <w:rsid w:val="00E14B04"/>
    <w:rsid w:val="00E1598B"/>
    <w:rsid w:val="00E160EF"/>
    <w:rsid w:val="00E17A5A"/>
    <w:rsid w:val="00E2114B"/>
    <w:rsid w:val="00E219B9"/>
    <w:rsid w:val="00E23784"/>
    <w:rsid w:val="00E25431"/>
    <w:rsid w:val="00E25BD5"/>
    <w:rsid w:val="00E2751E"/>
    <w:rsid w:val="00E27F58"/>
    <w:rsid w:val="00E30716"/>
    <w:rsid w:val="00E30D9C"/>
    <w:rsid w:val="00E30F45"/>
    <w:rsid w:val="00E31069"/>
    <w:rsid w:val="00E31596"/>
    <w:rsid w:val="00E32D12"/>
    <w:rsid w:val="00E32F95"/>
    <w:rsid w:val="00E33E33"/>
    <w:rsid w:val="00E35466"/>
    <w:rsid w:val="00E35DDC"/>
    <w:rsid w:val="00E37F68"/>
    <w:rsid w:val="00E40A0F"/>
    <w:rsid w:val="00E41375"/>
    <w:rsid w:val="00E414ED"/>
    <w:rsid w:val="00E42ECB"/>
    <w:rsid w:val="00E43C23"/>
    <w:rsid w:val="00E46C18"/>
    <w:rsid w:val="00E50815"/>
    <w:rsid w:val="00E510DF"/>
    <w:rsid w:val="00E5265F"/>
    <w:rsid w:val="00E53209"/>
    <w:rsid w:val="00E54A8E"/>
    <w:rsid w:val="00E54CD5"/>
    <w:rsid w:val="00E54F91"/>
    <w:rsid w:val="00E557FA"/>
    <w:rsid w:val="00E558BC"/>
    <w:rsid w:val="00E60948"/>
    <w:rsid w:val="00E620F7"/>
    <w:rsid w:val="00E6391E"/>
    <w:rsid w:val="00E66C00"/>
    <w:rsid w:val="00E66D04"/>
    <w:rsid w:val="00E70493"/>
    <w:rsid w:val="00E7105A"/>
    <w:rsid w:val="00E710D3"/>
    <w:rsid w:val="00E72394"/>
    <w:rsid w:val="00E72B84"/>
    <w:rsid w:val="00E72EAD"/>
    <w:rsid w:val="00E72F66"/>
    <w:rsid w:val="00E73A72"/>
    <w:rsid w:val="00E757BA"/>
    <w:rsid w:val="00E76D02"/>
    <w:rsid w:val="00E77971"/>
    <w:rsid w:val="00E80BAA"/>
    <w:rsid w:val="00E80E40"/>
    <w:rsid w:val="00E81D19"/>
    <w:rsid w:val="00E81DB0"/>
    <w:rsid w:val="00E82CA7"/>
    <w:rsid w:val="00E831C5"/>
    <w:rsid w:val="00E83840"/>
    <w:rsid w:val="00E85102"/>
    <w:rsid w:val="00E85F52"/>
    <w:rsid w:val="00E86C33"/>
    <w:rsid w:val="00E879E2"/>
    <w:rsid w:val="00E90EC9"/>
    <w:rsid w:val="00E917B7"/>
    <w:rsid w:val="00E9249B"/>
    <w:rsid w:val="00E92647"/>
    <w:rsid w:val="00E92E6B"/>
    <w:rsid w:val="00E93832"/>
    <w:rsid w:val="00E9599F"/>
    <w:rsid w:val="00E9654A"/>
    <w:rsid w:val="00EA0D45"/>
    <w:rsid w:val="00EA0EB2"/>
    <w:rsid w:val="00EA1B24"/>
    <w:rsid w:val="00EA339D"/>
    <w:rsid w:val="00EA7995"/>
    <w:rsid w:val="00EB1768"/>
    <w:rsid w:val="00EB2285"/>
    <w:rsid w:val="00EB3B06"/>
    <w:rsid w:val="00EB7114"/>
    <w:rsid w:val="00EC196F"/>
    <w:rsid w:val="00EC1A5E"/>
    <w:rsid w:val="00EC23F8"/>
    <w:rsid w:val="00EC2555"/>
    <w:rsid w:val="00EC30FF"/>
    <w:rsid w:val="00EC31BC"/>
    <w:rsid w:val="00EC3235"/>
    <w:rsid w:val="00EC3342"/>
    <w:rsid w:val="00EC3F2B"/>
    <w:rsid w:val="00EC403D"/>
    <w:rsid w:val="00EC428B"/>
    <w:rsid w:val="00EC64A2"/>
    <w:rsid w:val="00EC7011"/>
    <w:rsid w:val="00ED004D"/>
    <w:rsid w:val="00ED0C7F"/>
    <w:rsid w:val="00ED25F1"/>
    <w:rsid w:val="00ED3B16"/>
    <w:rsid w:val="00ED44CB"/>
    <w:rsid w:val="00ED52D9"/>
    <w:rsid w:val="00ED56E5"/>
    <w:rsid w:val="00ED6901"/>
    <w:rsid w:val="00ED6EFB"/>
    <w:rsid w:val="00ED7016"/>
    <w:rsid w:val="00ED704B"/>
    <w:rsid w:val="00EE1FF0"/>
    <w:rsid w:val="00EE2189"/>
    <w:rsid w:val="00EE38F6"/>
    <w:rsid w:val="00EE4D34"/>
    <w:rsid w:val="00EE70A7"/>
    <w:rsid w:val="00EE7366"/>
    <w:rsid w:val="00EF0D64"/>
    <w:rsid w:val="00EF1640"/>
    <w:rsid w:val="00EF1ED5"/>
    <w:rsid w:val="00EF2497"/>
    <w:rsid w:val="00EF2F8F"/>
    <w:rsid w:val="00EF39CB"/>
    <w:rsid w:val="00EF4B56"/>
    <w:rsid w:val="00EF6FEA"/>
    <w:rsid w:val="00EF74B7"/>
    <w:rsid w:val="00EF76A0"/>
    <w:rsid w:val="00EF79D1"/>
    <w:rsid w:val="00F01E3D"/>
    <w:rsid w:val="00F02649"/>
    <w:rsid w:val="00F02897"/>
    <w:rsid w:val="00F04FED"/>
    <w:rsid w:val="00F07761"/>
    <w:rsid w:val="00F0778A"/>
    <w:rsid w:val="00F11305"/>
    <w:rsid w:val="00F11B73"/>
    <w:rsid w:val="00F11F70"/>
    <w:rsid w:val="00F12AC4"/>
    <w:rsid w:val="00F13760"/>
    <w:rsid w:val="00F149DE"/>
    <w:rsid w:val="00F14A23"/>
    <w:rsid w:val="00F15712"/>
    <w:rsid w:val="00F17EE8"/>
    <w:rsid w:val="00F203A7"/>
    <w:rsid w:val="00F218FA"/>
    <w:rsid w:val="00F23063"/>
    <w:rsid w:val="00F23C21"/>
    <w:rsid w:val="00F247E7"/>
    <w:rsid w:val="00F24ABF"/>
    <w:rsid w:val="00F25294"/>
    <w:rsid w:val="00F25A4E"/>
    <w:rsid w:val="00F26425"/>
    <w:rsid w:val="00F2794E"/>
    <w:rsid w:val="00F3290E"/>
    <w:rsid w:val="00F32C52"/>
    <w:rsid w:val="00F335B3"/>
    <w:rsid w:val="00F3388E"/>
    <w:rsid w:val="00F369E3"/>
    <w:rsid w:val="00F36DF8"/>
    <w:rsid w:val="00F3770F"/>
    <w:rsid w:val="00F37F68"/>
    <w:rsid w:val="00F4060B"/>
    <w:rsid w:val="00F40648"/>
    <w:rsid w:val="00F40EB9"/>
    <w:rsid w:val="00F4141B"/>
    <w:rsid w:val="00F418B6"/>
    <w:rsid w:val="00F41D91"/>
    <w:rsid w:val="00F41E55"/>
    <w:rsid w:val="00F42802"/>
    <w:rsid w:val="00F458A7"/>
    <w:rsid w:val="00F46E59"/>
    <w:rsid w:val="00F4778B"/>
    <w:rsid w:val="00F5099D"/>
    <w:rsid w:val="00F50A62"/>
    <w:rsid w:val="00F51098"/>
    <w:rsid w:val="00F51613"/>
    <w:rsid w:val="00F53B44"/>
    <w:rsid w:val="00F54269"/>
    <w:rsid w:val="00F542E8"/>
    <w:rsid w:val="00F552DC"/>
    <w:rsid w:val="00F55A9D"/>
    <w:rsid w:val="00F568A2"/>
    <w:rsid w:val="00F57669"/>
    <w:rsid w:val="00F60DFE"/>
    <w:rsid w:val="00F628E8"/>
    <w:rsid w:val="00F62E64"/>
    <w:rsid w:val="00F63043"/>
    <w:rsid w:val="00F63715"/>
    <w:rsid w:val="00F64C4E"/>
    <w:rsid w:val="00F6634D"/>
    <w:rsid w:val="00F66737"/>
    <w:rsid w:val="00F6702D"/>
    <w:rsid w:val="00F701DB"/>
    <w:rsid w:val="00F71B99"/>
    <w:rsid w:val="00F73E84"/>
    <w:rsid w:val="00F74ABA"/>
    <w:rsid w:val="00F74D52"/>
    <w:rsid w:val="00F75177"/>
    <w:rsid w:val="00F7553D"/>
    <w:rsid w:val="00F7684C"/>
    <w:rsid w:val="00F7725F"/>
    <w:rsid w:val="00F77CB6"/>
    <w:rsid w:val="00F77CC1"/>
    <w:rsid w:val="00F80B71"/>
    <w:rsid w:val="00F81CEB"/>
    <w:rsid w:val="00F82956"/>
    <w:rsid w:val="00F82A64"/>
    <w:rsid w:val="00F82E8F"/>
    <w:rsid w:val="00F8357A"/>
    <w:rsid w:val="00F8552B"/>
    <w:rsid w:val="00F85758"/>
    <w:rsid w:val="00F85CCD"/>
    <w:rsid w:val="00F86B6E"/>
    <w:rsid w:val="00F875B9"/>
    <w:rsid w:val="00F911EA"/>
    <w:rsid w:val="00F91B89"/>
    <w:rsid w:val="00F91E58"/>
    <w:rsid w:val="00F93E92"/>
    <w:rsid w:val="00F9572A"/>
    <w:rsid w:val="00F961F2"/>
    <w:rsid w:val="00F9673C"/>
    <w:rsid w:val="00FA0836"/>
    <w:rsid w:val="00FA2D2A"/>
    <w:rsid w:val="00FA465B"/>
    <w:rsid w:val="00FA534C"/>
    <w:rsid w:val="00FA6635"/>
    <w:rsid w:val="00FA6AFF"/>
    <w:rsid w:val="00FB05AE"/>
    <w:rsid w:val="00FB080C"/>
    <w:rsid w:val="00FB0CE0"/>
    <w:rsid w:val="00FB1250"/>
    <w:rsid w:val="00FB1961"/>
    <w:rsid w:val="00FB19AE"/>
    <w:rsid w:val="00FB23C4"/>
    <w:rsid w:val="00FB519C"/>
    <w:rsid w:val="00FB5488"/>
    <w:rsid w:val="00FB5C2F"/>
    <w:rsid w:val="00FB643F"/>
    <w:rsid w:val="00FB7332"/>
    <w:rsid w:val="00FB7393"/>
    <w:rsid w:val="00FC02E2"/>
    <w:rsid w:val="00FC0773"/>
    <w:rsid w:val="00FC0D6A"/>
    <w:rsid w:val="00FC213B"/>
    <w:rsid w:val="00FC2B71"/>
    <w:rsid w:val="00FC33D5"/>
    <w:rsid w:val="00FC4138"/>
    <w:rsid w:val="00FC49A3"/>
    <w:rsid w:val="00FC7CC3"/>
    <w:rsid w:val="00FC7D39"/>
    <w:rsid w:val="00FC7D78"/>
    <w:rsid w:val="00FD11CA"/>
    <w:rsid w:val="00FD1D94"/>
    <w:rsid w:val="00FD296F"/>
    <w:rsid w:val="00FD38E2"/>
    <w:rsid w:val="00FD39AD"/>
    <w:rsid w:val="00FD4DE0"/>
    <w:rsid w:val="00FD4E18"/>
    <w:rsid w:val="00FD71CF"/>
    <w:rsid w:val="00FD72E0"/>
    <w:rsid w:val="00FD7579"/>
    <w:rsid w:val="00FD7647"/>
    <w:rsid w:val="00FD7BF0"/>
    <w:rsid w:val="00FD7C67"/>
    <w:rsid w:val="00FE119E"/>
    <w:rsid w:val="00FE122A"/>
    <w:rsid w:val="00FE2729"/>
    <w:rsid w:val="00FE31ED"/>
    <w:rsid w:val="00FE5C8F"/>
    <w:rsid w:val="00FE6CC9"/>
    <w:rsid w:val="00FE7085"/>
    <w:rsid w:val="00FE7125"/>
    <w:rsid w:val="00FE76B9"/>
    <w:rsid w:val="00FF24B4"/>
    <w:rsid w:val="00FF5858"/>
    <w:rsid w:val="00FF6D81"/>
    <w:rsid w:val="00FF7424"/>
    <w:rsid w:val="00FF79D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8AFAEB6"/>
  <w15:chartTrackingRefBased/>
  <w15:docId w15:val="{188C079F-C69C-4325-8676-CEB2644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2A89"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2633"/>
    <w:pPr>
      <w:numPr>
        <w:numId w:val="2"/>
      </w:numPr>
      <w:jc w:val="center"/>
      <w:outlineLvl w:val="0"/>
    </w:pPr>
    <w:rPr>
      <w:rFonts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6BE"/>
    <w:pPr>
      <w:keepNext/>
      <w:numPr>
        <w:ilvl w:val="1"/>
        <w:numId w:val="3"/>
      </w:numPr>
      <w:spacing w:after="120"/>
      <w:ind w:left="357" w:hanging="357"/>
      <w:outlineLvl w:val="1"/>
    </w:pPr>
    <w:rPr>
      <w:rFonts w:cs="Calibri"/>
      <w:b/>
      <w:bCs/>
      <w:color w:val="000000"/>
      <w:sz w:val="26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D39F8"/>
    <w:pPr>
      <w:numPr>
        <w:numId w:val="5"/>
      </w:numPr>
      <w:ind w:left="425" w:hanging="431"/>
      <w:outlineLvl w:val="2"/>
    </w:pPr>
    <w:rPr>
      <w:rFonts w:eastAsiaTheme="majorEastAsia" w:cstheme="majorBidi"/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43552"/>
    <w:pPr>
      <w:keepNext/>
      <w:outlineLvl w:val="3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8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f">
    <w:name w:val="Graf"/>
    <w:basedOn w:val="Normln"/>
    <w:qFormat/>
    <w:rsid w:val="00D24B58"/>
    <w:pPr>
      <w:keepNext/>
      <w:numPr>
        <w:numId w:val="1"/>
      </w:numPr>
      <w:ind w:left="1134" w:hanging="1134"/>
    </w:pPr>
    <w:rPr>
      <w:b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32633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6BE"/>
    <w:rPr>
      <w:rFonts w:ascii="Calibri" w:eastAsia="Times New Roman" w:hAnsi="Calibri" w:cs="Calibri"/>
      <w:b/>
      <w:bCs/>
      <w:color w:val="000000"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39F8"/>
    <w:rPr>
      <w:rFonts w:ascii="Calibri" w:eastAsiaTheme="majorEastAsia" w:hAnsi="Calibri" w:cstheme="majorBidi"/>
      <w:b/>
      <w:color w:val="000000"/>
      <w:sz w:val="26"/>
      <w:szCs w:val="26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fn Char"/>
    <w:link w:val="Textpoznpodarou"/>
    <w:uiPriority w:val="99"/>
    <w:locked/>
    <w:rsid w:val="00553AB2"/>
    <w:rPr>
      <w:rFonts w:cs="Times New Roman"/>
      <w:sz w:val="20"/>
    </w:rPr>
  </w:style>
  <w:style w:type="paragraph" w:styleId="Textpoznpodarou">
    <w:name w:val="footnote text"/>
    <w:aliases w:val="Footnote,Podrozdzia3,Podrozdział,Schriftart: 10 pt,Schriftart: 8 pt,Schriftart: 9 pt,pozn. pod čarou,fn"/>
    <w:basedOn w:val="Normln"/>
    <w:link w:val="TextpoznpodarouChar"/>
    <w:uiPriority w:val="99"/>
    <w:unhideWhenUsed/>
    <w:rsid w:val="00553AB2"/>
    <w:pPr>
      <w:widowControl/>
      <w:autoSpaceDE/>
      <w:autoSpaceDN/>
      <w:adjustRightInd/>
      <w:spacing w:after="0"/>
    </w:pPr>
    <w:rPr>
      <w:rFonts w:asciiTheme="minorHAnsi" w:eastAsiaTheme="minorHAnsi" w:hAnsiTheme="minorHAnsi" w:cs="Times New Roman"/>
      <w:sz w:val="20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E5C8F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aliases w:val="PGI Fußnote Ziffer,12 b.,PGI Fußnote Ziffer + Times New Roman,Zúžené o ...,EN Footnote Reference"/>
    <w:uiPriority w:val="99"/>
    <w:rsid w:val="00FE5C8F"/>
    <w:rPr>
      <w:rFonts w:cs="Times New Roman"/>
      <w:vertAlign w:val="superscript"/>
    </w:rPr>
  </w:style>
  <w:style w:type="paragraph" w:styleId="Odstavecseseznamem">
    <w:name w:val="List Paragraph"/>
    <w:aliases w:val="List Paragraph_0,List Paragraph_1,List Paragraph_2,Nadpis pro KZ,Odrážky,Odstavec se seznamem1,Odstavec se seznamem2,můj Nadpis 2,odrážky,A-Odrážky1,Barevný seznam – zvýraznění 11,List Paragraph (Czech Tourism),List Paragraph1,Nad"/>
    <w:basedOn w:val="Normln"/>
    <w:link w:val="OdstavecseseznamemChar"/>
    <w:uiPriority w:val="34"/>
    <w:qFormat/>
    <w:rsid w:val="00C6554F"/>
    <w:pPr>
      <w:widowControl/>
      <w:autoSpaceDE/>
      <w:autoSpaceDN/>
      <w:adjustRightInd/>
      <w:contextualSpacing/>
    </w:pPr>
    <w:rPr>
      <w:rFonts w:cs="Times New Roman"/>
      <w:szCs w:val="22"/>
      <w:lang w:eastAsia="en-US"/>
    </w:rPr>
  </w:style>
  <w:style w:type="character" w:customStyle="1" w:styleId="OdstavecseseznamemChar">
    <w:name w:val="Odstavec se seznamem Char"/>
    <w:aliases w:val="List Paragraph_0 Char,List Paragraph_1 Char,List Paragraph_2 Char,Nadpis pro KZ Char,Odrážky Char,Odstavec se seznamem1 Char,Odstavec se seznamem2 Char,můj Nadpis 2 Char,odrážky Char,A-Odrážky1 Char,List Paragraph1 Char"/>
    <w:link w:val="Odstavecseseznamem"/>
    <w:uiPriority w:val="34"/>
    <w:qFormat/>
    <w:locked/>
    <w:rsid w:val="00C6554F"/>
    <w:rPr>
      <w:rFonts w:ascii="Calibri" w:eastAsia="Times New Roman" w:hAnsi="Calibri" w:cs="Times New Roman"/>
      <w:sz w:val="24"/>
    </w:rPr>
  </w:style>
  <w:style w:type="table" w:styleId="Mkatabulky">
    <w:name w:val="Table Grid"/>
    <w:basedOn w:val="Normlntabulka"/>
    <w:uiPriority w:val="59"/>
    <w:rsid w:val="00FE5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5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C8F"/>
    <w:rPr>
      <w:rFonts w:ascii="Calibri" w:eastAsia="Times New Roman" w:hAnsi="Calibri" w:cs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C8F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5C8F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D36B67"/>
    <w:pPr>
      <w:keepNext/>
      <w:widowControl/>
      <w:autoSpaceDE/>
      <w:autoSpaceDN/>
      <w:adjustRightInd/>
      <w:spacing w:after="0"/>
      <w:jc w:val="right"/>
    </w:pPr>
    <w:rPr>
      <w:sz w:val="20"/>
      <w:lang w:eastAsia="en-US"/>
    </w:rPr>
  </w:style>
  <w:style w:type="character" w:customStyle="1" w:styleId="tabulkaChar">
    <w:name w:val="tabulka Char"/>
    <w:link w:val="tabulka"/>
    <w:rsid w:val="00D36B67"/>
    <w:rPr>
      <w:rFonts w:ascii="Calibri" w:eastAsia="Times New Roman" w:hAnsi="Calibri" w:cs="Arial"/>
      <w:sz w:val="20"/>
      <w:szCs w:val="20"/>
    </w:rPr>
  </w:style>
  <w:style w:type="paragraph" w:customStyle="1" w:styleId="Poznmka">
    <w:name w:val="Poznámka"/>
    <w:basedOn w:val="Normln"/>
    <w:link w:val="PoznmkaChar"/>
    <w:autoRedefine/>
    <w:qFormat/>
    <w:rsid w:val="006C11EE"/>
    <w:pPr>
      <w:widowControl/>
      <w:autoSpaceDE/>
      <w:autoSpaceDN/>
      <w:adjustRightInd/>
      <w:spacing w:before="40" w:after="0"/>
      <w:ind w:left="284" w:hanging="284"/>
    </w:pPr>
    <w:rPr>
      <w:rFonts w:asciiTheme="minorHAnsi" w:hAnsiTheme="minorHAnsi" w:cstheme="minorHAnsi"/>
      <w:sz w:val="20"/>
      <w:szCs w:val="18"/>
    </w:rPr>
  </w:style>
  <w:style w:type="character" w:customStyle="1" w:styleId="PoznmkaChar">
    <w:name w:val="Poznámka Char"/>
    <w:link w:val="Poznmka"/>
    <w:rsid w:val="006C11EE"/>
    <w:rPr>
      <w:rFonts w:eastAsia="Times New Roman" w:cstheme="minorHAnsi"/>
      <w:sz w:val="20"/>
      <w:szCs w:val="18"/>
      <w:lang w:eastAsia="cs-CZ"/>
    </w:rPr>
  </w:style>
  <w:style w:type="paragraph" w:customStyle="1" w:styleId="Nzevtabulky">
    <w:name w:val="Název tabulky"/>
    <w:basedOn w:val="Normln"/>
    <w:qFormat/>
    <w:rsid w:val="00D36B67"/>
    <w:pPr>
      <w:keepNext/>
      <w:widowControl/>
      <w:numPr>
        <w:numId w:val="4"/>
      </w:numPr>
      <w:autoSpaceDE/>
      <w:autoSpaceDN/>
      <w:adjustRightInd/>
      <w:spacing w:after="0"/>
      <w:ind w:left="1349" w:hanging="1349"/>
      <w:jc w:val="left"/>
    </w:pPr>
    <w:rPr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6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6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12"/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Obrzek">
    <w:name w:val="Obrázek"/>
    <w:basedOn w:val="Graf"/>
    <w:qFormat/>
    <w:rsid w:val="00D9506B"/>
    <w:pPr>
      <w:numPr>
        <w:numId w:val="1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67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0A"/>
    <w:rPr>
      <w:rFonts w:ascii="Calibri" w:eastAsia="Times New Roman" w:hAnsi="Calibri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7"/>
    <w:rPr>
      <w:rFonts w:ascii="Calibri" w:eastAsia="Times New Roman" w:hAnsi="Calibri" w:cs="Arial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02265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43552"/>
    <w:rPr>
      <w:rFonts w:ascii="Calibri" w:eastAsia="Times New Roman" w:hAnsi="Calibri" w:cs="Arial"/>
      <w:b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34352E"/>
    <w:rPr>
      <w:b/>
      <w:bCs/>
    </w:rPr>
  </w:style>
  <w:style w:type="paragraph" w:customStyle="1" w:styleId="Nadpisshrnut">
    <w:name w:val="Nadpis shrnutí"/>
    <w:basedOn w:val="Normln"/>
    <w:qFormat/>
    <w:rsid w:val="00BA2F3C"/>
    <w:pPr>
      <w:numPr>
        <w:numId w:val="7"/>
      </w:numPr>
      <w:spacing w:after="60"/>
    </w:pPr>
    <w:rPr>
      <w:b/>
      <w:szCs w:val="25"/>
    </w:rPr>
  </w:style>
  <w:style w:type="character" w:customStyle="1" w:styleId="Nadpis6Char">
    <w:name w:val="Nadpis 6 Char"/>
    <w:basedOn w:val="Standardnpsmoodstavce"/>
    <w:link w:val="Nadpis6"/>
    <w:uiPriority w:val="9"/>
    <w:rsid w:val="004E384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27A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545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3044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5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promeny-vekoveho-slozeni-obyvatelstva-cr-2001-2050" TargetMode="External"/><Relationship Id="rId1" Type="http://schemas.openxmlformats.org/officeDocument/2006/relationships/hyperlink" Target="https://www.paliativa.cz/sites/default/files/2019-09/situacni-analyza-paliativni-pece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002041955576449"/>
          <c:y val="4.5443069931835396E-2"/>
          <c:w val="0.33790655482430365"/>
          <c:h val="0.741947770287865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Vyčerpané prostředky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0927527646522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61-42C3-8215-5533EE2BA70A}"/>
                </c:ext>
              </c:extLst>
            </c:dLbl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</c:f>
              <c:strCache>
                <c:ptCount val="1"/>
                <c:pt idx="0">
                  <c:v>Investiční program</c:v>
                </c:pt>
              </c:strCache>
            </c:strRef>
          </c:cat>
          <c:val>
            <c:numRef>
              <c:f>List1!$B$2</c:f>
              <c:numCache>
                <c:formatCode>0.00%</c:formatCode>
                <c:ptCount val="1"/>
                <c:pt idx="0">
                  <c:v>6.3267080745341611E-2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61-42C3-8215-5533EE2BA70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Nevyčerpané prostředky</c:v>
                </c:pt>
              </c:strCache>
            </c:strRef>
          </c:tx>
          <c:spPr>
            <a:solidFill>
              <a:srgbClr val="6C878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C878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561-42C3-8215-5533EE2BA70A}"/>
              </c:ext>
            </c:extLst>
          </c:dPt>
          <c:dLbls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Investiční program</c:v>
                </c:pt>
              </c:strCache>
            </c:strRef>
          </c:cat>
          <c:val>
            <c:numRef>
              <c:f>List1!$C$2</c:f>
              <c:numCache>
                <c:formatCode>0.00%</c:formatCode>
                <c:ptCount val="1"/>
                <c:pt idx="0">
                  <c:v>0.9367329192546584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561-42C3-8215-5533EE2BA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overlap val="100"/>
        <c:axId val="879242127"/>
        <c:axId val="1051791583"/>
      </c:barChart>
      <c:catAx>
        <c:axId val="87924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1791583"/>
        <c:crosses val="autoZero"/>
        <c:auto val="1"/>
        <c:lblAlgn val="ctr"/>
        <c:lblOffset val="100"/>
        <c:noMultiLvlLbl val="0"/>
      </c:catAx>
      <c:valAx>
        <c:axId val="1051791583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87924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"/>
          <c:y val="0.87052899629656866"/>
          <c:w val="0.53410944463261556"/>
          <c:h val="0.12947100370343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388167695254309E-2"/>
          <c:y val="5.7299992312676393E-2"/>
          <c:w val="0.86502624671916006"/>
          <c:h val="0.698147794287220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Vyčerpané prostředky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Projekt nemocniční péče</c:v>
                </c:pt>
                <c:pt idx="1">
                  <c:v>Projekt domácí péče</c:v>
                </c:pt>
              </c:strCache>
            </c:strRef>
          </c:cat>
          <c:val>
            <c:numRef>
              <c:f>List1!$B$2:$B$3</c:f>
              <c:numCache>
                <c:formatCode>0.00%</c:formatCode>
                <c:ptCount val="2"/>
                <c:pt idx="0">
                  <c:v>0.898297284859641</c:v>
                </c:pt>
                <c:pt idx="1">
                  <c:v>0.69715560513106523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7-4345-8EDC-050DD64270C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Nevyčerpané prostředky</c:v>
                </c:pt>
              </c:strCache>
            </c:strRef>
          </c:tx>
          <c:spPr>
            <a:solidFill>
              <a:srgbClr val="6C8782"/>
            </a:solidFill>
            <a:ln>
              <a:noFill/>
            </a:ln>
            <a:effectLst/>
          </c:spPr>
          <c:invertIfNegative val="0"/>
          <c:dLbls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Projekt nemocniční péče</c:v>
                </c:pt>
                <c:pt idx="1">
                  <c:v>Projekt domácí péče</c:v>
                </c:pt>
              </c:strCache>
            </c:strRef>
          </c:cat>
          <c:val>
            <c:numRef>
              <c:f>List1!$C$2:$C$3</c:f>
              <c:numCache>
                <c:formatCode>0.00%</c:formatCode>
                <c:ptCount val="2"/>
                <c:pt idx="0">
                  <c:v>0.10170271514035899</c:v>
                </c:pt>
                <c:pt idx="1">
                  <c:v>0.30284439486893472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87-4345-8EDC-050DD6427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2118094672"/>
        <c:axId val="95137488"/>
      </c:barChart>
      <c:catAx>
        <c:axId val="211809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137488"/>
        <c:crosses val="autoZero"/>
        <c:auto val="1"/>
        <c:lblAlgn val="ctr"/>
        <c:lblOffset val="100"/>
        <c:noMultiLvlLbl val="0"/>
      </c:catAx>
      <c:valAx>
        <c:axId val="951374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1809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54317301553522035"/>
          <c:y val="0.85537069372604568"/>
          <c:w val="0.45682698446477982"/>
          <c:h val="0.1414660824300728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noFill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Národní dotační tituly</c:v>
                </c:pt>
              </c:strCache>
            </c:strRef>
          </c:tx>
          <c:spPr>
            <a:solidFill>
              <a:srgbClr val="2EB3A1"/>
            </a:solidFill>
          </c:spPr>
          <c:dPt>
            <c:idx val="0"/>
            <c:bubble3D val="0"/>
            <c:spPr>
              <a:solidFill>
                <a:srgbClr val="2EB3A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C06-4AF3-B531-C4D5A045DDE1}"/>
              </c:ext>
            </c:extLst>
          </c:dPt>
          <c:dPt>
            <c:idx val="1"/>
            <c:bubble3D val="0"/>
            <c:spPr>
              <a:solidFill>
                <a:srgbClr val="6C878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C06-4AF3-B531-C4D5A045DDE1}"/>
              </c:ext>
            </c:extLst>
          </c:dPt>
          <c:dLbls>
            <c:dLbl>
              <c:idx val="0"/>
              <c:layout>
                <c:manualLayout>
                  <c:x val="-9.4509441380556183E-3"/>
                  <c:y val="0.2495970695970695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06-4AF3-B531-C4D5A045DDE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06-4AF3-B531-C4D5A045DDE1}"/>
                </c:ext>
              </c:extLst>
            </c:dLbl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Zkontrolované</c:v>
                </c:pt>
                <c:pt idx="1">
                  <c:v>Nezkontrolované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06-4AF3-B531-C4D5A045D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EU projekty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</c:spPr>
          <c:dPt>
            <c:idx val="0"/>
            <c:bubble3D val="0"/>
            <c:spPr>
              <a:solidFill>
                <a:srgbClr val="2EB3A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84D-4383-9102-E849F2659994}"/>
              </c:ext>
            </c:extLst>
          </c:dPt>
          <c:dPt>
            <c:idx val="1"/>
            <c:bubble3D val="0"/>
            <c:spPr>
              <a:solidFill>
                <a:srgbClr val="2EB3A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84D-4383-9102-E849F2659994}"/>
              </c:ext>
            </c:extLst>
          </c:dPt>
          <c:dLbls>
            <c:dLbl>
              <c:idx val="0"/>
              <c:layout>
                <c:manualLayout>
                  <c:x val="1.1708661417322835E-2"/>
                  <c:y val="-0.2724621781827834"/>
                </c:manualLayout>
              </c:layout>
              <c:numFmt formatCode="0.00_I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35877246113465"/>
                      <c:h val="0.194531835205992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84D-4383-9102-E849F265999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4D-4383-9102-E849F2659994}"/>
                </c:ext>
              </c:extLst>
            </c:dLbl>
            <c:numFmt formatCode="0.00_I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Zkontrolované</c:v>
                </c:pt>
                <c:pt idx="1">
                  <c:v>Nezkontrolované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4D-4383-9102-E849F2659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FC85-9480-420F-B53F-1F5360BA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1AA7C-0434-4684-86DB-0FDC8F1C5AE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01DFAC-23B1-4C7F-B274-ECE4100A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F6F34-A24B-4C23-B909-ED74EFDF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5664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22/30 - Peněžní prostředky vynakládané v souvislosti s paliativní péčí</vt:lpstr>
    </vt:vector>
  </TitlesOfParts>
  <Company>NKÚ</Company>
  <LinksUpToDate>false</LinksUpToDate>
  <CharactersWithSpaces>39008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22/30 - Peněžní prostředky vynakládané v souvislosti s paliativní péčí</dc:title>
  <dc:subject>Kontrolní závěr z kontrolní akce NKÚ č. 22/30 - Peněžní prostředky vynakládané v souvislosti s paliativní péčí</dc:subject>
  <dc:creator>nku@NKU.cz</dc:creator>
  <cp:keywords>kontrolní závěr; paliativní péče</cp:keywords>
  <dc:description/>
  <cp:lastModifiedBy>KOKRDA Daniel</cp:lastModifiedBy>
  <cp:revision>5</cp:revision>
  <cp:lastPrinted>2023-10-03T05:15:00Z</cp:lastPrinted>
  <dcterms:created xsi:type="dcterms:W3CDTF">2023-10-03T05:12:00Z</dcterms:created>
  <dcterms:modified xsi:type="dcterms:W3CDTF">2023-10-03T05:15:00Z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18/11-NKU30/12/19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860/92/18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4.1.2019</vt:lpwstr>
  </property>
  <property fmtid="{D5CDD505-2E9C-101B-9397-08002B2CF9AE}" pid="12" name="DisplayName_CJCol">
    <vt:lpwstr>18/11-NKU30/12/19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19-172/NKU</vt:lpwstr>
  </property>
  <property fmtid="{D5CDD505-2E9C-101B-9397-08002B2CF9AE}" pid="18" name="Key_BarCode_Pisemnost">
    <vt:lpwstr>*B000327562*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18/11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kontrolního závěru 18/11 - do připomínek</vt:lpwstr>
  </property>
  <property fmtid="{D5CDD505-2E9C-101B-9397-08002B2CF9AE}" pid="36" name="Zkratka_SpisovyUzel_PoziceZodpo_Pisemnost">
    <vt:lpwstr>30</vt:lpwstr>
  </property>
</Properties>
</file>