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66F00" w14:textId="1946CEE7" w:rsidR="00635769" w:rsidRPr="0069391C" w:rsidRDefault="00635769" w:rsidP="00DA7F60">
      <w:pPr>
        <w:spacing w:after="0" w:line="240" w:lineRule="auto"/>
        <w:jc w:val="center"/>
        <w:rPr>
          <w:rFonts w:cstheme="minorHAnsi"/>
          <w:sz w:val="24"/>
          <w:szCs w:val="24"/>
        </w:rPr>
      </w:pPr>
      <w:bookmarkStart w:id="0" w:name="_GoBack"/>
      <w:bookmarkEnd w:id="0"/>
      <w:r w:rsidRPr="0069391C">
        <w:rPr>
          <w:noProof/>
          <w:sz w:val="24"/>
          <w:szCs w:val="24"/>
          <w:lang w:eastAsia="cs-CZ"/>
        </w:rPr>
        <w:drawing>
          <wp:anchor distT="0" distB="0" distL="114300" distR="114300" simplePos="0" relativeHeight="251658240" behindDoc="0" locked="0" layoutInCell="1" allowOverlap="1" wp14:anchorId="54D38F23" wp14:editId="532703B0">
            <wp:simplePos x="0" y="0"/>
            <wp:positionH relativeFrom="margin">
              <wp:posOffset>2479040</wp:posOffset>
            </wp:positionH>
            <wp:positionV relativeFrom="paragraph">
              <wp:posOffset>0</wp:posOffset>
            </wp:positionV>
            <wp:extent cx="792480" cy="559435"/>
            <wp:effectExtent l="0" t="0" r="7620" b="0"/>
            <wp:wrapTopAndBottom/>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92480" cy="559435"/>
                    </a:xfrm>
                    <a:prstGeom prst="rect">
                      <a:avLst/>
                    </a:prstGeom>
                    <a:noFill/>
                  </pic:spPr>
                </pic:pic>
              </a:graphicData>
            </a:graphic>
            <wp14:sizeRelV relativeFrom="margin">
              <wp14:pctHeight>0</wp14:pctHeight>
            </wp14:sizeRelV>
          </wp:anchor>
        </w:drawing>
      </w:r>
    </w:p>
    <w:p w14:paraId="160D463E" w14:textId="77777777" w:rsidR="00635769" w:rsidRPr="0069391C" w:rsidRDefault="00635769" w:rsidP="00DA7F60">
      <w:pPr>
        <w:spacing w:after="0" w:line="240" w:lineRule="auto"/>
        <w:jc w:val="center"/>
        <w:rPr>
          <w:rFonts w:cstheme="minorHAnsi"/>
          <w:sz w:val="24"/>
          <w:szCs w:val="24"/>
        </w:rPr>
      </w:pPr>
    </w:p>
    <w:p w14:paraId="164C7A17" w14:textId="77777777" w:rsidR="0069391C" w:rsidRPr="0069391C" w:rsidRDefault="0069391C" w:rsidP="00DA7F60">
      <w:pPr>
        <w:spacing w:after="0" w:line="240" w:lineRule="auto"/>
        <w:jc w:val="center"/>
        <w:rPr>
          <w:rFonts w:cstheme="minorHAnsi"/>
          <w:sz w:val="24"/>
          <w:szCs w:val="24"/>
        </w:rPr>
      </w:pPr>
    </w:p>
    <w:p w14:paraId="0EF4755D" w14:textId="77777777" w:rsidR="00036DCF" w:rsidRPr="00720CBA" w:rsidRDefault="00036DCF" w:rsidP="00DA7F60">
      <w:pPr>
        <w:pStyle w:val="Nadpis1"/>
        <w:keepLines w:val="0"/>
        <w:spacing w:before="0" w:line="240" w:lineRule="auto"/>
        <w:jc w:val="center"/>
        <w:rPr>
          <w:rFonts w:asciiTheme="minorHAnsi" w:eastAsia="Times New Roman" w:hAnsiTheme="minorHAnsi" w:cs="Times New Roman"/>
          <w:b/>
          <w:bCs/>
          <w:color w:val="auto"/>
          <w:sz w:val="28"/>
          <w:szCs w:val="34"/>
          <w:lang w:eastAsia="cs-CZ"/>
        </w:rPr>
      </w:pPr>
      <w:r w:rsidRPr="00720CBA">
        <w:rPr>
          <w:rFonts w:asciiTheme="minorHAnsi" w:eastAsia="Times New Roman" w:hAnsiTheme="minorHAnsi" w:cs="Times New Roman"/>
          <w:b/>
          <w:bCs/>
          <w:color w:val="auto"/>
          <w:sz w:val="28"/>
          <w:szCs w:val="34"/>
          <w:lang w:eastAsia="cs-CZ"/>
        </w:rPr>
        <w:t>Kontrolní závěr z kontrolní akce</w:t>
      </w:r>
    </w:p>
    <w:p w14:paraId="53471C51" w14:textId="77777777" w:rsidR="004F2B40" w:rsidRDefault="004F2B40" w:rsidP="00A20F64">
      <w:pPr>
        <w:spacing w:after="0" w:line="240" w:lineRule="auto"/>
        <w:jc w:val="center"/>
      </w:pPr>
    </w:p>
    <w:p w14:paraId="6A163DB8" w14:textId="023FD1DB" w:rsidR="00036DCF" w:rsidRPr="00EC3A0D" w:rsidRDefault="00284276" w:rsidP="00A20F64">
      <w:pPr>
        <w:spacing w:after="0" w:line="240" w:lineRule="auto"/>
        <w:jc w:val="center"/>
        <w:rPr>
          <w:rFonts w:cstheme="minorHAnsi"/>
          <w:b/>
          <w:sz w:val="28"/>
          <w:szCs w:val="28"/>
        </w:rPr>
      </w:pPr>
      <w:r>
        <w:rPr>
          <w:rFonts w:cstheme="minorHAnsi"/>
          <w:b/>
          <w:sz w:val="28"/>
          <w:szCs w:val="28"/>
        </w:rPr>
        <w:t>2</w:t>
      </w:r>
      <w:r w:rsidR="003C24F0">
        <w:rPr>
          <w:rFonts w:cstheme="minorHAnsi"/>
          <w:b/>
          <w:sz w:val="28"/>
          <w:szCs w:val="28"/>
        </w:rPr>
        <w:t>3</w:t>
      </w:r>
      <w:r w:rsidR="00036DCF" w:rsidRPr="00EC3A0D">
        <w:rPr>
          <w:rFonts w:cstheme="minorHAnsi"/>
          <w:b/>
          <w:sz w:val="28"/>
          <w:szCs w:val="28"/>
        </w:rPr>
        <w:t>/</w:t>
      </w:r>
      <w:r w:rsidR="003C24F0">
        <w:rPr>
          <w:rFonts w:cstheme="minorHAnsi"/>
          <w:b/>
          <w:sz w:val="28"/>
          <w:szCs w:val="28"/>
        </w:rPr>
        <w:t>0</w:t>
      </w:r>
      <w:r w:rsidR="0045046D">
        <w:rPr>
          <w:rFonts w:cstheme="minorHAnsi"/>
          <w:b/>
          <w:sz w:val="28"/>
          <w:szCs w:val="28"/>
        </w:rPr>
        <w:t>2</w:t>
      </w:r>
    </w:p>
    <w:p w14:paraId="724AA411" w14:textId="77777777" w:rsidR="00036DCF" w:rsidRDefault="00036DCF" w:rsidP="00A20F64">
      <w:pPr>
        <w:spacing w:after="0" w:line="240" w:lineRule="auto"/>
        <w:jc w:val="center"/>
      </w:pPr>
    </w:p>
    <w:p w14:paraId="7046B16E" w14:textId="2ACE104C" w:rsidR="00F11C48" w:rsidRPr="00585F49" w:rsidRDefault="00585F49" w:rsidP="00585F49">
      <w:pPr>
        <w:spacing w:after="0" w:line="240" w:lineRule="auto"/>
        <w:jc w:val="center"/>
        <w:rPr>
          <w:rFonts w:cstheme="minorHAnsi"/>
          <w:b/>
          <w:sz w:val="28"/>
          <w:szCs w:val="28"/>
        </w:rPr>
      </w:pPr>
      <w:r w:rsidRPr="00585F49">
        <w:rPr>
          <w:rFonts w:cstheme="minorHAnsi"/>
          <w:b/>
          <w:sz w:val="28"/>
          <w:szCs w:val="28"/>
        </w:rPr>
        <w:t xml:space="preserve">Peněžní prostředky státního rozpočtu určené na opatření </w:t>
      </w:r>
      <w:r w:rsidR="006C0C6A">
        <w:rPr>
          <w:rFonts w:cstheme="minorHAnsi"/>
          <w:b/>
          <w:sz w:val="28"/>
          <w:szCs w:val="28"/>
        </w:rPr>
        <w:br/>
      </w:r>
      <w:r w:rsidRPr="00585F49">
        <w:rPr>
          <w:rFonts w:cstheme="minorHAnsi"/>
          <w:b/>
          <w:sz w:val="28"/>
          <w:szCs w:val="28"/>
        </w:rPr>
        <w:t>v</w:t>
      </w:r>
      <w:r w:rsidR="006C0C6A">
        <w:rPr>
          <w:rFonts w:cstheme="minorHAnsi"/>
          <w:b/>
          <w:sz w:val="28"/>
          <w:szCs w:val="28"/>
        </w:rPr>
        <w:t> </w:t>
      </w:r>
      <w:r w:rsidRPr="00585F49">
        <w:rPr>
          <w:rFonts w:cstheme="minorHAnsi"/>
          <w:b/>
          <w:sz w:val="28"/>
          <w:szCs w:val="28"/>
        </w:rPr>
        <w:t>oblasti cestovního ruchu</w:t>
      </w:r>
    </w:p>
    <w:p w14:paraId="6311C6B0" w14:textId="3E53F6E5" w:rsidR="0069391C" w:rsidRDefault="0069391C" w:rsidP="0069391C">
      <w:pPr>
        <w:pStyle w:val="KPnormalni"/>
        <w:spacing w:before="0" w:after="0"/>
      </w:pPr>
    </w:p>
    <w:p w14:paraId="36338D61" w14:textId="77777777" w:rsidR="006C0C6A" w:rsidRPr="004F2B40" w:rsidRDefault="006C0C6A" w:rsidP="0069391C">
      <w:pPr>
        <w:pStyle w:val="KPnormalni"/>
        <w:spacing w:before="0" w:after="0"/>
      </w:pPr>
    </w:p>
    <w:p w14:paraId="3C004659" w14:textId="68F9BD88" w:rsidR="00036DCF" w:rsidRPr="004F2B40" w:rsidRDefault="00036DCF" w:rsidP="0069391C">
      <w:pPr>
        <w:pStyle w:val="KPnormalni"/>
        <w:spacing w:before="0" w:after="0"/>
      </w:pPr>
      <w:r w:rsidRPr="004F2B40">
        <w:t>Kontrolní akce byla zařazena do plánu kontrolní činnosti Nejvyššího kontrolního úřadu (dále také „NKÚ“) na rok 20</w:t>
      </w:r>
      <w:r w:rsidR="00284276">
        <w:t>2</w:t>
      </w:r>
      <w:r w:rsidR="00306874">
        <w:t>3</w:t>
      </w:r>
      <w:r w:rsidRPr="004F2B40">
        <w:t xml:space="preserve"> pod číslem </w:t>
      </w:r>
      <w:r w:rsidR="00306874">
        <w:t>23</w:t>
      </w:r>
      <w:r w:rsidRPr="004F2B40">
        <w:t>/</w:t>
      </w:r>
      <w:r w:rsidR="00306874">
        <w:t>0</w:t>
      </w:r>
      <w:r w:rsidR="0045046D">
        <w:t>2</w:t>
      </w:r>
      <w:r w:rsidRPr="004F2B40">
        <w:t>. Kontrolní akci řídil a kontrolní závěr vypracoval člen</w:t>
      </w:r>
      <w:r w:rsidR="00F755F0">
        <w:t> </w:t>
      </w:r>
      <w:r w:rsidRPr="004F2B40">
        <w:t xml:space="preserve">NKÚ </w:t>
      </w:r>
      <w:r w:rsidR="00306874">
        <w:t>RNDr. Vladimír Koníček.</w:t>
      </w:r>
    </w:p>
    <w:p w14:paraId="71979A32" w14:textId="77777777" w:rsidR="00036DCF" w:rsidRPr="004F2B40" w:rsidRDefault="00036DCF" w:rsidP="0069391C">
      <w:pPr>
        <w:pStyle w:val="KPnormalni"/>
        <w:spacing w:before="0" w:after="0"/>
      </w:pPr>
    </w:p>
    <w:p w14:paraId="609ADBF1" w14:textId="4348893E" w:rsidR="00B97C6C" w:rsidRDefault="00036DCF" w:rsidP="00B97C6C">
      <w:pPr>
        <w:pStyle w:val="KPnormalni"/>
        <w:spacing w:before="0" w:after="0"/>
      </w:pPr>
      <w:r w:rsidRPr="00284276">
        <w:rPr>
          <w:bCs/>
        </w:rPr>
        <w:t xml:space="preserve">Cílem </w:t>
      </w:r>
      <w:r w:rsidRPr="00DA574B">
        <w:t>kontroly</w:t>
      </w:r>
      <w:r w:rsidRPr="00284276">
        <w:rPr>
          <w:bCs/>
        </w:rPr>
        <w:t xml:space="preserve"> bylo </w:t>
      </w:r>
      <w:bookmarkStart w:id="1" w:name="_Hlk87435700"/>
      <w:r w:rsidR="0045046D">
        <w:t>p</w:t>
      </w:r>
      <w:r w:rsidR="0045046D" w:rsidRPr="00543EBF">
        <w:t xml:space="preserve">rověřit, </w:t>
      </w:r>
      <w:bookmarkStart w:id="2" w:name="_Hlk97728612"/>
      <w:r w:rsidR="0045046D" w:rsidRPr="00543EBF">
        <w:t>zda</w:t>
      </w:r>
      <w:bookmarkEnd w:id="1"/>
      <w:bookmarkEnd w:id="2"/>
      <w:r w:rsidR="00B97C6C">
        <w:t xml:space="preserve"> byly peněžní prostředky státního rozpočtu na opatření v oblasti cestovního ruchu vynakládány účelně, hospodárně a v souladu s právními předpisy.</w:t>
      </w:r>
    </w:p>
    <w:p w14:paraId="50C5EC49" w14:textId="77777777" w:rsidR="00756A50" w:rsidRDefault="00756A50" w:rsidP="00B97C6C">
      <w:pPr>
        <w:pStyle w:val="KPnormalni"/>
        <w:spacing w:before="0" w:after="0"/>
      </w:pPr>
    </w:p>
    <w:p w14:paraId="096D86C8" w14:textId="5406816A" w:rsidR="008A1B37" w:rsidRDefault="008A1B37" w:rsidP="008A1B37">
      <w:pPr>
        <w:pStyle w:val="KPnormalni"/>
        <w:spacing w:before="0" w:after="0"/>
      </w:pPr>
      <w:r w:rsidRPr="004D6D22">
        <w:t xml:space="preserve">Kontrola byla prováděna u kontrolovaných osob v období </w:t>
      </w:r>
      <w:r w:rsidRPr="00C929B5">
        <w:t>od ledna do srpna 2023</w:t>
      </w:r>
      <w:r w:rsidRPr="004D6D22">
        <w:t>.</w:t>
      </w:r>
    </w:p>
    <w:p w14:paraId="189F91A2" w14:textId="77777777" w:rsidR="00756A50" w:rsidRPr="004D6D22" w:rsidRDefault="00756A50" w:rsidP="008A1B37">
      <w:pPr>
        <w:pStyle w:val="KPnormalni"/>
        <w:spacing w:before="0" w:after="0"/>
      </w:pPr>
    </w:p>
    <w:p w14:paraId="4A652122" w14:textId="77777777" w:rsidR="008A1B37" w:rsidRDefault="008A1B37" w:rsidP="008A1B37">
      <w:pPr>
        <w:pStyle w:val="KPnormalni"/>
        <w:spacing w:before="0" w:after="0"/>
      </w:pPr>
      <w:r w:rsidRPr="004766D0">
        <w:t>Kontrolováno bylo období od roku 2017 do roku 2022, v případě věcných souvislostí i období předcházející a následující.</w:t>
      </w:r>
    </w:p>
    <w:p w14:paraId="7FE64D49" w14:textId="5EB27F66" w:rsidR="00284276" w:rsidRDefault="00284276" w:rsidP="0069391C">
      <w:pPr>
        <w:spacing w:after="0" w:line="240" w:lineRule="auto"/>
        <w:jc w:val="both"/>
        <w:rPr>
          <w:rFonts w:ascii="Calibri" w:hAnsi="Calibri" w:cs="Calibri"/>
          <w:bCs/>
          <w:sz w:val="24"/>
          <w:szCs w:val="24"/>
        </w:rPr>
      </w:pPr>
    </w:p>
    <w:p w14:paraId="00CE6405" w14:textId="77777777" w:rsidR="00B14DDA" w:rsidRDefault="00B14DDA" w:rsidP="0069391C">
      <w:pPr>
        <w:spacing w:after="0" w:line="240" w:lineRule="auto"/>
        <w:jc w:val="both"/>
        <w:rPr>
          <w:rFonts w:ascii="Calibri" w:hAnsi="Calibri" w:cs="Calibri"/>
          <w:bCs/>
          <w:sz w:val="24"/>
          <w:szCs w:val="24"/>
        </w:rPr>
      </w:pPr>
    </w:p>
    <w:p w14:paraId="412FF795" w14:textId="77777777" w:rsidR="00F11C48" w:rsidRPr="00026531" w:rsidRDefault="00022CA4" w:rsidP="0069391C">
      <w:pPr>
        <w:spacing w:after="0" w:line="240" w:lineRule="auto"/>
        <w:jc w:val="both"/>
        <w:rPr>
          <w:rFonts w:ascii="Calibri" w:hAnsi="Calibri" w:cs="Calibri"/>
          <w:b/>
          <w:sz w:val="24"/>
          <w:szCs w:val="24"/>
        </w:rPr>
      </w:pPr>
      <w:r w:rsidRPr="00026531">
        <w:rPr>
          <w:rFonts w:ascii="Calibri" w:hAnsi="Calibri" w:cs="Calibri"/>
          <w:b/>
          <w:sz w:val="24"/>
          <w:szCs w:val="24"/>
        </w:rPr>
        <w:t>Kontrolované osoby</w:t>
      </w:r>
      <w:r w:rsidR="00036DCF" w:rsidRPr="00026531">
        <w:rPr>
          <w:rFonts w:ascii="Calibri" w:hAnsi="Calibri" w:cs="Calibri"/>
          <w:b/>
          <w:sz w:val="24"/>
          <w:szCs w:val="24"/>
        </w:rPr>
        <w:t>:</w:t>
      </w:r>
    </w:p>
    <w:p w14:paraId="12EA29E7" w14:textId="77777777" w:rsidR="00284276" w:rsidRPr="00026531" w:rsidRDefault="00284276" w:rsidP="0069391C">
      <w:pPr>
        <w:pStyle w:val="KPodrazka1"/>
        <w:numPr>
          <w:ilvl w:val="0"/>
          <w:numId w:val="0"/>
        </w:numPr>
        <w:spacing w:before="0"/>
      </w:pPr>
      <w:r w:rsidRPr="00026531">
        <w:t xml:space="preserve">Ministerstvo pro místní rozvoj </w:t>
      </w:r>
      <w:r w:rsidR="0007424F" w:rsidRPr="00026531">
        <w:t>(dále také „</w:t>
      </w:r>
      <w:r w:rsidRPr="00026531">
        <w:t>MMR</w:t>
      </w:r>
      <w:r w:rsidR="0007424F" w:rsidRPr="00026531">
        <w:t>“);</w:t>
      </w:r>
    </w:p>
    <w:p w14:paraId="555730FF" w14:textId="3E0415A9" w:rsidR="0045046D" w:rsidRPr="00EE4A8F" w:rsidRDefault="0045046D" w:rsidP="0069391C">
      <w:pPr>
        <w:pStyle w:val="KPodrazka1"/>
        <w:numPr>
          <w:ilvl w:val="0"/>
          <w:numId w:val="0"/>
        </w:numPr>
        <w:spacing w:before="0"/>
      </w:pPr>
      <w:r w:rsidRPr="00EE4A8F">
        <w:t xml:space="preserve">vybraní příjemci podpory: </w:t>
      </w:r>
    </w:p>
    <w:p w14:paraId="64118606" w14:textId="2D72F91A" w:rsidR="00FF6645" w:rsidRPr="007B147B" w:rsidRDefault="00FF6645" w:rsidP="00FF6645">
      <w:pPr>
        <w:pStyle w:val="KPnormalni"/>
        <w:spacing w:before="0" w:after="0"/>
      </w:pPr>
      <w:r w:rsidRPr="007B147B">
        <w:t>Quo Invest s.r.o.</w:t>
      </w:r>
      <w:r w:rsidR="00681F36" w:rsidRPr="007B147B">
        <w:t>, Benešov</w:t>
      </w:r>
      <w:r w:rsidRPr="007B147B">
        <w:t xml:space="preserve">; </w:t>
      </w:r>
      <w:r w:rsidR="00681F36" w:rsidRPr="007B147B">
        <w:t>město Sedlčany</w:t>
      </w:r>
      <w:r w:rsidRPr="007B147B">
        <w:t xml:space="preserve">; Pavel </w:t>
      </w:r>
      <w:proofErr w:type="spellStart"/>
      <w:r w:rsidRPr="007B147B">
        <w:t>Víša</w:t>
      </w:r>
      <w:proofErr w:type="spellEnd"/>
      <w:r w:rsidR="00C051DF" w:rsidRPr="007B147B">
        <w:t xml:space="preserve">, </w:t>
      </w:r>
      <w:r w:rsidR="00A55D7A" w:rsidRPr="007B147B">
        <w:t>Chrášťany;</w:t>
      </w:r>
      <w:r w:rsidRPr="007B147B">
        <w:t xml:space="preserve"> G &amp; B </w:t>
      </w:r>
      <w:proofErr w:type="spellStart"/>
      <w:r w:rsidRPr="007B147B">
        <w:t>beads</w:t>
      </w:r>
      <w:proofErr w:type="spellEnd"/>
      <w:r w:rsidRPr="007B147B">
        <w:t>, s.r.o.</w:t>
      </w:r>
      <w:r w:rsidR="00C051DF" w:rsidRPr="007B147B">
        <w:t>, Jablonec nad Nisou</w:t>
      </w:r>
      <w:r w:rsidRPr="007B147B">
        <w:t>; Železniční společnost Tanvald o.p.s.</w:t>
      </w:r>
      <w:r w:rsidR="00C051DF" w:rsidRPr="007B147B">
        <w:t>, Tanvald</w:t>
      </w:r>
      <w:r w:rsidRPr="007B147B">
        <w:t>; Říp, o.p.s.</w:t>
      </w:r>
      <w:r w:rsidR="00130247" w:rsidRPr="007B147B">
        <w:t>, Roudnice nad Labem</w:t>
      </w:r>
      <w:r w:rsidRPr="007B147B">
        <w:t>; KŽC Doprava, s.r.o.</w:t>
      </w:r>
      <w:r w:rsidR="00B93659" w:rsidRPr="007B147B">
        <w:t>, Praha</w:t>
      </w:r>
      <w:r w:rsidRPr="007B147B">
        <w:t xml:space="preserve">; Sauna Třpyt, </w:t>
      </w:r>
      <w:proofErr w:type="spellStart"/>
      <w:r w:rsidRPr="007B147B">
        <w:t>z.s</w:t>
      </w:r>
      <w:proofErr w:type="spellEnd"/>
      <w:r w:rsidRPr="007B147B">
        <w:t>.</w:t>
      </w:r>
      <w:r w:rsidR="00B93659" w:rsidRPr="007B147B">
        <w:t>, Brno</w:t>
      </w:r>
      <w:r w:rsidRPr="007B147B">
        <w:t xml:space="preserve">; Dopravní podnik města Brna, a.s.; </w:t>
      </w:r>
      <w:r w:rsidR="00681F36" w:rsidRPr="007B147B">
        <w:t>město Prachatice</w:t>
      </w:r>
      <w:r w:rsidRPr="007B147B">
        <w:t xml:space="preserve">; </w:t>
      </w:r>
      <w:r w:rsidR="00681F36" w:rsidRPr="007B147B">
        <w:t>obec Val</w:t>
      </w:r>
      <w:r w:rsidRPr="007B147B">
        <w:t>; Posázaví o.p.s.</w:t>
      </w:r>
      <w:r w:rsidR="002C2D43" w:rsidRPr="007B147B">
        <w:t>,</w:t>
      </w:r>
      <w:r w:rsidR="00D7765B" w:rsidRPr="007B147B">
        <w:t xml:space="preserve"> Postupice</w:t>
      </w:r>
      <w:r w:rsidRPr="007B147B">
        <w:t>; Destinační agentura České středohoří, o.p.s.</w:t>
      </w:r>
      <w:r w:rsidR="000254ED" w:rsidRPr="007B147B">
        <w:t>, Litoměřice</w:t>
      </w:r>
      <w:r w:rsidRPr="007B147B">
        <w:t xml:space="preserve">; Centrála cestovního ruchu – Jižní Morava, </w:t>
      </w:r>
      <w:proofErr w:type="spellStart"/>
      <w:r w:rsidRPr="007B147B">
        <w:t>z.s.p.o</w:t>
      </w:r>
      <w:proofErr w:type="spellEnd"/>
      <w:r w:rsidRPr="007B147B">
        <w:t>.</w:t>
      </w:r>
      <w:r w:rsidR="000254ED" w:rsidRPr="007B147B">
        <w:t>, Brno</w:t>
      </w:r>
      <w:r w:rsidRPr="007B147B">
        <w:t>; Jihočeská centrála cestovního ruchu</w:t>
      </w:r>
      <w:r w:rsidR="000254ED" w:rsidRPr="007B147B">
        <w:t>, České Budějovice.</w:t>
      </w:r>
    </w:p>
    <w:p w14:paraId="3DBFC1DF" w14:textId="77777777" w:rsidR="00FF6645" w:rsidRPr="007B147B" w:rsidRDefault="00FF6645" w:rsidP="0069391C">
      <w:pPr>
        <w:pStyle w:val="KPodrazka1"/>
        <w:numPr>
          <w:ilvl w:val="0"/>
          <w:numId w:val="0"/>
        </w:numPr>
        <w:spacing w:before="0"/>
      </w:pPr>
    </w:p>
    <w:p w14:paraId="13CBB059" w14:textId="77777777" w:rsidR="004D6D22" w:rsidRPr="004766D0" w:rsidRDefault="004D6D22" w:rsidP="0069391C">
      <w:pPr>
        <w:pStyle w:val="KPnormalni"/>
        <w:spacing w:before="0" w:after="0"/>
      </w:pPr>
    </w:p>
    <w:p w14:paraId="65D30FF5" w14:textId="77777777" w:rsidR="00F11C48" w:rsidRPr="0046590B" w:rsidRDefault="00F11C48" w:rsidP="0069391C">
      <w:pPr>
        <w:pStyle w:val="KPnormalni"/>
        <w:spacing w:before="0" w:after="0"/>
      </w:pPr>
    </w:p>
    <w:p w14:paraId="6D1814D9" w14:textId="642F72A9" w:rsidR="00036DCF" w:rsidRPr="0046590B" w:rsidRDefault="00036DCF" w:rsidP="00A20F64">
      <w:pPr>
        <w:spacing w:line="240" w:lineRule="auto"/>
        <w:jc w:val="both"/>
        <w:rPr>
          <w:rFonts w:ascii="Calibri" w:hAnsi="Calibri" w:cs="Calibri"/>
          <w:sz w:val="24"/>
          <w:szCs w:val="24"/>
        </w:rPr>
      </w:pPr>
      <w:r w:rsidRPr="0046590B">
        <w:rPr>
          <w:rFonts w:ascii="Calibri" w:hAnsi="Calibri" w:cs="Calibri"/>
          <w:b/>
          <w:bCs/>
          <w:i/>
          <w:iCs/>
          <w:spacing w:val="60"/>
          <w:sz w:val="24"/>
          <w:szCs w:val="24"/>
        </w:rPr>
        <w:t>Kolegium</w:t>
      </w:r>
      <w:r w:rsidRPr="0046590B">
        <w:rPr>
          <w:rFonts w:ascii="Calibri" w:hAnsi="Calibri" w:cs="Calibri"/>
          <w:b/>
          <w:bCs/>
          <w:i/>
          <w:iCs/>
          <w:sz w:val="24"/>
          <w:szCs w:val="24"/>
        </w:rPr>
        <w:t xml:space="preserve">   </w:t>
      </w:r>
      <w:r w:rsidRPr="0046590B">
        <w:rPr>
          <w:rFonts w:ascii="Calibri" w:hAnsi="Calibri" w:cs="Calibri"/>
          <w:b/>
          <w:bCs/>
          <w:i/>
          <w:iCs/>
          <w:spacing w:val="60"/>
          <w:sz w:val="24"/>
          <w:szCs w:val="24"/>
        </w:rPr>
        <w:t>NKÚ</w:t>
      </w:r>
      <w:r w:rsidRPr="0046590B">
        <w:rPr>
          <w:rFonts w:ascii="Calibri" w:hAnsi="Calibri" w:cs="Calibri"/>
          <w:sz w:val="24"/>
          <w:szCs w:val="24"/>
        </w:rPr>
        <w:t xml:space="preserve">   na svém</w:t>
      </w:r>
      <w:r w:rsidR="009B4935">
        <w:rPr>
          <w:rFonts w:ascii="Calibri" w:hAnsi="Calibri" w:cs="Calibri"/>
          <w:sz w:val="24"/>
          <w:szCs w:val="24"/>
        </w:rPr>
        <w:t xml:space="preserve"> XVI</w:t>
      </w:r>
      <w:r w:rsidRPr="0046590B">
        <w:rPr>
          <w:rFonts w:ascii="Calibri" w:hAnsi="Calibri" w:cs="Calibri"/>
          <w:sz w:val="24"/>
          <w:szCs w:val="24"/>
        </w:rPr>
        <w:t>. jednání, které se konalo dne</w:t>
      </w:r>
      <w:r w:rsidR="001A0B55" w:rsidRPr="0046590B">
        <w:rPr>
          <w:rFonts w:ascii="Calibri" w:hAnsi="Calibri" w:cs="Calibri"/>
          <w:sz w:val="24"/>
          <w:szCs w:val="24"/>
        </w:rPr>
        <w:t xml:space="preserve"> </w:t>
      </w:r>
      <w:r w:rsidR="009B4935">
        <w:rPr>
          <w:rFonts w:ascii="Calibri" w:hAnsi="Calibri" w:cs="Calibri"/>
          <w:sz w:val="24"/>
          <w:szCs w:val="24"/>
        </w:rPr>
        <w:t xml:space="preserve">13. listopadu </w:t>
      </w:r>
      <w:r w:rsidR="001A0B55" w:rsidRPr="0046590B">
        <w:rPr>
          <w:rFonts w:ascii="Calibri" w:hAnsi="Calibri" w:cs="Calibri"/>
          <w:sz w:val="24"/>
          <w:szCs w:val="24"/>
        </w:rPr>
        <w:t>202</w:t>
      </w:r>
      <w:r w:rsidR="00FA7072" w:rsidRPr="0046590B">
        <w:rPr>
          <w:rFonts w:ascii="Calibri" w:hAnsi="Calibri" w:cs="Calibri"/>
          <w:sz w:val="24"/>
          <w:szCs w:val="24"/>
        </w:rPr>
        <w:t>3</w:t>
      </w:r>
      <w:r w:rsidR="001A0B55" w:rsidRPr="0046590B">
        <w:rPr>
          <w:rFonts w:ascii="Calibri" w:hAnsi="Calibri" w:cs="Calibri"/>
          <w:sz w:val="24"/>
          <w:szCs w:val="24"/>
        </w:rPr>
        <w:t>,</w:t>
      </w:r>
    </w:p>
    <w:p w14:paraId="4FE4C9C8" w14:textId="616606E1" w:rsidR="00036DCF" w:rsidRPr="0046590B" w:rsidRDefault="00036DCF" w:rsidP="00A20F64">
      <w:pPr>
        <w:spacing w:line="240" w:lineRule="auto"/>
        <w:jc w:val="both"/>
        <w:rPr>
          <w:rFonts w:ascii="Calibri" w:hAnsi="Calibri" w:cs="Calibri"/>
          <w:sz w:val="24"/>
          <w:szCs w:val="24"/>
        </w:rPr>
      </w:pPr>
      <w:r w:rsidRPr="0046590B">
        <w:rPr>
          <w:rFonts w:ascii="Calibri" w:hAnsi="Calibri" w:cs="Calibri"/>
          <w:b/>
          <w:bCs/>
          <w:i/>
          <w:iCs/>
          <w:spacing w:val="60"/>
          <w:sz w:val="24"/>
          <w:szCs w:val="24"/>
        </w:rPr>
        <w:t>schválilo</w:t>
      </w:r>
      <w:r w:rsidRPr="0046590B">
        <w:rPr>
          <w:rFonts w:ascii="Calibri" w:hAnsi="Calibri" w:cs="Calibri"/>
          <w:sz w:val="24"/>
          <w:szCs w:val="24"/>
        </w:rPr>
        <w:t xml:space="preserve">   usnesením č.</w:t>
      </w:r>
      <w:r w:rsidR="00F367A5">
        <w:rPr>
          <w:rFonts w:ascii="Calibri" w:hAnsi="Calibri" w:cs="Calibri"/>
          <w:sz w:val="24"/>
          <w:szCs w:val="24"/>
        </w:rPr>
        <w:t xml:space="preserve"> 6</w:t>
      </w:r>
      <w:r w:rsidR="009B4935">
        <w:rPr>
          <w:rFonts w:ascii="Calibri" w:hAnsi="Calibri" w:cs="Calibri"/>
          <w:sz w:val="24"/>
          <w:szCs w:val="24"/>
        </w:rPr>
        <w:t>/XVI</w:t>
      </w:r>
      <w:r w:rsidR="00B121DC" w:rsidRPr="0046590B">
        <w:rPr>
          <w:rFonts w:cstheme="minorHAnsi"/>
          <w:sz w:val="24"/>
        </w:rPr>
        <w:t>/202</w:t>
      </w:r>
      <w:r w:rsidR="00FA7072" w:rsidRPr="0046590B">
        <w:rPr>
          <w:rFonts w:cstheme="minorHAnsi"/>
          <w:sz w:val="24"/>
        </w:rPr>
        <w:t>3</w:t>
      </w:r>
    </w:p>
    <w:p w14:paraId="171DEEBA" w14:textId="77777777" w:rsidR="004F2B40" w:rsidRDefault="00036DCF" w:rsidP="00124B87">
      <w:pPr>
        <w:spacing w:line="240" w:lineRule="auto"/>
        <w:jc w:val="both"/>
        <w:rPr>
          <w:rFonts w:ascii="Calibri" w:hAnsi="Calibri" w:cs="Calibri"/>
          <w:sz w:val="24"/>
          <w:szCs w:val="24"/>
        </w:rPr>
      </w:pPr>
      <w:r w:rsidRPr="0046590B">
        <w:rPr>
          <w:rFonts w:ascii="Calibri" w:hAnsi="Calibri" w:cs="Calibri"/>
          <w:b/>
          <w:bCs/>
          <w:i/>
          <w:iCs/>
          <w:spacing w:val="60"/>
          <w:sz w:val="24"/>
          <w:szCs w:val="24"/>
        </w:rPr>
        <w:t>kontrolní</w:t>
      </w:r>
      <w:r w:rsidRPr="0046590B">
        <w:rPr>
          <w:rFonts w:ascii="Calibri" w:hAnsi="Calibri" w:cs="Calibri"/>
          <w:b/>
          <w:bCs/>
          <w:i/>
          <w:iCs/>
          <w:sz w:val="24"/>
          <w:szCs w:val="24"/>
        </w:rPr>
        <w:t xml:space="preserve">   </w:t>
      </w:r>
      <w:r w:rsidRPr="0046590B">
        <w:rPr>
          <w:rFonts w:ascii="Calibri" w:hAnsi="Calibri" w:cs="Calibri"/>
          <w:b/>
          <w:bCs/>
          <w:i/>
          <w:iCs/>
          <w:spacing w:val="60"/>
          <w:sz w:val="24"/>
          <w:szCs w:val="24"/>
        </w:rPr>
        <w:t>závěr</w:t>
      </w:r>
      <w:r w:rsidRPr="0046590B">
        <w:rPr>
          <w:rFonts w:ascii="Calibri" w:hAnsi="Calibri" w:cs="Calibri"/>
          <w:sz w:val="24"/>
          <w:szCs w:val="24"/>
        </w:rPr>
        <w:t xml:space="preserve">   v tomto znění:</w:t>
      </w:r>
    </w:p>
    <w:p w14:paraId="725C0CB7" w14:textId="77777777" w:rsidR="0069391C" w:rsidRDefault="0069391C">
      <w:pPr>
        <w:rPr>
          <w:rFonts w:ascii="Calibri" w:hAnsi="Calibri" w:cs="Calibri"/>
          <w:sz w:val="24"/>
          <w:szCs w:val="24"/>
        </w:rPr>
      </w:pPr>
      <w:r>
        <w:rPr>
          <w:rFonts w:ascii="Calibri" w:hAnsi="Calibri" w:cs="Calibri"/>
          <w:sz w:val="24"/>
          <w:szCs w:val="24"/>
        </w:rPr>
        <w:br w:type="page"/>
      </w:r>
    </w:p>
    <w:p w14:paraId="1ECCC4EC" w14:textId="77777777" w:rsidR="00DA7F60" w:rsidRPr="00DA7F60" w:rsidRDefault="00DA7F60" w:rsidP="00DA7F60">
      <w:pPr>
        <w:spacing w:after="0" w:line="240" w:lineRule="auto"/>
        <w:ind w:firstLine="142"/>
        <w:jc w:val="center"/>
        <w:rPr>
          <w:rStyle w:val="A4"/>
          <w:rFonts w:ascii="Calibri" w:hAnsi="Calibri" w:cs="Calibri"/>
          <w:b/>
          <w:color w:val="FFFFFF" w:themeColor="background1"/>
          <w:sz w:val="32"/>
          <w:szCs w:val="32"/>
          <w:highlight w:val="yellow"/>
        </w:rPr>
      </w:pPr>
    </w:p>
    <w:p w14:paraId="5060BCB2" w14:textId="00D9E13E" w:rsidR="000E1B3B" w:rsidRPr="00F7369F" w:rsidRDefault="000E1B3B" w:rsidP="00DA7F60">
      <w:pPr>
        <w:spacing w:after="0" w:line="240" w:lineRule="auto"/>
        <w:jc w:val="center"/>
        <w:rPr>
          <w:rStyle w:val="A4"/>
          <w:rFonts w:ascii="Calibri" w:hAnsi="Calibri" w:cs="Calibri"/>
          <w:b/>
          <w:color w:val="9CC2E5" w:themeColor="accent1" w:themeTint="99"/>
          <w:sz w:val="40"/>
          <w:szCs w:val="40"/>
        </w:rPr>
      </w:pPr>
      <w:r w:rsidRPr="00F7369F">
        <w:rPr>
          <w:rStyle w:val="A4"/>
          <w:rFonts w:ascii="Calibri" w:hAnsi="Calibri" w:cs="Calibri"/>
          <w:b/>
          <w:color w:val="9CC2E5" w:themeColor="accent1" w:themeTint="99"/>
          <w:sz w:val="40"/>
          <w:szCs w:val="40"/>
        </w:rPr>
        <w:t>P</w:t>
      </w:r>
      <w:r w:rsidR="00856CF5" w:rsidRPr="00F7369F">
        <w:rPr>
          <w:rStyle w:val="A4"/>
          <w:rFonts w:ascii="Calibri" w:hAnsi="Calibri" w:cs="Calibri"/>
          <w:b/>
          <w:color w:val="9CC2E5" w:themeColor="accent1" w:themeTint="99"/>
          <w:sz w:val="40"/>
          <w:szCs w:val="40"/>
        </w:rPr>
        <w:t>eněžní p</w:t>
      </w:r>
      <w:r w:rsidRPr="00F7369F">
        <w:rPr>
          <w:rStyle w:val="A4"/>
          <w:rFonts w:ascii="Calibri" w:hAnsi="Calibri" w:cs="Calibri"/>
          <w:b/>
          <w:color w:val="9CC2E5" w:themeColor="accent1" w:themeTint="99"/>
          <w:sz w:val="40"/>
          <w:szCs w:val="40"/>
        </w:rPr>
        <w:t xml:space="preserve">rostředky státního rozpočtu </w:t>
      </w:r>
      <w:r w:rsidR="00856CF5" w:rsidRPr="00F7369F">
        <w:rPr>
          <w:rStyle w:val="A4"/>
          <w:rFonts w:ascii="Calibri" w:hAnsi="Calibri" w:cs="Calibri"/>
          <w:b/>
          <w:color w:val="9CC2E5" w:themeColor="accent1" w:themeTint="99"/>
          <w:sz w:val="40"/>
          <w:szCs w:val="40"/>
        </w:rPr>
        <w:t>určené</w:t>
      </w:r>
      <w:r w:rsidRPr="00F7369F">
        <w:rPr>
          <w:rStyle w:val="A4"/>
          <w:rFonts w:ascii="Calibri" w:hAnsi="Calibri" w:cs="Calibri"/>
          <w:b/>
          <w:color w:val="9CC2E5" w:themeColor="accent1" w:themeTint="99"/>
          <w:sz w:val="40"/>
          <w:szCs w:val="40"/>
        </w:rPr>
        <w:t xml:space="preserve"> na</w:t>
      </w:r>
      <w:r w:rsidR="00856CF5" w:rsidRPr="00F7369F">
        <w:rPr>
          <w:rStyle w:val="A4"/>
          <w:rFonts w:ascii="Calibri" w:hAnsi="Calibri" w:cs="Calibri"/>
          <w:b/>
          <w:color w:val="9CC2E5" w:themeColor="accent1" w:themeTint="99"/>
          <w:sz w:val="40"/>
          <w:szCs w:val="40"/>
        </w:rPr>
        <w:t> opatření v oblasti cestovního ruchu</w:t>
      </w:r>
    </w:p>
    <w:p w14:paraId="6561C7DD" w14:textId="6692B6CE" w:rsidR="00856CF5" w:rsidRDefault="00856CF5" w:rsidP="00DA7F60">
      <w:pPr>
        <w:spacing w:after="0" w:line="240" w:lineRule="auto"/>
        <w:ind w:firstLine="142"/>
        <w:jc w:val="center"/>
        <w:rPr>
          <w:rStyle w:val="A4"/>
          <w:rFonts w:ascii="Calibri" w:hAnsi="Calibri" w:cs="Calibri"/>
          <w:b/>
          <w:color w:val="9CC2E5" w:themeColor="accent1" w:themeTint="99"/>
          <w:sz w:val="32"/>
          <w:szCs w:val="32"/>
          <w:highlight w:val="yellow"/>
        </w:rPr>
      </w:pPr>
    </w:p>
    <w:p w14:paraId="257BFACB" w14:textId="77777777" w:rsidR="00163BCC" w:rsidRPr="00C87B0B" w:rsidRDefault="00163BCC" w:rsidP="00DA7F60">
      <w:pPr>
        <w:spacing w:after="0" w:line="240" w:lineRule="auto"/>
        <w:ind w:firstLine="142"/>
        <w:jc w:val="center"/>
        <w:rPr>
          <w:rStyle w:val="A4"/>
          <w:rFonts w:ascii="Calibri" w:hAnsi="Calibri" w:cs="Calibri"/>
          <w:b/>
          <w:color w:val="9CC2E5" w:themeColor="accent1" w:themeTint="99"/>
          <w:sz w:val="32"/>
          <w:szCs w:val="32"/>
          <w:highlight w:val="yellow"/>
        </w:rPr>
      </w:pPr>
    </w:p>
    <w:tbl>
      <w:tblPr>
        <w:tblW w:w="9214" w:type="dxa"/>
        <w:jc w:val="center"/>
        <w:tblLayout w:type="fixed"/>
        <w:tblCellMar>
          <w:bottom w:w="57" w:type="dxa"/>
        </w:tblCellMar>
        <w:tblLook w:val="04A0" w:firstRow="1" w:lastRow="0" w:firstColumn="1" w:lastColumn="0" w:noHBand="0" w:noVBand="1"/>
      </w:tblPr>
      <w:tblGrid>
        <w:gridCol w:w="2268"/>
        <w:gridCol w:w="1843"/>
        <w:gridCol w:w="2835"/>
        <w:gridCol w:w="2268"/>
      </w:tblGrid>
      <w:tr w:rsidR="003B1BC3" w:rsidRPr="00C87B0B" w14:paraId="2B196F7F" w14:textId="77777777" w:rsidTr="006C0C6A">
        <w:trPr>
          <w:trHeight w:val="601"/>
          <w:jc w:val="center"/>
        </w:trPr>
        <w:tc>
          <w:tcPr>
            <w:tcW w:w="2268" w:type="dxa"/>
            <w:tcBorders>
              <w:top w:val="nil"/>
              <w:left w:val="nil"/>
              <w:bottom w:val="single" w:sz="4" w:space="0" w:color="4F81BD"/>
              <w:right w:val="single" w:sz="4" w:space="0" w:color="4F81BD"/>
            </w:tcBorders>
            <w:shd w:val="clear" w:color="auto" w:fill="E5F1FF"/>
            <w:vAlign w:val="center"/>
            <w:hideMark/>
          </w:tcPr>
          <w:p w14:paraId="643C43BB" w14:textId="2C539DD4" w:rsidR="003B1BC3" w:rsidRPr="00C87B0B" w:rsidRDefault="001901B6" w:rsidP="001C4632">
            <w:pPr>
              <w:pStyle w:val="Pa18"/>
              <w:spacing w:line="240" w:lineRule="auto"/>
              <w:jc w:val="center"/>
              <w:rPr>
                <w:rFonts w:cs="Calibri"/>
                <w:color w:val="000000"/>
                <w:sz w:val="28"/>
                <w:szCs w:val="28"/>
                <w:highlight w:val="yellow"/>
              </w:rPr>
            </w:pPr>
            <w:bookmarkStart w:id="3" w:name="_Hlk145416707"/>
            <w:r w:rsidRPr="001901B6">
              <w:rPr>
                <w:b/>
                <w:bCs/>
                <w:sz w:val="52"/>
                <w:szCs w:val="28"/>
              </w:rPr>
              <w:t>431,2</w:t>
            </w:r>
            <w:r w:rsidR="003B1BC3" w:rsidRPr="001901B6">
              <w:rPr>
                <w:b/>
                <w:bCs/>
                <w:sz w:val="28"/>
                <w:szCs w:val="28"/>
              </w:rPr>
              <w:t xml:space="preserve"> mil. Kč</w:t>
            </w:r>
          </w:p>
        </w:tc>
        <w:tc>
          <w:tcPr>
            <w:tcW w:w="1843" w:type="dxa"/>
            <w:tcBorders>
              <w:top w:val="nil"/>
              <w:left w:val="single" w:sz="4" w:space="0" w:color="4F81BD"/>
              <w:bottom w:val="single" w:sz="4" w:space="0" w:color="4F81BD"/>
              <w:right w:val="single" w:sz="4" w:space="0" w:color="4F81BD"/>
            </w:tcBorders>
            <w:shd w:val="clear" w:color="auto" w:fill="E5F1FF"/>
            <w:vAlign w:val="center"/>
            <w:hideMark/>
          </w:tcPr>
          <w:p w14:paraId="76FF495A" w14:textId="40A9AC05" w:rsidR="003B1BC3" w:rsidRPr="00C87B0B" w:rsidRDefault="001901B6" w:rsidP="001C4632">
            <w:pPr>
              <w:pStyle w:val="Pa18"/>
              <w:spacing w:line="240" w:lineRule="auto"/>
              <w:jc w:val="center"/>
              <w:rPr>
                <w:rFonts w:cs="Calibri"/>
                <w:b/>
                <w:color w:val="000000"/>
                <w:sz w:val="52"/>
                <w:szCs w:val="52"/>
                <w:highlight w:val="yellow"/>
              </w:rPr>
            </w:pPr>
            <w:r w:rsidRPr="001901B6">
              <w:rPr>
                <w:rFonts w:cs="Calibri"/>
                <w:b/>
                <w:color w:val="000000"/>
                <w:sz w:val="52"/>
                <w:szCs w:val="52"/>
              </w:rPr>
              <w:t>375</w:t>
            </w:r>
          </w:p>
        </w:tc>
        <w:tc>
          <w:tcPr>
            <w:tcW w:w="2835" w:type="dxa"/>
            <w:tcBorders>
              <w:top w:val="nil"/>
              <w:left w:val="single" w:sz="4" w:space="0" w:color="4F81BD"/>
              <w:bottom w:val="single" w:sz="4" w:space="0" w:color="4F81BD"/>
              <w:right w:val="single" w:sz="4" w:space="0" w:color="4F81BD"/>
            </w:tcBorders>
            <w:shd w:val="clear" w:color="auto" w:fill="E5F1FF"/>
            <w:vAlign w:val="center"/>
            <w:hideMark/>
          </w:tcPr>
          <w:p w14:paraId="3AADFB88" w14:textId="7B7CC427" w:rsidR="003B1BC3" w:rsidRPr="00C87B0B" w:rsidRDefault="008573D3" w:rsidP="001C4632">
            <w:pPr>
              <w:pStyle w:val="Pa18"/>
              <w:spacing w:line="240" w:lineRule="auto"/>
              <w:jc w:val="center"/>
              <w:rPr>
                <w:rStyle w:val="A14"/>
                <w:bCs/>
                <w:sz w:val="28"/>
                <w:szCs w:val="28"/>
                <w:highlight w:val="yellow"/>
              </w:rPr>
            </w:pPr>
            <w:r w:rsidRPr="008573D3">
              <w:rPr>
                <w:rStyle w:val="A14"/>
                <w:rFonts w:cs="Calibri"/>
                <w:bCs/>
                <w:sz w:val="52"/>
                <w:szCs w:val="52"/>
              </w:rPr>
              <w:t>956,6</w:t>
            </w:r>
            <w:r w:rsidR="003B1BC3" w:rsidRPr="008573D3">
              <w:rPr>
                <w:rStyle w:val="A14"/>
                <w:rFonts w:cs="Calibri"/>
                <w:bCs/>
                <w:sz w:val="28"/>
                <w:szCs w:val="28"/>
              </w:rPr>
              <w:t xml:space="preserve"> mil. Kč</w:t>
            </w:r>
          </w:p>
        </w:tc>
        <w:tc>
          <w:tcPr>
            <w:tcW w:w="2268" w:type="dxa"/>
            <w:tcBorders>
              <w:top w:val="nil"/>
              <w:left w:val="single" w:sz="4" w:space="0" w:color="4F81BD"/>
              <w:bottom w:val="single" w:sz="4" w:space="0" w:color="4F81BD"/>
              <w:right w:val="nil"/>
            </w:tcBorders>
            <w:shd w:val="clear" w:color="auto" w:fill="E5F1FF"/>
            <w:vAlign w:val="center"/>
            <w:hideMark/>
          </w:tcPr>
          <w:p w14:paraId="3F97515F" w14:textId="6984DF98" w:rsidR="003B1BC3" w:rsidRPr="00C87B0B" w:rsidRDefault="008B55E6" w:rsidP="001C4632">
            <w:pPr>
              <w:pStyle w:val="Pa18"/>
              <w:spacing w:line="240" w:lineRule="auto"/>
              <w:jc w:val="center"/>
              <w:rPr>
                <w:sz w:val="52"/>
                <w:szCs w:val="52"/>
                <w:highlight w:val="yellow"/>
              </w:rPr>
            </w:pPr>
            <w:r w:rsidRPr="008B55E6">
              <w:rPr>
                <w:rStyle w:val="A14"/>
                <w:rFonts w:cs="Calibri"/>
                <w:bCs/>
                <w:sz w:val="52"/>
                <w:szCs w:val="52"/>
              </w:rPr>
              <w:t>1 670</w:t>
            </w:r>
          </w:p>
        </w:tc>
      </w:tr>
      <w:tr w:rsidR="003B1BC3" w:rsidRPr="00C87B0B" w14:paraId="2FC1651F" w14:textId="77777777" w:rsidTr="006C0C6A">
        <w:trPr>
          <w:trHeight w:val="1245"/>
          <w:jc w:val="center"/>
        </w:trPr>
        <w:tc>
          <w:tcPr>
            <w:tcW w:w="2268" w:type="dxa"/>
            <w:tcBorders>
              <w:top w:val="single" w:sz="4" w:space="0" w:color="4F81BD"/>
              <w:left w:val="nil"/>
              <w:bottom w:val="nil"/>
              <w:right w:val="single" w:sz="4" w:space="0" w:color="4F81BD"/>
            </w:tcBorders>
            <w:shd w:val="clear" w:color="auto" w:fill="E5F1FF"/>
            <w:vAlign w:val="center"/>
            <w:hideMark/>
          </w:tcPr>
          <w:p w14:paraId="09D727A4" w14:textId="1E2BB425" w:rsidR="003B1BC3" w:rsidRPr="00A804EE" w:rsidRDefault="003B1BC3" w:rsidP="006C0C6A">
            <w:pPr>
              <w:pStyle w:val="Pa19"/>
              <w:spacing w:before="20" w:after="20" w:line="240" w:lineRule="auto"/>
              <w:ind w:left="-57" w:right="-57"/>
              <w:jc w:val="center"/>
              <w:rPr>
                <w:rFonts w:cs="Calibri"/>
                <w:color w:val="000000"/>
                <w:sz w:val="21"/>
                <w:szCs w:val="21"/>
              </w:rPr>
            </w:pPr>
            <w:r w:rsidRPr="00A804EE">
              <w:t xml:space="preserve">Prostředky </w:t>
            </w:r>
            <w:r w:rsidR="00A804EE" w:rsidRPr="00A804EE">
              <w:t>NPPCRR</w:t>
            </w:r>
            <w:r w:rsidR="00FF1157" w:rsidRPr="00A804EE">
              <w:rPr>
                <w:rStyle w:val="Znakapoznpodarou"/>
              </w:rPr>
              <w:footnoteReference w:id="2"/>
            </w:r>
            <w:r w:rsidRPr="00A804EE">
              <w:t xml:space="preserve"> vydané na podporu </w:t>
            </w:r>
            <w:r w:rsidR="00A804EE" w:rsidRPr="00A804EE">
              <w:t>cestovního ruchu</w:t>
            </w:r>
          </w:p>
        </w:tc>
        <w:tc>
          <w:tcPr>
            <w:tcW w:w="1843" w:type="dxa"/>
            <w:tcBorders>
              <w:top w:val="single" w:sz="4" w:space="0" w:color="4F81BD"/>
              <w:left w:val="single" w:sz="4" w:space="0" w:color="4F81BD"/>
              <w:bottom w:val="nil"/>
              <w:right w:val="single" w:sz="4" w:space="0" w:color="4F81BD"/>
            </w:tcBorders>
            <w:shd w:val="clear" w:color="auto" w:fill="E5F1FF"/>
            <w:vAlign w:val="center"/>
            <w:hideMark/>
          </w:tcPr>
          <w:p w14:paraId="1E188384" w14:textId="12A71916" w:rsidR="003B1BC3" w:rsidRPr="00A804EE" w:rsidRDefault="003B1BC3" w:rsidP="006C0C6A">
            <w:pPr>
              <w:pStyle w:val="Pa19"/>
              <w:spacing w:before="20" w:after="20" w:line="240" w:lineRule="auto"/>
              <w:ind w:left="-57" w:right="-57"/>
              <w:jc w:val="center"/>
              <w:rPr>
                <w:rFonts w:cs="Calibri"/>
                <w:color w:val="000000"/>
              </w:rPr>
            </w:pPr>
            <w:r w:rsidRPr="00A804EE">
              <w:rPr>
                <w:rFonts w:cs="Calibri"/>
                <w:color w:val="000000"/>
              </w:rPr>
              <w:t xml:space="preserve">Počet podpořených projektů </w:t>
            </w:r>
            <w:r w:rsidR="00A804EE" w:rsidRPr="00A804EE">
              <w:rPr>
                <w:rFonts w:cs="Calibri"/>
                <w:color w:val="000000"/>
              </w:rPr>
              <w:t>NPPCRR</w:t>
            </w:r>
          </w:p>
        </w:tc>
        <w:tc>
          <w:tcPr>
            <w:tcW w:w="2835" w:type="dxa"/>
            <w:tcBorders>
              <w:top w:val="single" w:sz="4" w:space="0" w:color="4F81BD"/>
              <w:left w:val="single" w:sz="4" w:space="0" w:color="4F81BD"/>
              <w:bottom w:val="nil"/>
              <w:right w:val="single" w:sz="4" w:space="0" w:color="4F81BD"/>
            </w:tcBorders>
            <w:shd w:val="clear" w:color="auto" w:fill="E5F1FF"/>
            <w:vAlign w:val="center"/>
            <w:hideMark/>
          </w:tcPr>
          <w:p w14:paraId="2D7A16A0" w14:textId="19FFEA97" w:rsidR="003B1BC3" w:rsidRPr="00A804EE" w:rsidRDefault="003B1BC3" w:rsidP="006C0C6A">
            <w:pPr>
              <w:pStyle w:val="Pa19"/>
              <w:spacing w:before="20" w:after="20" w:line="240" w:lineRule="auto"/>
              <w:ind w:left="-57" w:right="-57"/>
              <w:jc w:val="center"/>
              <w:rPr>
                <w:rFonts w:cs="Calibri"/>
                <w:color w:val="000000"/>
                <w:sz w:val="21"/>
                <w:szCs w:val="21"/>
              </w:rPr>
            </w:pPr>
            <w:r w:rsidRPr="00A804EE">
              <w:t xml:space="preserve">Prostředky </w:t>
            </w:r>
            <w:r w:rsidR="00A804EE" w:rsidRPr="00A804EE">
              <w:t>programů COVID</w:t>
            </w:r>
            <w:r w:rsidR="00FF1157" w:rsidRPr="00A804EE">
              <w:rPr>
                <w:rStyle w:val="Znakapoznpodarou"/>
              </w:rPr>
              <w:footnoteReference w:id="3"/>
            </w:r>
            <w:r w:rsidRPr="00A804EE">
              <w:t xml:space="preserve"> vydané na podporu </w:t>
            </w:r>
            <w:r w:rsidR="00A804EE" w:rsidRPr="00A804EE">
              <w:t>cestovního ruchu</w:t>
            </w:r>
          </w:p>
        </w:tc>
        <w:tc>
          <w:tcPr>
            <w:tcW w:w="2268" w:type="dxa"/>
            <w:tcBorders>
              <w:top w:val="single" w:sz="4" w:space="0" w:color="4F81BD"/>
              <w:left w:val="single" w:sz="4" w:space="0" w:color="4F81BD"/>
              <w:bottom w:val="nil"/>
              <w:right w:val="nil"/>
            </w:tcBorders>
            <w:shd w:val="clear" w:color="auto" w:fill="E5F1FF"/>
            <w:vAlign w:val="center"/>
            <w:hideMark/>
          </w:tcPr>
          <w:p w14:paraId="3FC2D064" w14:textId="542FB88C" w:rsidR="003B1BC3" w:rsidRPr="00A804EE" w:rsidRDefault="003B1BC3" w:rsidP="006C0C6A">
            <w:pPr>
              <w:pStyle w:val="Pa19"/>
              <w:spacing w:before="20" w:after="20" w:line="240" w:lineRule="auto"/>
              <w:ind w:left="-57" w:right="-57"/>
              <w:jc w:val="center"/>
              <w:rPr>
                <w:rFonts w:cs="Calibri"/>
                <w:color w:val="000000"/>
              </w:rPr>
            </w:pPr>
            <w:r w:rsidRPr="00A804EE">
              <w:rPr>
                <w:rFonts w:cs="Calibri"/>
                <w:color w:val="000000"/>
              </w:rPr>
              <w:t xml:space="preserve">Počet podpořených </w:t>
            </w:r>
            <w:r w:rsidR="005E292E">
              <w:rPr>
                <w:rFonts w:cs="Calibri"/>
                <w:color w:val="000000"/>
              </w:rPr>
              <w:t>žadatelů</w:t>
            </w:r>
            <w:r w:rsidRPr="00A804EE">
              <w:rPr>
                <w:rFonts w:cs="Calibri"/>
                <w:color w:val="000000"/>
              </w:rPr>
              <w:t xml:space="preserve"> </w:t>
            </w:r>
            <w:r w:rsidR="00A804EE" w:rsidRPr="00A804EE">
              <w:rPr>
                <w:rFonts w:cs="Calibri"/>
                <w:color w:val="000000"/>
              </w:rPr>
              <w:t>z programů COVID</w:t>
            </w:r>
          </w:p>
        </w:tc>
      </w:tr>
      <w:bookmarkEnd w:id="3"/>
    </w:tbl>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4111"/>
        <w:gridCol w:w="4628"/>
      </w:tblGrid>
      <w:tr w:rsidR="00D8471A" w:rsidRPr="00C87B0B" w14:paraId="73683DA2" w14:textId="77777777" w:rsidTr="00A84199">
        <w:trPr>
          <w:trHeight w:val="397"/>
        </w:trPr>
        <w:tc>
          <w:tcPr>
            <w:tcW w:w="4111" w:type="dxa"/>
          </w:tcPr>
          <w:p w14:paraId="6FAE6794" w14:textId="77777777" w:rsidR="00AB1382" w:rsidRDefault="00AB1382" w:rsidP="001C4632">
            <w:pPr>
              <w:rPr>
                <w:rStyle w:val="A4"/>
                <w:rFonts w:ascii="Calibri" w:hAnsi="Calibri" w:cs="Calibri"/>
                <w:b/>
                <w:color w:val="9CC2E5" w:themeColor="accent1" w:themeTint="99"/>
                <w:sz w:val="32"/>
                <w:szCs w:val="32"/>
                <w:highlight w:val="yellow"/>
              </w:rPr>
            </w:pPr>
          </w:p>
          <w:p w14:paraId="2656B92B" w14:textId="78A91DF8" w:rsidR="00D8471A" w:rsidRPr="00C87B0B" w:rsidRDefault="00D8471A" w:rsidP="001C4632">
            <w:pPr>
              <w:rPr>
                <w:rStyle w:val="A4"/>
                <w:rFonts w:ascii="Calibri" w:hAnsi="Calibri" w:cs="Calibri"/>
                <w:b/>
                <w:color w:val="9CC2E5" w:themeColor="accent1" w:themeTint="99"/>
                <w:sz w:val="32"/>
                <w:szCs w:val="32"/>
                <w:highlight w:val="yellow"/>
              </w:rPr>
            </w:pPr>
          </w:p>
        </w:tc>
        <w:tc>
          <w:tcPr>
            <w:tcW w:w="4628" w:type="dxa"/>
          </w:tcPr>
          <w:p w14:paraId="680A6F99" w14:textId="3A503AF7" w:rsidR="00D8471A" w:rsidRPr="00C87B0B" w:rsidRDefault="009E2153" w:rsidP="00D8471A">
            <w:pPr>
              <w:jc w:val="both"/>
              <w:rPr>
                <w:highlight w:val="yellow"/>
              </w:rPr>
            </w:pPr>
            <w:r>
              <w:rPr>
                <w:highlight w:val="yellow"/>
              </w:rPr>
              <w:br/>
            </w:r>
          </w:p>
        </w:tc>
      </w:tr>
      <w:tr w:rsidR="003B1BC3" w:rsidRPr="00C87B0B" w14:paraId="50F95F03" w14:textId="77777777" w:rsidTr="00DC5159">
        <w:trPr>
          <w:trHeight w:val="901"/>
        </w:trPr>
        <w:tc>
          <w:tcPr>
            <w:tcW w:w="4111" w:type="dxa"/>
            <w:hideMark/>
          </w:tcPr>
          <w:p w14:paraId="01117621" w14:textId="0AEF9F85" w:rsidR="003B1BC3" w:rsidRPr="00C87B0B" w:rsidRDefault="00367524" w:rsidP="001C4632">
            <w:pPr>
              <w:rPr>
                <w:b/>
                <w:highlight w:val="yellow"/>
              </w:rPr>
            </w:pPr>
            <w:r w:rsidRPr="00C87B0B">
              <w:rPr>
                <w:noProof/>
                <w:highlight w:val="yellow"/>
              </w:rPr>
              <mc:AlternateContent>
                <mc:Choice Requires="wps">
                  <w:drawing>
                    <wp:anchor distT="0" distB="0" distL="114300" distR="114300" simplePos="0" relativeHeight="251658241" behindDoc="0" locked="0" layoutInCell="1" allowOverlap="1" wp14:anchorId="1AC545D7" wp14:editId="7C2400F6">
                      <wp:simplePos x="0" y="0"/>
                      <wp:positionH relativeFrom="column">
                        <wp:posOffset>20023</wp:posOffset>
                      </wp:positionH>
                      <wp:positionV relativeFrom="paragraph">
                        <wp:posOffset>-103643</wp:posOffset>
                      </wp:positionV>
                      <wp:extent cx="1963420" cy="601924"/>
                      <wp:effectExtent l="0" t="0" r="17780" b="27305"/>
                      <wp:wrapNone/>
                      <wp:docPr id="17" name="Obdélník 17"/>
                      <wp:cNvGraphicFramePr/>
                      <a:graphic xmlns:a="http://schemas.openxmlformats.org/drawingml/2006/main">
                        <a:graphicData uri="http://schemas.microsoft.com/office/word/2010/wordprocessingShape">
                          <wps:wsp>
                            <wps:cNvSpPr/>
                            <wps:spPr>
                              <a:xfrm>
                                <a:off x="0" y="0"/>
                                <a:ext cx="1963420" cy="601924"/>
                              </a:xfrm>
                              <a:prstGeom prst="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5C9402" w14:textId="4362AB48" w:rsidR="000B72B3" w:rsidRDefault="000B72B3" w:rsidP="0086577A">
                                  <w:pPr>
                                    <w:spacing w:after="0" w:line="240" w:lineRule="auto"/>
                                    <w:jc w:val="center"/>
                                    <w:rPr>
                                      <w:color w:val="FFFFFF" w:themeColor="background1"/>
                                    </w:rPr>
                                  </w:pPr>
                                  <w:r>
                                    <w:rPr>
                                      <w:b/>
                                      <w:color w:val="FFFFFF" w:themeColor="background1"/>
                                    </w:rPr>
                                    <w:t>32 %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545D7" id="Obdélník 17" o:spid="_x0000_s1026" style="position:absolute;margin-left:1.6pt;margin-top:-8.15pt;width:154.6pt;height:47.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BmnQIAALwFAAAOAAAAZHJzL2Uyb0RvYy54bWysVMFu2zAMvQ/YPwi6r3bSLluDOkWQosOA&#10;oi3WDj0rshQbkyWNUmJnf7TDvqI/Nkqy3awrdijmg0xK5BP5RPLsvGsU2QlwtdEFnRzllAjNTVnr&#10;TUG/3l+++0iJ80yXTBktCroXjp4v3r45a+1cTE1lVCmAIIh289YWtPLezrPM8Uo0zB0ZKzQeSgMN&#10;86jCJiuBtYjeqGya57OsNVBaMFw4h7sX6ZAuIr6UgvsbKZ3wRBUUY/Nxhbiuw5otzth8A8xWNe/D&#10;YK+IomG1xktHqAvmGdlC/RdUU3Mwzkh/xE2TGSlrLmIOmM0kf5bNXcWsiLkgOc6ONLn/B8uvd7dA&#10;6hLf7gMlmjX4Rjfr8vGn0o+/vhHcRIZa6+ZoeGdvodcciiHdTkIT/pgI6SKr+5FV0XnCcXNyOjs+&#10;mSL5HM9m+eR0ehJAsydvC85/EqYhQSgo4KtFMtnuyvlkOpiEy5xRdXlZKxUV2KxXCsiO4Quv8vD1&#10;6H+YKf06T4wyuGaBgpR0lPxeiQCo9BchkT5McxpDjoUrxoAY50L7STqqWClSnO8PwwylHjwiJREw&#10;IEvMb8TuAQbLBDJgJ4J6++AqYt2Pzvm/AkvOo0e82Wg/Oje1NvASgMKs+puT/UBSoiaw5Lt1hyZB&#10;XJtyj3UGJjWgs/yyxre+Ys7fMsCOw/LAKeJvcJHKtAU1vURJZeDHS/vBHhsBTylpsYML6r5vGQhK&#10;1GeNLXI8C7VA/KECh8r6UNHbZmWwhCY4ryyPIjqDV4MowTQPOGyW4VY8Yprj3QXlHgZl5dNkwXHF&#10;xXIZzbDNLfNX+s7yAB4IDrV83z0wsH3Be2yVazN0O5s/q/tkGzy1WW69kXVsiidee+pxRMQa6sdZ&#10;mEGHerR6GrqL3wAAAP//AwBQSwMEFAAGAAgAAAAhAJqxEUrdAAAACAEAAA8AAABkcnMvZG93bnJl&#10;di54bWxMj81OwzAQhO9IvIO1SFyq1vlpSxWyqQoCiSsFxNVNljjCXkex26Rvj3sqx9GMZr4pt5M1&#10;4kSD7xwjpIsEBHHtmo5bhM+P1/kGhA+KG2UcE8KZPGyr25tSFY0b+Z1O+9CKWMK+UAg6hL6Q0tea&#10;rPIL1xNH78cNVoUoh1Y2gxpjuTUyS5K1tKrjuKBVT8+a6t/90SLQ2ZGeLd922dMLmdnE49f3akS8&#10;v5t2jyACTeEahgt+RIcqMh3ckRsvDEKexSDCPF3nIKKfp9kSxAHhYbMCWZXy/4HqDwAA//8DAFBL&#10;AQItABQABgAIAAAAIQC2gziS/gAAAOEBAAATAAAAAAAAAAAAAAAAAAAAAABbQ29udGVudF9UeXBl&#10;c10ueG1sUEsBAi0AFAAGAAgAAAAhADj9If/WAAAAlAEAAAsAAAAAAAAAAAAAAAAALwEAAF9yZWxz&#10;Ly5yZWxzUEsBAi0AFAAGAAgAAAAhAMPA4GadAgAAvAUAAA4AAAAAAAAAAAAAAAAALgIAAGRycy9l&#10;Mm9Eb2MueG1sUEsBAi0AFAAGAAgAAAAhAJqxEUrdAAAACAEAAA8AAAAAAAAAAAAAAAAA9wQAAGRy&#10;cy9kb3ducmV2LnhtbFBLBQYAAAAABAAEAPMAAAABBgAAAAA=&#10;" fillcolor="#c00000" strokecolor="#c00000" strokeweight="1pt">
                      <v:textbox inset="1mm,1mm,1mm,1mm">
                        <w:txbxContent>
                          <w:p w14:paraId="2A5C9402" w14:textId="4362AB48" w:rsidR="000B72B3" w:rsidRDefault="000B72B3" w:rsidP="0086577A">
                            <w:pPr>
                              <w:spacing w:after="0" w:line="240" w:lineRule="auto"/>
                              <w:jc w:val="center"/>
                              <w:rPr>
                                <w:color w:val="FFFFFF" w:themeColor="background1"/>
                              </w:rPr>
                            </w:pPr>
                            <w:r>
                              <w:rPr>
                                <w:b/>
                                <w:color w:val="FFFFFF" w:themeColor="background1"/>
                              </w:rPr>
                              <w:t>32 %</w:t>
                            </w:r>
                          </w:p>
                        </w:txbxContent>
                      </v:textbox>
                    </v:rect>
                  </w:pict>
                </mc:Fallback>
              </mc:AlternateContent>
            </w:r>
          </w:p>
        </w:tc>
        <w:tc>
          <w:tcPr>
            <w:tcW w:w="4628" w:type="dxa"/>
          </w:tcPr>
          <w:p w14:paraId="15ED7049" w14:textId="0758CEDB" w:rsidR="003B1BC3" w:rsidRPr="00C87B0B" w:rsidRDefault="00BE48FD" w:rsidP="006C0C6A">
            <w:pPr>
              <w:rPr>
                <w:highlight w:val="yellow"/>
              </w:rPr>
            </w:pPr>
            <w:r>
              <w:t>Šest</w:t>
            </w:r>
            <w:r w:rsidR="003B667C" w:rsidRPr="001D759E">
              <w:t xml:space="preserve"> </w:t>
            </w:r>
            <w:r w:rsidR="003B1BC3" w:rsidRPr="001D759E">
              <w:t>projektů</w:t>
            </w:r>
            <w:r w:rsidR="003B667C" w:rsidRPr="001D759E">
              <w:t xml:space="preserve"> </w:t>
            </w:r>
            <w:r w:rsidR="003B1BC3" w:rsidRPr="001D759E">
              <w:t xml:space="preserve">posouzených NKÚ jako neúčelné </w:t>
            </w:r>
            <w:r w:rsidR="000D1994">
              <w:br/>
            </w:r>
            <w:r w:rsidR="003B1BC3" w:rsidRPr="001D759E">
              <w:t>nebo omezeně účelné</w:t>
            </w:r>
            <w:r w:rsidR="00256FEC" w:rsidRPr="001D759E">
              <w:t xml:space="preserve">, </w:t>
            </w:r>
            <w:r w:rsidR="003B1BC3" w:rsidRPr="001D759E">
              <w:t>z celkového počtu</w:t>
            </w:r>
            <w:r w:rsidR="00BB2907">
              <w:t xml:space="preserve"> </w:t>
            </w:r>
            <w:r>
              <w:br/>
            </w:r>
            <w:r w:rsidR="00BB2907">
              <w:t>19</w:t>
            </w:r>
            <w:r w:rsidR="003B1BC3" w:rsidRPr="001D759E">
              <w:t xml:space="preserve"> hodnocených projektů</w:t>
            </w:r>
            <w:r w:rsidR="007437F6">
              <w:t xml:space="preserve"> NPPCRR</w:t>
            </w:r>
            <w:r w:rsidR="003B1BC3" w:rsidRPr="001D759E">
              <w:t>.</w:t>
            </w:r>
          </w:p>
        </w:tc>
      </w:tr>
      <w:tr w:rsidR="003B1BC3" w:rsidRPr="00C87B0B" w14:paraId="3014355C" w14:textId="77777777" w:rsidTr="00DC51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276"/>
        </w:trPr>
        <w:tc>
          <w:tcPr>
            <w:tcW w:w="4111" w:type="dxa"/>
            <w:tcBorders>
              <w:top w:val="nil"/>
              <w:left w:val="nil"/>
              <w:bottom w:val="nil"/>
              <w:right w:val="nil"/>
            </w:tcBorders>
            <w:hideMark/>
          </w:tcPr>
          <w:p w14:paraId="09BEC7CE" w14:textId="5150991D" w:rsidR="003B1BC3" w:rsidRPr="00C87B0B" w:rsidRDefault="000D1994" w:rsidP="001C4632">
            <w:pPr>
              <w:rPr>
                <w:highlight w:val="yellow"/>
              </w:rPr>
            </w:pPr>
            <w:r w:rsidRPr="00C87B0B">
              <w:rPr>
                <w:noProof/>
                <w:highlight w:val="yellow"/>
              </w:rPr>
              <mc:AlternateContent>
                <mc:Choice Requires="wps">
                  <w:drawing>
                    <wp:anchor distT="0" distB="0" distL="114300" distR="114300" simplePos="0" relativeHeight="251658242" behindDoc="0" locked="0" layoutInCell="1" allowOverlap="1" wp14:anchorId="4AB48015" wp14:editId="7391D597">
                      <wp:simplePos x="0" y="0"/>
                      <wp:positionH relativeFrom="column">
                        <wp:posOffset>25308</wp:posOffset>
                      </wp:positionH>
                      <wp:positionV relativeFrom="paragraph">
                        <wp:posOffset>24156</wp:posOffset>
                      </wp:positionV>
                      <wp:extent cx="1963420" cy="655408"/>
                      <wp:effectExtent l="0" t="0" r="17780" b="11430"/>
                      <wp:wrapNone/>
                      <wp:docPr id="1" name="Obdélník 1"/>
                      <wp:cNvGraphicFramePr/>
                      <a:graphic xmlns:a="http://schemas.openxmlformats.org/drawingml/2006/main">
                        <a:graphicData uri="http://schemas.microsoft.com/office/word/2010/wordprocessingShape">
                          <wps:wsp>
                            <wps:cNvSpPr/>
                            <wps:spPr>
                              <a:xfrm>
                                <a:off x="0" y="0"/>
                                <a:ext cx="1963420" cy="655408"/>
                              </a:xfrm>
                              <a:prstGeom prst="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ECC31C" w14:textId="39C81FF4" w:rsidR="000B72B3" w:rsidRDefault="000B72B3" w:rsidP="0086577A">
                                  <w:pPr>
                                    <w:spacing w:after="0" w:line="240" w:lineRule="auto"/>
                                    <w:jc w:val="center"/>
                                    <w:rPr>
                                      <w:color w:val="FFFFFF" w:themeColor="background1"/>
                                    </w:rPr>
                                  </w:pPr>
                                  <w:r>
                                    <w:rPr>
                                      <w:b/>
                                      <w:color w:val="FFFFFF" w:themeColor="background1"/>
                                    </w:rPr>
                                    <w:t>18 %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48015" id="Obdélník 1" o:spid="_x0000_s1027" style="position:absolute;margin-left:2pt;margin-top:1.9pt;width:154.6pt;height:51.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Ss/ngIAAMEFAAAOAAAAZHJzL2Uyb0RvYy54bWysVMFu2zAMvQ/YPwi6r3bSNuiCOkWQosOA&#10;oi3WDj0rshQbkyWNUmJnf7TDvqI/Nkqy3awrdijmg0xK5BP5RPL8omsU2QlwtdEFnRzllAjNTVnr&#10;TUG/Plx9OKPEeaZLpowWBd0LRy8W79+dt3YupqYyqhRAEES7eWsLWnlv51nmeCUa5o6MFRoPpYGG&#10;eVRhk5XAWkRvVDbN81nWGigtGC6cw93LdEgXEV9Kwf2tlE54ogqKsfm4QlzXYc0W52y+AWarmvdh&#10;sDdE0bBa46Uj1CXzjGyh/guqqTkYZ6Q/4qbJjJQ1FzEHzGaSv8jmvmJWxFyQHGdHmtz/g+U3uzsg&#10;dYlvR4lmDT7R7bp8+qn0069vZBL4aa2bo9m9vYNecyiGZDsJTfhjGqSLnO5HTkXnCcfNycfZ8ckU&#10;qed4Njs9PcnPAmj27G3B+U/CNCQIBQV8s0gl2107n0wHk3CZM6our2qlogKb9UoB2TF831Uevh79&#10;DzOl3+aJUQbXLFCQko6S3ysRAJX+IiSSh2lOY8ixbMUYEONcaD9JRxUrRYrz9DDMUOjBI1ISAQOy&#10;xPxG7B5gsEwgA3YiqLcPriJW/eic/yuw5Dx6xJuN9qNzU2sDrwEozKq/OdkPJCVqAku+W3d9YaFl&#10;2Fmbco/FBiZ1obP8qsYnv2bO3zHAtsMqwVHib3GRyrQFNb1ESWXgx2v7wR67AU8pabGNC+q+bxkI&#10;StRnjX1yPAslQfyhAofK+lDR22ZlsJKwFzC6KKIzeDWIEkzziBNnGW7FI6Y53l1Q7mFQVj6NF5xZ&#10;XCyX0Qx73TJ/re8tD+CB51DSD90jA9vXvceOuTFDy7P5i/JPtsFTm+XWG1nH3njmtX8BnBOxlPqZ&#10;FgbRoR6tnifv4jcAAAD//wMAUEsDBBQABgAIAAAAIQCLL60Q2wAAAAcBAAAPAAAAZHJzL2Rvd25y&#10;ZXYueG1sTI/NTsMwEITvSLyDtUhcKmo3KT8KcaqCQOJKAXF14yWOsNdR7Dbp27Oc4Dia0cw39WYO&#10;XhxxTH0kDaulAoHURttTp+H97fnqDkTKhqzxkVDDCRNsmvOz2lQ2TvSKx13uBJdQqowGl/NQSZla&#10;h8GkZRyQ2PuKYzCZ5dhJO5qJy4OXhVI3MpieeMGZAR8dtt+7Q9CAp4husX7ZFg9P6BczTR+f15PW&#10;lxfz9h5Exjn/heEXn9GhYaZ9PJBNwmtY85OsoWR+dstVWYDYc0zdKpBNLf/zNz8AAAD//wMAUEsB&#10;Ai0AFAAGAAgAAAAhALaDOJL+AAAA4QEAABMAAAAAAAAAAAAAAAAAAAAAAFtDb250ZW50X1R5cGVz&#10;XS54bWxQSwECLQAUAAYACAAAACEAOP0h/9YAAACUAQAACwAAAAAAAAAAAAAAAAAvAQAAX3JlbHMv&#10;LnJlbHNQSwECLQAUAAYACAAAACEAxjUrP54CAADBBQAADgAAAAAAAAAAAAAAAAAuAgAAZHJzL2Uy&#10;b0RvYy54bWxQSwECLQAUAAYACAAAACEAiy+tENsAAAAHAQAADwAAAAAAAAAAAAAAAAD4BAAAZHJz&#10;L2Rvd25yZXYueG1sUEsFBgAAAAAEAAQA8wAAAAAGAAAAAA==&#10;" fillcolor="#c00000" strokecolor="#c00000" strokeweight="1pt">
                      <v:textbox inset="1mm,1mm,1mm,1mm">
                        <w:txbxContent>
                          <w:p w14:paraId="65ECC31C" w14:textId="39C81FF4" w:rsidR="000B72B3" w:rsidRDefault="000B72B3" w:rsidP="0086577A">
                            <w:pPr>
                              <w:spacing w:after="0" w:line="240" w:lineRule="auto"/>
                              <w:jc w:val="center"/>
                              <w:rPr>
                                <w:color w:val="FFFFFF" w:themeColor="background1"/>
                              </w:rPr>
                            </w:pPr>
                            <w:r>
                              <w:rPr>
                                <w:b/>
                                <w:color w:val="FFFFFF" w:themeColor="background1"/>
                              </w:rPr>
                              <w:t>18 %</w:t>
                            </w:r>
                          </w:p>
                        </w:txbxContent>
                      </v:textbox>
                    </v:rect>
                  </w:pict>
                </mc:Fallback>
              </mc:AlternateContent>
            </w:r>
            <w:r w:rsidRPr="00C87B0B">
              <w:rPr>
                <w:noProof/>
                <w:highlight w:val="yellow"/>
              </w:rPr>
              <mc:AlternateContent>
                <mc:Choice Requires="wps">
                  <w:drawing>
                    <wp:anchor distT="0" distB="0" distL="114300" distR="114300" simplePos="0" relativeHeight="251658243" behindDoc="0" locked="0" layoutInCell="1" allowOverlap="1" wp14:anchorId="097E6B3F" wp14:editId="18EA08BD">
                      <wp:simplePos x="0" y="0"/>
                      <wp:positionH relativeFrom="column">
                        <wp:posOffset>25308</wp:posOffset>
                      </wp:positionH>
                      <wp:positionV relativeFrom="paragraph">
                        <wp:posOffset>864557</wp:posOffset>
                      </wp:positionV>
                      <wp:extent cx="1963420" cy="602553"/>
                      <wp:effectExtent l="0" t="0" r="17780" b="26670"/>
                      <wp:wrapNone/>
                      <wp:docPr id="5" name="Obdélník 5"/>
                      <wp:cNvGraphicFramePr/>
                      <a:graphic xmlns:a="http://schemas.openxmlformats.org/drawingml/2006/main">
                        <a:graphicData uri="http://schemas.microsoft.com/office/word/2010/wordprocessingShape">
                          <wps:wsp>
                            <wps:cNvSpPr/>
                            <wps:spPr>
                              <a:xfrm>
                                <a:off x="0" y="0"/>
                                <a:ext cx="1963420" cy="602553"/>
                              </a:xfrm>
                              <a:prstGeom prst="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8E517E" w14:textId="6B4B1681" w:rsidR="000B72B3" w:rsidRPr="00786145" w:rsidRDefault="000B72B3" w:rsidP="0086577A">
                                  <w:pPr>
                                    <w:spacing w:after="0" w:line="240" w:lineRule="auto"/>
                                    <w:jc w:val="center"/>
                                    <w:rPr>
                                      <w:b/>
                                      <w:color w:val="FFFFFF" w:themeColor="background1"/>
                                    </w:rPr>
                                  </w:pPr>
                                  <w:r>
                                    <w:rPr>
                                      <w:b/>
                                      <w:color w:val="FFFFFF" w:themeColor="background1"/>
                                    </w:rPr>
                                    <w:t>26 %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E6B3F" id="Obdélník 5" o:spid="_x0000_s1028" style="position:absolute;margin-left:2pt;margin-top:68.1pt;width:154.6pt;height:47.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W6nwIAAMEFAAAOAAAAZHJzL2Uyb0RvYy54bWysVM1u2zAMvg/YOwi6r3bSJdiCOkWQosOA&#10;oi3WDj0rshQb098oJXb2RjvsKfpio+SfZl2xQzEfZFIiP5GfSJ6dt1qRvQBfW1PQyUlOiTDclrXZ&#10;FvTr/eW7D5T4wEzJlDWioAfh6fny7Zuzxi3E1FZWlQIIghi/aFxBqxDcIss8r4Rm/sQ6YfBQWtAs&#10;oArbrATWILpW2TTP51ljoXRgufAedy+6Q7pM+FIKHm6k9CIQVVCMLaQV0rqJa7Y8Y4stMFfVvA+D&#10;vSIKzWqDl45QFywwsoP6Lyhdc7DeynDCrc6slDUXKQfMZpI/y+auYk6kXJAc70aa/P+D5df7WyB1&#10;WdAZJYZpfKKbTfn4U5nHX9/ILPLTOL9Aszt3C73mUYzJthJ0/GMapE2cHkZORRsIx83Jx/np+ylS&#10;z/Fsnk9ns9MImj15O/Dhk7CaRKGggG+WqGT7Kx8608EkXuatqsvLWqmkwHazVkD2DN93ncevR//D&#10;TJnXeWKU0TWLFHRJJykclIiAynwREsnDNKcp5FS2YgyIcS5MmHRHFStFF+fsOMxY6NEjUZIAI7LE&#10;/EbsHmCw7EAG7I6g3j66ilT1o3P+r8A659Ej3WxNGJ11bSy8BKAwq/7mzn4gqaMmshTaTZsKaxot&#10;487GlgcsNrBdF3rHL2t88ivmwy0DbDusEhwl4QYXqWxTUNtLlFQWfry0H+2xG/CUkgbbuKD++46B&#10;oER9Ntgnp/NYEiQcK3CsbI4Vs9Nri5U0waHleBLRGYIaRAlWP+DEWcVb8YgZjncXlAcYlHXoxgvO&#10;LC5Wq2SGve5YuDJ3jkfwyHMs6fv2gYHr6z5gx1zboeXZ4ln5d7bR09jVLlhZp9544rV/AZwTqZT6&#10;mRYH0bGerJ4m7/I3AAAA//8DAFBLAwQUAAYACAAAACEAmJlkm90AAAAJAQAADwAAAGRycy9kb3du&#10;cmV2LnhtbEyPzU7DMBCE70i8g7VIXCrq/JSqCnGqgkDiSgH16sZLHGGvo9ht0rdnOcFtd2c0+029&#10;nb0TZxxjH0hBvsxAILXB9NQp+Hh/uduAiEmT0S4QKrhghG1zfVXryoSJ3vC8T53gEIqVVmBTGiop&#10;Y2vR67gMAxJrX2H0OvE6dtKMeuJw72SRZWvpdU/8weoBnyy23/uTV4CXgHaxet0Vj8/oFjNNn4f7&#10;Sanbm3n3ACLhnP7M8IvP6NAw0zGcyEThFKy4SeJzuS5AsF7mJQ9HBUWZ5yCbWv5v0PwAAAD//wMA&#10;UEsBAi0AFAAGAAgAAAAhALaDOJL+AAAA4QEAABMAAAAAAAAAAAAAAAAAAAAAAFtDb250ZW50X1R5&#10;cGVzXS54bWxQSwECLQAUAAYACAAAACEAOP0h/9YAAACUAQAACwAAAAAAAAAAAAAAAAAvAQAAX3Jl&#10;bHMvLnJlbHNQSwECLQAUAAYACAAAACEAkkflup8CAADBBQAADgAAAAAAAAAAAAAAAAAuAgAAZHJz&#10;L2Uyb0RvYy54bWxQSwECLQAUAAYACAAAACEAmJlkm90AAAAJAQAADwAAAAAAAAAAAAAAAAD5BAAA&#10;ZHJzL2Rvd25yZXYueG1sUEsFBgAAAAAEAAQA8wAAAAMGAAAAAA==&#10;" fillcolor="#c00000" strokecolor="#c00000" strokeweight="1pt">
                      <v:textbox inset="1mm,1mm,1mm,1mm">
                        <w:txbxContent>
                          <w:p w14:paraId="368E517E" w14:textId="6B4B1681" w:rsidR="000B72B3" w:rsidRPr="00786145" w:rsidRDefault="000B72B3" w:rsidP="0086577A">
                            <w:pPr>
                              <w:spacing w:after="0" w:line="240" w:lineRule="auto"/>
                              <w:jc w:val="center"/>
                              <w:rPr>
                                <w:b/>
                                <w:color w:val="FFFFFF" w:themeColor="background1"/>
                              </w:rPr>
                            </w:pPr>
                            <w:r>
                              <w:rPr>
                                <w:b/>
                                <w:color w:val="FFFFFF" w:themeColor="background1"/>
                              </w:rPr>
                              <w:t>26 %</w:t>
                            </w:r>
                          </w:p>
                        </w:txbxContent>
                      </v:textbox>
                    </v:rect>
                  </w:pict>
                </mc:Fallback>
              </mc:AlternateContent>
            </w:r>
          </w:p>
        </w:tc>
        <w:tc>
          <w:tcPr>
            <w:tcW w:w="4628" w:type="dxa"/>
            <w:tcBorders>
              <w:top w:val="nil"/>
              <w:left w:val="nil"/>
              <w:bottom w:val="nil"/>
              <w:right w:val="nil"/>
            </w:tcBorders>
          </w:tcPr>
          <w:p w14:paraId="67E4138A" w14:textId="45334246" w:rsidR="003B1BC3" w:rsidRPr="00A34EC5" w:rsidRDefault="00BE48FD" w:rsidP="000D1994">
            <w:pPr>
              <w:spacing w:after="240"/>
            </w:pPr>
            <w:r>
              <w:t>Tři</w:t>
            </w:r>
            <w:r w:rsidR="001D759E" w:rsidRPr="00A34EC5">
              <w:t xml:space="preserve"> projekty </w:t>
            </w:r>
            <w:r w:rsidR="007437F6">
              <w:t xml:space="preserve">NPPCRR </w:t>
            </w:r>
            <w:r w:rsidR="001D759E" w:rsidRPr="00A34EC5">
              <w:t xml:space="preserve">posouzené NKÚ jako nehospodárné z celkového počtu </w:t>
            </w:r>
            <w:r w:rsidR="000D1994">
              <w:br/>
            </w:r>
            <w:r w:rsidR="001D759E" w:rsidRPr="00A34EC5">
              <w:t>17 hodnocených projektů.</w:t>
            </w:r>
            <w:r w:rsidR="006F1CB5">
              <w:t xml:space="preserve"> </w:t>
            </w:r>
            <w:r w:rsidR="000D1994">
              <w:br/>
            </w:r>
            <w:r w:rsidR="006F1CB5">
              <w:t>Dva projekty nebyly hodnoceny.</w:t>
            </w:r>
          </w:p>
          <w:p w14:paraId="07B8B692" w14:textId="5A825E01" w:rsidR="003B1BC3" w:rsidRDefault="00821904" w:rsidP="006C0C6A">
            <w:pPr>
              <w:spacing w:before="120"/>
              <w:rPr>
                <w:highlight w:val="yellow"/>
              </w:rPr>
            </w:pPr>
            <w:r w:rsidRPr="00821904">
              <w:t xml:space="preserve">U </w:t>
            </w:r>
            <w:r w:rsidR="009C2A63">
              <w:t>pěti</w:t>
            </w:r>
            <w:r w:rsidRPr="00821904">
              <w:t xml:space="preserve"> z 19 prověřovaných projektů </w:t>
            </w:r>
            <w:r w:rsidR="007437F6">
              <w:t xml:space="preserve">NPPCRR </w:t>
            </w:r>
            <w:r w:rsidR="000D1994">
              <w:br/>
            </w:r>
            <w:r w:rsidRPr="00821904">
              <w:t>zjistil NKÚ skutečnosti nasvědčující porušení rozpočtové kázně</w:t>
            </w:r>
            <w:r w:rsidR="003B1BC3" w:rsidRPr="00821904">
              <w:t>.</w:t>
            </w:r>
          </w:p>
          <w:p w14:paraId="04C90D69" w14:textId="5F6D407F" w:rsidR="003B1BC3" w:rsidRPr="00C87B0B" w:rsidRDefault="003B1BC3" w:rsidP="006C0C6A">
            <w:pPr>
              <w:spacing w:before="120"/>
              <w:rPr>
                <w:highlight w:val="yellow"/>
              </w:rPr>
            </w:pPr>
          </w:p>
        </w:tc>
      </w:tr>
    </w:tbl>
    <w:p w14:paraId="6B4BA06A" w14:textId="77777777" w:rsidR="000D1994" w:rsidRDefault="000D1994" w:rsidP="000D1994">
      <w:pPr>
        <w:rPr>
          <w:rStyle w:val="A4"/>
          <w:rFonts w:ascii="Calibri" w:hAnsi="Calibri" w:cs="Calibri"/>
          <w:b/>
          <w:color w:val="9CC2E5" w:themeColor="accent1" w:themeTint="99"/>
          <w:sz w:val="32"/>
          <w:szCs w:val="32"/>
          <w:highlight w:val="yellow"/>
        </w:rPr>
      </w:pPr>
    </w:p>
    <w:p w14:paraId="6EF8DC02" w14:textId="565D3FC0" w:rsidR="00C813F2" w:rsidRPr="00DA7F60" w:rsidRDefault="00C813F2" w:rsidP="00C813F2">
      <w:pPr>
        <w:spacing w:after="0" w:line="240" w:lineRule="auto"/>
        <w:jc w:val="both"/>
        <w:rPr>
          <w:b/>
          <w:color w:val="000000" w:themeColor="text1"/>
          <w:sz w:val="36"/>
          <w:szCs w:val="36"/>
        </w:rPr>
      </w:pPr>
      <w:r w:rsidRPr="00DA7F60">
        <w:rPr>
          <w:b/>
          <w:color w:val="000000" w:themeColor="text1"/>
          <w:sz w:val="36"/>
          <w:szCs w:val="36"/>
        </w:rPr>
        <w:t xml:space="preserve">MMR nezkontrolovalo a neověřilo splnění cílů projektů NPPCRR ani </w:t>
      </w:r>
      <w:r w:rsidR="009C2A63">
        <w:rPr>
          <w:b/>
          <w:color w:val="000000" w:themeColor="text1"/>
          <w:sz w:val="36"/>
          <w:szCs w:val="36"/>
        </w:rPr>
        <w:t>tři</w:t>
      </w:r>
      <w:r w:rsidRPr="00DA7F60">
        <w:rPr>
          <w:b/>
          <w:color w:val="000000" w:themeColor="text1"/>
          <w:sz w:val="36"/>
          <w:szCs w:val="36"/>
        </w:rPr>
        <w:t xml:space="preserve"> roky po jejich ukončení.</w:t>
      </w:r>
    </w:p>
    <w:p w14:paraId="7BE47D53" w14:textId="77777777" w:rsidR="00B3364A" w:rsidRPr="00DA7F60" w:rsidRDefault="00B3364A">
      <w:pPr>
        <w:rPr>
          <w:b/>
          <w:color w:val="000000" w:themeColor="text1"/>
          <w:sz w:val="36"/>
          <w:szCs w:val="36"/>
        </w:rPr>
      </w:pPr>
      <w:r w:rsidRPr="00DA7F60">
        <w:rPr>
          <w:b/>
          <w:color w:val="000000" w:themeColor="text1"/>
          <w:sz w:val="36"/>
          <w:szCs w:val="36"/>
        </w:rPr>
        <w:br w:type="page"/>
      </w:r>
    </w:p>
    <w:p w14:paraId="2608812E" w14:textId="77777777" w:rsidR="000309B6" w:rsidRPr="00720CBA" w:rsidRDefault="00232EB7" w:rsidP="00720CBA">
      <w:pPr>
        <w:pStyle w:val="Nadpis1"/>
        <w:keepLines w:val="0"/>
        <w:spacing w:before="600" w:after="240" w:line="240" w:lineRule="auto"/>
        <w:jc w:val="center"/>
        <w:rPr>
          <w:rFonts w:asciiTheme="minorHAnsi" w:eastAsia="Times New Roman" w:hAnsiTheme="minorHAnsi" w:cs="Times New Roman"/>
          <w:b/>
          <w:bCs/>
          <w:color w:val="auto"/>
          <w:sz w:val="28"/>
          <w:szCs w:val="34"/>
          <w:lang w:eastAsia="cs-CZ"/>
        </w:rPr>
      </w:pPr>
      <w:r w:rsidRPr="00720CBA">
        <w:rPr>
          <w:rFonts w:asciiTheme="minorHAnsi" w:eastAsia="Times New Roman" w:hAnsiTheme="minorHAnsi" w:cs="Times New Roman"/>
          <w:b/>
          <w:bCs/>
          <w:color w:val="auto"/>
          <w:sz w:val="28"/>
          <w:szCs w:val="34"/>
          <w:lang w:eastAsia="cs-CZ"/>
        </w:rPr>
        <w:t xml:space="preserve">I. </w:t>
      </w:r>
      <w:r w:rsidR="000309B6" w:rsidRPr="00720CBA">
        <w:rPr>
          <w:rFonts w:asciiTheme="minorHAnsi" w:eastAsia="Times New Roman" w:hAnsiTheme="minorHAnsi" w:cs="Times New Roman"/>
          <w:b/>
          <w:bCs/>
          <w:color w:val="auto"/>
          <w:sz w:val="28"/>
          <w:szCs w:val="34"/>
          <w:lang w:eastAsia="cs-CZ"/>
        </w:rPr>
        <w:t>Shrnutí a vyhodnocení</w:t>
      </w:r>
    </w:p>
    <w:p w14:paraId="2F50763D" w14:textId="449C32C9" w:rsidR="00FB6957" w:rsidRDefault="00E6047F" w:rsidP="00F75CE6">
      <w:pPr>
        <w:pStyle w:val="KPnormalni"/>
        <w:spacing w:before="0" w:after="120"/>
      </w:pPr>
      <w:r w:rsidRPr="00F75CE6">
        <w:t>NKÚ provedl kontrolu peněžních prostředků vynakládaných na</w:t>
      </w:r>
      <w:r w:rsidR="00EB61B7">
        <w:t> </w:t>
      </w:r>
      <w:r w:rsidRPr="00F75CE6">
        <w:t xml:space="preserve">podporu </w:t>
      </w:r>
      <w:r w:rsidR="00A67EFB" w:rsidRPr="00F75CE6">
        <w:t xml:space="preserve">cestovního ruchu v rámci </w:t>
      </w:r>
      <w:r w:rsidR="00A67EFB" w:rsidRPr="00F75CE6">
        <w:rPr>
          <w:i/>
        </w:rPr>
        <w:t>Národního programu podpory cestovního ruchu v regionech</w:t>
      </w:r>
      <w:r w:rsidR="00107EC1">
        <w:rPr>
          <w:i/>
        </w:rPr>
        <w:t xml:space="preserve"> 2016−2023</w:t>
      </w:r>
      <w:r w:rsidR="00A67EFB" w:rsidRPr="00F75CE6">
        <w:t xml:space="preserve"> (dále také „NPPCRR“)</w:t>
      </w:r>
      <w:r w:rsidRPr="00F75CE6">
        <w:t>.</w:t>
      </w:r>
      <w:r w:rsidR="00EC41D2" w:rsidRPr="00F75CE6">
        <w:t xml:space="preserve"> V rámci </w:t>
      </w:r>
      <w:r w:rsidR="009E5E44" w:rsidRPr="00F75CE6">
        <w:t>NPPCRR</w:t>
      </w:r>
      <w:r w:rsidR="00EC41D2" w:rsidRPr="00F75CE6">
        <w:t xml:space="preserve"> byla </w:t>
      </w:r>
      <w:r w:rsidR="007A6741">
        <w:t>k 21.</w:t>
      </w:r>
      <w:r w:rsidR="00456429">
        <w:t> </w:t>
      </w:r>
      <w:r w:rsidR="007A6741">
        <w:t>7.</w:t>
      </w:r>
      <w:r w:rsidR="00456429">
        <w:t> </w:t>
      </w:r>
      <w:r w:rsidR="007A6741">
        <w:t xml:space="preserve">2023 </w:t>
      </w:r>
      <w:r w:rsidR="00EC41D2" w:rsidRPr="00F75CE6">
        <w:t xml:space="preserve">vydána </w:t>
      </w:r>
      <w:r w:rsidR="00167B68" w:rsidRPr="00F75CE6">
        <w:t>r</w:t>
      </w:r>
      <w:r w:rsidR="00EC41D2" w:rsidRPr="00F75CE6">
        <w:t xml:space="preserve">ozhodnutí o poskytnutí dotace na podporu </w:t>
      </w:r>
      <w:r w:rsidR="00C700EA" w:rsidRPr="00F75CE6">
        <w:t>cestovního ruchu</w:t>
      </w:r>
      <w:r w:rsidR="00EC41D2" w:rsidRPr="00F75CE6">
        <w:t xml:space="preserve"> ve</w:t>
      </w:r>
      <w:r w:rsidR="00456429">
        <w:t xml:space="preserve"> </w:t>
      </w:r>
      <w:r w:rsidR="00EC41D2" w:rsidRPr="00F75CE6">
        <w:t xml:space="preserve">výši </w:t>
      </w:r>
      <w:r w:rsidR="00847AF9" w:rsidRPr="00F75CE6">
        <w:t xml:space="preserve">cca </w:t>
      </w:r>
      <w:r w:rsidR="00893796" w:rsidRPr="00F75CE6">
        <w:t>5</w:t>
      </w:r>
      <w:r w:rsidR="00D876CA" w:rsidRPr="00F75CE6">
        <w:t>03</w:t>
      </w:r>
      <w:r w:rsidR="00847AF9" w:rsidRPr="00F75CE6">
        <w:t>,</w:t>
      </w:r>
      <w:r w:rsidR="00D876CA" w:rsidRPr="00F75CE6">
        <w:t>3</w:t>
      </w:r>
      <w:r w:rsidR="00456429">
        <w:t> </w:t>
      </w:r>
      <w:r w:rsidR="00D65A8D" w:rsidRPr="00F75CE6">
        <w:t>mil.</w:t>
      </w:r>
      <w:r w:rsidR="00456429">
        <w:t> </w:t>
      </w:r>
      <w:r w:rsidR="00893796" w:rsidRPr="00F75CE6">
        <w:t>Kč</w:t>
      </w:r>
      <w:r w:rsidR="00F04D7D">
        <w:t xml:space="preserve">, </w:t>
      </w:r>
      <w:r w:rsidR="00735A29">
        <w:t>k </w:t>
      </w:r>
      <w:r w:rsidR="009565E4">
        <w:t>témuž</w:t>
      </w:r>
      <w:r w:rsidR="00735A29">
        <w:t xml:space="preserve"> datu bylo proplaceno 431,2</w:t>
      </w:r>
      <w:r w:rsidR="00456429">
        <w:t> </w:t>
      </w:r>
      <w:r w:rsidR="00735A29">
        <w:t>mil.</w:t>
      </w:r>
      <w:r w:rsidR="00456429">
        <w:t> </w:t>
      </w:r>
      <w:r w:rsidR="00735A29">
        <w:t>Kč.</w:t>
      </w:r>
      <w:r w:rsidR="00D876CA" w:rsidRPr="00F75CE6">
        <w:t xml:space="preserve"> </w:t>
      </w:r>
      <w:r w:rsidR="00012DFB">
        <w:t>NKÚ také provedl kontrolu</w:t>
      </w:r>
      <w:r w:rsidR="00D876CA" w:rsidRPr="00F75CE6">
        <w:t xml:space="preserve"> podpůrných programů COVID, kde bylo vyčerpáno celkem 956,6</w:t>
      </w:r>
      <w:r w:rsidR="00456429">
        <w:t> </w:t>
      </w:r>
      <w:r w:rsidR="00D876CA" w:rsidRPr="00F75CE6">
        <w:t>mil.</w:t>
      </w:r>
      <w:r w:rsidR="00456429">
        <w:t> </w:t>
      </w:r>
      <w:r w:rsidR="00D876CA" w:rsidRPr="00F75CE6">
        <w:t>Kč.</w:t>
      </w:r>
    </w:p>
    <w:p w14:paraId="3CD4C24D" w14:textId="1D5A6FC3" w:rsidR="00EC74A2" w:rsidRPr="00C2742E" w:rsidRDefault="000E7A7A" w:rsidP="00F75CE6">
      <w:pPr>
        <w:pStyle w:val="KPnormalni"/>
        <w:spacing w:before="0" w:after="120"/>
      </w:pPr>
      <w:r w:rsidRPr="000E7A7A">
        <w:t xml:space="preserve">Cílem </w:t>
      </w:r>
      <w:r w:rsidRPr="00DA574B">
        <w:t>kontroly</w:t>
      </w:r>
      <w:r w:rsidRPr="000E7A7A">
        <w:t xml:space="preserve"> bylo </w:t>
      </w:r>
      <w:r>
        <w:t>p</w:t>
      </w:r>
      <w:r w:rsidRPr="00543EBF">
        <w:t>rověřit, zda</w:t>
      </w:r>
      <w:r>
        <w:t xml:space="preserve"> byly peněžní prostředky státního rozpočtu na opatření </w:t>
      </w:r>
      <w:r w:rsidRPr="007B75AB">
        <w:t>v oblasti cestovního ruchu vynakládány účelně, hospodárně a v souladu s právními předpisy.</w:t>
      </w:r>
      <w:r w:rsidR="00C2742E" w:rsidRPr="007B75AB">
        <w:t xml:space="preserve"> </w:t>
      </w:r>
      <w:r w:rsidR="00EC74A2" w:rsidRPr="007B75AB">
        <w:t>Kontrola byla provedena</w:t>
      </w:r>
      <w:r w:rsidR="008C51D0">
        <w:t xml:space="preserve"> </w:t>
      </w:r>
      <w:r w:rsidR="00D97788">
        <w:t>u</w:t>
      </w:r>
      <w:r w:rsidR="00EC74A2" w:rsidRPr="007B75AB">
        <w:t xml:space="preserve"> MMR</w:t>
      </w:r>
      <w:r w:rsidR="00C2742E" w:rsidRPr="007B75AB">
        <w:t xml:space="preserve">, </w:t>
      </w:r>
      <w:r w:rsidR="00EC74A2" w:rsidRPr="007B75AB">
        <w:t>kde</w:t>
      </w:r>
      <w:r w:rsidR="00261858" w:rsidRPr="007B75AB">
        <w:t xml:space="preserve"> </w:t>
      </w:r>
      <w:r w:rsidR="00EC74A2" w:rsidRPr="007B75AB">
        <w:t>se zaměřila na</w:t>
      </w:r>
      <w:r w:rsidR="00456429">
        <w:t xml:space="preserve"> </w:t>
      </w:r>
      <w:r w:rsidR="00C2742E" w:rsidRPr="007B75AB">
        <w:t>jeho</w:t>
      </w:r>
      <w:r w:rsidR="00EC74A2" w:rsidRPr="007B75AB">
        <w:t xml:space="preserve"> činnost jakožto </w:t>
      </w:r>
      <w:r w:rsidR="00C2742E" w:rsidRPr="007B75AB">
        <w:t>poskytovatele národních dotací</w:t>
      </w:r>
      <w:r w:rsidR="00CC2711">
        <w:t>,</w:t>
      </w:r>
      <w:r w:rsidR="00EC74A2" w:rsidRPr="007B75AB">
        <w:t xml:space="preserve"> a rovněž u </w:t>
      </w:r>
      <w:r w:rsidR="00C2742E" w:rsidRPr="007B75AB">
        <w:t>15</w:t>
      </w:r>
      <w:r w:rsidR="00EC74A2" w:rsidRPr="007B75AB">
        <w:t xml:space="preserve"> vybraných příjemců </w:t>
      </w:r>
      <w:r w:rsidR="00783FF4">
        <w:t>podpory</w:t>
      </w:r>
      <w:r w:rsidR="00EC74A2" w:rsidRPr="007B75AB">
        <w:t>, u nichž byla prověřena realizace</w:t>
      </w:r>
      <w:r w:rsidR="00456429">
        <w:t xml:space="preserve"> </w:t>
      </w:r>
      <w:r w:rsidR="00EC74A2" w:rsidRPr="007B75AB">
        <w:t>1</w:t>
      </w:r>
      <w:r w:rsidR="00C2742E" w:rsidRPr="007B75AB">
        <w:t>9</w:t>
      </w:r>
      <w:r w:rsidR="00C7452E">
        <w:t> </w:t>
      </w:r>
      <w:r w:rsidR="00EC74A2" w:rsidRPr="007B75AB">
        <w:t>projektů schválených k</w:t>
      </w:r>
      <w:r w:rsidR="00C2742E" w:rsidRPr="007B75AB">
        <w:t> </w:t>
      </w:r>
      <w:r w:rsidR="00EC74A2" w:rsidRPr="007B75AB">
        <w:t>podpoře</w:t>
      </w:r>
      <w:r w:rsidR="00C2742E" w:rsidRPr="007B75AB">
        <w:t xml:space="preserve"> z NPPCRR</w:t>
      </w:r>
      <w:r w:rsidR="00EC74A2" w:rsidRPr="007B75AB">
        <w:t>.</w:t>
      </w:r>
      <w:r w:rsidR="006F7F25" w:rsidRPr="007B75AB">
        <w:t xml:space="preserve"> Finanční objem kontrolovaných projektů činil </w:t>
      </w:r>
      <w:r w:rsidR="00C2742E" w:rsidRPr="007B75AB">
        <w:t>32,1</w:t>
      </w:r>
      <w:r w:rsidR="00261858" w:rsidRPr="007B75AB">
        <w:t> </w:t>
      </w:r>
      <w:r w:rsidR="006F7F25" w:rsidRPr="007B75AB">
        <w:t>mil.</w:t>
      </w:r>
      <w:r w:rsidR="00261858" w:rsidRPr="007B75AB">
        <w:t> </w:t>
      </w:r>
      <w:r w:rsidR="006F7F25" w:rsidRPr="007B75AB">
        <w:t>Kč.</w:t>
      </w:r>
      <w:r w:rsidR="00C2742E" w:rsidRPr="007B75AB">
        <w:t xml:space="preserve"> </w:t>
      </w:r>
      <w:r w:rsidR="00D023AF">
        <w:t xml:space="preserve">NKÚ </w:t>
      </w:r>
      <w:r w:rsidR="00934D81">
        <w:t xml:space="preserve">se zaměřil z </w:t>
      </w:r>
      <w:r w:rsidR="00934D81" w:rsidRPr="00F75CE6">
        <w:t>podpůrných programů COVID</w:t>
      </w:r>
      <w:r w:rsidR="00934D81">
        <w:t xml:space="preserve"> pouze na </w:t>
      </w:r>
      <w:r w:rsidR="00D023AF" w:rsidRPr="006C5749">
        <w:t xml:space="preserve">program </w:t>
      </w:r>
      <w:r w:rsidR="00D023AF" w:rsidRPr="006252C2">
        <w:rPr>
          <w:i/>
        </w:rPr>
        <w:t>COVID</w:t>
      </w:r>
      <w:r w:rsidR="00CD1D80" w:rsidRPr="006252C2">
        <w:rPr>
          <w:i/>
        </w:rPr>
        <w:t xml:space="preserve"> − </w:t>
      </w:r>
      <w:r w:rsidR="00D023AF" w:rsidRPr="006252C2">
        <w:rPr>
          <w:i/>
        </w:rPr>
        <w:t>Podpora cestovního ruchu</w:t>
      </w:r>
      <w:r w:rsidR="00D023AF" w:rsidRPr="006C5749">
        <w:t>, kde objem kontrolovaných prostředků činil 48,1 m</w:t>
      </w:r>
      <w:r w:rsidR="00D023AF">
        <w:t>il. Kč</w:t>
      </w:r>
      <w:r w:rsidR="005F4501">
        <w:t>.</w:t>
      </w:r>
    </w:p>
    <w:p w14:paraId="66756D4E" w14:textId="317E4BFB" w:rsidR="00F249FD" w:rsidRDefault="00802428" w:rsidP="00071B2B">
      <w:pPr>
        <w:pStyle w:val="KPnormalni"/>
        <w:spacing w:before="0" w:after="120"/>
        <w:rPr>
          <w:b/>
        </w:rPr>
      </w:pPr>
      <w:r>
        <w:rPr>
          <w:b/>
        </w:rPr>
        <w:t>NKÚ zjistil</w:t>
      </w:r>
      <w:r w:rsidR="003003FE" w:rsidRPr="005562DB">
        <w:rPr>
          <w:b/>
        </w:rPr>
        <w:t xml:space="preserve"> nedostatky v nastavení, řízení a realizaci </w:t>
      </w:r>
      <w:r w:rsidR="005562DB">
        <w:rPr>
          <w:b/>
        </w:rPr>
        <w:t>NPPCRR</w:t>
      </w:r>
      <w:r w:rsidR="00B27EC2" w:rsidRPr="005562DB">
        <w:rPr>
          <w:b/>
        </w:rPr>
        <w:t xml:space="preserve"> na straně poskytovatel</w:t>
      </w:r>
      <w:r w:rsidR="005562DB">
        <w:rPr>
          <w:b/>
        </w:rPr>
        <w:t>e</w:t>
      </w:r>
      <w:r w:rsidR="00B27EC2" w:rsidRPr="005562DB">
        <w:rPr>
          <w:b/>
        </w:rPr>
        <w:t xml:space="preserve"> i</w:t>
      </w:r>
      <w:r w:rsidR="00091D11">
        <w:rPr>
          <w:b/>
        </w:rPr>
        <w:t> </w:t>
      </w:r>
      <w:r w:rsidR="00CC2711">
        <w:rPr>
          <w:b/>
        </w:rPr>
        <w:t xml:space="preserve">nedostatky u </w:t>
      </w:r>
      <w:r w:rsidR="00B27EC2" w:rsidRPr="005562DB">
        <w:rPr>
          <w:b/>
        </w:rPr>
        <w:t>příjemců podpory</w:t>
      </w:r>
      <w:r w:rsidR="003003FE" w:rsidRPr="005562DB">
        <w:rPr>
          <w:b/>
        </w:rPr>
        <w:t xml:space="preserve">, které </w:t>
      </w:r>
      <w:r w:rsidR="0030504B" w:rsidRPr="005562DB">
        <w:rPr>
          <w:b/>
        </w:rPr>
        <w:t xml:space="preserve">významně </w:t>
      </w:r>
      <w:r w:rsidR="003003FE" w:rsidRPr="005562DB">
        <w:rPr>
          <w:b/>
        </w:rPr>
        <w:t>snižují účelnost a</w:t>
      </w:r>
      <w:r w:rsidR="00CC2711">
        <w:rPr>
          <w:b/>
        </w:rPr>
        <w:t> </w:t>
      </w:r>
      <w:r w:rsidR="005562DB">
        <w:rPr>
          <w:b/>
        </w:rPr>
        <w:t>hospodárnost</w:t>
      </w:r>
      <w:r w:rsidR="003003FE" w:rsidRPr="005562DB">
        <w:rPr>
          <w:b/>
        </w:rPr>
        <w:t xml:space="preserve"> poskytovaných a čerpaných peněžních prostředků.</w:t>
      </w:r>
      <w:r w:rsidR="00FF63EB">
        <w:rPr>
          <w:b/>
        </w:rPr>
        <w:t xml:space="preserve"> </w:t>
      </w:r>
      <w:r w:rsidR="00FB593D" w:rsidRPr="00B02852">
        <w:rPr>
          <w:b/>
        </w:rPr>
        <w:t>NKÚ zjistil v systému nedostatky, které umožnily podporu projektů, u kterých nebyly peněžní prostředky vynaloženy účelně a</w:t>
      </w:r>
      <w:r w:rsidR="00FB593D">
        <w:rPr>
          <w:b/>
        </w:rPr>
        <w:t> </w:t>
      </w:r>
      <w:r w:rsidR="00FB593D" w:rsidRPr="00B02852">
        <w:rPr>
          <w:b/>
        </w:rPr>
        <w:t xml:space="preserve">hospodárně. </w:t>
      </w:r>
      <w:r w:rsidR="00FF63EB">
        <w:rPr>
          <w:b/>
        </w:rPr>
        <w:t>U</w:t>
      </w:r>
      <w:r w:rsidR="003914FB">
        <w:rPr>
          <w:b/>
        </w:rPr>
        <w:t xml:space="preserve"> MMR a</w:t>
      </w:r>
      <w:r w:rsidR="00FF63EB">
        <w:rPr>
          <w:b/>
        </w:rPr>
        <w:t xml:space="preserve"> </w:t>
      </w:r>
      <w:r w:rsidR="002D40D4">
        <w:rPr>
          <w:b/>
        </w:rPr>
        <w:t xml:space="preserve">některých </w:t>
      </w:r>
      <w:r w:rsidR="00FF63EB">
        <w:rPr>
          <w:b/>
        </w:rPr>
        <w:t xml:space="preserve">příjemců podpory z NPPCRR zjistil NKÚ porušení právních předpisů. </w:t>
      </w:r>
      <w:bookmarkStart w:id="4" w:name="_Hlk150777070"/>
      <w:r w:rsidR="00EA4982">
        <w:rPr>
          <w:b/>
        </w:rPr>
        <w:t>P</w:t>
      </w:r>
      <w:r w:rsidR="00241708">
        <w:rPr>
          <w:b/>
        </w:rPr>
        <w:t>ři</w:t>
      </w:r>
      <w:r w:rsidR="00456429">
        <w:rPr>
          <w:b/>
        </w:rPr>
        <w:t xml:space="preserve"> </w:t>
      </w:r>
      <w:r w:rsidR="00241708">
        <w:rPr>
          <w:b/>
        </w:rPr>
        <w:t>poskytování peněžních prostředků v</w:t>
      </w:r>
      <w:r w:rsidR="0074188C">
        <w:rPr>
          <w:b/>
        </w:rPr>
        <w:t> </w:t>
      </w:r>
      <w:r w:rsidR="00241708">
        <w:rPr>
          <w:b/>
        </w:rPr>
        <w:t>rámci</w:t>
      </w:r>
      <w:r w:rsidR="0074188C">
        <w:rPr>
          <w:b/>
        </w:rPr>
        <w:t xml:space="preserve"> programu </w:t>
      </w:r>
      <w:r w:rsidR="008509E3" w:rsidRPr="006252C2">
        <w:rPr>
          <w:b/>
          <w:i/>
        </w:rPr>
        <w:t>COVID</w:t>
      </w:r>
      <w:r w:rsidR="00CD1D80" w:rsidRPr="006252C2">
        <w:rPr>
          <w:b/>
          <w:i/>
        </w:rPr>
        <w:t xml:space="preserve"> − </w:t>
      </w:r>
      <w:r w:rsidR="008509E3" w:rsidRPr="006252C2">
        <w:rPr>
          <w:b/>
          <w:i/>
        </w:rPr>
        <w:t>Podpora cestovního ruchu</w:t>
      </w:r>
      <w:r w:rsidR="008509E3">
        <w:t xml:space="preserve"> </w:t>
      </w:r>
      <w:r w:rsidR="00EA4982">
        <w:rPr>
          <w:b/>
        </w:rPr>
        <w:t xml:space="preserve">MMR postupovalo </w:t>
      </w:r>
      <w:r w:rsidR="00241708">
        <w:rPr>
          <w:b/>
        </w:rPr>
        <w:t>v souladu s právními předpisy.</w:t>
      </w:r>
      <w:r w:rsidR="00FF63EB">
        <w:rPr>
          <w:b/>
        </w:rPr>
        <w:t xml:space="preserve"> </w:t>
      </w:r>
      <w:bookmarkEnd w:id="4"/>
    </w:p>
    <w:p w14:paraId="06F7FC19" w14:textId="77777777" w:rsidR="003003FE" w:rsidRPr="000F75C5" w:rsidRDefault="003003FE" w:rsidP="00067187">
      <w:pPr>
        <w:pStyle w:val="JK1"/>
        <w:keepNext/>
        <w:numPr>
          <w:ilvl w:val="0"/>
          <w:numId w:val="0"/>
        </w:numPr>
        <w:tabs>
          <w:tab w:val="clear" w:pos="567"/>
        </w:tabs>
        <w:spacing w:before="240"/>
      </w:pPr>
      <w:r w:rsidRPr="000F75C5">
        <w:t>Toto celkové zhodnocení se opírá o následující hlavní zjištění z kontroly:</w:t>
      </w:r>
    </w:p>
    <w:p w14:paraId="7FF2E4D0" w14:textId="4660E142" w:rsidR="0044002F" w:rsidRPr="0042674E" w:rsidRDefault="0044002F" w:rsidP="00F10392">
      <w:pPr>
        <w:pStyle w:val="JK1"/>
        <w:numPr>
          <w:ilvl w:val="0"/>
          <w:numId w:val="8"/>
        </w:numPr>
        <w:tabs>
          <w:tab w:val="clear" w:pos="567"/>
        </w:tabs>
        <w:spacing w:before="100"/>
        <w:ind w:left="284" w:hanging="284"/>
      </w:pPr>
      <w:r w:rsidRPr="0042674E">
        <w:t xml:space="preserve">MMR nastavilo pro NPPCRR obecně definované a neměřitelné cíle. MMR v NPPCRR nekvantifikovalo cíle programu, </w:t>
      </w:r>
      <w:r w:rsidR="002B46D4">
        <w:t>ale</w:t>
      </w:r>
      <w:r w:rsidRPr="0042674E">
        <w:t xml:space="preserve"> stanovilo pouze parametry/indikátory výstupového charakteru měřící</w:t>
      </w:r>
      <w:r w:rsidR="00067187">
        <w:t xml:space="preserve"> </w:t>
      </w:r>
      <w:r w:rsidRPr="0042674E">
        <w:t xml:space="preserve">okamžitý výsledek podpory. Není tak možné sledovat plnění účelu programu. </w:t>
      </w:r>
      <w:r w:rsidR="00D20D86">
        <w:t xml:space="preserve">NKÚ zjistil </w:t>
      </w:r>
      <w:r w:rsidRPr="0042674E">
        <w:t>rozdíln</w:t>
      </w:r>
      <w:r w:rsidR="00D20D86">
        <w:t>ou</w:t>
      </w:r>
      <w:r w:rsidRPr="0042674E">
        <w:t xml:space="preserve"> mír</w:t>
      </w:r>
      <w:r w:rsidR="00D20D86">
        <w:t>u</w:t>
      </w:r>
      <w:r w:rsidRPr="0042674E">
        <w:t xml:space="preserve"> plnění věcných (výstupových) parametrů</w:t>
      </w:r>
      <w:r w:rsidR="00D20D86">
        <w:t xml:space="preserve"> NPPCRR</w:t>
      </w:r>
      <w:r w:rsidRPr="0042674E">
        <w:t xml:space="preserve">. </w:t>
      </w:r>
      <w:r w:rsidR="00D56D52">
        <w:t xml:space="preserve">MMR neprovádělo výběr projektů </w:t>
      </w:r>
      <w:r w:rsidR="00623894">
        <w:t xml:space="preserve">z pohledu jejich přínosu a potřebnosti pro </w:t>
      </w:r>
      <w:r w:rsidR="009C1526">
        <w:t>cestovní ruch</w:t>
      </w:r>
      <w:r w:rsidR="00623894">
        <w:t xml:space="preserve"> v ČR jako takový.</w:t>
      </w:r>
      <w:r w:rsidR="00E24C01">
        <w:t xml:space="preserve"> </w:t>
      </w:r>
      <w:r w:rsidRPr="0042674E">
        <w:t xml:space="preserve">Přímý dopad NPPCRR na naplňování cílů státní politiky v oblasti </w:t>
      </w:r>
      <w:r w:rsidR="00656B26">
        <w:t>cestovního ruchu</w:t>
      </w:r>
      <w:r w:rsidRPr="0042674E">
        <w:t xml:space="preserve"> není možné vyčíslit.</w:t>
      </w:r>
    </w:p>
    <w:p w14:paraId="22498AA0" w14:textId="3753822E" w:rsidR="0050276F" w:rsidRDefault="00E75ABD" w:rsidP="00F10392">
      <w:pPr>
        <w:pStyle w:val="JK1"/>
        <w:numPr>
          <w:ilvl w:val="0"/>
          <w:numId w:val="8"/>
        </w:numPr>
        <w:tabs>
          <w:tab w:val="clear" w:pos="567"/>
        </w:tabs>
        <w:spacing w:before="100"/>
        <w:ind w:left="284" w:hanging="284"/>
      </w:pPr>
      <w:r w:rsidRPr="00E75ABD">
        <w:t xml:space="preserve">Obecnost a neměřitelnost cílů NKÚ zjistil také u projektů vybraných ke kontrole. </w:t>
      </w:r>
      <w:r w:rsidR="0050276F" w:rsidRPr="0050276F">
        <w:t xml:space="preserve">Žadatelé </w:t>
      </w:r>
      <w:r w:rsidR="008114EF" w:rsidRPr="0050276F">
        <w:t>podprogram</w:t>
      </w:r>
      <w:r w:rsidR="008114EF">
        <w:t>ů</w:t>
      </w:r>
      <w:r w:rsidR="008114EF" w:rsidRPr="0050276F">
        <w:t xml:space="preserve"> </w:t>
      </w:r>
      <w:r w:rsidR="0050276F" w:rsidRPr="006252C2">
        <w:t>Rozvoj</w:t>
      </w:r>
      <w:r w:rsidR="0050276F" w:rsidRPr="0050276F">
        <w:t xml:space="preserve"> </w:t>
      </w:r>
      <w:r w:rsidR="008114EF">
        <w:t xml:space="preserve">i </w:t>
      </w:r>
      <w:r w:rsidR="008114EF" w:rsidRPr="006252C2">
        <w:t>Marketing</w:t>
      </w:r>
      <w:r w:rsidR="008114EF">
        <w:t xml:space="preserve"> </w:t>
      </w:r>
      <w:r w:rsidR="0050276F" w:rsidRPr="0050276F">
        <w:t>si stanovili v žádostech o dotaci cíle, které nebyly konkrétní a měřitelné</w:t>
      </w:r>
      <w:r w:rsidR="00B44952">
        <w:t xml:space="preserve">. MMR </w:t>
      </w:r>
      <w:r w:rsidR="0050276F">
        <w:t xml:space="preserve">přesto </w:t>
      </w:r>
      <w:r w:rsidR="00B44952">
        <w:t>nepožadovalo úpravu takto formulovaných cílů</w:t>
      </w:r>
      <w:r w:rsidR="0050276F">
        <w:t xml:space="preserve">. </w:t>
      </w:r>
      <w:r w:rsidR="00623894">
        <w:t xml:space="preserve">Stejně jako u </w:t>
      </w:r>
      <w:r w:rsidR="00C27295">
        <w:t>NPPCRR</w:t>
      </w:r>
      <w:r w:rsidR="00623894">
        <w:t xml:space="preserve"> samotného se na úrovni projektů sledovaly pouze jejich okamžité výstupy, d</w:t>
      </w:r>
      <w:r w:rsidR="008114EF">
        <w:t xml:space="preserve">louhodobé </w:t>
      </w:r>
      <w:r w:rsidR="00623894">
        <w:t>jasně definované cíle vyjadřující konkrétní dopady pro</w:t>
      </w:r>
      <w:r w:rsidR="00067187">
        <w:t xml:space="preserve"> </w:t>
      </w:r>
      <w:r w:rsidR="00623894">
        <w:t>cestovní ruch se</w:t>
      </w:r>
      <w:r w:rsidR="00067187">
        <w:t xml:space="preserve"> </w:t>
      </w:r>
      <w:r w:rsidR="00623894">
        <w:t>v projektech nevyskytovaly.</w:t>
      </w:r>
    </w:p>
    <w:p w14:paraId="6578F7A2" w14:textId="45932A19" w:rsidR="00FC7AFF" w:rsidRPr="00410E7C" w:rsidRDefault="003B4AD5" w:rsidP="00F10392">
      <w:pPr>
        <w:pStyle w:val="JK1"/>
        <w:numPr>
          <w:ilvl w:val="0"/>
          <w:numId w:val="8"/>
        </w:numPr>
        <w:tabs>
          <w:tab w:val="clear" w:pos="567"/>
        </w:tabs>
        <w:spacing w:before="100"/>
        <w:ind w:left="284" w:hanging="284"/>
      </w:pPr>
      <w:r>
        <w:t xml:space="preserve">Jedním </w:t>
      </w:r>
      <w:r w:rsidR="000449A5">
        <w:t>ze základních</w:t>
      </w:r>
      <w:r>
        <w:t xml:space="preserve"> </w:t>
      </w:r>
      <w:r w:rsidR="000449A5">
        <w:t xml:space="preserve">podkladů pro řízení </w:t>
      </w:r>
      <w:r w:rsidR="00C27295">
        <w:t>NPPCRR</w:t>
      </w:r>
      <w:r w:rsidR="000449A5">
        <w:t xml:space="preserve"> má být </w:t>
      </w:r>
      <w:r w:rsidR="000A62C0">
        <w:t xml:space="preserve">pro MMR </w:t>
      </w:r>
      <w:r>
        <w:t>závěrečné vyhodnocení akce, které příjemce</w:t>
      </w:r>
      <w:r w:rsidR="00D467A9">
        <w:t xml:space="preserve"> podpory</w:t>
      </w:r>
      <w:r>
        <w:t xml:space="preserve"> dokládá při ukončení realizace projektu. MMR však kontroly těchto formulářů za výzvy z let 2018</w:t>
      </w:r>
      <w:r w:rsidR="00753E81">
        <w:t>–</w:t>
      </w:r>
      <w:r>
        <w:t xml:space="preserve">2022 </w:t>
      </w:r>
      <w:r w:rsidR="00DE4436">
        <w:t>k datu ukončení kontroly</w:t>
      </w:r>
      <w:r>
        <w:t xml:space="preserve"> neprovedlo, </w:t>
      </w:r>
      <w:r w:rsidR="004D0171">
        <w:t>a</w:t>
      </w:r>
      <w:r w:rsidR="004D5B9D">
        <w:t> </w:t>
      </w:r>
      <w:r>
        <w:t>nemělo</w:t>
      </w:r>
      <w:r w:rsidR="004D0171">
        <w:t xml:space="preserve"> tak</w:t>
      </w:r>
      <w:r>
        <w:t xml:space="preserve"> požadované a úplné informace z podpořených projektů</w:t>
      </w:r>
      <w:r w:rsidR="00D321BF">
        <w:t xml:space="preserve">. </w:t>
      </w:r>
      <w:r w:rsidR="006B2F7C">
        <w:t xml:space="preserve">MMR </w:t>
      </w:r>
      <w:r w:rsidR="00A03C4D">
        <w:t xml:space="preserve">tak </w:t>
      </w:r>
      <w:r w:rsidR="000449A5">
        <w:t>proplatilo žádosti o</w:t>
      </w:r>
      <w:r w:rsidR="00067187">
        <w:t> </w:t>
      </w:r>
      <w:r w:rsidR="000449A5">
        <w:t>platbu</w:t>
      </w:r>
      <w:r w:rsidR="008234AA">
        <w:t xml:space="preserve">, u </w:t>
      </w:r>
      <w:r w:rsidR="000449A5">
        <w:t>kterých nemá dosud všechny relevantní</w:t>
      </w:r>
      <w:r w:rsidR="008234AA">
        <w:t xml:space="preserve"> informace</w:t>
      </w:r>
      <w:r w:rsidR="000449A5">
        <w:t xml:space="preserve"> pro</w:t>
      </w:r>
      <w:r w:rsidR="004D5B9D">
        <w:t> </w:t>
      </w:r>
      <w:r w:rsidR="000449A5">
        <w:t>posouzení toho</w:t>
      </w:r>
      <w:r w:rsidR="008234AA">
        <w:t xml:space="preserve">, </w:t>
      </w:r>
      <w:r w:rsidR="000449A5">
        <w:t xml:space="preserve">zda realizace příslušných projektů byla řádná, </w:t>
      </w:r>
      <w:r w:rsidR="00CD1D80">
        <w:t>tj. </w:t>
      </w:r>
      <w:r w:rsidR="000449A5">
        <w:t>v souladu s pravidly, a zda cílů stanovených ke konci realizace projektu bylo dosaženo</w:t>
      </w:r>
      <w:r w:rsidR="008234AA">
        <w:t xml:space="preserve">. </w:t>
      </w:r>
      <w:r w:rsidR="0087107D">
        <w:t xml:space="preserve">Neprovádění včasné kontroly závěrečných vyhodnocení akce proto NKÚ považuje za závažné selhání </w:t>
      </w:r>
      <w:r w:rsidR="004D0171">
        <w:t xml:space="preserve">vnitřního </w:t>
      </w:r>
      <w:r w:rsidR="0087107D">
        <w:t>kontrolního systému</w:t>
      </w:r>
      <w:r w:rsidR="004D0171">
        <w:t xml:space="preserve"> MMR</w:t>
      </w:r>
      <w:r w:rsidR="0087107D">
        <w:t>.</w:t>
      </w:r>
      <w:r w:rsidR="000F42AB">
        <w:t xml:space="preserve"> </w:t>
      </w:r>
    </w:p>
    <w:p w14:paraId="4FEF854B" w14:textId="025B4CA9" w:rsidR="003C67D4" w:rsidRDefault="00796F21" w:rsidP="00F10392">
      <w:pPr>
        <w:pStyle w:val="JK1"/>
        <w:numPr>
          <w:ilvl w:val="0"/>
          <w:numId w:val="8"/>
        </w:numPr>
        <w:tabs>
          <w:tab w:val="clear" w:pos="567"/>
        </w:tabs>
        <w:spacing w:before="100"/>
        <w:ind w:left="284" w:hanging="284"/>
      </w:pPr>
      <w:r w:rsidRPr="00410E7C">
        <w:t xml:space="preserve">MMR v dokumentaci NPPCRR stanovilo, že jedním z cílů programu je teritoriální i časové rozprostření návštěvnosti. Pro takto definovaný cíl však MMR nenastavilo žádné </w:t>
      </w:r>
      <w:r w:rsidRPr="00826ED0">
        <w:t xml:space="preserve">parametry/indikátory, které by umožňovaly jeho měření, a tudíž ani cílovou hodnotu, jejíž dosažení by </w:t>
      </w:r>
      <w:r w:rsidR="002A12ED">
        <w:t>znamenalo</w:t>
      </w:r>
      <w:r w:rsidRPr="00826ED0">
        <w:t xml:space="preserve"> účelné vynaložení prostředků programu</w:t>
      </w:r>
      <w:r w:rsidR="00A265D7">
        <w:t xml:space="preserve">. </w:t>
      </w:r>
      <w:r w:rsidR="00C80881">
        <w:t>NKÚ</w:t>
      </w:r>
      <w:r w:rsidR="00CD1D80">
        <w:t xml:space="preserve"> </w:t>
      </w:r>
      <w:r w:rsidR="00C80881">
        <w:t>zjistil, že m</w:t>
      </w:r>
      <w:r w:rsidR="005572BB" w:rsidRPr="009D1095">
        <w:t>íra podpory (počet podpořených projektů) mezi regiony je</w:t>
      </w:r>
      <w:r w:rsidR="00F10392">
        <w:t xml:space="preserve"> </w:t>
      </w:r>
      <w:r w:rsidR="005572BB" w:rsidRPr="009D1095">
        <w:t>značně odlišná a</w:t>
      </w:r>
      <w:r w:rsidR="005572BB">
        <w:t> </w:t>
      </w:r>
      <w:r w:rsidR="005572BB" w:rsidRPr="009D1095">
        <w:t xml:space="preserve">zejména v případě podprogramu </w:t>
      </w:r>
      <w:r w:rsidR="005572BB" w:rsidRPr="006252C2">
        <w:t>Marketing</w:t>
      </w:r>
      <w:r w:rsidR="005572BB" w:rsidRPr="009D1095">
        <w:t xml:space="preserve"> existuje mnoho lokalit, ve</w:t>
      </w:r>
      <w:r w:rsidR="00067187">
        <w:t xml:space="preserve"> </w:t>
      </w:r>
      <w:r w:rsidR="005572BB" w:rsidRPr="009D1095">
        <w:t>kterých nebyl podpořen žádný projekt.</w:t>
      </w:r>
      <w:r w:rsidR="00744F1F">
        <w:t xml:space="preserve"> V mnohých případech se jedná o</w:t>
      </w:r>
      <w:r w:rsidR="00C46435">
        <w:t xml:space="preserve"> strukturálně postižené </w:t>
      </w:r>
      <w:r w:rsidR="00744F1F">
        <w:t>regiony</w:t>
      </w:r>
      <w:r w:rsidR="00C46435">
        <w:t>.</w:t>
      </w:r>
    </w:p>
    <w:p w14:paraId="4587A59F" w14:textId="045F116E" w:rsidR="00462B07" w:rsidRDefault="00462B07" w:rsidP="00F10392">
      <w:pPr>
        <w:pStyle w:val="JK1"/>
        <w:numPr>
          <w:ilvl w:val="0"/>
          <w:numId w:val="8"/>
        </w:numPr>
        <w:tabs>
          <w:tab w:val="clear" w:pos="567"/>
        </w:tabs>
        <w:spacing w:before="100"/>
        <w:ind w:left="284" w:hanging="284"/>
      </w:pPr>
      <w:r w:rsidRPr="00170060">
        <w:t xml:space="preserve">NKÚ vyhodnotil </w:t>
      </w:r>
      <w:r w:rsidR="00FB4F81" w:rsidRPr="00170060">
        <w:t xml:space="preserve">z pohledu vynaložených peněžních prostředků </w:t>
      </w:r>
      <w:r w:rsidR="007C1CA5" w:rsidRPr="00170060">
        <w:t>dvě třetiny</w:t>
      </w:r>
      <w:r w:rsidRPr="00170060">
        <w:t xml:space="preserve"> (</w:t>
      </w:r>
      <w:r w:rsidR="007C1CA5" w:rsidRPr="00170060">
        <w:t>13</w:t>
      </w:r>
      <w:r w:rsidRPr="00170060">
        <w:t xml:space="preserve"> z 1</w:t>
      </w:r>
      <w:r w:rsidR="007C1CA5" w:rsidRPr="00170060">
        <w:t>9</w:t>
      </w:r>
      <w:r w:rsidRPr="00170060">
        <w:t xml:space="preserve">) posuzovaných projektů </w:t>
      </w:r>
      <w:r w:rsidR="00B305FB" w:rsidRPr="00170060">
        <w:t>jako účeln</w:t>
      </w:r>
      <w:r w:rsidR="008577EE" w:rsidRPr="00170060">
        <w:t>é</w:t>
      </w:r>
      <w:r w:rsidR="006C4C1B" w:rsidRPr="00170060">
        <w:t xml:space="preserve">, příp. </w:t>
      </w:r>
      <w:r w:rsidR="008577EE" w:rsidRPr="00170060">
        <w:t xml:space="preserve">účelné </w:t>
      </w:r>
      <w:r w:rsidR="006C4C1B" w:rsidRPr="00170060">
        <w:t xml:space="preserve">s mírnými nedostatky. Zbylých </w:t>
      </w:r>
      <w:r w:rsidR="007C1CA5" w:rsidRPr="00170060">
        <w:t>šest</w:t>
      </w:r>
      <w:r w:rsidR="006C4C1B" w:rsidRPr="00170060">
        <w:t xml:space="preserve"> projektů bylo vyhodnoceno jako omezeně účelné nebo neúčelné. </w:t>
      </w:r>
      <w:r w:rsidR="00560DBD" w:rsidRPr="00170060">
        <w:t>V t</w:t>
      </w:r>
      <w:r w:rsidR="008577EE" w:rsidRPr="00170060">
        <w:t>ěch</w:t>
      </w:r>
      <w:r w:rsidR="00560DBD" w:rsidRPr="00170060">
        <w:t>to kategori</w:t>
      </w:r>
      <w:r w:rsidR="008577EE" w:rsidRPr="00170060">
        <w:t>ích</w:t>
      </w:r>
      <w:r w:rsidR="00560DBD" w:rsidRPr="00170060">
        <w:t xml:space="preserve"> byly </w:t>
      </w:r>
      <w:r w:rsidR="00170060" w:rsidRPr="00170060">
        <w:t>čtyři</w:t>
      </w:r>
      <w:r w:rsidR="00560DBD" w:rsidRPr="00170060">
        <w:t xml:space="preserve"> projekty </w:t>
      </w:r>
      <w:r w:rsidR="00C35EBA" w:rsidRPr="00170060">
        <w:t>podpoře</w:t>
      </w:r>
      <w:r w:rsidR="005A45F9" w:rsidRPr="00170060">
        <w:t xml:space="preserve">né </w:t>
      </w:r>
      <w:r w:rsidR="00560DBD" w:rsidRPr="00170060">
        <w:t>z</w:t>
      </w:r>
      <w:r w:rsidR="00170060" w:rsidRPr="00170060">
        <w:t xml:space="preserve"> podprogramu </w:t>
      </w:r>
      <w:r w:rsidR="00170060" w:rsidRPr="006252C2">
        <w:t>Rozvoj</w:t>
      </w:r>
      <w:r w:rsidR="00560DBD" w:rsidRPr="00170060">
        <w:t xml:space="preserve"> a </w:t>
      </w:r>
      <w:r w:rsidR="00170060" w:rsidRPr="00170060">
        <w:t>dva</w:t>
      </w:r>
      <w:r w:rsidR="00560DBD" w:rsidRPr="00170060">
        <w:t xml:space="preserve"> z</w:t>
      </w:r>
      <w:r w:rsidR="00170060" w:rsidRPr="00170060">
        <w:t xml:space="preserve"> podprogramu </w:t>
      </w:r>
      <w:r w:rsidR="00170060" w:rsidRPr="006252C2">
        <w:t>Marketing</w:t>
      </w:r>
      <w:r w:rsidR="00170060" w:rsidRPr="00170060">
        <w:t>.</w:t>
      </w:r>
    </w:p>
    <w:p w14:paraId="7FE99E39" w14:textId="0DAE860F" w:rsidR="00462B07" w:rsidRPr="00D21785" w:rsidRDefault="00994AC3" w:rsidP="00F10392">
      <w:pPr>
        <w:pStyle w:val="JK1"/>
        <w:numPr>
          <w:ilvl w:val="0"/>
          <w:numId w:val="8"/>
        </w:numPr>
        <w:tabs>
          <w:tab w:val="clear" w:pos="567"/>
        </w:tabs>
        <w:spacing w:before="100"/>
        <w:ind w:left="284" w:hanging="284"/>
      </w:pPr>
      <w:r w:rsidRPr="00D21785">
        <w:t xml:space="preserve">NKÚ vyhodnotil </w:t>
      </w:r>
      <w:r w:rsidR="00FB4F81" w:rsidRPr="00D21785">
        <w:t>z</w:t>
      </w:r>
      <w:r w:rsidR="00261858" w:rsidRPr="00D21785">
        <w:t xml:space="preserve"> </w:t>
      </w:r>
      <w:r w:rsidR="00FB4F81" w:rsidRPr="00D21785">
        <w:t xml:space="preserve">pohledu vynaložených peněžních prostředků </w:t>
      </w:r>
      <w:r w:rsidR="003C1C0D" w:rsidRPr="00D21785">
        <w:t xml:space="preserve">tři čtvrtiny </w:t>
      </w:r>
      <w:r w:rsidR="000E1429" w:rsidRPr="00D21785">
        <w:t>(</w:t>
      </w:r>
      <w:r w:rsidR="006F1CB5" w:rsidRPr="00D21785">
        <w:t>14</w:t>
      </w:r>
      <w:r w:rsidR="00FB4F81" w:rsidRPr="00D21785">
        <w:t> </w:t>
      </w:r>
      <w:r w:rsidR="000E1429" w:rsidRPr="00D21785">
        <w:t>z </w:t>
      </w:r>
      <w:r w:rsidR="006F1CB5" w:rsidRPr="00D21785">
        <w:t>19</w:t>
      </w:r>
      <w:r w:rsidR="000E1429" w:rsidRPr="00D21785">
        <w:t xml:space="preserve">) kontrolovaných projektů jako </w:t>
      </w:r>
      <w:r w:rsidR="004B29F8" w:rsidRPr="00D21785">
        <w:t>hospodárné</w:t>
      </w:r>
      <w:r w:rsidR="009B5D1D" w:rsidRPr="00D21785">
        <w:t xml:space="preserve">, případně </w:t>
      </w:r>
      <w:r w:rsidR="004B29F8" w:rsidRPr="00D21785">
        <w:t>hospodárné</w:t>
      </w:r>
      <w:r w:rsidR="008577EE" w:rsidRPr="00D21785">
        <w:t xml:space="preserve"> </w:t>
      </w:r>
      <w:r w:rsidR="009B5D1D" w:rsidRPr="00D21785">
        <w:t>s</w:t>
      </w:r>
      <w:r w:rsidR="00261858" w:rsidRPr="00D21785">
        <w:t xml:space="preserve"> </w:t>
      </w:r>
      <w:r w:rsidR="009B5D1D" w:rsidRPr="00D21785">
        <w:t xml:space="preserve">mírnými nedostatky. </w:t>
      </w:r>
      <w:r w:rsidR="003C1C0D" w:rsidRPr="00D21785">
        <w:t>Tři projekty byly vyhodnoceny jako zcela nehospodárné</w:t>
      </w:r>
      <w:r w:rsidR="008E1668" w:rsidRPr="00D21785">
        <w:t xml:space="preserve"> (jeden projekt z podprogramu </w:t>
      </w:r>
      <w:r w:rsidR="008E1668" w:rsidRPr="006252C2">
        <w:t>Rozvoj</w:t>
      </w:r>
      <w:r w:rsidR="008E1668" w:rsidRPr="00D21785">
        <w:t xml:space="preserve"> a dva projekty z podprogramu </w:t>
      </w:r>
      <w:r w:rsidR="008E1668" w:rsidRPr="006252C2">
        <w:t>Marketing</w:t>
      </w:r>
      <w:r w:rsidR="008E1668" w:rsidRPr="00D21785">
        <w:t>) a</w:t>
      </w:r>
      <w:r w:rsidR="003C1C0D" w:rsidRPr="00D21785">
        <w:t xml:space="preserve"> dva projekty nebyly hodnoceny</w:t>
      </w:r>
      <w:r w:rsidR="008404DF">
        <w:rPr>
          <w:rStyle w:val="Znakapoznpodarou"/>
        </w:rPr>
        <w:footnoteReference w:id="4"/>
      </w:r>
      <w:r w:rsidR="003C1C0D" w:rsidRPr="00D21785">
        <w:t>.</w:t>
      </w:r>
      <w:r w:rsidR="00834C04" w:rsidRPr="00D21785">
        <w:t xml:space="preserve"> </w:t>
      </w:r>
    </w:p>
    <w:p w14:paraId="23A6D2D8" w14:textId="01202E41" w:rsidR="00B2689C" w:rsidRPr="00B2689C" w:rsidRDefault="00B60222" w:rsidP="00F10392">
      <w:pPr>
        <w:pStyle w:val="JK1"/>
        <w:numPr>
          <w:ilvl w:val="0"/>
          <w:numId w:val="8"/>
        </w:numPr>
        <w:tabs>
          <w:tab w:val="clear" w:pos="567"/>
        </w:tabs>
        <w:spacing w:before="100"/>
        <w:ind w:left="284" w:hanging="284"/>
      </w:pPr>
      <w:r w:rsidRPr="00C83DA2">
        <w:t xml:space="preserve">NKÚ zjistil </w:t>
      </w:r>
      <w:r w:rsidR="00533169" w:rsidRPr="00C83DA2">
        <w:t xml:space="preserve">u </w:t>
      </w:r>
      <w:r w:rsidR="00E07AD0">
        <w:t>pěti</w:t>
      </w:r>
      <w:r w:rsidR="009578E1" w:rsidRPr="00C83DA2">
        <w:t xml:space="preserve"> </w:t>
      </w:r>
      <w:r w:rsidR="00533169" w:rsidRPr="00C83DA2">
        <w:t>projekt</w:t>
      </w:r>
      <w:r w:rsidR="009578E1" w:rsidRPr="00C83DA2">
        <w:t>ů</w:t>
      </w:r>
      <w:r w:rsidR="00533169" w:rsidRPr="00C83DA2">
        <w:t xml:space="preserve"> </w:t>
      </w:r>
      <w:r w:rsidR="00C35EBA" w:rsidRPr="00C83DA2">
        <w:t>podpořen</w:t>
      </w:r>
      <w:r w:rsidR="009578E1" w:rsidRPr="00C83DA2">
        <w:t>ých</w:t>
      </w:r>
      <w:r w:rsidR="00C35EBA" w:rsidRPr="00C83DA2">
        <w:t xml:space="preserve"> z</w:t>
      </w:r>
      <w:r w:rsidR="009578E1" w:rsidRPr="00C83DA2">
        <w:t xml:space="preserve"> NPPCRR (u </w:t>
      </w:r>
      <w:r w:rsidR="00E07AD0">
        <w:t>tří</w:t>
      </w:r>
      <w:r w:rsidR="009578E1" w:rsidRPr="00C83DA2">
        <w:t xml:space="preserve"> projektů z podprogramu </w:t>
      </w:r>
      <w:r w:rsidR="009578E1" w:rsidRPr="006252C2">
        <w:t>Rozvoj</w:t>
      </w:r>
      <w:r w:rsidR="009578E1" w:rsidRPr="00C9468F">
        <w:rPr>
          <w:i/>
        </w:rPr>
        <w:t xml:space="preserve"> </w:t>
      </w:r>
      <w:r w:rsidR="009578E1" w:rsidRPr="00C83DA2">
        <w:t>a</w:t>
      </w:r>
      <w:r w:rsidR="00F10392">
        <w:t> </w:t>
      </w:r>
      <w:r w:rsidR="009578E1" w:rsidRPr="00C83DA2">
        <w:t xml:space="preserve">dvou projektů z podprogramu </w:t>
      </w:r>
      <w:r w:rsidR="009578E1" w:rsidRPr="006252C2">
        <w:t>Marketing</w:t>
      </w:r>
      <w:r w:rsidR="009578E1" w:rsidRPr="00C83DA2">
        <w:t>)</w:t>
      </w:r>
      <w:r w:rsidR="00C35EBA" w:rsidRPr="00C83DA2">
        <w:t xml:space="preserve"> skutečnosti nasvědčující </w:t>
      </w:r>
      <w:r w:rsidR="00471A0E" w:rsidRPr="00C83DA2">
        <w:t xml:space="preserve">porušení rozpočtové kázně </w:t>
      </w:r>
      <w:r w:rsidR="00033ACC" w:rsidRPr="00C83DA2">
        <w:t xml:space="preserve">v důsledku </w:t>
      </w:r>
      <w:r w:rsidR="00DA6CF1">
        <w:t xml:space="preserve">porušení podmínek </w:t>
      </w:r>
      <w:r w:rsidR="004A542F">
        <w:t>poskytnuté dotace</w:t>
      </w:r>
      <w:r w:rsidR="00BF7CF8">
        <w:rPr>
          <w:rStyle w:val="Znakapoznpodarou"/>
        </w:rPr>
        <w:footnoteReference w:id="5"/>
      </w:r>
      <w:r w:rsidR="00313ED6" w:rsidRPr="00C83DA2">
        <w:t>.</w:t>
      </w:r>
      <w:r w:rsidR="00E07AD0">
        <w:t xml:space="preserve"> </w:t>
      </w:r>
      <w:bookmarkStart w:id="5" w:name="_Hlk150776698"/>
    </w:p>
    <w:bookmarkEnd w:id="5"/>
    <w:p w14:paraId="7D5B4AC7" w14:textId="38BB91A5" w:rsidR="00D26A3B" w:rsidRPr="002F521B" w:rsidRDefault="00D26A3B" w:rsidP="00F10392">
      <w:pPr>
        <w:pStyle w:val="JK1"/>
        <w:numPr>
          <w:ilvl w:val="0"/>
          <w:numId w:val="8"/>
        </w:numPr>
        <w:tabs>
          <w:tab w:val="clear" w:pos="567"/>
        </w:tabs>
        <w:spacing w:before="100"/>
        <w:ind w:left="284" w:hanging="284"/>
      </w:pPr>
      <w:r>
        <w:t xml:space="preserve">NKÚ ověřil, že MMR </w:t>
      </w:r>
      <w:r w:rsidR="0087107D">
        <w:t xml:space="preserve">postupovalo </w:t>
      </w:r>
      <w:r>
        <w:t xml:space="preserve">při poskytování peněžních prostředků </w:t>
      </w:r>
      <w:r w:rsidR="00AB6870">
        <w:t xml:space="preserve">z programu </w:t>
      </w:r>
      <w:r w:rsidR="00AB6870" w:rsidRPr="00C9468F">
        <w:rPr>
          <w:i/>
        </w:rPr>
        <w:t>COVID</w:t>
      </w:r>
      <w:r w:rsidR="00DE5135">
        <w:rPr>
          <w:i/>
        </w:rPr>
        <w:t> </w:t>
      </w:r>
      <w:r w:rsidR="00DE5135">
        <w:rPr>
          <w:rFonts w:cs="Calibri"/>
          <w:i/>
        </w:rPr>
        <w:t>−</w:t>
      </w:r>
      <w:r w:rsidR="00DE5135">
        <w:rPr>
          <w:i/>
        </w:rPr>
        <w:t xml:space="preserve"> </w:t>
      </w:r>
      <w:r w:rsidR="00AB6870" w:rsidRPr="00C9468F">
        <w:rPr>
          <w:i/>
        </w:rPr>
        <w:t>Podpora cestovního ruchu</w:t>
      </w:r>
      <w:r w:rsidR="00AB6870">
        <w:t xml:space="preserve"> </w:t>
      </w:r>
      <w:r>
        <w:t>v souladu s právními předpisy.</w:t>
      </w:r>
    </w:p>
    <w:p w14:paraId="6DDFB468" w14:textId="5EA49326" w:rsidR="006A6BA0" w:rsidRPr="00E12B56" w:rsidRDefault="00232EB7" w:rsidP="00E12B56">
      <w:pPr>
        <w:pStyle w:val="Nadpis1"/>
        <w:keepLines w:val="0"/>
        <w:spacing w:before="600" w:after="240" w:line="240" w:lineRule="auto"/>
        <w:jc w:val="center"/>
        <w:rPr>
          <w:rFonts w:asciiTheme="minorHAnsi" w:eastAsia="Times New Roman" w:hAnsiTheme="minorHAnsi" w:cs="Times New Roman"/>
          <w:b/>
          <w:bCs/>
          <w:color w:val="auto"/>
          <w:sz w:val="28"/>
          <w:szCs w:val="34"/>
          <w:lang w:eastAsia="cs-CZ"/>
        </w:rPr>
      </w:pPr>
      <w:r w:rsidRPr="00E12B56">
        <w:rPr>
          <w:rFonts w:asciiTheme="minorHAnsi" w:eastAsia="Times New Roman" w:hAnsiTheme="minorHAnsi" w:cs="Times New Roman"/>
          <w:b/>
          <w:bCs/>
          <w:color w:val="auto"/>
          <w:sz w:val="28"/>
          <w:szCs w:val="34"/>
          <w:lang w:eastAsia="cs-CZ"/>
        </w:rPr>
        <w:t xml:space="preserve">II. </w:t>
      </w:r>
      <w:r w:rsidR="006A6BA0" w:rsidRPr="00E12B56">
        <w:rPr>
          <w:rFonts w:asciiTheme="minorHAnsi" w:eastAsia="Times New Roman" w:hAnsiTheme="minorHAnsi" w:cs="Times New Roman"/>
          <w:b/>
          <w:bCs/>
          <w:color w:val="auto"/>
          <w:sz w:val="28"/>
          <w:szCs w:val="34"/>
          <w:lang w:eastAsia="cs-CZ"/>
        </w:rPr>
        <w:t>Informace o kontrolované oblasti</w:t>
      </w:r>
    </w:p>
    <w:p w14:paraId="7412D32D" w14:textId="7AE59F14" w:rsidR="00533C54" w:rsidRDefault="009539F4" w:rsidP="00533C54">
      <w:pPr>
        <w:pStyle w:val="KPnormalni"/>
        <w:spacing w:before="0" w:after="120"/>
        <w:rPr>
          <w:rFonts w:cstheme="minorHAnsi"/>
          <w:color w:val="1C222F"/>
          <w:shd w:val="clear" w:color="auto" w:fill="FFFFFF"/>
        </w:rPr>
      </w:pPr>
      <w:r>
        <w:t>MMR je ústředním orgánem státní správy ve</w:t>
      </w:r>
      <w:r w:rsidR="0040431F">
        <w:t xml:space="preserve"> </w:t>
      </w:r>
      <w:r>
        <w:t>věcech regionální politiky, politiky bydlení, rozvoje domovního a bytového fondu a pro věci nájmu bytů a nebytových prostor, územního plánování a stavebního řádu, vyvlastnění, investiční politiky</w:t>
      </w:r>
      <w:r w:rsidRPr="00981843">
        <w:t>, cestovního ruchu</w:t>
      </w:r>
      <w:r>
        <w:t xml:space="preserve"> a pohřebnictví</w:t>
      </w:r>
      <w:r>
        <w:rPr>
          <w:rStyle w:val="Znakapoznpodarou"/>
        </w:rPr>
        <w:footnoteReference w:id="6"/>
      </w:r>
      <w:r>
        <w:t>. MMR je metodickým a koordinačním orgánem pro všechny subjekty působící v oblasti cestovního ruchu.</w:t>
      </w:r>
      <w:r w:rsidR="00533C54" w:rsidRPr="00533C54">
        <w:rPr>
          <w:rFonts w:cstheme="minorHAnsi"/>
          <w:color w:val="1C222F"/>
          <w:shd w:val="clear" w:color="auto" w:fill="FFFFFF"/>
        </w:rPr>
        <w:t xml:space="preserve"> </w:t>
      </w:r>
    </w:p>
    <w:p w14:paraId="476BBA49" w14:textId="50E5DCA0" w:rsidR="00533C54" w:rsidRPr="002D7CA7" w:rsidRDefault="00533C54" w:rsidP="00533C54">
      <w:pPr>
        <w:pStyle w:val="KPnormalni"/>
        <w:spacing w:before="0" w:after="120"/>
      </w:pPr>
      <w:r w:rsidRPr="00F70921">
        <w:rPr>
          <w:rFonts w:cstheme="minorHAnsi"/>
          <w:color w:val="1C222F"/>
          <w:shd w:val="clear" w:color="auto" w:fill="FFFFFF"/>
        </w:rPr>
        <w:t xml:space="preserve">V </w:t>
      </w:r>
      <w:r w:rsidRPr="00E14364">
        <w:rPr>
          <w:rFonts w:cstheme="minorHAnsi"/>
          <w:color w:val="1C222F"/>
          <w:shd w:val="clear" w:color="auto" w:fill="FFFFFF"/>
        </w:rPr>
        <w:t xml:space="preserve">roce 2019 cestovní ruch </w:t>
      </w:r>
      <w:r>
        <w:rPr>
          <w:rFonts w:cstheme="minorHAnsi"/>
          <w:color w:val="1C222F"/>
          <w:shd w:val="clear" w:color="auto" w:fill="FFFFFF"/>
        </w:rPr>
        <w:t xml:space="preserve">tvořil </w:t>
      </w:r>
      <w:r w:rsidRPr="00E14364">
        <w:rPr>
          <w:rFonts w:cstheme="minorHAnsi"/>
          <w:color w:val="1C222F"/>
          <w:shd w:val="clear" w:color="auto" w:fill="FFFFFF"/>
        </w:rPr>
        <w:t xml:space="preserve">v </w:t>
      </w:r>
      <w:r>
        <w:rPr>
          <w:rFonts w:cstheme="minorHAnsi"/>
          <w:color w:val="1C222F"/>
          <w:shd w:val="clear" w:color="auto" w:fill="FFFFFF"/>
        </w:rPr>
        <w:t>ČR</w:t>
      </w:r>
      <w:r w:rsidRPr="00E14364">
        <w:rPr>
          <w:rFonts w:cstheme="minorHAnsi"/>
          <w:color w:val="1C222F"/>
          <w:shd w:val="clear" w:color="auto" w:fill="FFFFFF"/>
        </w:rPr>
        <w:t xml:space="preserve"> 2,9 % HDP</w:t>
      </w:r>
      <w:r w:rsidR="00567ABF">
        <w:rPr>
          <w:rStyle w:val="Znakapoznpodarou"/>
          <w:rFonts w:cstheme="minorHAnsi"/>
          <w:color w:val="1C222F"/>
          <w:shd w:val="clear" w:color="auto" w:fill="FFFFFF"/>
        </w:rPr>
        <w:footnoteReference w:id="7"/>
      </w:r>
      <w:r w:rsidRPr="00E14364">
        <w:rPr>
          <w:rFonts w:cstheme="minorHAnsi"/>
          <w:color w:val="1C222F"/>
          <w:shd w:val="clear" w:color="auto" w:fill="FFFFFF"/>
        </w:rPr>
        <w:t xml:space="preserve"> (což činilo 165 mld. Kč). Zaměstnával 240 tisíc osob, tj. každý dvaadvacátý </w:t>
      </w:r>
      <w:r>
        <w:rPr>
          <w:rFonts w:cstheme="minorHAnsi"/>
          <w:color w:val="1C222F"/>
          <w:shd w:val="clear" w:color="auto" w:fill="FFFFFF"/>
        </w:rPr>
        <w:t xml:space="preserve">ekonomicky aktivní </w:t>
      </w:r>
      <w:r w:rsidRPr="00E14364">
        <w:rPr>
          <w:rFonts w:cstheme="minorHAnsi"/>
          <w:color w:val="1C222F"/>
          <w:shd w:val="clear" w:color="auto" w:fill="FFFFFF"/>
        </w:rPr>
        <w:t>Čech pracoval v odvětví cestovního ruchu.</w:t>
      </w:r>
    </w:p>
    <w:p w14:paraId="5E9F710B" w14:textId="3FBB8CEA" w:rsidR="00E03923" w:rsidRDefault="00BB0029" w:rsidP="00E03923">
      <w:pPr>
        <w:pStyle w:val="KPnormalni"/>
        <w:spacing w:before="0" w:after="120"/>
      </w:pPr>
      <w:r>
        <w:t xml:space="preserve">Globální cíl pro oblast cestovního ruchu </w:t>
      </w:r>
      <w:r w:rsidRPr="00E8237C">
        <w:t xml:space="preserve">stanovilo </w:t>
      </w:r>
      <w:r w:rsidR="002D7CA7" w:rsidRPr="00E8237C">
        <w:t xml:space="preserve">MMR </w:t>
      </w:r>
      <w:r w:rsidR="00DA13E5">
        <w:t>v</w:t>
      </w:r>
      <w:r w:rsidR="00071A63" w:rsidRPr="00E8237C">
        <w:t xml:space="preserve"> </w:t>
      </w:r>
      <w:r w:rsidR="00071A63" w:rsidRPr="00E8237C">
        <w:rPr>
          <w:i/>
        </w:rPr>
        <w:t>Koncepc</w:t>
      </w:r>
      <w:r w:rsidR="00E8237C" w:rsidRPr="00E8237C">
        <w:rPr>
          <w:i/>
        </w:rPr>
        <w:t>i</w:t>
      </w:r>
      <w:r w:rsidR="00071A63" w:rsidRPr="00E8237C">
        <w:rPr>
          <w:i/>
        </w:rPr>
        <w:t xml:space="preserve"> státní politiky cestovního ruchu</w:t>
      </w:r>
      <w:r w:rsidR="00071A63" w:rsidRPr="00235F33">
        <w:rPr>
          <w:i/>
        </w:rPr>
        <w:t xml:space="preserve"> </w:t>
      </w:r>
      <w:r w:rsidR="00237B9B">
        <w:rPr>
          <w:i/>
        </w:rPr>
        <w:t>v </w:t>
      </w:r>
      <w:r w:rsidR="00071A63" w:rsidRPr="00235F33">
        <w:rPr>
          <w:i/>
        </w:rPr>
        <w:t>Č</w:t>
      </w:r>
      <w:r w:rsidR="00237B9B">
        <w:rPr>
          <w:i/>
        </w:rPr>
        <w:t>eské republice</w:t>
      </w:r>
      <w:r w:rsidR="00071A63" w:rsidRPr="00235F33">
        <w:rPr>
          <w:i/>
        </w:rPr>
        <w:t xml:space="preserve"> 2014</w:t>
      </w:r>
      <w:r w:rsidR="005D67A0">
        <w:rPr>
          <w:i/>
        </w:rPr>
        <w:t>−</w:t>
      </w:r>
      <w:r w:rsidR="00071A63" w:rsidRPr="00235F33">
        <w:rPr>
          <w:i/>
        </w:rPr>
        <w:t>2020</w:t>
      </w:r>
      <w:r w:rsidR="00071A63" w:rsidRPr="002D7CA7">
        <w:t xml:space="preserve"> (dále </w:t>
      </w:r>
      <w:r w:rsidR="00187913">
        <w:t>také</w:t>
      </w:r>
      <w:r w:rsidR="00071A63" w:rsidRPr="002D7CA7">
        <w:t xml:space="preserve"> „Koncepce“)</w:t>
      </w:r>
      <w:r w:rsidR="005A3166" w:rsidRPr="002D7CA7">
        <w:t>, k</w:t>
      </w:r>
      <w:r w:rsidR="00DA13E5">
        <w:t xml:space="preserve">terá je základním </w:t>
      </w:r>
      <w:r w:rsidR="006B051D">
        <w:t>strategickým</w:t>
      </w:r>
      <w:r w:rsidR="00DA13E5">
        <w:t xml:space="preserve"> dokumentem pro tuto oblast</w:t>
      </w:r>
      <w:r w:rsidR="005A3166" w:rsidRPr="002D7CA7">
        <w:rPr>
          <w:rStyle w:val="Znakapoznpodarou"/>
        </w:rPr>
        <w:footnoteReference w:id="8"/>
      </w:r>
      <w:r w:rsidR="005A3166" w:rsidRPr="002D7CA7">
        <w:t xml:space="preserve">. </w:t>
      </w:r>
    </w:p>
    <w:p w14:paraId="59289372" w14:textId="5307D699" w:rsidR="005A3166" w:rsidRPr="00235F0C" w:rsidRDefault="008A1CC1" w:rsidP="00E03923">
      <w:pPr>
        <w:pStyle w:val="KPnormalni"/>
        <w:spacing w:before="0" w:after="120"/>
      </w:pPr>
      <w:r w:rsidRPr="008A1CC1">
        <w:t>MMR od roku 2016 administrovalo národní d</w:t>
      </w:r>
      <w:r w:rsidR="005A3166" w:rsidRPr="008A1CC1">
        <w:t>otační</w:t>
      </w:r>
      <w:r w:rsidR="005A3166" w:rsidRPr="002D7CA7">
        <w:t xml:space="preserve"> program</w:t>
      </w:r>
      <w:r w:rsidR="00235F33">
        <w:t xml:space="preserve"> NPPCRR</w:t>
      </w:r>
      <w:r>
        <w:t>, který</w:t>
      </w:r>
      <w:r w:rsidR="005A3166" w:rsidRPr="002D7CA7">
        <w:t xml:space="preserve"> měl vést ke</w:t>
      </w:r>
      <w:r w:rsidR="00067187">
        <w:t xml:space="preserve"> </w:t>
      </w:r>
      <w:r w:rsidR="005A3166" w:rsidRPr="002D7CA7">
        <w:t>zvýšení potenciálu a konkurenceschopnosti regionů, usnadnění pohybu návštěvníků v</w:t>
      </w:r>
      <w:r>
        <w:t> </w:t>
      </w:r>
      <w:r w:rsidR="005A3166" w:rsidRPr="002D7CA7">
        <w:t>destinacích, rozvoji základní a doprovodné infrastruktury cestovního ruchu, rozprostření návštěvnosti, rozvoji kvality služeb a</w:t>
      </w:r>
      <w:r w:rsidR="00235F33">
        <w:t> </w:t>
      </w:r>
      <w:r w:rsidR="005A3166" w:rsidRPr="002D7CA7">
        <w:t>v</w:t>
      </w:r>
      <w:r w:rsidR="00235F33">
        <w:t> </w:t>
      </w:r>
      <w:r w:rsidR="005A3166" w:rsidRPr="002D7CA7">
        <w:t xml:space="preserve">neposlední řadě </w:t>
      </w:r>
      <w:r w:rsidR="005D67A0">
        <w:t>k </w:t>
      </w:r>
      <w:r w:rsidR="005A3166" w:rsidRPr="002D7CA7">
        <w:t>podpoře socioekonomických přínosů cestovního ruchu.</w:t>
      </w:r>
      <w:r w:rsidR="00E03923">
        <w:t xml:space="preserve"> </w:t>
      </w:r>
      <w:r w:rsidR="005A3166" w:rsidRPr="002D7CA7">
        <w:t xml:space="preserve">NPPCRR byl realizován prostřednictvím dvou </w:t>
      </w:r>
      <w:r w:rsidR="002D7CA7" w:rsidRPr="002D7CA7">
        <w:t xml:space="preserve">podprogramů – </w:t>
      </w:r>
      <w:r w:rsidR="002D7CA7" w:rsidRPr="006343D3">
        <w:rPr>
          <w:i/>
        </w:rPr>
        <w:t>Rozvoj</w:t>
      </w:r>
      <w:r w:rsidR="005A3166" w:rsidRPr="002D7CA7">
        <w:rPr>
          <w:i/>
        </w:rPr>
        <w:t xml:space="preserve"> základní a </w:t>
      </w:r>
      <w:r w:rsidR="005A3166" w:rsidRPr="00235F0C">
        <w:rPr>
          <w:i/>
        </w:rPr>
        <w:t>doprovodné infrastruktury cestovního ruchu</w:t>
      </w:r>
      <w:r w:rsidR="005A3166" w:rsidRPr="00235F0C">
        <w:t xml:space="preserve"> </w:t>
      </w:r>
      <w:r w:rsidR="00187913" w:rsidRPr="00235F0C">
        <w:t xml:space="preserve">(dále také </w:t>
      </w:r>
      <w:r w:rsidR="00187913" w:rsidRPr="005D67A0">
        <w:t>„</w:t>
      </w:r>
      <w:r w:rsidR="00187913" w:rsidRPr="006252C2">
        <w:t>Rozvoj</w:t>
      </w:r>
      <w:r w:rsidR="00187913" w:rsidRPr="005D67A0">
        <w:t>“</w:t>
      </w:r>
      <w:r w:rsidR="00187913" w:rsidRPr="00235F0C">
        <w:t xml:space="preserve">) </w:t>
      </w:r>
      <w:r w:rsidR="005A3166" w:rsidRPr="00235F0C">
        <w:t xml:space="preserve">a </w:t>
      </w:r>
      <w:r w:rsidR="005A3166" w:rsidRPr="00235F0C">
        <w:rPr>
          <w:i/>
        </w:rPr>
        <w:t>Marketingové aktivity v cestovním ruchu</w:t>
      </w:r>
      <w:r w:rsidR="00F95346" w:rsidRPr="00235F0C">
        <w:rPr>
          <w:i/>
        </w:rPr>
        <w:t xml:space="preserve"> </w:t>
      </w:r>
      <w:r w:rsidR="00F95346" w:rsidRPr="00235F0C">
        <w:t xml:space="preserve">(dále také </w:t>
      </w:r>
      <w:r w:rsidR="00F95346" w:rsidRPr="005D67A0">
        <w:t>„</w:t>
      </w:r>
      <w:r w:rsidR="00F95346" w:rsidRPr="006252C2">
        <w:t>Marketing</w:t>
      </w:r>
      <w:r w:rsidR="00F95346" w:rsidRPr="005D67A0">
        <w:t>“</w:t>
      </w:r>
      <w:r w:rsidR="00F95346" w:rsidRPr="00235F0C">
        <w:t>)</w:t>
      </w:r>
      <w:r w:rsidR="005A3166" w:rsidRPr="00235F0C">
        <w:t xml:space="preserve">, které se dále dělí podle oblasti zaměření do tří dotačních </w:t>
      </w:r>
      <w:proofErr w:type="spellStart"/>
      <w:r w:rsidR="005A3166" w:rsidRPr="00235F0C">
        <w:t>subtitulů</w:t>
      </w:r>
      <w:proofErr w:type="spellEnd"/>
      <w:r w:rsidR="005A3166" w:rsidRPr="00235F0C">
        <w:rPr>
          <w:rStyle w:val="Znakapoznpodarou"/>
        </w:rPr>
        <w:footnoteReference w:id="9"/>
      </w:r>
      <w:r w:rsidR="005A3166" w:rsidRPr="00235F0C">
        <w:t>.</w:t>
      </w:r>
    </w:p>
    <w:p w14:paraId="2D693C4A" w14:textId="3967894C" w:rsidR="00511282" w:rsidRPr="00235F0C" w:rsidRDefault="0091290E" w:rsidP="000C6E66">
      <w:pPr>
        <w:jc w:val="both"/>
        <w:rPr>
          <w:sz w:val="24"/>
          <w:szCs w:val="24"/>
        </w:rPr>
      </w:pPr>
      <w:r w:rsidRPr="00235F0C">
        <w:rPr>
          <w:sz w:val="24"/>
          <w:szCs w:val="24"/>
        </w:rPr>
        <w:t>Celkov</w:t>
      </w:r>
      <w:r w:rsidR="009003F8" w:rsidRPr="00235F0C">
        <w:rPr>
          <w:sz w:val="24"/>
          <w:szCs w:val="24"/>
        </w:rPr>
        <w:t>ý</w:t>
      </w:r>
      <w:r w:rsidRPr="00235F0C">
        <w:rPr>
          <w:sz w:val="24"/>
          <w:szCs w:val="24"/>
        </w:rPr>
        <w:t xml:space="preserve"> finanční </w:t>
      </w:r>
      <w:r w:rsidR="009003F8" w:rsidRPr="00235F0C">
        <w:rPr>
          <w:sz w:val="24"/>
          <w:szCs w:val="24"/>
        </w:rPr>
        <w:t>plán</w:t>
      </w:r>
      <w:r w:rsidRPr="00235F0C">
        <w:rPr>
          <w:sz w:val="24"/>
          <w:szCs w:val="24"/>
        </w:rPr>
        <w:t xml:space="preserve"> pro NPPCRR pro období let 2016</w:t>
      </w:r>
      <w:r w:rsidR="00753E81">
        <w:rPr>
          <w:sz w:val="24"/>
          <w:szCs w:val="24"/>
        </w:rPr>
        <w:t>–</w:t>
      </w:r>
      <w:r w:rsidRPr="00235F0C">
        <w:rPr>
          <w:sz w:val="24"/>
          <w:szCs w:val="24"/>
        </w:rPr>
        <w:t>2020 činil 1 700 mil. Kč</w:t>
      </w:r>
      <w:r w:rsidR="00AC765B" w:rsidRPr="00235F0C">
        <w:rPr>
          <w:sz w:val="24"/>
          <w:szCs w:val="24"/>
        </w:rPr>
        <w:t>, přičemž pro</w:t>
      </w:r>
      <w:r w:rsidR="00067187">
        <w:rPr>
          <w:sz w:val="24"/>
          <w:szCs w:val="24"/>
        </w:rPr>
        <w:t xml:space="preserve"> </w:t>
      </w:r>
      <w:r w:rsidR="00AC765B" w:rsidRPr="00235F0C">
        <w:rPr>
          <w:sz w:val="24"/>
          <w:szCs w:val="24"/>
        </w:rPr>
        <w:t>po</w:t>
      </w:r>
      <w:r w:rsidR="000C6E66" w:rsidRPr="00235F0C">
        <w:rPr>
          <w:sz w:val="24"/>
          <w:szCs w:val="24"/>
        </w:rPr>
        <w:t xml:space="preserve">dprogram </w:t>
      </w:r>
      <w:r w:rsidR="000C6E66" w:rsidRPr="006252C2">
        <w:rPr>
          <w:sz w:val="24"/>
          <w:szCs w:val="24"/>
        </w:rPr>
        <w:t>Rozvoj</w:t>
      </w:r>
      <w:r w:rsidR="000C6E66" w:rsidRPr="00235F0C">
        <w:rPr>
          <w:i/>
          <w:sz w:val="24"/>
          <w:szCs w:val="24"/>
        </w:rPr>
        <w:t xml:space="preserve"> </w:t>
      </w:r>
      <w:r w:rsidR="000C6E66" w:rsidRPr="00235F0C">
        <w:rPr>
          <w:sz w:val="24"/>
          <w:szCs w:val="24"/>
        </w:rPr>
        <w:t xml:space="preserve">bylo plánováno 1 020 mil. Kč, pro podprogram </w:t>
      </w:r>
      <w:r w:rsidR="000C6E66" w:rsidRPr="006252C2">
        <w:rPr>
          <w:sz w:val="24"/>
          <w:szCs w:val="24"/>
        </w:rPr>
        <w:t>Marketing</w:t>
      </w:r>
      <w:r w:rsidR="009D057F" w:rsidRPr="00235F0C">
        <w:rPr>
          <w:sz w:val="24"/>
          <w:szCs w:val="24"/>
        </w:rPr>
        <w:t xml:space="preserve"> 680 mil. Kč</w:t>
      </w:r>
      <w:r w:rsidR="000C6E66" w:rsidRPr="00235F0C">
        <w:rPr>
          <w:sz w:val="24"/>
          <w:szCs w:val="24"/>
        </w:rPr>
        <w:t>.</w:t>
      </w:r>
      <w:r w:rsidRPr="00235F0C">
        <w:rPr>
          <w:sz w:val="24"/>
          <w:szCs w:val="24"/>
        </w:rPr>
        <w:t xml:space="preserve"> </w:t>
      </w:r>
    </w:p>
    <w:p w14:paraId="3B508B85" w14:textId="5710EFC2" w:rsidR="0091290E" w:rsidRPr="00235F0C" w:rsidRDefault="0091290E" w:rsidP="000C6E66">
      <w:pPr>
        <w:jc w:val="both"/>
        <w:rPr>
          <w:sz w:val="24"/>
          <w:szCs w:val="24"/>
        </w:rPr>
      </w:pPr>
      <w:r w:rsidRPr="00235F0C">
        <w:rPr>
          <w:sz w:val="24"/>
          <w:szCs w:val="24"/>
        </w:rPr>
        <w:t>V tabulce č. 1</w:t>
      </w:r>
      <w:r w:rsidR="00511282" w:rsidRPr="00235F0C">
        <w:rPr>
          <w:sz w:val="24"/>
          <w:szCs w:val="24"/>
        </w:rPr>
        <w:t xml:space="preserve"> uvedené</w:t>
      </w:r>
      <w:r w:rsidRPr="00235F0C">
        <w:rPr>
          <w:sz w:val="24"/>
          <w:szCs w:val="24"/>
        </w:rPr>
        <w:t xml:space="preserve"> </w:t>
      </w:r>
      <w:r w:rsidR="00511282" w:rsidRPr="00235F0C">
        <w:rPr>
          <w:sz w:val="24"/>
          <w:szCs w:val="24"/>
        </w:rPr>
        <w:t xml:space="preserve">v příloze č. </w:t>
      </w:r>
      <w:r w:rsidR="00EA4982">
        <w:rPr>
          <w:sz w:val="24"/>
          <w:szCs w:val="24"/>
        </w:rPr>
        <w:t>1</w:t>
      </w:r>
      <w:r w:rsidR="005D67A0">
        <w:rPr>
          <w:sz w:val="24"/>
          <w:szCs w:val="24"/>
        </w:rPr>
        <w:t xml:space="preserve"> </w:t>
      </w:r>
      <w:r w:rsidR="00511282" w:rsidRPr="00235F0C">
        <w:rPr>
          <w:sz w:val="24"/>
          <w:szCs w:val="24"/>
        </w:rPr>
        <w:t xml:space="preserve">tohoto kontrolního závěru </w:t>
      </w:r>
      <w:r w:rsidRPr="00235F0C">
        <w:rPr>
          <w:sz w:val="24"/>
          <w:szCs w:val="24"/>
        </w:rPr>
        <w:t>je znázorněn finanční plán NPPCRR dle jednotlivých let</w:t>
      </w:r>
      <w:r w:rsidR="009D057F" w:rsidRPr="00235F0C">
        <w:rPr>
          <w:sz w:val="24"/>
          <w:szCs w:val="24"/>
        </w:rPr>
        <w:t xml:space="preserve"> tak</w:t>
      </w:r>
      <w:r w:rsidR="0013182C">
        <w:rPr>
          <w:sz w:val="24"/>
          <w:szCs w:val="24"/>
        </w:rPr>
        <w:t>,</w:t>
      </w:r>
      <w:r w:rsidR="009D057F" w:rsidRPr="00235F0C">
        <w:rPr>
          <w:sz w:val="24"/>
          <w:szCs w:val="24"/>
        </w:rPr>
        <w:t xml:space="preserve"> jak ho MMR předpokládalo v dokumentaci programu</w:t>
      </w:r>
      <w:r w:rsidRPr="00235F0C">
        <w:rPr>
          <w:sz w:val="24"/>
          <w:szCs w:val="24"/>
        </w:rPr>
        <w:t>.</w:t>
      </w:r>
      <w:r w:rsidR="008C3F0F" w:rsidRPr="00235F0C">
        <w:rPr>
          <w:sz w:val="24"/>
          <w:szCs w:val="24"/>
        </w:rPr>
        <w:t xml:space="preserve"> S ohledem na pandemii </w:t>
      </w:r>
      <w:r w:rsidR="005D67A0" w:rsidRPr="00235F0C">
        <w:rPr>
          <w:sz w:val="24"/>
          <w:szCs w:val="24"/>
        </w:rPr>
        <w:t>covid</w:t>
      </w:r>
      <w:r w:rsidR="005D67A0">
        <w:rPr>
          <w:sz w:val="24"/>
          <w:szCs w:val="24"/>
        </w:rPr>
        <w:t>u</w:t>
      </w:r>
      <w:r w:rsidR="008C3F0F" w:rsidRPr="00235F0C">
        <w:rPr>
          <w:sz w:val="24"/>
          <w:szCs w:val="24"/>
        </w:rPr>
        <w:t>-19 byl tento program prodloužen prostřednictvím nových výzev i na období 2021 až 2023.</w:t>
      </w:r>
    </w:p>
    <w:p w14:paraId="497624D2" w14:textId="6EC09408" w:rsidR="008C3F0F" w:rsidRPr="00235F0C" w:rsidRDefault="008C3F0F" w:rsidP="000C6E66">
      <w:pPr>
        <w:jc w:val="both"/>
        <w:rPr>
          <w:sz w:val="24"/>
          <w:szCs w:val="24"/>
        </w:rPr>
      </w:pPr>
      <w:r w:rsidRPr="00235F0C">
        <w:rPr>
          <w:sz w:val="24"/>
          <w:szCs w:val="24"/>
        </w:rPr>
        <w:t>Přehled výzev, v </w:t>
      </w:r>
      <w:r w:rsidR="005D67A0">
        <w:rPr>
          <w:sz w:val="24"/>
          <w:szCs w:val="24"/>
        </w:rPr>
        <w:t xml:space="preserve">jejichž </w:t>
      </w:r>
      <w:r w:rsidRPr="00235F0C">
        <w:rPr>
          <w:sz w:val="24"/>
          <w:szCs w:val="24"/>
        </w:rPr>
        <w:t>rámci byly dotační prostředky NPPCRR poskytovány,</w:t>
      </w:r>
      <w:r w:rsidR="006F25BD">
        <w:rPr>
          <w:sz w:val="24"/>
          <w:szCs w:val="24"/>
        </w:rPr>
        <w:t xml:space="preserve"> a průběh čerpání k 21. 7. 2023</w:t>
      </w:r>
      <w:r w:rsidRPr="00235F0C">
        <w:rPr>
          <w:sz w:val="24"/>
          <w:szCs w:val="24"/>
        </w:rPr>
        <w:t xml:space="preserve"> je uveden </w:t>
      </w:r>
      <w:r w:rsidR="006F25BD">
        <w:rPr>
          <w:sz w:val="24"/>
          <w:szCs w:val="24"/>
        </w:rPr>
        <w:t xml:space="preserve">v </w:t>
      </w:r>
      <w:r w:rsidRPr="00235F0C">
        <w:rPr>
          <w:sz w:val="24"/>
          <w:szCs w:val="24"/>
        </w:rPr>
        <w:t>přílo</w:t>
      </w:r>
      <w:r w:rsidR="006F25BD">
        <w:rPr>
          <w:sz w:val="24"/>
          <w:szCs w:val="24"/>
        </w:rPr>
        <w:t>ze</w:t>
      </w:r>
      <w:r w:rsidRPr="00235F0C">
        <w:rPr>
          <w:sz w:val="24"/>
          <w:szCs w:val="24"/>
        </w:rPr>
        <w:t xml:space="preserve"> č. </w:t>
      </w:r>
      <w:r w:rsidR="00F72DFD">
        <w:rPr>
          <w:sz w:val="24"/>
          <w:szCs w:val="24"/>
        </w:rPr>
        <w:t>1</w:t>
      </w:r>
      <w:r w:rsidR="005D67A0">
        <w:rPr>
          <w:sz w:val="24"/>
          <w:szCs w:val="24"/>
        </w:rPr>
        <w:t xml:space="preserve"> </w:t>
      </w:r>
      <w:r w:rsidRPr="00235F0C">
        <w:rPr>
          <w:sz w:val="24"/>
          <w:szCs w:val="24"/>
        </w:rPr>
        <w:t>tohoto kontrolního závěru.</w:t>
      </w:r>
    </w:p>
    <w:p w14:paraId="30FAD3B0" w14:textId="14DF5590" w:rsidR="00A24726" w:rsidRDefault="008A5979" w:rsidP="003E10E0">
      <w:pPr>
        <w:spacing w:before="120" w:after="120"/>
        <w:jc w:val="both"/>
        <w:rPr>
          <w:sz w:val="24"/>
          <w:szCs w:val="24"/>
        </w:rPr>
      </w:pPr>
      <w:r>
        <w:rPr>
          <w:sz w:val="24"/>
          <w:szCs w:val="24"/>
        </w:rPr>
        <w:t>Nárokové d</w:t>
      </w:r>
      <w:r w:rsidR="00940D5E" w:rsidRPr="00F10E1A">
        <w:rPr>
          <w:sz w:val="24"/>
          <w:szCs w:val="24"/>
        </w:rPr>
        <w:t xml:space="preserve">otace týkající se podpůrných programů COVID byly určeny k podpoře odvětví </w:t>
      </w:r>
      <w:r w:rsidR="00940D5E">
        <w:rPr>
          <w:sz w:val="24"/>
          <w:szCs w:val="24"/>
        </w:rPr>
        <w:t>cestovního ruchu</w:t>
      </w:r>
      <w:r w:rsidR="00940D5E" w:rsidRPr="00F10E1A">
        <w:rPr>
          <w:sz w:val="24"/>
          <w:szCs w:val="24"/>
        </w:rPr>
        <w:t xml:space="preserve">. To bylo zasaženo důsledky opatření vlády a Ministerstva zdravotnictví souvisejících s pandemií </w:t>
      </w:r>
      <w:r w:rsidR="005D67A0" w:rsidRPr="00F10E1A">
        <w:rPr>
          <w:sz w:val="24"/>
          <w:szCs w:val="24"/>
        </w:rPr>
        <w:t>covid</w:t>
      </w:r>
      <w:r w:rsidR="005D67A0">
        <w:rPr>
          <w:sz w:val="24"/>
          <w:szCs w:val="24"/>
        </w:rPr>
        <w:t>u</w:t>
      </w:r>
      <w:r w:rsidR="00940D5E" w:rsidRPr="00F10E1A">
        <w:rPr>
          <w:sz w:val="24"/>
          <w:szCs w:val="24"/>
        </w:rPr>
        <w:t xml:space="preserve">-19. </w:t>
      </w:r>
      <w:r w:rsidR="00940D5E">
        <w:rPr>
          <w:sz w:val="24"/>
          <w:szCs w:val="24"/>
        </w:rPr>
        <w:t>Konkrétně se jednalo o</w:t>
      </w:r>
      <w:r w:rsidR="00940D5E" w:rsidRPr="00F10E1A">
        <w:rPr>
          <w:sz w:val="24"/>
          <w:szCs w:val="24"/>
        </w:rPr>
        <w:t xml:space="preserve"> program </w:t>
      </w:r>
      <w:r w:rsidR="00940D5E" w:rsidRPr="00F10E1A">
        <w:rPr>
          <w:i/>
          <w:sz w:val="24"/>
          <w:szCs w:val="24"/>
        </w:rPr>
        <w:t>COVID – Podpora cestovního ruchu</w:t>
      </w:r>
      <w:r w:rsidR="00940D5E" w:rsidRPr="00F10E1A">
        <w:rPr>
          <w:sz w:val="24"/>
          <w:szCs w:val="24"/>
        </w:rPr>
        <w:t xml:space="preserve"> (dále též </w:t>
      </w:r>
      <w:r w:rsidR="00940D5E" w:rsidRPr="005D67A0">
        <w:rPr>
          <w:sz w:val="24"/>
          <w:szCs w:val="24"/>
        </w:rPr>
        <w:t>„</w:t>
      </w:r>
      <w:r w:rsidR="00940D5E" w:rsidRPr="006252C2">
        <w:rPr>
          <w:sz w:val="24"/>
          <w:szCs w:val="24"/>
        </w:rPr>
        <w:t>COVID-Podpora CR</w:t>
      </w:r>
      <w:r w:rsidR="00940D5E" w:rsidRPr="005D67A0">
        <w:rPr>
          <w:sz w:val="24"/>
          <w:szCs w:val="24"/>
        </w:rPr>
        <w:t>“</w:t>
      </w:r>
      <w:r w:rsidR="00940D5E" w:rsidRPr="00F10E1A">
        <w:rPr>
          <w:sz w:val="24"/>
          <w:szCs w:val="24"/>
        </w:rPr>
        <w:t xml:space="preserve">), jehož součástí byly tituly </w:t>
      </w:r>
      <w:r w:rsidR="00940D5E" w:rsidRPr="00F10E1A">
        <w:rPr>
          <w:i/>
          <w:sz w:val="24"/>
          <w:szCs w:val="24"/>
        </w:rPr>
        <w:t>COVID</w:t>
      </w:r>
      <w:r w:rsidR="005D67A0" w:rsidRPr="00F10E1A">
        <w:rPr>
          <w:i/>
          <w:sz w:val="24"/>
          <w:szCs w:val="24"/>
        </w:rPr>
        <w:t xml:space="preserve"> – </w:t>
      </w:r>
      <w:r w:rsidR="00940D5E" w:rsidRPr="00F10E1A">
        <w:rPr>
          <w:i/>
          <w:sz w:val="24"/>
          <w:szCs w:val="24"/>
        </w:rPr>
        <w:t>Cestovní kanceláře</w:t>
      </w:r>
      <w:r w:rsidR="00940D5E" w:rsidRPr="00F10E1A">
        <w:rPr>
          <w:sz w:val="24"/>
          <w:szCs w:val="24"/>
        </w:rPr>
        <w:t xml:space="preserve"> (dále</w:t>
      </w:r>
      <w:r w:rsidR="00067187">
        <w:rPr>
          <w:sz w:val="24"/>
          <w:szCs w:val="24"/>
        </w:rPr>
        <w:t xml:space="preserve"> </w:t>
      </w:r>
      <w:r w:rsidR="00940D5E" w:rsidRPr="00F10E1A">
        <w:rPr>
          <w:sz w:val="24"/>
          <w:szCs w:val="24"/>
        </w:rPr>
        <w:t xml:space="preserve">též </w:t>
      </w:r>
      <w:r w:rsidR="00940D5E" w:rsidRPr="005D67A0">
        <w:rPr>
          <w:sz w:val="24"/>
          <w:szCs w:val="24"/>
        </w:rPr>
        <w:t>„</w:t>
      </w:r>
      <w:r w:rsidR="00940D5E" w:rsidRPr="006252C2">
        <w:rPr>
          <w:sz w:val="24"/>
          <w:szCs w:val="24"/>
        </w:rPr>
        <w:t>COVID-CK</w:t>
      </w:r>
      <w:r w:rsidR="00940D5E" w:rsidRPr="005D67A0">
        <w:rPr>
          <w:sz w:val="24"/>
          <w:szCs w:val="24"/>
        </w:rPr>
        <w:t>“</w:t>
      </w:r>
      <w:r w:rsidR="00940D5E" w:rsidRPr="00F10E1A">
        <w:rPr>
          <w:sz w:val="24"/>
          <w:szCs w:val="24"/>
        </w:rPr>
        <w:t xml:space="preserve">), </w:t>
      </w:r>
      <w:r w:rsidR="00940D5E" w:rsidRPr="00F10E1A">
        <w:rPr>
          <w:i/>
          <w:sz w:val="24"/>
          <w:szCs w:val="24"/>
        </w:rPr>
        <w:t>COVID</w:t>
      </w:r>
      <w:r w:rsidR="005D67A0" w:rsidRPr="00F10E1A">
        <w:rPr>
          <w:i/>
          <w:sz w:val="24"/>
          <w:szCs w:val="24"/>
        </w:rPr>
        <w:t xml:space="preserve"> – </w:t>
      </w:r>
      <w:r w:rsidR="00940D5E" w:rsidRPr="00F10E1A">
        <w:rPr>
          <w:i/>
          <w:sz w:val="24"/>
          <w:szCs w:val="24"/>
        </w:rPr>
        <w:t>Cestovní agentury</w:t>
      </w:r>
      <w:r w:rsidR="00940D5E" w:rsidRPr="00F10E1A">
        <w:rPr>
          <w:sz w:val="24"/>
          <w:szCs w:val="24"/>
        </w:rPr>
        <w:t xml:space="preserve"> (dále též </w:t>
      </w:r>
      <w:r w:rsidR="00940D5E" w:rsidRPr="005D67A0">
        <w:rPr>
          <w:sz w:val="24"/>
          <w:szCs w:val="24"/>
        </w:rPr>
        <w:t>„</w:t>
      </w:r>
      <w:r w:rsidR="00940D5E" w:rsidRPr="006252C2">
        <w:rPr>
          <w:sz w:val="24"/>
          <w:szCs w:val="24"/>
        </w:rPr>
        <w:t>COVID-CA</w:t>
      </w:r>
      <w:r w:rsidR="00940D5E" w:rsidRPr="005D67A0">
        <w:rPr>
          <w:sz w:val="24"/>
          <w:szCs w:val="24"/>
        </w:rPr>
        <w:t>“</w:t>
      </w:r>
      <w:r w:rsidR="00940D5E" w:rsidRPr="00F10E1A">
        <w:rPr>
          <w:sz w:val="24"/>
          <w:szCs w:val="24"/>
        </w:rPr>
        <w:t xml:space="preserve">), </w:t>
      </w:r>
      <w:r w:rsidR="00067187">
        <w:rPr>
          <w:sz w:val="24"/>
          <w:szCs w:val="24"/>
        </w:rPr>
        <w:br/>
      </w:r>
      <w:r w:rsidR="00940D5E" w:rsidRPr="00F10E1A">
        <w:rPr>
          <w:i/>
          <w:sz w:val="24"/>
          <w:szCs w:val="24"/>
        </w:rPr>
        <w:t>COVID</w:t>
      </w:r>
      <w:r w:rsidR="005D67A0" w:rsidRPr="00F10E1A">
        <w:rPr>
          <w:i/>
          <w:sz w:val="24"/>
          <w:szCs w:val="24"/>
        </w:rPr>
        <w:t xml:space="preserve"> – </w:t>
      </w:r>
      <w:r w:rsidR="00940D5E" w:rsidRPr="00F10E1A">
        <w:rPr>
          <w:i/>
          <w:sz w:val="24"/>
          <w:szCs w:val="24"/>
        </w:rPr>
        <w:t>Průvodci v cestovním ruchu</w:t>
      </w:r>
      <w:r w:rsidR="00940D5E" w:rsidRPr="00F10E1A">
        <w:rPr>
          <w:sz w:val="24"/>
          <w:szCs w:val="24"/>
        </w:rPr>
        <w:t xml:space="preserve"> (dále též </w:t>
      </w:r>
      <w:r w:rsidR="00940D5E" w:rsidRPr="005D67A0">
        <w:rPr>
          <w:sz w:val="24"/>
          <w:szCs w:val="24"/>
        </w:rPr>
        <w:t>„</w:t>
      </w:r>
      <w:r w:rsidR="00940D5E" w:rsidRPr="006252C2">
        <w:rPr>
          <w:sz w:val="24"/>
          <w:szCs w:val="24"/>
        </w:rPr>
        <w:t>COVID-Průvodci</w:t>
      </w:r>
      <w:r w:rsidR="00940D5E" w:rsidRPr="005D67A0">
        <w:rPr>
          <w:sz w:val="24"/>
          <w:szCs w:val="24"/>
        </w:rPr>
        <w:t>“</w:t>
      </w:r>
      <w:r w:rsidR="00940D5E" w:rsidRPr="00F10E1A">
        <w:rPr>
          <w:sz w:val="24"/>
          <w:szCs w:val="24"/>
        </w:rPr>
        <w:t xml:space="preserve">) a </w:t>
      </w:r>
      <w:r w:rsidR="00940D5E" w:rsidRPr="00F10E1A">
        <w:rPr>
          <w:i/>
          <w:sz w:val="24"/>
          <w:szCs w:val="24"/>
        </w:rPr>
        <w:t>COVID</w:t>
      </w:r>
      <w:r w:rsidR="005D67A0" w:rsidRPr="00F10E1A">
        <w:rPr>
          <w:i/>
          <w:sz w:val="24"/>
          <w:szCs w:val="24"/>
        </w:rPr>
        <w:t xml:space="preserve"> – </w:t>
      </w:r>
      <w:r w:rsidR="00940D5E" w:rsidRPr="00F10E1A">
        <w:rPr>
          <w:i/>
          <w:sz w:val="24"/>
          <w:szCs w:val="24"/>
        </w:rPr>
        <w:t>Cestovní kanceláře II</w:t>
      </w:r>
      <w:r w:rsidR="00940D5E" w:rsidRPr="00F10E1A">
        <w:rPr>
          <w:sz w:val="24"/>
          <w:szCs w:val="24"/>
        </w:rPr>
        <w:t xml:space="preserve">. (dále též </w:t>
      </w:r>
      <w:r w:rsidR="00940D5E" w:rsidRPr="005D67A0">
        <w:rPr>
          <w:sz w:val="24"/>
          <w:szCs w:val="24"/>
        </w:rPr>
        <w:t>„</w:t>
      </w:r>
      <w:r w:rsidR="00940D5E" w:rsidRPr="006252C2">
        <w:rPr>
          <w:sz w:val="24"/>
          <w:szCs w:val="24"/>
        </w:rPr>
        <w:t>COVID-CK II.</w:t>
      </w:r>
      <w:r w:rsidR="00940D5E" w:rsidRPr="005D67A0">
        <w:rPr>
          <w:sz w:val="24"/>
          <w:szCs w:val="24"/>
        </w:rPr>
        <w:t>“</w:t>
      </w:r>
      <w:r w:rsidR="00940D5E" w:rsidRPr="00F10E1A">
        <w:rPr>
          <w:sz w:val="24"/>
          <w:szCs w:val="24"/>
        </w:rPr>
        <w:t xml:space="preserve">). </w:t>
      </w:r>
      <w:r w:rsidR="00940D5E">
        <w:rPr>
          <w:sz w:val="24"/>
          <w:szCs w:val="24"/>
        </w:rPr>
        <w:t>Dále se jednalo o</w:t>
      </w:r>
      <w:r w:rsidR="00940D5E" w:rsidRPr="00F10E1A">
        <w:rPr>
          <w:sz w:val="24"/>
          <w:szCs w:val="24"/>
        </w:rPr>
        <w:t xml:space="preserve"> programy </w:t>
      </w:r>
      <w:r w:rsidR="00940D5E" w:rsidRPr="00F10E1A">
        <w:rPr>
          <w:i/>
          <w:sz w:val="24"/>
          <w:szCs w:val="24"/>
        </w:rPr>
        <w:t>COVID – Lázně</w:t>
      </w:r>
      <w:r w:rsidR="00940D5E" w:rsidRPr="00F10E1A">
        <w:rPr>
          <w:sz w:val="24"/>
          <w:szCs w:val="24"/>
        </w:rPr>
        <w:t xml:space="preserve"> a </w:t>
      </w:r>
      <w:r w:rsidR="00940D5E" w:rsidRPr="00F10E1A">
        <w:rPr>
          <w:i/>
          <w:sz w:val="24"/>
          <w:szCs w:val="24"/>
        </w:rPr>
        <w:t>COVID – Lázně 2021</w:t>
      </w:r>
      <w:r w:rsidR="00940D5E" w:rsidRPr="00F10E1A">
        <w:rPr>
          <w:sz w:val="24"/>
          <w:szCs w:val="24"/>
        </w:rPr>
        <w:t xml:space="preserve"> (dále též souhrnně </w:t>
      </w:r>
      <w:r w:rsidR="00940D5E" w:rsidRPr="005D67A0">
        <w:rPr>
          <w:sz w:val="24"/>
          <w:szCs w:val="24"/>
        </w:rPr>
        <w:t>„</w:t>
      </w:r>
      <w:r w:rsidR="00940D5E" w:rsidRPr="006252C2">
        <w:rPr>
          <w:sz w:val="24"/>
          <w:szCs w:val="24"/>
        </w:rPr>
        <w:t>COVID-Lázně</w:t>
      </w:r>
      <w:r w:rsidR="00940D5E" w:rsidRPr="005D67A0">
        <w:rPr>
          <w:sz w:val="24"/>
          <w:szCs w:val="24"/>
        </w:rPr>
        <w:t>“</w:t>
      </w:r>
      <w:r w:rsidR="00940D5E" w:rsidRPr="00F10E1A">
        <w:rPr>
          <w:sz w:val="24"/>
          <w:szCs w:val="24"/>
        </w:rPr>
        <w:t>) a </w:t>
      </w:r>
      <w:proofErr w:type="spellStart"/>
      <w:r w:rsidR="006526BE">
        <w:rPr>
          <w:sz w:val="24"/>
          <w:szCs w:val="24"/>
        </w:rPr>
        <w:t>s</w:t>
      </w:r>
      <w:r w:rsidR="006526BE" w:rsidRPr="00F10E1A">
        <w:rPr>
          <w:sz w:val="24"/>
          <w:szCs w:val="24"/>
        </w:rPr>
        <w:t>ub</w:t>
      </w:r>
      <w:r w:rsidR="00940D5E" w:rsidRPr="00F10E1A">
        <w:rPr>
          <w:sz w:val="24"/>
          <w:szCs w:val="24"/>
        </w:rPr>
        <w:t>titul</w:t>
      </w:r>
      <w:proofErr w:type="spellEnd"/>
      <w:r w:rsidR="00940D5E" w:rsidRPr="00F10E1A">
        <w:rPr>
          <w:sz w:val="24"/>
          <w:szCs w:val="24"/>
        </w:rPr>
        <w:t xml:space="preserve"> </w:t>
      </w:r>
      <w:r w:rsidR="00940D5E" w:rsidRPr="00F10E1A">
        <w:rPr>
          <w:i/>
          <w:sz w:val="24"/>
          <w:szCs w:val="24"/>
        </w:rPr>
        <w:t>Záruky cestovním kancelářím</w:t>
      </w:r>
      <w:r w:rsidR="00940D5E" w:rsidRPr="00F10E1A">
        <w:rPr>
          <w:sz w:val="24"/>
          <w:szCs w:val="24"/>
        </w:rPr>
        <w:t xml:space="preserve"> (dále též </w:t>
      </w:r>
      <w:r w:rsidR="00940D5E" w:rsidRPr="005D67A0">
        <w:rPr>
          <w:sz w:val="24"/>
          <w:szCs w:val="24"/>
        </w:rPr>
        <w:t>„</w:t>
      </w:r>
      <w:r w:rsidR="00940D5E" w:rsidRPr="006252C2">
        <w:rPr>
          <w:sz w:val="24"/>
          <w:szCs w:val="24"/>
        </w:rPr>
        <w:t>Záruky CK</w:t>
      </w:r>
      <w:r w:rsidR="00940D5E" w:rsidRPr="005D67A0">
        <w:rPr>
          <w:sz w:val="24"/>
          <w:szCs w:val="24"/>
        </w:rPr>
        <w:t>“</w:t>
      </w:r>
      <w:r w:rsidR="00940D5E" w:rsidRPr="00F10E1A">
        <w:rPr>
          <w:sz w:val="24"/>
          <w:szCs w:val="24"/>
        </w:rPr>
        <w:t>).</w:t>
      </w:r>
      <w:r w:rsidR="00FB4EA1">
        <w:rPr>
          <w:sz w:val="24"/>
          <w:szCs w:val="24"/>
        </w:rPr>
        <w:t xml:space="preserve"> </w:t>
      </w:r>
      <w:r w:rsidR="008D0135">
        <w:rPr>
          <w:sz w:val="24"/>
          <w:szCs w:val="24"/>
        </w:rPr>
        <w:t xml:space="preserve">Přehled těchto programů a jejich čerpání je uveden v tabulkách č. 3 a 4 </w:t>
      </w:r>
      <w:r w:rsidR="00446324">
        <w:rPr>
          <w:sz w:val="24"/>
          <w:szCs w:val="24"/>
        </w:rPr>
        <w:t>v </w:t>
      </w:r>
      <w:r w:rsidR="008D0135" w:rsidRPr="00235F0C">
        <w:rPr>
          <w:sz w:val="24"/>
          <w:szCs w:val="24"/>
        </w:rPr>
        <w:t>přílo</w:t>
      </w:r>
      <w:r w:rsidR="00446324">
        <w:rPr>
          <w:sz w:val="24"/>
          <w:szCs w:val="24"/>
        </w:rPr>
        <w:t>ze</w:t>
      </w:r>
      <w:r w:rsidR="008D0135" w:rsidRPr="00235F0C">
        <w:rPr>
          <w:sz w:val="24"/>
          <w:szCs w:val="24"/>
        </w:rPr>
        <w:t xml:space="preserve"> č. </w:t>
      </w:r>
      <w:r w:rsidR="00060DCD">
        <w:rPr>
          <w:sz w:val="24"/>
          <w:szCs w:val="24"/>
        </w:rPr>
        <w:t>1</w:t>
      </w:r>
      <w:r w:rsidR="008D0135" w:rsidRPr="00235F0C">
        <w:rPr>
          <w:sz w:val="24"/>
          <w:szCs w:val="24"/>
        </w:rPr>
        <w:t xml:space="preserve"> tohoto</w:t>
      </w:r>
      <w:r w:rsidR="008D0135">
        <w:rPr>
          <w:sz w:val="24"/>
          <w:szCs w:val="24"/>
        </w:rPr>
        <w:t xml:space="preserve"> kontrolního závěru.</w:t>
      </w:r>
    </w:p>
    <w:p w14:paraId="6DE15962" w14:textId="6AE38B6E" w:rsidR="00126F9F" w:rsidRPr="009D4E31" w:rsidRDefault="00126F9F" w:rsidP="003E10E0">
      <w:pPr>
        <w:spacing w:before="120" w:after="120"/>
        <w:jc w:val="both"/>
        <w:rPr>
          <w:sz w:val="24"/>
          <w:szCs w:val="24"/>
        </w:rPr>
      </w:pPr>
      <w:r>
        <w:rPr>
          <w:sz w:val="24"/>
          <w:szCs w:val="24"/>
        </w:rPr>
        <w:t xml:space="preserve">Celkem bylo podpořeno 375 projektů NPPCRR ve výši 431,2 mil. Kč, resp. 1 670 žadatelů z programů COVID ve výši 956,6 mil. Kč. Kontrolovatelný objem činil </w:t>
      </w:r>
      <w:r w:rsidRPr="00374436">
        <w:rPr>
          <w:sz w:val="24"/>
          <w:szCs w:val="24"/>
        </w:rPr>
        <w:t>1 387,8</w:t>
      </w:r>
      <w:r>
        <w:rPr>
          <w:sz w:val="24"/>
          <w:szCs w:val="24"/>
        </w:rPr>
        <w:t xml:space="preserve"> mil. Kč. </w:t>
      </w:r>
    </w:p>
    <w:p w14:paraId="5BBEE0E3" w14:textId="16162881" w:rsidR="006D791D" w:rsidRPr="00E12B56" w:rsidRDefault="00D96C84" w:rsidP="00E12B56">
      <w:pPr>
        <w:pStyle w:val="Nadpis1"/>
        <w:keepLines w:val="0"/>
        <w:spacing w:before="600" w:after="240" w:line="240" w:lineRule="auto"/>
        <w:jc w:val="center"/>
        <w:rPr>
          <w:rFonts w:asciiTheme="minorHAnsi" w:eastAsia="Times New Roman" w:hAnsiTheme="minorHAnsi" w:cs="Times New Roman"/>
          <w:b/>
          <w:bCs/>
          <w:color w:val="auto"/>
          <w:sz w:val="28"/>
          <w:szCs w:val="34"/>
          <w:lang w:eastAsia="cs-CZ"/>
        </w:rPr>
      </w:pPr>
      <w:bookmarkStart w:id="6" w:name="_Hlk97728594"/>
      <w:r w:rsidRPr="00E12B56">
        <w:rPr>
          <w:rFonts w:asciiTheme="minorHAnsi" w:eastAsia="Times New Roman" w:hAnsiTheme="minorHAnsi" w:cs="Times New Roman"/>
          <w:b/>
          <w:bCs/>
          <w:color w:val="auto"/>
          <w:sz w:val="28"/>
          <w:szCs w:val="34"/>
          <w:lang w:eastAsia="cs-CZ"/>
        </w:rPr>
        <w:t xml:space="preserve">III. </w:t>
      </w:r>
      <w:r w:rsidR="000624C9" w:rsidRPr="00E12B56">
        <w:rPr>
          <w:rFonts w:asciiTheme="minorHAnsi" w:eastAsia="Times New Roman" w:hAnsiTheme="minorHAnsi" w:cs="Times New Roman"/>
          <w:b/>
          <w:bCs/>
          <w:color w:val="auto"/>
          <w:sz w:val="28"/>
          <w:szCs w:val="34"/>
          <w:lang w:eastAsia="cs-CZ"/>
        </w:rPr>
        <w:t>Rozsah kontroly</w:t>
      </w:r>
    </w:p>
    <w:p w14:paraId="31CA6228" w14:textId="3FF6CCAA" w:rsidR="005B5CA0" w:rsidRDefault="005B5CA0" w:rsidP="009A7378">
      <w:pPr>
        <w:pStyle w:val="KPnormalni"/>
        <w:spacing w:before="0" w:after="120"/>
      </w:pPr>
      <w:bookmarkStart w:id="7" w:name="_Hlk97729707"/>
      <w:bookmarkEnd w:id="6"/>
      <w:r w:rsidRPr="00284276">
        <w:rPr>
          <w:bCs/>
        </w:rPr>
        <w:t xml:space="preserve">Cílem </w:t>
      </w:r>
      <w:r>
        <w:t>kontrolní akce</w:t>
      </w:r>
      <w:r w:rsidRPr="00284276">
        <w:rPr>
          <w:bCs/>
        </w:rPr>
        <w:t xml:space="preserve"> bylo </w:t>
      </w:r>
      <w:r>
        <w:t>p</w:t>
      </w:r>
      <w:r w:rsidRPr="00543EBF">
        <w:t>rověřit, zda</w:t>
      </w:r>
      <w:r>
        <w:t xml:space="preserve"> peněžní prostředky státního rozpočtu určené na</w:t>
      </w:r>
      <w:r w:rsidR="00067187">
        <w:t xml:space="preserve"> </w:t>
      </w:r>
      <w:r>
        <w:t>opatření v oblasti cestovního ruchu byly vynakládány účelně, hospodárně a v souladu s</w:t>
      </w:r>
      <w:r w:rsidR="00A77D78">
        <w:t> </w:t>
      </w:r>
      <w:r>
        <w:t>právními předpisy.</w:t>
      </w:r>
    </w:p>
    <w:p w14:paraId="150B1FBC" w14:textId="4822E1B8" w:rsidR="009A7378" w:rsidRDefault="00DB71A8" w:rsidP="009A7378">
      <w:pPr>
        <w:pStyle w:val="KPnormalni"/>
        <w:spacing w:before="0" w:after="120"/>
      </w:pPr>
      <w:r w:rsidRPr="00BE298E">
        <w:t xml:space="preserve">Za účelné se považuje takové použití </w:t>
      </w:r>
      <w:r w:rsidR="00864CFE">
        <w:t>peněžních</w:t>
      </w:r>
      <w:r w:rsidRPr="00BE298E">
        <w:t xml:space="preserve"> prostředků, které zajistí optimální míru dosažení cílů při plnění stanovených úkolů</w:t>
      </w:r>
      <w:r w:rsidRPr="00BE298E">
        <w:rPr>
          <w:vertAlign w:val="superscript"/>
        </w:rPr>
        <w:footnoteReference w:id="10"/>
      </w:r>
      <w:r w:rsidRPr="00BE298E">
        <w:t xml:space="preserve">. </w:t>
      </w:r>
      <w:r w:rsidR="002728B4" w:rsidRPr="00F87531">
        <w:t>NKÚ při hodnocení účelnosti vycházel z</w:t>
      </w:r>
      <w:r w:rsidR="002728B4">
        <w:t> cílů</w:t>
      </w:r>
      <w:r w:rsidR="002728B4" w:rsidRPr="00F87531">
        <w:t xml:space="preserve"> </w:t>
      </w:r>
      <w:r w:rsidR="00F158F2">
        <w:t xml:space="preserve">NPPCRR a stanovených cílových hodnot </w:t>
      </w:r>
      <w:r w:rsidR="009A7378">
        <w:t>parametrů</w:t>
      </w:r>
      <w:r w:rsidR="00F158F2">
        <w:t xml:space="preserve"> NPPCRR, které srovnával se skutečností prokazovanou zejména</w:t>
      </w:r>
      <w:r w:rsidR="002728B4" w:rsidRPr="00F87531">
        <w:t xml:space="preserve"> </w:t>
      </w:r>
      <w:r w:rsidR="00F158F2">
        <w:t xml:space="preserve">dosaženými </w:t>
      </w:r>
      <w:r w:rsidR="002728B4" w:rsidRPr="00F87531">
        <w:t>hodno</w:t>
      </w:r>
      <w:r w:rsidR="00F158F2">
        <w:t xml:space="preserve">tami </w:t>
      </w:r>
      <w:r w:rsidR="009A7378">
        <w:t>parametrů</w:t>
      </w:r>
      <w:r w:rsidR="002728B4" w:rsidRPr="00F87531">
        <w:t>.</w:t>
      </w:r>
      <w:r w:rsidR="009A7378">
        <w:t xml:space="preserve"> </w:t>
      </w:r>
    </w:p>
    <w:p w14:paraId="20D1AF59" w14:textId="4B9B7D0B" w:rsidR="002728B4" w:rsidRPr="00F87531" w:rsidRDefault="002728B4" w:rsidP="000337C4">
      <w:pPr>
        <w:pStyle w:val="KPnormalni"/>
        <w:spacing w:before="0" w:after="120"/>
      </w:pPr>
      <w:r w:rsidRPr="00F87531">
        <w:t xml:space="preserve">U jednotlivých příjemců </w:t>
      </w:r>
      <w:r w:rsidR="00D467A9">
        <w:t>podpory</w:t>
      </w:r>
      <w:r w:rsidRPr="00F87531">
        <w:t xml:space="preserve"> byla účelnost </w:t>
      </w:r>
      <w:r>
        <w:t>peněžních prostředků vynaložených na</w:t>
      </w:r>
      <w:r w:rsidR="00067187">
        <w:t xml:space="preserve"> </w:t>
      </w:r>
      <w:r>
        <w:t>projekty</w:t>
      </w:r>
      <w:r w:rsidRPr="00F87531">
        <w:t xml:space="preserve"> posuzována v závislosti na dosažení výstupů</w:t>
      </w:r>
      <w:r w:rsidR="000337C4">
        <w:t xml:space="preserve"> </w:t>
      </w:r>
      <w:r w:rsidRPr="00F87531">
        <w:t xml:space="preserve">a cílů, které příjemci </w:t>
      </w:r>
      <w:r w:rsidR="004D4FBC">
        <w:t xml:space="preserve">podpory </w:t>
      </w:r>
      <w:r w:rsidRPr="00F87531">
        <w:t>stanovili v rámci svých projektů</w:t>
      </w:r>
      <w:r>
        <w:t>.</w:t>
      </w:r>
    </w:p>
    <w:p w14:paraId="1982B47A" w14:textId="56E2257E" w:rsidR="009A7378" w:rsidRPr="009A7378" w:rsidRDefault="009A7378" w:rsidP="009A7378">
      <w:pPr>
        <w:spacing w:after="120"/>
        <w:jc w:val="both"/>
        <w:rPr>
          <w:rFonts w:ascii="Calibri" w:hAnsi="Calibri" w:cs="Calibri"/>
          <w:sz w:val="24"/>
          <w:szCs w:val="24"/>
        </w:rPr>
      </w:pPr>
      <w:r w:rsidRPr="009A7378">
        <w:rPr>
          <w:rFonts w:ascii="Calibri" w:hAnsi="Calibri" w:cs="Calibri"/>
          <w:sz w:val="24"/>
          <w:szCs w:val="24"/>
        </w:rPr>
        <w:t xml:space="preserve">Za hospodárné považuje NKÚ takové použití </w:t>
      </w:r>
      <w:r w:rsidR="00864CFE">
        <w:rPr>
          <w:rFonts w:ascii="Calibri" w:hAnsi="Calibri" w:cs="Calibri"/>
          <w:sz w:val="24"/>
          <w:szCs w:val="24"/>
        </w:rPr>
        <w:t>peněžních</w:t>
      </w:r>
      <w:r w:rsidRPr="009A7378">
        <w:rPr>
          <w:rFonts w:ascii="Calibri" w:hAnsi="Calibri" w:cs="Calibri"/>
          <w:sz w:val="24"/>
          <w:szCs w:val="24"/>
        </w:rPr>
        <w:t xml:space="preserve"> prostředků, které zajistí plnění stanovených úkolů s co nejnižším vynaložením těchto prostředků při dodržení odpovídající kvality plnění úkolů</w:t>
      </w:r>
      <w:r>
        <w:rPr>
          <w:rStyle w:val="Znakapoznpodarou"/>
        </w:rPr>
        <w:footnoteReference w:id="11"/>
      </w:r>
      <w:r w:rsidRPr="00F87531">
        <w:t>.</w:t>
      </w:r>
      <w:r>
        <w:t xml:space="preserve"> </w:t>
      </w:r>
      <w:r w:rsidRPr="009A7378">
        <w:rPr>
          <w:rFonts w:ascii="Calibri" w:hAnsi="Calibri" w:cs="Calibri"/>
          <w:sz w:val="24"/>
          <w:szCs w:val="24"/>
        </w:rPr>
        <w:t>NKÚ posuzoval u poskytovatele dotací zajištění hospodárnosti vynakládaných prostředků s ohledem na nastavené podmínky (například stanovení způsobilosti výdajů, limitů výdajů, podmínek pro výběr dodavatelů, míry podpory – spolufinancování ze strany příjemce</w:t>
      </w:r>
      <w:r w:rsidR="004D4FBC">
        <w:rPr>
          <w:rFonts w:ascii="Calibri" w:hAnsi="Calibri" w:cs="Calibri"/>
          <w:sz w:val="24"/>
          <w:szCs w:val="24"/>
        </w:rPr>
        <w:t xml:space="preserve"> podpory</w:t>
      </w:r>
      <w:r w:rsidRPr="009A7378">
        <w:rPr>
          <w:rFonts w:ascii="Calibri" w:hAnsi="Calibri" w:cs="Calibri"/>
          <w:sz w:val="24"/>
          <w:szCs w:val="24"/>
        </w:rPr>
        <w:t xml:space="preserve">). </w:t>
      </w:r>
    </w:p>
    <w:p w14:paraId="46525BFA" w14:textId="03D11296" w:rsidR="009A7378" w:rsidRDefault="009A7378" w:rsidP="009A7378">
      <w:pPr>
        <w:spacing w:after="120"/>
        <w:jc w:val="both"/>
        <w:rPr>
          <w:rFonts w:ascii="Calibri" w:hAnsi="Calibri" w:cs="Calibri"/>
          <w:sz w:val="24"/>
          <w:szCs w:val="24"/>
        </w:rPr>
      </w:pPr>
      <w:r w:rsidRPr="009A7378">
        <w:rPr>
          <w:rFonts w:ascii="Calibri" w:hAnsi="Calibri" w:cs="Calibri"/>
          <w:sz w:val="24"/>
          <w:szCs w:val="24"/>
        </w:rPr>
        <w:t xml:space="preserve">U příjemců </w:t>
      </w:r>
      <w:r w:rsidR="004D4FBC">
        <w:rPr>
          <w:rFonts w:ascii="Calibri" w:hAnsi="Calibri" w:cs="Calibri"/>
          <w:sz w:val="24"/>
          <w:szCs w:val="24"/>
        </w:rPr>
        <w:t>podpory</w:t>
      </w:r>
      <w:r w:rsidRPr="009A7378">
        <w:rPr>
          <w:rFonts w:ascii="Calibri" w:hAnsi="Calibri" w:cs="Calibri"/>
          <w:sz w:val="24"/>
          <w:szCs w:val="24"/>
        </w:rPr>
        <w:t xml:space="preserve"> vycházel NKÚ při posuzování hospodárnosti zejména z kritérií pro</w:t>
      </w:r>
      <w:r w:rsidR="00067187">
        <w:rPr>
          <w:rFonts w:ascii="Calibri" w:hAnsi="Calibri" w:cs="Calibri"/>
          <w:sz w:val="24"/>
          <w:szCs w:val="24"/>
        </w:rPr>
        <w:t xml:space="preserve"> </w:t>
      </w:r>
      <w:r w:rsidRPr="009A7378">
        <w:rPr>
          <w:rFonts w:ascii="Calibri" w:hAnsi="Calibri" w:cs="Calibri"/>
          <w:sz w:val="24"/>
          <w:szCs w:val="24"/>
        </w:rPr>
        <w:t>způsobilost výdajů, dodržování stanovených limitů způsobilých výdajů, ceníků stavebních prací a dodržování závazného rozpočtu projektu a ceny díla/veřejné zakázky.</w:t>
      </w:r>
    </w:p>
    <w:p w14:paraId="161069BA" w14:textId="77777777" w:rsidR="00300E0A" w:rsidRPr="00300E0A" w:rsidRDefault="00300E0A" w:rsidP="00067187">
      <w:pPr>
        <w:spacing w:after="0" w:line="240" w:lineRule="auto"/>
        <w:rPr>
          <w:sz w:val="24"/>
          <w:szCs w:val="24"/>
        </w:rPr>
      </w:pPr>
      <w:r w:rsidRPr="00300E0A">
        <w:rPr>
          <w:sz w:val="24"/>
          <w:szCs w:val="24"/>
        </w:rPr>
        <w:t>NKÚ kontrolou prověřil:</w:t>
      </w:r>
    </w:p>
    <w:p w14:paraId="0EB4B580" w14:textId="64B3121B" w:rsidR="00300E0A" w:rsidRPr="00300E0A" w:rsidRDefault="00300E0A" w:rsidP="00C93146">
      <w:pPr>
        <w:numPr>
          <w:ilvl w:val="0"/>
          <w:numId w:val="11"/>
        </w:numPr>
        <w:spacing w:after="0" w:line="240" w:lineRule="auto"/>
        <w:ind w:left="284" w:hanging="284"/>
        <w:jc w:val="both"/>
        <w:rPr>
          <w:sz w:val="24"/>
          <w:szCs w:val="24"/>
        </w:rPr>
      </w:pPr>
      <w:r w:rsidRPr="00300E0A">
        <w:rPr>
          <w:sz w:val="24"/>
          <w:szCs w:val="24"/>
        </w:rPr>
        <w:t xml:space="preserve">plnění povinností </w:t>
      </w:r>
      <w:r>
        <w:rPr>
          <w:sz w:val="24"/>
          <w:szCs w:val="24"/>
        </w:rPr>
        <w:t>MMR</w:t>
      </w:r>
      <w:r w:rsidRPr="00300E0A">
        <w:rPr>
          <w:sz w:val="24"/>
          <w:szCs w:val="24"/>
        </w:rPr>
        <w:t xml:space="preserve"> v roli </w:t>
      </w:r>
      <w:r w:rsidR="000C4DAB">
        <w:rPr>
          <w:sz w:val="24"/>
          <w:szCs w:val="24"/>
        </w:rPr>
        <w:t>poskytovatele národních dotací z NPPCRR a podpor spojených s programy COVID, a to zejména</w:t>
      </w:r>
      <w:r w:rsidRPr="00300E0A">
        <w:rPr>
          <w:sz w:val="24"/>
          <w:szCs w:val="24"/>
        </w:rPr>
        <w:t xml:space="preserve"> při přípravě a realizaci </w:t>
      </w:r>
      <w:r w:rsidR="000C4DAB">
        <w:rPr>
          <w:sz w:val="24"/>
          <w:szCs w:val="24"/>
        </w:rPr>
        <w:t xml:space="preserve">těchto </w:t>
      </w:r>
      <w:r w:rsidRPr="00300E0A">
        <w:rPr>
          <w:sz w:val="24"/>
          <w:szCs w:val="24"/>
        </w:rPr>
        <w:t>podpor</w:t>
      </w:r>
      <w:r w:rsidR="000C4DAB">
        <w:rPr>
          <w:sz w:val="24"/>
          <w:szCs w:val="24"/>
        </w:rPr>
        <w:t xml:space="preserve">. Dále </w:t>
      </w:r>
      <w:r w:rsidR="00A0252E">
        <w:rPr>
          <w:sz w:val="24"/>
          <w:szCs w:val="24"/>
        </w:rPr>
        <w:t>jeho činnost</w:t>
      </w:r>
      <w:r w:rsidR="000C4DAB">
        <w:rPr>
          <w:sz w:val="24"/>
          <w:szCs w:val="24"/>
        </w:rPr>
        <w:t xml:space="preserve"> </w:t>
      </w:r>
      <w:r w:rsidR="000C4DAB" w:rsidRPr="00300E0A">
        <w:rPr>
          <w:sz w:val="24"/>
          <w:szCs w:val="24"/>
        </w:rPr>
        <w:t>především</w:t>
      </w:r>
      <w:r w:rsidRPr="00300E0A">
        <w:rPr>
          <w:sz w:val="24"/>
          <w:szCs w:val="24"/>
        </w:rPr>
        <w:t xml:space="preserve"> v oblasti nastavení podmínek podpory, výběru projektů a</w:t>
      </w:r>
      <w:r w:rsidR="00A0252E">
        <w:rPr>
          <w:sz w:val="24"/>
          <w:szCs w:val="24"/>
        </w:rPr>
        <w:t> </w:t>
      </w:r>
      <w:r w:rsidRPr="00300E0A">
        <w:rPr>
          <w:sz w:val="24"/>
          <w:szCs w:val="24"/>
        </w:rPr>
        <w:t>jejich administrace;</w:t>
      </w:r>
    </w:p>
    <w:p w14:paraId="3533DA04" w14:textId="161872DF" w:rsidR="00300E0A" w:rsidRPr="001C1AF4" w:rsidRDefault="00300E0A" w:rsidP="00C93146">
      <w:pPr>
        <w:numPr>
          <w:ilvl w:val="0"/>
          <w:numId w:val="11"/>
        </w:numPr>
        <w:spacing w:after="0" w:line="240" w:lineRule="auto"/>
        <w:ind w:left="284" w:hanging="284"/>
        <w:jc w:val="both"/>
        <w:rPr>
          <w:sz w:val="24"/>
          <w:szCs w:val="24"/>
        </w:rPr>
      </w:pPr>
      <w:r w:rsidRPr="001C1AF4">
        <w:rPr>
          <w:rFonts w:cstheme="minorHAnsi"/>
          <w:sz w:val="24"/>
          <w:szCs w:val="24"/>
        </w:rPr>
        <w:t xml:space="preserve">zda </w:t>
      </w:r>
      <w:r w:rsidR="000C4DAB" w:rsidRPr="001C1AF4">
        <w:rPr>
          <w:rFonts w:cstheme="minorHAnsi"/>
          <w:sz w:val="24"/>
          <w:szCs w:val="24"/>
        </w:rPr>
        <w:t>MMR</w:t>
      </w:r>
      <w:r w:rsidRPr="001C1AF4">
        <w:rPr>
          <w:rFonts w:cstheme="minorHAnsi"/>
          <w:sz w:val="24"/>
          <w:szCs w:val="24"/>
        </w:rPr>
        <w:t xml:space="preserve"> </w:t>
      </w:r>
      <w:r w:rsidR="00082DB1" w:rsidRPr="00474907">
        <w:rPr>
          <w:rFonts w:cstheme="minorHAnsi"/>
          <w:sz w:val="24"/>
          <w:szCs w:val="24"/>
        </w:rPr>
        <w:t>zajistilo podmínky pro</w:t>
      </w:r>
      <w:r w:rsidR="00246013">
        <w:rPr>
          <w:rFonts w:cstheme="minorHAnsi"/>
          <w:sz w:val="24"/>
          <w:szCs w:val="24"/>
        </w:rPr>
        <w:t xml:space="preserve"> účelné a hospodárné </w:t>
      </w:r>
      <w:r w:rsidR="00474907" w:rsidRPr="00474907">
        <w:rPr>
          <w:rFonts w:cstheme="minorHAnsi"/>
          <w:sz w:val="24"/>
          <w:szCs w:val="24"/>
        </w:rPr>
        <w:t>čerpání</w:t>
      </w:r>
      <w:r w:rsidR="00082DB1" w:rsidRPr="00474907">
        <w:rPr>
          <w:rFonts w:cstheme="minorHAnsi"/>
          <w:sz w:val="24"/>
          <w:szCs w:val="24"/>
        </w:rPr>
        <w:t xml:space="preserve"> </w:t>
      </w:r>
      <w:r w:rsidRPr="001C1AF4">
        <w:rPr>
          <w:rFonts w:cstheme="minorHAnsi"/>
          <w:sz w:val="24"/>
          <w:szCs w:val="24"/>
        </w:rPr>
        <w:t>peněžní</w:t>
      </w:r>
      <w:r w:rsidR="00474907">
        <w:rPr>
          <w:rFonts w:cstheme="minorHAnsi"/>
          <w:sz w:val="24"/>
          <w:szCs w:val="24"/>
        </w:rPr>
        <w:t>ch</w:t>
      </w:r>
      <w:r w:rsidRPr="001C1AF4">
        <w:rPr>
          <w:rFonts w:cstheme="minorHAnsi"/>
          <w:sz w:val="24"/>
          <w:szCs w:val="24"/>
        </w:rPr>
        <w:t xml:space="preserve"> prostředk</w:t>
      </w:r>
      <w:r w:rsidR="00474907">
        <w:rPr>
          <w:rFonts w:cstheme="minorHAnsi"/>
          <w:sz w:val="24"/>
          <w:szCs w:val="24"/>
        </w:rPr>
        <w:t>ů</w:t>
      </w:r>
      <w:r w:rsidRPr="001C1AF4">
        <w:rPr>
          <w:rFonts w:cstheme="minorHAnsi"/>
          <w:sz w:val="24"/>
          <w:szCs w:val="24"/>
        </w:rPr>
        <w:t xml:space="preserve"> státního rozpočtu;</w:t>
      </w:r>
    </w:p>
    <w:p w14:paraId="531D2762" w14:textId="42B347D1" w:rsidR="00FB02B3" w:rsidRPr="001C1AF4" w:rsidRDefault="00300E0A" w:rsidP="00C93146">
      <w:pPr>
        <w:numPr>
          <w:ilvl w:val="0"/>
          <w:numId w:val="11"/>
        </w:numPr>
        <w:spacing w:after="0" w:line="240" w:lineRule="auto"/>
        <w:ind w:left="284" w:hanging="284"/>
        <w:jc w:val="both"/>
        <w:rPr>
          <w:sz w:val="24"/>
          <w:szCs w:val="24"/>
        </w:rPr>
      </w:pPr>
      <w:r w:rsidRPr="001C1AF4">
        <w:rPr>
          <w:sz w:val="24"/>
          <w:szCs w:val="24"/>
        </w:rPr>
        <w:t xml:space="preserve">zda vybraní příjemci </w:t>
      </w:r>
      <w:r w:rsidR="004D4FBC">
        <w:rPr>
          <w:sz w:val="24"/>
          <w:szCs w:val="24"/>
        </w:rPr>
        <w:t>podpory</w:t>
      </w:r>
      <w:r w:rsidRPr="001C1AF4">
        <w:rPr>
          <w:sz w:val="24"/>
          <w:szCs w:val="24"/>
        </w:rPr>
        <w:t xml:space="preserve"> použili peněžní prostředky státního rozpočtu poskytované na</w:t>
      </w:r>
      <w:r w:rsidR="00067187">
        <w:rPr>
          <w:sz w:val="24"/>
          <w:szCs w:val="24"/>
        </w:rPr>
        <w:t xml:space="preserve"> </w:t>
      </w:r>
      <w:r w:rsidRPr="001C1AF4">
        <w:rPr>
          <w:sz w:val="24"/>
          <w:szCs w:val="24"/>
        </w:rPr>
        <w:t xml:space="preserve">podporu </w:t>
      </w:r>
      <w:r w:rsidR="000C4DAB" w:rsidRPr="001C1AF4">
        <w:rPr>
          <w:sz w:val="24"/>
          <w:szCs w:val="24"/>
        </w:rPr>
        <w:t>v oblasti cestovního ruchu</w:t>
      </w:r>
      <w:r w:rsidRPr="001C1AF4">
        <w:rPr>
          <w:sz w:val="24"/>
          <w:szCs w:val="24"/>
        </w:rPr>
        <w:t xml:space="preserve"> účelně, hospodárně a v souladu s právními předpisy a</w:t>
      </w:r>
      <w:r w:rsidR="00067187">
        <w:rPr>
          <w:sz w:val="24"/>
          <w:szCs w:val="24"/>
        </w:rPr>
        <w:t> </w:t>
      </w:r>
      <w:r w:rsidRPr="001C1AF4">
        <w:rPr>
          <w:sz w:val="24"/>
          <w:szCs w:val="24"/>
        </w:rPr>
        <w:t>stanovenými podmínkami</w:t>
      </w:r>
      <w:r w:rsidR="001C1AF4" w:rsidRPr="001C1AF4">
        <w:rPr>
          <w:sz w:val="24"/>
          <w:szCs w:val="24"/>
        </w:rPr>
        <w:t>.</w:t>
      </w:r>
    </w:p>
    <w:p w14:paraId="40EC18EE" w14:textId="3DD60EA0" w:rsidR="00241708" w:rsidRPr="00146F7E" w:rsidRDefault="00B813A1" w:rsidP="00146F7E">
      <w:pPr>
        <w:tabs>
          <w:tab w:val="left" w:pos="567"/>
        </w:tabs>
        <w:spacing w:before="120" w:after="120" w:line="240" w:lineRule="auto"/>
        <w:jc w:val="both"/>
        <w:rPr>
          <w:sz w:val="24"/>
        </w:rPr>
      </w:pPr>
      <w:r w:rsidRPr="00163712">
        <w:rPr>
          <w:sz w:val="24"/>
        </w:rPr>
        <w:t>Za účelem naplnění cíle kontrolní akce NKÚ posuzoval zjištěné skutečnosti k zodpovězení otázek</w:t>
      </w:r>
      <w:r w:rsidR="00D22B5F">
        <w:rPr>
          <w:sz w:val="24"/>
        </w:rPr>
        <w:t xml:space="preserve">, zda </w:t>
      </w:r>
      <w:r w:rsidR="00146F7E" w:rsidRPr="00146F7E">
        <w:rPr>
          <w:sz w:val="24"/>
        </w:rPr>
        <w:t xml:space="preserve">MMR </w:t>
      </w:r>
      <w:r w:rsidR="00146F7E">
        <w:rPr>
          <w:sz w:val="24"/>
        </w:rPr>
        <w:t>n</w:t>
      </w:r>
      <w:r w:rsidRPr="00146F7E">
        <w:rPr>
          <w:sz w:val="24"/>
        </w:rPr>
        <w:t>astavil</w:t>
      </w:r>
      <w:r w:rsidR="009C2DF5" w:rsidRPr="00146F7E">
        <w:rPr>
          <w:sz w:val="24"/>
        </w:rPr>
        <w:t xml:space="preserve">o </w:t>
      </w:r>
      <w:r w:rsidRPr="00146F7E">
        <w:rPr>
          <w:sz w:val="24"/>
        </w:rPr>
        <w:t xml:space="preserve">cíle a </w:t>
      </w:r>
      <w:r w:rsidR="00263249">
        <w:rPr>
          <w:sz w:val="24"/>
        </w:rPr>
        <w:t>parametry</w:t>
      </w:r>
      <w:r w:rsidR="00263249" w:rsidRPr="00146F7E">
        <w:rPr>
          <w:sz w:val="24"/>
        </w:rPr>
        <w:t xml:space="preserve"> </w:t>
      </w:r>
      <w:r w:rsidR="004403D9" w:rsidRPr="00146F7E">
        <w:rPr>
          <w:sz w:val="24"/>
        </w:rPr>
        <w:t xml:space="preserve">NPPCRR </w:t>
      </w:r>
      <w:r w:rsidRPr="00146F7E">
        <w:rPr>
          <w:sz w:val="24"/>
        </w:rPr>
        <w:t>tak, aby poskytovaly informace o účelnosti a </w:t>
      </w:r>
      <w:r w:rsidR="009C2DF5" w:rsidRPr="00146F7E">
        <w:rPr>
          <w:sz w:val="24"/>
        </w:rPr>
        <w:t>hospodárnosti</w:t>
      </w:r>
      <w:r w:rsidRPr="00146F7E">
        <w:rPr>
          <w:sz w:val="24"/>
        </w:rPr>
        <w:t xml:space="preserve"> poskytované podpory</w:t>
      </w:r>
      <w:r w:rsidR="00491DF9">
        <w:rPr>
          <w:sz w:val="24"/>
        </w:rPr>
        <w:t>,</w:t>
      </w:r>
      <w:r w:rsidR="00146F7E">
        <w:rPr>
          <w:sz w:val="24"/>
        </w:rPr>
        <w:t xml:space="preserve"> </w:t>
      </w:r>
      <w:r w:rsidR="00491DF9">
        <w:rPr>
          <w:sz w:val="24"/>
        </w:rPr>
        <w:t>d</w:t>
      </w:r>
      <w:r w:rsidR="00146F7E">
        <w:rPr>
          <w:sz w:val="24"/>
        </w:rPr>
        <w:t>ále zda p</w:t>
      </w:r>
      <w:r w:rsidRPr="00146F7E">
        <w:rPr>
          <w:sz w:val="24"/>
        </w:rPr>
        <w:t>rovedl</w:t>
      </w:r>
      <w:r w:rsidR="009C2DF5" w:rsidRPr="00146F7E">
        <w:rPr>
          <w:sz w:val="24"/>
        </w:rPr>
        <w:t>o</w:t>
      </w:r>
      <w:r w:rsidRPr="00146F7E">
        <w:rPr>
          <w:sz w:val="24"/>
        </w:rPr>
        <w:t xml:space="preserve"> výběr projektů k</w:t>
      </w:r>
      <w:r w:rsidR="006613E1" w:rsidRPr="00146F7E">
        <w:rPr>
          <w:sz w:val="24"/>
        </w:rPr>
        <w:t> </w:t>
      </w:r>
      <w:r w:rsidRPr="00146F7E">
        <w:rPr>
          <w:sz w:val="24"/>
        </w:rPr>
        <w:t>podpoře</w:t>
      </w:r>
      <w:r w:rsidR="006613E1" w:rsidRPr="00146F7E">
        <w:rPr>
          <w:sz w:val="24"/>
        </w:rPr>
        <w:t xml:space="preserve"> z NPPCRR</w:t>
      </w:r>
      <w:r w:rsidRPr="00146F7E">
        <w:rPr>
          <w:sz w:val="24"/>
        </w:rPr>
        <w:t xml:space="preserve"> tak, aby bylo zajištěno poskytnutí podpory účelným a </w:t>
      </w:r>
      <w:r w:rsidR="009C2DF5" w:rsidRPr="00146F7E">
        <w:rPr>
          <w:sz w:val="24"/>
        </w:rPr>
        <w:t>hospodárným</w:t>
      </w:r>
      <w:r w:rsidRPr="00146F7E">
        <w:rPr>
          <w:sz w:val="24"/>
        </w:rPr>
        <w:t xml:space="preserve"> projektům</w:t>
      </w:r>
      <w:r w:rsidR="00146F7E">
        <w:rPr>
          <w:sz w:val="24"/>
        </w:rPr>
        <w:t xml:space="preserve"> a zda nastavilo </w:t>
      </w:r>
      <w:r w:rsidR="00663F47" w:rsidRPr="00146F7E">
        <w:rPr>
          <w:sz w:val="24"/>
        </w:rPr>
        <w:t>postupy k ověřování účelnosti a hospodárnosti poskytovaných peněžních prostředků</w:t>
      </w:r>
      <w:r w:rsidR="00146F7E">
        <w:rPr>
          <w:sz w:val="24"/>
        </w:rPr>
        <w:t xml:space="preserve">. V neposlední řadě NKÚ posuzoval, zda byly </w:t>
      </w:r>
      <w:r w:rsidRPr="00146F7E">
        <w:rPr>
          <w:sz w:val="24"/>
        </w:rPr>
        <w:t>peněžní prostředky na</w:t>
      </w:r>
      <w:r w:rsidR="00067187">
        <w:rPr>
          <w:sz w:val="24"/>
        </w:rPr>
        <w:t xml:space="preserve"> </w:t>
      </w:r>
      <w:r w:rsidRPr="00146F7E">
        <w:rPr>
          <w:sz w:val="24"/>
        </w:rPr>
        <w:t xml:space="preserve">podporu </w:t>
      </w:r>
      <w:r w:rsidR="00562E03" w:rsidRPr="00146F7E">
        <w:rPr>
          <w:sz w:val="24"/>
        </w:rPr>
        <w:t xml:space="preserve">vybraných </w:t>
      </w:r>
      <w:r w:rsidR="009C2DF5" w:rsidRPr="00146F7E">
        <w:rPr>
          <w:sz w:val="24"/>
        </w:rPr>
        <w:t>příjemců</w:t>
      </w:r>
      <w:r w:rsidR="004D4FBC">
        <w:rPr>
          <w:sz w:val="24"/>
        </w:rPr>
        <w:t xml:space="preserve"> podpory z</w:t>
      </w:r>
      <w:r w:rsidR="006613E1" w:rsidRPr="00146F7E">
        <w:rPr>
          <w:sz w:val="24"/>
        </w:rPr>
        <w:t xml:space="preserve"> NPPCRR</w:t>
      </w:r>
      <w:r w:rsidRPr="00146F7E">
        <w:rPr>
          <w:sz w:val="24"/>
        </w:rPr>
        <w:t xml:space="preserve"> poskytovány a</w:t>
      </w:r>
      <w:r w:rsidR="00EA05A6" w:rsidRPr="00146F7E">
        <w:rPr>
          <w:sz w:val="24"/>
        </w:rPr>
        <w:t> </w:t>
      </w:r>
      <w:r w:rsidRPr="00146F7E">
        <w:rPr>
          <w:sz w:val="24"/>
        </w:rPr>
        <w:t>čerpány účelně</w:t>
      </w:r>
      <w:r w:rsidR="00146F7E">
        <w:rPr>
          <w:sz w:val="24"/>
        </w:rPr>
        <w:t>,</w:t>
      </w:r>
      <w:r w:rsidR="00146F7E" w:rsidRPr="00146F7E">
        <w:rPr>
          <w:sz w:val="24"/>
        </w:rPr>
        <w:t xml:space="preserve"> hospodárně a</w:t>
      </w:r>
      <w:r w:rsidR="00EC123F">
        <w:rPr>
          <w:sz w:val="24"/>
        </w:rPr>
        <w:t> </w:t>
      </w:r>
      <w:r w:rsidR="00146F7E" w:rsidRPr="00146F7E">
        <w:rPr>
          <w:sz w:val="24"/>
        </w:rPr>
        <w:t>v souladu s právními předpisy</w:t>
      </w:r>
      <w:r w:rsidR="00146F7E">
        <w:rPr>
          <w:sz w:val="24"/>
        </w:rPr>
        <w:t xml:space="preserve">. </w:t>
      </w:r>
      <w:r w:rsidR="00241708" w:rsidRPr="00241708">
        <w:rPr>
          <w:sz w:val="24"/>
        </w:rPr>
        <w:t xml:space="preserve">NKÚ </w:t>
      </w:r>
      <w:r w:rsidR="00241708">
        <w:rPr>
          <w:sz w:val="24"/>
        </w:rPr>
        <w:t xml:space="preserve">také </w:t>
      </w:r>
      <w:r w:rsidR="00241708" w:rsidRPr="00241708">
        <w:rPr>
          <w:sz w:val="24"/>
        </w:rPr>
        <w:t xml:space="preserve">prověřil, zda prostředky vydávané v rámci </w:t>
      </w:r>
      <w:r w:rsidR="0099467C">
        <w:rPr>
          <w:sz w:val="24"/>
        </w:rPr>
        <w:t xml:space="preserve">programu </w:t>
      </w:r>
      <w:r w:rsidR="0099467C" w:rsidRPr="00105172">
        <w:rPr>
          <w:i/>
        </w:rPr>
        <w:t>COVID</w:t>
      </w:r>
      <w:r w:rsidR="00491DF9">
        <w:rPr>
          <w:i/>
        </w:rPr>
        <w:t xml:space="preserve"> </w:t>
      </w:r>
      <w:r w:rsidR="00491DF9" w:rsidRPr="00F10E1A">
        <w:rPr>
          <w:i/>
          <w:sz w:val="24"/>
          <w:szCs w:val="24"/>
        </w:rPr>
        <w:t xml:space="preserve">– </w:t>
      </w:r>
      <w:r w:rsidR="0099467C" w:rsidRPr="00105172">
        <w:rPr>
          <w:i/>
          <w:sz w:val="24"/>
        </w:rPr>
        <w:t>Podpora cestovního ruchu</w:t>
      </w:r>
      <w:r w:rsidR="0099467C" w:rsidRPr="00241708">
        <w:rPr>
          <w:sz w:val="24"/>
        </w:rPr>
        <w:t xml:space="preserve"> </w:t>
      </w:r>
      <w:r w:rsidR="00241708" w:rsidRPr="00241708">
        <w:rPr>
          <w:sz w:val="24"/>
        </w:rPr>
        <w:t>byly poskytovány v souladu s právními předpisy.</w:t>
      </w:r>
    </w:p>
    <w:p w14:paraId="20472DA4" w14:textId="0D92ACE1" w:rsidR="00E37BC5" w:rsidRPr="00A6399F" w:rsidRDefault="00DB71A8" w:rsidP="003C2849">
      <w:pPr>
        <w:tabs>
          <w:tab w:val="left" w:pos="567"/>
        </w:tabs>
        <w:spacing w:before="120" w:after="120" w:line="240" w:lineRule="auto"/>
        <w:jc w:val="both"/>
        <w:rPr>
          <w:sz w:val="24"/>
        </w:rPr>
      </w:pPr>
      <w:r w:rsidRPr="00A6399F">
        <w:rPr>
          <w:sz w:val="24"/>
        </w:rPr>
        <w:t xml:space="preserve">Ke kontrole byl vybrán vzorek </w:t>
      </w:r>
      <w:r w:rsidR="00DF5596" w:rsidRPr="00A6399F">
        <w:rPr>
          <w:sz w:val="24"/>
        </w:rPr>
        <w:t>19</w:t>
      </w:r>
      <w:r w:rsidRPr="00A6399F">
        <w:rPr>
          <w:sz w:val="24"/>
        </w:rPr>
        <w:t xml:space="preserve"> projektů </w:t>
      </w:r>
      <w:r w:rsidR="00DF5596" w:rsidRPr="00A6399F">
        <w:rPr>
          <w:sz w:val="24"/>
        </w:rPr>
        <w:t xml:space="preserve">NPPCRR </w:t>
      </w:r>
      <w:r w:rsidRPr="00A6399F">
        <w:rPr>
          <w:sz w:val="24"/>
        </w:rPr>
        <w:t xml:space="preserve">realizovaných u </w:t>
      </w:r>
      <w:r w:rsidR="00DF5596" w:rsidRPr="00A6399F">
        <w:rPr>
          <w:sz w:val="24"/>
        </w:rPr>
        <w:t>15</w:t>
      </w:r>
      <w:r w:rsidRPr="00A6399F">
        <w:rPr>
          <w:sz w:val="24"/>
        </w:rPr>
        <w:t xml:space="preserve"> příjemců podpory (dále </w:t>
      </w:r>
      <w:r w:rsidR="00FC1206" w:rsidRPr="00A6399F">
        <w:rPr>
          <w:sz w:val="24"/>
        </w:rPr>
        <w:t xml:space="preserve">také </w:t>
      </w:r>
      <w:r w:rsidRPr="00A6399F">
        <w:rPr>
          <w:sz w:val="24"/>
        </w:rPr>
        <w:t>„vybrané projekty“). Vzorek se skládal z </w:t>
      </w:r>
      <w:r w:rsidR="001271C5" w:rsidRPr="00A6399F">
        <w:rPr>
          <w:sz w:val="24"/>
        </w:rPr>
        <w:t>12</w:t>
      </w:r>
      <w:r w:rsidRPr="00A6399F">
        <w:rPr>
          <w:sz w:val="24"/>
        </w:rPr>
        <w:t xml:space="preserve"> projektů realizovaných </w:t>
      </w:r>
      <w:r w:rsidR="001271C5" w:rsidRPr="00A6399F">
        <w:rPr>
          <w:sz w:val="24"/>
        </w:rPr>
        <w:t xml:space="preserve">v podprogramu </w:t>
      </w:r>
      <w:r w:rsidR="001271C5" w:rsidRPr="006252C2">
        <w:rPr>
          <w:sz w:val="24"/>
        </w:rPr>
        <w:t>Rozvoj</w:t>
      </w:r>
      <w:r w:rsidRPr="00491DF9">
        <w:rPr>
          <w:sz w:val="24"/>
        </w:rPr>
        <w:t xml:space="preserve"> </w:t>
      </w:r>
      <w:r w:rsidRPr="00A6399F">
        <w:rPr>
          <w:sz w:val="24"/>
        </w:rPr>
        <w:t>a z</w:t>
      </w:r>
      <w:r w:rsidR="001271C5" w:rsidRPr="00A6399F">
        <w:rPr>
          <w:sz w:val="24"/>
        </w:rPr>
        <w:t>e</w:t>
      </w:r>
      <w:r w:rsidR="00067187">
        <w:rPr>
          <w:sz w:val="24"/>
        </w:rPr>
        <w:t xml:space="preserve"> </w:t>
      </w:r>
      <w:r w:rsidR="001271C5" w:rsidRPr="00A6399F">
        <w:rPr>
          <w:sz w:val="24"/>
        </w:rPr>
        <w:t>sedmi</w:t>
      </w:r>
      <w:r w:rsidRPr="00A6399F">
        <w:rPr>
          <w:sz w:val="24"/>
        </w:rPr>
        <w:t xml:space="preserve"> projektů realizovaných v rámci </w:t>
      </w:r>
      <w:r w:rsidR="001271C5" w:rsidRPr="00A6399F">
        <w:rPr>
          <w:sz w:val="24"/>
        </w:rPr>
        <w:t xml:space="preserve">podprogramu </w:t>
      </w:r>
      <w:r w:rsidR="001271C5" w:rsidRPr="006252C2">
        <w:rPr>
          <w:sz w:val="24"/>
        </w:rPr>
        <w:t>Marketing</w:t>
      </w:r>
      <w:r w:rsidRPr="00A6399F">
        <w:rPr>
          <w:sz w:val="24"/>
        </w:rPr>
        <w:t>.</w:t>
      </w:r>
      <w:r w:rsidR="00630208" w:rsidRPr="00A6399F">
        <w:rPr>
          <w:sz w:val="24"/>
        </w:rPr>
        <w:t xml:space="preserve"> NKÚ </w:t>
      </w:r>
      <w:r w:rsidR="0086396D" w:rsidRPr="00A6399F">
        <w:rPr>
          <w:sz w:val="24"/>
        </w:rPr>
        <w:t>vyhodnotil</w:t>
      </w:r>
      <w:r w:rsidR="00630208" w:rsidRPr="00A6399F">
        <w:rPr>
          <w:sz w:val="24"/>
        </w:rPr>
        <w:t xml:space="preserve"> u</w:t>
      </w:r>
      <w:r w:rsidR="001271C5" w:rsidRPr="00A6399F">
        <w:rPr>
          <w:sz w:val="24"/>
        </w:rPr>
        <w:t> </w:t>
      </w:r>
      <w:r w:rsidR="00630208" w:rsidRPr="00BE4F7B">
        <w:rPr>
          <w:sz w:val="24"/>
        </w:rPr>
        <w:t xml:space="preserve">každého z nich </w:t>
      </w:r>
      <w:r w:rsidR="00174EED" w:rsidRPr="00BE4F7B">
        <w:rPr>
          <w:sz w:val="24"/>
        </w:rPr>
        <w:t xml:space="preserve">na základě zjištěných skutečností podle čtyřstupňové škály </w:t>
      </w:r>
      <w:r w:rsidR="00630208" w:rsidRPr="00BE4F7B">
        <w:rPr>
          <w:sz w:val="24"/>
        </w:rPr>
        <w:t>účelnost a</w:t>
      </w:r>
      <w:r w:rsidR="0063709A" w:rsidRPr="00BE4F7B">
        <w:rPr>
          <w:sz w:val="24"/>
        </w:rPr>
        <w:t> </w:t>
      </w:r>
      <w:r w:rsidR="001271C5" w:rsidRPr="00BE4F7B">
        <w:rPr>
          <w:sz w:val="24"/>
        </w:rPr>
        <w:t>hospodárnost</w:t>
      </w:r>
      <w:r w:rsidR="00630208" w:rsidRPr="00BE4F7B">
        <w:rPr>
          <w:sz w:val="24"/>
        </w:rPr>
        <w:t xml:space="preserve"> vynaložených peněžních prostředků ve smyslu jejich vymezení uvedeném v příloze č.</w:t>
      </w:r>
      <w:r w:rsidR="0063709A" w:rsidRPr="00BE4F7B">
        <w:rPr>
          <w:sz w:val="24"/>
        </w:rPr>
        <w:t xml:space="preserve"> </w:t>
      </w:r>
      <w:r w:rsidR="00F72DFD">
        <w:rPr>
          <w:sz w:val="24"/>
        </w:rPr>
        <w:t>3</w:t>
      </w:r>
      <w:r w:rsidR="003C719D">
        <w:rPr>
          <w:sz w:val="24"/>
        </w:rPr>
        <w:t xml:space="preserve"> </w:t>
      </w:r>
      <w:r w:rsidR="005846CC" w:rsidRPr="00BE4F7B">
        <w:rPr>
          <w:sz w:val="24"/>
        </w:rPr>
        <w:t xml:space="preserve">tohoto </w:t>
      </w:r>
      <w:r w:rsidR="0063709A" w:rsidRPr="00BE4F7B">
        <w:rPr>
          <w:sz w:val="24"/>
        </w:rPr>
        <w:t>kontrolního</w:t>
      </w:r>
      <w:r w:rsidR="0063709A" w:rsidRPr="00A6399F">
        <w:rPr>
          <w:sz w:val="24"/>
        </w:rPr>
        <w:t xml:space="preserve"> závěru.</w:t>
      </w:r>
      <w:r w:rsidR="006459BE">
        <w:rPr>
          <w:sz w:val="24"/>
        </w:rPr>
        <w:t xml:space="preserve"> </w:t>
      </w:r>
    </w:p>
    <w:p w14:paraId="65AEACF1" w14:textId="028B46E8" w:rsidR="00FC057C" w:rsidRPr="00C0140A" w:rsidRDefault="00DB71A8" w:rsidP="003C2849">
      <w:pPr>
        <w:tabs>
          <w:tab w:val="left" w:pos="567"/>
        </w:tabs>
        <w:spacing w:before="120" w:after="120" w:line="240" w:lineRule="auto"/>
        <w:jc w:val="both"/>
        <w:rPr>
          <w:sz w:val="24"/>
        </w:rPr>
      </w:pPr>
      <w:r w:rsidRPr="00C0140A">
        <w:rPr>
          <w:sz w:val="24"/>
        </w:rPr>
        <w:t xml:space="preserve">Při výběru projektů určených ke kontrole </w:t>
      </w:r>
      <w:r w:rsidR="007A47B9" w:rsidRPr="00C0140A">
        <w:rPr>
          <w:sz w:val="24"/>
        </w:rPr>
        <w:t xml:space="preserve">postupoval </w:t>
      </w:r>
      <w:r w:rsidRPr="00C0140A">
        <w:rPr>
          <w:sz w:val="24"/>
        </w:rPr>
        <w:t>NKÚ především podle věcného kritéria, aby bylo zajištěno zastoupení různých typů</w:t>
      </w:r>
      <w:r w:rsidR="00FC057C" w:rsidRPr="00C0140A">
        <w:rPr>
          <w:sz w:val="24"/>
        </w:rPr>
        <w:t xml:space="preserve"> podporovaných aktivit </w:t>
      </w:r>
      <w:r w:rsidR="00C0140A" w:rsidRPr="00C0140A">
        <w:rPr>
          <w:sz w:val="24"/>
        </w:rPr>
        <w:t>z obou kontrolovaných podprogramů NPPCRR</w:t>
      </w:r>
      <w:r w:rsidR="00FC057C" w:rsidRPr="00C0140A">
        <w:rPr>
          <w:sz w:val="24"/>
        </w:rPr>
        <w:t xml:space="preserve">. </w:t>
      </w:r>
      <w:r w:rsidRPr="00C0140A">
        <w:rPr>
          <w:sz w:val="24"/>
        </w:rPr>
        <w:t>Dále NKÚ využil hledisko kvantitativní, kdy při výběru preferoval finančně významnější projekty</w:t>
      </w:r>
      <w:r w:rsidR="00FC057C" w:rsidRPr="00C0140A">
        <w:rPr>
          <w:sz w:val="24"/>
        </w:rPr>
        <w:t xml:space="preserve">, jejichž </w:t>
      </w:r>
      <w:r w:rsidR="00731936" w:rsidRPr="00C0140A">
        <w:rPr>
          <w:sz w:val="24"/>
        </w:rPr>
        <w:t>realizace</w:t>
      </w:r>
      <w:r w:rsidR="00FC057C" w:rsidRPr="00C0140A">
        <w:rPr>
          <w:sz w:val="24"/>
        </w:rPr>
        <w:t xml:space="preserve"> již byla ukončena</w:t>
      </w:r>
      <w:r w:rsidRPr="00C0140A">
        <w:rPr>
          <w:sz w:val="24"/>
        </w:rPr>
        <w:t xml:space="preserve">. </w:t>
      </w:r>
      <w:r w:rsidR="00FC057C" w:rsidRPr="00C0140A">
        <w:rPr>
          <w:sz w:val="24"/>
        </w:rPr>
        <w:t>Do výběru zahrnul NKÚ také příjemce</w:t>
      </w:r>
      <w:r w:rsidR="00BC3DD6">
        <w:rPr>
          <w:sz w:val="24"/>
        </w:rPr>
        <w:t xml:space="preserve"> podpory</w:t>
      </w:r>
      <w:r w:rsidR="00FC057C" w:rsidRPr="00C0140A">
        <w:rPr>
          <w:sz w:val="24"/>
        </w:rPr>
        <w:t xml:space="preserve">, kteří ve sledovaném období realizovali </w:t>
      </w:r>
      <w:r w:rsidR="00C0140A" w:rsidRPr="00C0140A">
        <w:rPr>
          <w:sz w:val="24"/>
        </w:rPr>
        <w:t>minimálně</w:t>
      </w:r>
      <w:r w:rsidR="00FC057C" w:rsidRPr="00C0140A">
        <w:rPr>
          <w:sz w:val="24"/>
        </w:rPr>
        <w:t xml:space="preserve"> dva následné projekty</w:t>
      </w:r>
      <w:r w:rsidR="00C0140A" w:rsidRPr="00C0140A">
        <w:rPr>
          <w:sz w:val="24"/>
        </w:rPr>
        <w:t xml:space="preserve"> spolufinancované z NPPCRR.</w:t>
      </w:r>
    </w:p>
    <w:p w14:paraId="210DF7E9" w14:textId="4FC2BF72" w:rsidR="002174C7" w:rsidRDefault="00A90634" w:rsidP="003C2849">
      <w:pPr>
        <w:tabs>
          <w:tab w:val="left" w:pos="567"/>
        </w:tabs>
        <w:spacing w:before="120" w:after="120" w:line="240" w:lineRule="auto"/>
        <w:jc w:val="both"/>
        <w:rPr>
          <w:sz w:val="24"/>
        </w:rPr>
      </w:pPr>
      <w:r w:rsidRPr="00203899">
        <w:rPr>
          <w:sz w:val="24"/>
        </w:rPr>
        <w:t>Finanční objem kontrolovaných projektů</w:t>
      </w:r>
      <w:r w:rsidR="00203899" w:rsidRPr="00203899">
        <w:rPr>
          <w:sz w:val="24"/>
        </w:rPr>
        <w:t xml:space="preserve"> z NPPCRR</w:t>
      </w:r>
      <w:r w:rsidRPr="00203899">
        <w:rPr>
          <w:sz w:val="24"/>
        </w:rPr>
        <w:t xml:space="preserve"> činil </w:t>
      </w:r>
      <w:r w:rsidR="00203899" w:rsidRPr="00203899">
        <w:rPr>
          <w:sz w:val="24"/>
        </w:rPr>
        <w:t>32,1</w:t>
      </w:r>
      <w:r w:rsidRPr="00203899">
        <w:rPr>
          <w:sz w:val="24"/>
        </w:rPr>
        <w:t xml:space="preserve"> mil. Kč, což reprezentuje </w:t>
      </w:r>
      <w:r w:rsidRPr="00407318">
        <w:rPr>
          <w:sz w:val="24"/>
        </w:rPr>
        <w:t>cca</w:t>
      </w:r>
      <w:r w:rsidR="00FB1C79" w:rsidRPr="00407318">
        <w:rPr>
          <w:sz w:val="24"/>
        </w:rPr>
        <w:t> </w:t>
      </w:r>
      <w:r w:rsidR="006F011A">
        <w:rPr>
          <w:sz w:val="24"/>
        </w:rPr>
        <w:t>7,44</w:t>
      </w:r>
      <w:r w:rsidRPr="00203899">
        <w:rPr>
          <w:sz w:val="24"/>
        </w:rPr>
        <w:t xml:space="preserve"> % z částky </w:t>
      </w:r>
      <w:r w:rsidR="00FB1C79">
        <w:rPr>
          <w:sz w:val="24"/>
        </w:rPr>
        <w:t>skutečně čerpaných</w:t>
      </w:r>
      <w:r w:rsidRPr="00203899">
        <w:rPr>
          <w:sz w:val="24"/>
        </w:rPr>
        <w:t xml:space="preserve"> výdajů vynaložených </w:t>
      </w:r>
      <w:r w:rsidR="00FB1C79">
        <w:rPr>
          <w:sz w:val="24"/>
        </w:rPr>
        <w:t xml:space="preserve">státním rozpočtem </w:t>
      </w:r>
      <w:r w:rsidRPr="00203899">
        <w:rPr>
          <w:sz w:val="24"/>
        </w:rPr>
        <w:t xml:space="preserve">na podporu </w:t>
      </w:r>
      <w:r w:rsidR="00203899" w:rsidRPr="00203899">
        <w:rPr>
          <w:sz w:val="24"/>
        </w:rPr>
        <w:t>cestovního ruchu</w:t>
      </w:r>
      <w:r w:rsidRPr="00203899">
        <w:rPr>
          <w:sz w:val="24"/>
        </w:rPr>
        <w:t xml:space="preserve"> v době ukončení kontroly. </w:t>
      </w:r>
    </w:p>
    <w:p w14:paraId="792D7483" w14:textId="74689020" w:rsidR="00E37BC5" w:rsidRPr="00203899" w:rsidRDefault="002174C7" w:rsidP="003C2849">
      <w:pPr>
        <w:tabs>
          <w:tab w:val="left" w:pos="567"/>
        </w:tabs>
        <w:spacing w:before="120" w:after="120" w:line="240" w:lineRule="auto"/>
        <w:jc w:val="both"/>
        <w:rPr>
          <w:sz w:val="24"/>
        </w:rPr>
      </w:pPr>
      <w:r>
        <w:rPr>
          <w:sz w:val="24"/>
        </w:rPr>
        <w:t>Dále NKÚ vybral k</w:t>
      </w:r>
      <w:r w:rsidR="005E1C52">
        <w:rPr>
          <w:sz w:val="24"/>
        </w:rPr>
        <w:t xml:space="preserve">e </w:t>
      </w:r>
      <w:r w:rsidRPr="00EB32D0">
        <w:rPr>
          <w:sz w:val="24"/>
        </w:rPr>
        <w:t>kontrole 10 příjemců</w:t>
      </w:r>
      <w:r w:rsidR="00BC3DD6">
        <w:rPr>
          <w:sz w:val="24"/>
        </w:rPr>
        <w:t xml:space="preserve"> podpory z</w:t>
      </w:r>
      <w:r>
        <w:rPr>
          <w:sz w:val="24"/>
        </w:rPr>
        <w:t xml:space="preserve"> </w:t>
      </w:r>
      <w:r w:rsidR="00F80C69">
        <w:rPr>
          <w:sz w:val="24"/>
        </w:rPr>
        <w:t>p</w:t>
      </w:r>
      <w:r w:rsidR="00F80C69" w:rsidRPr="00F80C69">
        <w:rPr>
          <w:sz w:val="24"/>
        </w:rPr>
        <w:t xml:space="preserve">rogramu </w:t>
      </w:r>
      <w:r w:rsidR="00F80C69" w:rsidRPr="00F80C69">
        <w:rPr>
          <w:i/>
          <w:sz w:val="24"/>
        </w:rPr>
        <w:t>COVID</w:t>
      </w:r>
      <w:r w:rsidR="00491DF9" w:rsidRPr="00F10E1A">
        <w:rPr>
          <w:i/>
          <w:sz w:val="24"/>
          <w:szCs w:val="24"/>
        </w:rPr>
        <w:t xml:space="preserve"> – </w:t>
      </w:r>
      <w:r w:rsidR="00F80C69" w:rsidRPr="00F80C69">
        <w:rPr>
          <w:i/>
          <w:sz w:val="24"/>
        </w:rPr>
        <w:t>Podpora cestovního ruchu</w:t>
      </w:r>
      <w:r w:rsidR="00F80C69">
        <w:rPr>
          <w:sz w:val="24"/>
        </w:rPr>
        <w:t xml:space="preserve"> </w:t>
      </w:r>
      <w:r>
        <w:rPr>
          <w:sz w:val="24"/>
        </w:rPr>
        <w:t xml:space="preserve">určených na podporu cestovního ruchu. </w:t>
      </w:r>
      <w:r w:rsidR="00A90634" w:rsidRPr="00203899">
        <w:rPr>
          <w:sz w:val="24"/>
        </w:rPr>
        <w:t>V</w:t>
      </w:r>
      <w:r w:rsidR="00630208" w:rsidRPr="00203899">
        <w:rPr>
          <w:sz w:val="24"/>
        </w:rPr>
        <w:t> </w:t>
      </w:r>
      <w:r w:rsidR="00A90634" w:rsidRPr="00203899">
        <w:rPr>
          <w:sz w:val="24"/>
        </w:rPr>
        <w:t xml:space="preserve">případě </w:t>
      </w:r>
      <w:r w:rsidR="00F80C69">
        <w:rPr>
          <w:sz w:val="24"/>
        </w:rPr>
        <w:t>p</w:t>
      </w:r>
      <w:r w:rsidR="00F80C69" w:rsidRPr="00F80C69">
        <w:rPr>
          <w:sz w:val="24"/>
        </w:rPr>
        <w:t xml:space="preserve">rogramu </w:t>
      </w:r>
      <w:r w:rsidR="00F80C69" w:rsidRPr="00F80C69">
        <w:rPr>
          <w:i/>
          <w:sz w:val="24"/>
        </w:rPr>
        <w:t>COVID</w:t>
      </w:r>
      <w:r w:rsidR="00491DF9" w:rsidRPr="00F10E1A">
        <w:rPr>
          <w:i/>
          <w:sz w:val="24"/>
          <w:szCs w:val="24"/>
        </w:rPr>
        <w:t xml:space="preserve"> – </w:t>
      </w:r>
      <w:r w:rsidR="00F80C69" w:rsidRPr="00F80C69">
        <w:rPr>
          <w:i/>
          <w:sz w:val="24"/>
        </w:rPr>
        <w:t>Podpora cestovního ruchu</w:t>
      </w:r>
      <w:r w:rsidR="00F80C69" w:rsidRPr="00203899">
        <w:rPr>
          <w:sz w:val="24"/>
        </w:rPr>
        <w:t xml:space="preserve"> </w:t>
      </w:r>
      <w:r w:rsidR="00203899" w:rsidRPr="00203899">
        <w:rPr>
          <w:sz w:val="24"/>
        </w:rPr>
        <w:t>činil</w:t>
      </w:r>
      <w:r w:rsidR="00A90634" w:rsidRPr="00203899">
        <w:rPr>
          <w:sz w:val="24"/>
        </w:rPr>
        <w:t xml:space="preserve"> </w:t>
      </w:r>
      <w:r w:rsidR="00203899" w:rsidRPr="00203899">
        <w:rPr>
          <w:sz w:val="24"/>
        </w:rPr>
        <w:t xml:space="preserve">objem kontrolovaných </w:t>
      </w:r>
      <w:r w:rsidR="00E83935">
        <w:rPr>
          <w:sz w:val="24"/>
        </w:rPr>
        <w:t>proplacených dotací</w:t>
      </w:r>
      <w:r w:rsidR="00203899" w:rsidRPr="00203899">
        <w:rPr>
          <w:sz w:val="24"/>
        </w:rPr>
        <w:t xml:space="preserve"> 48,1 mil. Kč, což představuje cca </w:t>
      </w:r>
      <w:r w:rsidR="005176AC">
        <w:rPr>
          <w:sz w:val="24"/>
        </w:rPr>
        <w:t>5,03</w:t>
      </w:r>
      <w:r w:rsidR="00263249">
        <w:rPr>
          <w:sz w:val="24"/>
        </w:rPr>
        <w:t> </w:t>
      </w:r>
      <w:r w:rsidR="00203899" w:rsidRPr="00203899">
        <w:rPr>
          <w:sz w:val="24"/>
        </w:rPr>
        <w:t>% z</w:t>
      </w:r>
      <w:r w:rsidR="00E83935">
        <w:rPr>
          <w:sz w:val="24"/>
        </w:rPr>
        <w:t> celkové čerpané částky</w:t>
      </w:r>
      <w:r w:rsidR="00203899" w:rsidRPr="00203899">
        <w:rPr>
          <w:sz w:val="24"/>
        </w:rPr>
        <w:t xml:space="preserve"> na</w:t>
      </w:r>
      <w:r w:rsidR="00FB1C79">
        <w:rPr>
          <w:sz w:val="24"/>
        </w:rPr>
        <w:t> </w:t>
      </w:r>
      <w:r w:rsidR="00203899" w:rsidRPr="00203899">
        <w:rPr>
          <w:sz w:val="24"/>
        </w:rPr>
        <w:t>podpůrné programy COVID.</w:t>
      </w:r>
    </w:p>
    <w:p w14:paraId="49CB6A45" w14:textId="77777777" w:rsidR="00B816CC" w:rsidRPr="00FB02B3" w:rsidRDefault="00B816CC" w:rsidP="00B816CC">
      <w:pPr>
        <w:spacing w:after="120"/>
        <w:jc w:val="both"/>
        <w:rPr>
          <w:rFonts w:ascii="Calibri" w:hAnsi="Calibri" w:cs="Calibri"/>
          <w:sz w:val="24"/>
          <w:szCs w:val="24"/>
        </w:rPr>
      </w:pPr>
      <w:r w:rsidRPr="00FB02B3">
        <w:rPr>
          <w:rFonts w:ascii="Calibri" w:hAnsi="Calibri" w:cs="Calibri"/>
          <w:sz w:val="24"/>
          <w:szCs w:val="24"/>
        </w:rPr>
        <w:t>Kontrolovaným obdobím bylo období let 201</w:t>
      </w:r>
      <w:r>
        <w:rPr>
          <w:rFonts w:ascii="Calibri" w:hAnsi="Calibri" w:cs="Calibri"/>
          <w:sz w:val="24"/>
          <w:szCs w:val="24"/>
        </w:rPr>
        <w:t>7</w:t>
      </w:r>
      <w:r w:rsidRPr="00FB02B3">
        <w:rPr>
          <w:rFonts w:ascii="Calibri" w:hAnsi="Calibri" w:cs="Calibri"/>
          <w:sz w:val="24"/>
          <w:szCs w:val="24"/>
        </w:rPr>
        <w:t xml:space="preserve"> až 202</w:t>
      </w:r>
      <w:r>
        <w:rPr>
          <w:rFonts w:ascii="Calibri" w:hAnsi="Calibri" w:cs="Calibri"/>
          <w:sz w:val="24"/>
          <w:szCs w:val="24"/>
        </w:rPr>
        <w:t>2</w:t>
      </w:r>
      <w:r w:rsidRPr="00FB02B3">
        <w:rPr>
          <w:rFonts w:ascii="Calibri" w:hAnsi="Calibri" w:cs="Calibri"/>
          <w:sz w:val="24"/>
          <w:szCs w:val="24"/>
        </w:rPr>
        <w:t xml:space="preserve">, v případě věcných souvislostí i období předcházející a následující. </w:t>
      </w:r>
    </w:p>
    <w:p w14:paraId="0A712ED4" w14:textId="77777777" w:rsidR="00305742" w:rsidRPr="005846CC" w:rsidRDefault="005846CC" w:rsidP="00067187">
      <w:pPr>
        <w:spacing w:before="360" w:after="120" w:line="240" w:lineRule="auto"/>
        <w:ind w:left="567" w:hanging="567"/>
        <w:jc w:val="both"/>
        <w:rPr>
          <w:sz w:val="20"/>
        </w:rPr>
      </w:pPr>
      <w:r w:rsidRPr="00B160E7">
        <w:rPr>
          <w:b/>
          <w:sz w:val="20"/>
        </w:rPr>
        <w:t>Pozn.:</w:t>
      </w:r>
      <w:r w:rsidRPr="00B160E7">
        <w:rPr>
          <w:sz w:val="20"/>
        </w:rPr>
        <w:tab/>
      </w:r>
      <w:r w:rsidR="00CF6D33" w:rsidRPr="00B160E7">
        <w:rPr>
          <w:sz w:val="20"/>
        </w:rPr>
        <w:t>Právní předpisy uvedené v tomto kontrolním závěru jsou aplikovány ve znění účinném pro kontrolované období.</w:t>
      </w:r>
    </w:p>
    <w:bookmarkEnd w:id="7"/>
    <w:p w14:paraId="331E2F77" w14:textId="77777777" w:rsidR="00EA05A6" w:rsidRPr="00720CBA" w:rsidRDefault="00513AE2" w:rsidP="00720CBA">
      <w:pPr>
        <w:pStyle w:val="Nadpis1"/>
        <w:keepLines w:val="0"/>
        <w:spacing w:before="600" w:after="240" w:line="240" w:lineRule="auto"/>
        <w:jc w:val="center"/>
        <w:rPr>
          <w:rFonts w:asciiTheme="minorHAnsi" w:eastAsia="Times New Roman" w:hAnsiTheme="minorHAnsi" w:cs="Times New Roman"/>
          <w:b/>
          <w:bCs/>
          <w:color w:val="auto"/>
          <w:sz w:val="28"/>
          <w:szCs w:val="34"/>
          <w:lang w:eastAsia="cs-CZ"/>
        </w:rPr>
      </w:pPr>
      <w:r w:rsidRPr="00720CBA">
        <w:rPr>
          <w:rFonts w:asciiTheme="minorHAnsi" w:eastAsia="Times New Roman" w:hAnsiTheme="minorHAnsi" w:cs="Times New Roman"/>
          <w:b/>
          <w:bCs/>
          <w:color w:val="auto"/>
          <w:sz w:val="28"/>
          <w:szCs w:val="34"/>
          <w:lang w:eastAsia="cs-CZ"/>
        </w:rPr>
        <w:t xml:space="preserve">IV. </w:t>
      </w:r>
      <w:r w:rsidR="000E366F" w:rsidRPr="00720CBA">
        <w:rPr>
          <w:rFonts w:asciiTheme="minorHAnsi" w:eastAsia="Times New Roman" w:hAnsiTheme="minorHAnsi" w:cs="Times New Roman"/>
          <w:b/>
          <w:bCs/>
          <w:color w:val="auto"/>
          <w:sz w:val="28"/>
          <w:szCs w:val="34"/>
          <w:lang w:eastAsia="cs-CZ"/>
        </w:rPr>
        <w:t>Podrobné skutečnosti zjištěné kontrolou</w:t>
      </w:r>
    </w:p>
    <w:p w14:paraId="0771372B" w14:textId="1CAFBA55" w:rsidR="00720CBA" w:rsidRDefault="00C07C30" w:rsidP="00067187">
      <w:pPr>
        <w:pStyle w:val="Nadpis2"/>
        <w:spacing w:after="120" w:line="240" w:lineRule="auto"/>
        <w:ind w:left="284" w:hanging="284"/>
        <w:rPr>
          <w:rFonts w:asciiTheme="minorHAnsi" w:eastAsiaTheme="minorHAnsi" w:hAnsiTheme="minorHAnsi" w:cstheme="minorHAnsi"/>
          <w:i/>
          <w:color w:val="0070C0"/>
          <w:sz w:val="24"/>
          <w:szCs w:val="24"/>
        </w:rPr>
      </w:pPr>
      <w:r w:rsidRPr="00C07C30">
        <w:rPr>
          <w:rFonts w:asciiTheme="minorHAnsi" w:eastAsiaTheme="minorHAnsi" w:hAnsiTheme="minorHAnsi" w:cstheme="minorHAnsi"/>
          <w:i/>
          <w:color w:val="0070C0"/>
          <w:sz w:val="24"/>
          <w:szCs w:val="24"/>
        </w:rPr>
        <w:t xml:space="preserve">A. </w:t>
      </w:r>
      <w:r w:rsidR="00067187">
        <w:rPr>
          <w:rFonts w:asciiTheme="minorHAnsi" w:eastAsiaTheme="minorHAnsi" w:hAnsiTheme="minorHAnsi" w:cstheme="minorHAnsi"/>
          <w:i/>
          <w:color w:val="0070C0"/>
          <w:sz w:val="24"/>
          <w:szCs w:val="24"/>
        </w:rPr>
        <w:tab/>
      </w:r>
      <w:r w:rsidR="00720CBA" w:rsidRPr="00C07C30">
        <w:rPr>
          <w:rFonts w:asciiTheme="minorHAnsi" w:eastAsiaTheme="minorHAnsi" w:hAnsiTheme="minorHAnsi" w:cstheme="minorHAnsi"/>
          <w:i/>
          <w:color w:val="0070C0"/>
          <w:sz w:val="24"/>
          <w:szCs w:val="24"/>
        </w:rPr>
        <w:t xml:space="preserve">MMR </w:t>
      </w:r>
      <w:r w:rsidR="002D25BE">
        <w:rPr>
          <w:rFonts w:asciiTheme="minorHAnsi" w:eastAsiaTheme="minorHAnsi" w:hAnsiTheme="minorHAnsi" w:cstheme="minorHAnsi"/>
          <w:i/>
          <w:color w:val="0070C0"/>
          <w:sz w:val="24"/>
          <w:szCs w:val="24"/>
        </w:rPr>
        <w:t xml:space="preserve">nastavilo </w:t>
      </w:r>
      <w:r w:rsidR="00720CBA" w:rsidRPr="00C07C30">
        <w:rPr>
          <w:rFonts w:asciiTheme="minorHAnsi" w:eastAsiaTheme="minorHAnsi" w:hAnsiTheme="minorHAnsi" w:cstheme="minorHAnsi"/>
          <w:i/>
          <w:color w:val="0070C0"/>
          <w:sz w:val="24"/>
          <w:szCs w:val="24"/>
        </w:rPr>
        <w:t xml:space="preserve">cíle a </w:t>
      </w:r>
      <w:r w:rsidR="003A79E5">
        <w:rPr>
          <w:rFonts w:asciiTheme="minorHAnsi" w:eastAsiaTheme="minorHAnsi" w:hAnsiTheme="minorHAnsi" w:cstheme="minorHAnsi"/>
          <w:i/>
          <w:color w:val="0070C0"/>
          <w:sz w:val="24"/>
          <w:szCs w:val="24"/>
        </w:rPr>
        <w:t>parametry</w:t>
      </w:r>
      <w:r w:rsidR="003A79E5" w:rsidRPr="00C07C30">
        <w:rPr>
          <w:rFonts w:asciiTheme="minorHAnsi" w:eastAsiaTheme="minorHAnsi" w:hAnsiTheme="minorHAnsi" w:cstheme="minorHAnsi"/>
          <w:i/>
          <w:color w:val="0070C0"/>
          <w:sz w:val="24"/>
          <w:szCs w:val="24"/>
        </w:rPr>
        <w:t xml:space="preserve"> </w:t>
      </w:r>
      <w:r w:rsidR="00720CBA" w:rsidRPr="00C07C30">
        <w:rPr>
          <w:rFonts w:asciiTheme="minorHAnsi" w:eastAsiaTheme="minorHAnsi" w:hAnsiTheme="minorHAnsi" w:cstheme="minorHAnsi"/>
          <w:i/>
          <w:color w:val="0070C0"/>
          <w:sz w:val="24"/>
          <w:szCs w:val="24"/>
        </w:rPr>
        <w:t xml:space="preserve">NPPCRR tak, </w:t>
      </w:r>
      <w:r w:rsidR="002D25BE">
        <w:rPr>
          <w:rFonts w:asciiTheme="minorHAnsi" w:eastAsiaTheme="minorHAnsi" w:hAnsiTheme="minorHAnsi" w:cstheme="minorHAnsi"/>
          <w:i/>
          <w:color w:val="0070C0"/>
          <w:sz w:val="24"/>
          <w:szCs w:val="24"/>
        </w:rPr>
        <w:t>že neposkyt</w:t>
      </w:r>
      <w:r w:rsidR="00325AA4">
        <w:rPr>
          <w:rFonts w:asciiTheme="minorHAnsi" w:eastAsiaTheme="minorHAnsi" w:hAnsiTheme="minorHAnsi" w:cstheme="minorHAnsi"/>
          <w:i/>
          <w:color w:val="0070C0"/>
          <w:sz w:val="24"/>
          <w:szCs w:val="24"/>
        </w:rPr>
        <w:t>ovaly</w:t>
      </w:r>
      <w:r w:rsidR="00720CBA" w:rsidRPr="00C07C30">
        <w:rPr>
          <w:rFonts w:asciiTheme="minorHAnsi" w:eastAsiaTheme="minorHAnsi" w:hAnsiTheme="minorHAnsi" w:cstheme="minorHAnsi"/>
          <w:i/>
          <w:color w:val="0070C0"/>
          <w:sz w:val="24"/>
          <w:szCs w:val="24"/>
        </w:rPr>
        <w:t xml:space="preserve"> informace o účelnosti a hospodárnosti poskytované podpory</w:t>
      </w:r>
      <w:r w:rsidR="002D25BE">
        <w:rPr>
          <w:rFonts w:asciiTheme="minorHAnsi" w:eastAsiaTheme="minorHAnsi" w:hAnsiTheme="minorHAnsi" w:cstheme="minorHAnsi"/>
          <w:i/>
          <w:color w:val="0070C0"/>
          <w:sz w:val="24"/>
          <w:szCs w:val="24"/>
        </w:rPr>
        <w:t>.</w:t>
      </w:r>
    </w:p>
    <w:p w14:paraId="006F7463" w14:textId="52B37404" w:rsidR="00EA05A6" w:rsidRPr="00D941FE" w:rsidRDefault="00110BDC" w:rsidP="00D941FE">
      <w:pPr>
        <w:spacing w:after="120" w:line="240" w:lineRule="auto"/>
        <w:jc w:val="both"/>
        <w:rPr>
          <w:rFonts w:ascii="Calibri" w:hAnsi="Calibri" w:cs="Calibri"/>
          <w:sz w:val="24"/>
          <w:szCs w:val="24"/>
        </w:rPr>
      </w:pPr>
      <w:r w:rsidRPr="00D941FE">
        <w:rPr>
          <w:rFonts w:ascii="Calibri" w:hAnsi="Calibri" w:cs="Calibri"/>
          <w:sz w:val="24"/>
          <w:szCs w:val="24"/>
        </w:rPr>
        <w:t xml:space="preserve">Jedním ze základních předpokladů zajištění </w:t>
      </w:r>
      <w:r w:rsidR="006A6D67" w:rsidRPr="00D941FE">
        <w:rPr>
          <w:rFonts w:ascii="Calibri" w:hAnsi="Calibri" w:cs="Calibri"/>
          <w:sz w:val="24"/>
          <w:szCs w:val="24"/>
        </w:rPr>
        <w:t>účelnosti</w:t>
      </w:r>
      <w:r w:rsidR="0080580C" w:rsidRPr="00D941FE">
        <w:rPr>
          <w:rFonts w:ascii="Calibri" w:hAnsi="Calibri" w:cs="Calibri"/>
          <w:sz w:val="24"/>
          <w:szCs w:val="24"/>
        </w:rPr>
        <w:t xml:space="preserve"> </w:t>
      </w:r>
      <w:r w:rsidR="008D4AB9" w:rsidRPr="00D941FE">
        <w:rPr>
          <w:rFonts w:ascii="Calibri" w:hAnsi="Calibri" w:cs="Calibri"/>
          <w:sz w:val="24"/>
          <w:szCs w:val="24"/>
        </w:rPr>
        <w:t>a</w:t>
      </w:r>
      <w:r w:rsidR="0080580C" w:rsidRPr="00D941FE">
        <w:rPr>
          <w:rFonts w:ascii="Calibri" w:hAnsi="Calibri" w:cs="Calibri"/>
          <w:sz w:val="24"/>
          <w:szCs w:val="24"/>
        </w:rPr>
        <w:t xml:space="preserve"> </w:t>
      </w:r>
      <w:r w:rsidR="00663DF6">
        <w:rPr>
          <w:rFonts w:ascii="Calibri" w:hAnsi="Calibri" w:cs="Calibri"/>
          <w:sz w:val="24"/>
          <w:szCs w:val="24"/>
        </w:rPr>
        <w:t>hospodárnosti</w:t>
      </w:r>
      <w:r w:rsidR="006A6D67" w:rsidRPr="00D941FE">
        <w:rPr>
          <w:rFonts w:ascii="Calibri" w:hAnsi="Calibri" w:cs="Calibri"/>
          <w:sz w:val="24"/>
          <w:szCs w:val="24"/>
        </w:rPr>
        <w:t xml:space="preserve"> poskytování podpory je</w:t>
      </w:r>
      <w:r w:rsidR="00067187">
        <w:rPr>
          <w:rFonts w:ascii="Calibri" w:hAnsi="Calibri" w:cs="Calibri"/>
          <w:sz w:val="24"/>
          <w:szCs w:val="24"/>
        </w:rPr>
        <w:t xml:space="preserve"> </w:t>
      </w:r>
      <w:r w:rsidR="006A6D67" w:rsidRPr="00D941FE">
        <w:rPr>
          <w:rFonts w:ascii="Calibri" w:hAnsi="Calibri" w:cs="Calibri"/>
          <w:sz w:val="24"/>
          <w:szCs w:val="24"/>
        </w:rPr>
        <w:t>správné nastavení cílů podpory a indikátorů</w:t>
      </w:r>
      <w:r w:rsidR="003A79E5">
        <w:rPr>
          <w:rFonts w:ascii="Calibri" w:hAnsi="Calibri" w:cs="Calibri"/>
          <w:sz w:val="24"/>
          <w:szCs w:val="24"/>
        </w:rPr>
        <w:t>/parametrů</w:t>
      </w:r>
      <w:r w:rsidR="003A79E5">
        <w:rPr>
          <w:rStyle w:val="Znakapoznpodarou"/>
          <w:rFonts w:ascii="Calibri" w:hAnsi="Calibri" w:cs="Calibri"/>
          <w:sz w:val="24"/>
          <w:szCs w:val="24"/>
        </w:rPr>
        <w:footnoteReference w:id="12"/>
      </w:r>
      <w:r w:rsidR="006A6D67" w:rsidRPr="00D941FE">
        <w:rPr>
          <w:rFonts w:ascii="Calibri" w:hAnsi="Calibri" w:cs="Calibri"/>
          <w:sz w:val="24"/>
          <w:szCs w:val="24"/>
        </w:rPr>
        <w:t xml:space="preserve"> stanovených pro jejich sledování. Správně nastavené cíle a </w:t>
      </w:r>
      <w:r w:rsidR="00521722">
        <w:rPr>
          <w:rFonts w:ascii="Calibri" w:hAnsi="Calibri" w:cs="Calibri"/>
          <w:sz w:val="24"/>
          <w:szCs w:val="24"/>
        </w:rPr>
        <w:t>parametry</w:t>
      </w:r>
      <w:r w:rsidR="00521722" w:rsidRPr="00D941FE">
        <w:rPr>
          <w:rFonts w:ascii="Calibri" w:hAnsi="Calibri" w:cs="Calibri"/>
          <w:sz w:val="24"/>
          <w:szCs w:val="24"/>
        </w:rPr>
        <w:t xml:space="preserve"> </w:t>
      </w:r>
      <w:r w:rsidR="002375AF" w:rsidRPr="00D941FE">
        <w:rPr>
          <w:rFonts w:ascii="Calibri" w:hAnsi="Calibri" w:cs="Calibri"/>
          <w:sz w:val="24"/>
          <w:szCs w:val="24"/>
        </w:rPr>
        <w:t xml:space="preserve">mají </w:t>
      </w:r>
      <w:r w:rsidR="006A6D67" w:rsidRPr="00D941FE">
        <w:rPr>
          <w:rFonts w:ascii="Calibri" w:hAnsi="Calibri" w:cs="Calibri"/>
          <w:sz w:val="24"/>
          <w:szCs w:val="24"/>
        </w:rPr>
        <w:t xml:space="preserve">přinášet významné </w:t>
      </w:r>
      <w:r w:rsidR="0080580C" w:rsidRPr="00D941FE">
        <w:rPr>
          <w:rFonts w:ascii="Calibri" w:hAnsi="Calibri" w:cs="Calibri"/>
          <w:sz w:val="24"/>
          <w:szCs w:val="24"/>
        </w:rPr>
        <w:t xml:space="preserve">průběžné </w:t>
      </w:r>
      <w:r w:rsidR="006A6D67" w:rsidRPr="00D941FE">
        <w:rPr>
          <w:rFonts w:ascii="Calibri" w:hAnsi="Calibri" w:cs="Calibri"/>
          <w:sz w:val="24"/>
          <w:szCs w:val="24"/>
        </w:rPr>
        <w:t>informace o</w:t>
      </w:r>
      <w:r w:rsidR="00FF47C7" w:rsidRPr="00D941FE">
        <w:rPr>
          <w:rFonts w:ascii="Calibri" w:hAnsi="Calibri" w:cs="Calibri"/>
          <w:sz w:val="24"/>
          <w:szCs w:val="24"/>
        </w:rPr>
        <w:t> </w:t>
      </w:r>
      <w:r w:rsidR="0080580C" w:rsidRPr="00D941FE">
        <w:rPr>
          <w:rFonts w:ascii="Calibri" w:hAnsi="Calibri" w:cs="Calibri"/>
          <w:sz w:val="24"/>
          <w:szCs w:val="24"/>
        </w:rPr>
        <w:t xml:space="preserve">dosahované účelnosti a </w:t>
      </w:r>
      <w:r w:rsidR="00663DF6">
        <w:rPr>
          <w:rFonts w:ascii="Calibri" w:hAnsi="Calibri" w:cs="Calibri"/>
          <w:sz w:val="24"/>
          <w:szCs w:val="24"/>
        </w:rPr>
        <w:t>hospodárnosti</w:t>
      </w:r>
      <w:r w:rsidR="006A6D67" w:rsidRPr="00D941FE">
        <w:rPr>
          <w:rFonts w:ascii="Calibri" w:hAnsi="Calibri" w:cs="Calibri"/>
          <w:sz w:val="24"/>
          <w:szCs w:val="24"/>
        </w:rPr>
        <w:t xml:space="preserve"> poskytované podpory</w:t>
      </w:r>
      <w:r w:rsidR="00552205">
        <w:rPr>
          <w:rFonts w:ascii="Calibri" w:hAnsi="Calibri" w:cs="Calibri"/>
          <w:sz w:val="24"/>
          <w:szCs w:val="24"/>
        </w:rPr>
        <w:t>,</w:t>
      </w:r>
      <w:r w:rsidR="0080580C" w:rsidRPr="00D941FE">
        <w:rPr>
          <w:rFonts w:ascii="Calibri" w:hAnsi="Calibri" w:cs="Calibri"/>
          <w:sz w:val="24"/>
          <w:szCs w:val="24"/>
        </w:rPr>
        <w:t xml:space="preserve"> a vést tak případně k</w:t>
      </w:r>
      <w:r w:rsidR="00562E03" w:rsidRPr="00D941FE">
        <w:rPr>
          <w:rFonts w:ascii="Calibri" w:hAnsi="Calibri" w:cs="Calibri"/>
          <w:sz w:val="24"/>
          <w:szCs w:val="24"/>
        </w:rPr>
        <w:t xml:space="preserve"> jejímu </w:t>
      </w:r>
      <w:r w:rsidR="0080580C" w:rsidRPr="00D941FE">
        <w:rPr>
          <w:rFonts w:ascii="Calibri" w:hAnsi="Calibri" w:cs="Calibri"/>
          <w:sz w:val="24"/>
          <w:szCs w:val="24"/>
        </w:rPr>
        <w:t>lepšímu zacílení</w:t>
      </w:r>
      <w:r w:rsidR="00923212" w:rsidRPr="00D941FE">
        <w:rPr>
          <w:rFonts w:ascii="Calibri" w:hAnsi="Calibri" w:cs="Calibri"/>
          <w:sz w:val="24"/>
          <w:szCs w:val="24"/>
        </w:rPr>
        <w:t xml:space="preserve"> ještě v probíhajícím </w:t>
      </w:r>
      <w:r w:rsidR="00663DF6">
        <w:rPr>
          <w:rFonts w:ascii="Calibri" w:hAnsi="Calibri" w:cs="Calibri"/>
          <w:sz w:val="24"/>
          <w:szCs w:val="24"/>
        </w:rPr>
        <w:t xml:space="preserve">programu </w:t>
      </w:r>
      <w:r w:rsidR="00923212" w:rsidRPr="00D941FE">
        <w:rPr>
          <w:rFonts w:ascii="Calibri" w:hAnsi="Calibri" w:cs="Calibri"/>
          <w:sz w:val="24"/>
          <w:szCs w:val="24"/>
        </w:rPr>
        <w:t xml:space="preserve">či </w:t>
      </w:r>
      <w:r w:rsidR="00663DF6">
        <w:rPr>
          <w:rFonts w:ascii="Calibri" w:hAnsi="Calibri" w:cs="Calibri"/>
          <w:sz w:val="24"/>
          <w:szCs w:val="24"/>
        </w:rPr>
        <w:t>v jeho pokračování</w:t>
      </w:r>
      <w:r w:rsidR="006A6D67" w:rsidRPr="00D941FE">
        <w:rPr>
          <w:rFonts w:ascii="Calibri" w:hAnsi="Calibri" w:cs="Calibri"/>
          <w:sz w:val="24"/>
          <w:szCs w:val="24"/>
        </w:rPr>
        <w:t>.</w:t>
      </w:r>
    </w:p>
    <w:p w14:paraId="4ED0A6B2" w14:textId="37F0CBC2" w:rsidR="003B620A" w:rsidRPr="00273003" w:rsidRDefault="00E6602B" w:rsidP="000103ED">
      <w:pPr>
        <w:pStyle w:val="JK4"/>
        <w:numPr>
          <w:ilvl w:val="0"/>
          <w:numId w:val="0"/>
        </w:numPr>
        <w:spacing w:before="240" w:after="120"/>
        <w:ind w:left="284" w:hanging="284"/>
      </w:pPr>
      <w:r w:rsidRPr="00273003">
        <w:rPr>
          <w:b/>
          <w:bCs/>
          <w:i/>
          <w:color w:val="FF0000"/>
        </w:rPr>
        <w:t xml:space="preserve">→ </w:t>
      </w:r>
      <w:r w:rsidRPr="00273003">
        <w:rPr>
          <w:b/>
          <w:bCs/>
          <w:i/>
          <w:color w:val="FF0000"/>
        </w:rPr>
        <w:tab/>
      </w:r>
      <w:bookmarkStart w:id="8" w:name="_Hlk144203553"/>
      <w:r w:rsidR="00663DF6" w:rsidRPr="00273003">
        <w:rPr>
          <w:b/>
          <w:bCs/>
          <w:i/>
          <w:color w:val="FF0000"/>
        </w:rPr>
        <w:t>MMR</w:t>
      </w:r>
      <w:r w:rsidR="00B9765B" w:rsidRPr="00273003">
        <w:rPr>
          <w:b/>
          <w:bCs/>
          <w:i/>
          <w:color w:val="FF0000"/>
        </w:rPr>
        <w:t xml:space="preserve"> nestanovilo</w:t>
      </w:r>
      <w:r w:rsidR="002C093E">
        <w:rPr>
          <w:b/>
          <w:bCs/>
          <w:i/>
          <w:color w:val="FF0000"/>
        </w:rPr>
        <w:t xml:space="preserve"> jednoznačně </w:t>
      </w:r>
      <w:r w:rsidR="00B9765B" w:rsidRPr="00273003">
        <w:rPr>
          <w:b/>
          <w:bCs/>
          <w:i/>
          <w:color w:val="FF0000"/>
        </w:rPr>
        <w:t xml:space="preserve">cíle </w:t>
      </w:r>
      <w:bookmarkEnd w:id="8"/>
      <w:r w:rsidR="002C093E">
        <w:rPr>
          <w:b/>
          <w:bCs/>
          <w:i/>
          <w:color w:val="FF0000"/>
        </w:rPr>
        <w:t>rozvoje cestovního ruchu v ČR</w:t>
      </w:r>
      <w:r w:rsidR="00B9765B" w:rsidRPr="00273003">
        <w:rPr>
          <w:b/>
          <w:bCs/>
          <w:i/>
          <w:color w:val="FF0000"/>
        </w:rPr>
        <w:t>.</w:t>
      </w:r>
    </w:p>
    <w:p w14:paraId="2BBD32E1" w14:textId="6B7F99D2" w:rsidR="00571445" w:rsidRPr="00571445" w:rsidRDefault="004D50D4" w:rsidP="0099001D">
      <w:pPr>
        <w:spacing w:after="120" w:line="240" w:lineRule="auto"/>
        <w:jc w:val="both"/>
        <w:rPr>
          <w:rFonts w:ascii="Calibri" w:hAnsi="Calibri" w:cs="Calibri"/>
          <w:i/>
          <w:sz w:val="24"/>
          <w:szCs w:val="24"/>
        </w:rPr>
      </w:pPr>
      <w:r w:rsidRPr="00A21404">
        <w:rPr>
          <w:rFonts w:ascii="Calibri" w:hAnsi="Calibri" w:cs="Calibri"/>
          <w:sz w:val="24"/>
          <w:szCs w:val="24"/>
        </w:rPr>
        <w:t>Z</w:t>
      </w:r>
      <w:r w:rsidR="00A21404">
        <w:rPr>
          <w:rFonts w:ascii="Calibri" w:hAnsi="Calibri" w:cs="Calibri"/>
          <w:sz w:val="24"/>
          <w:szCs w:val="24"/>
        </w:rPr>
        <w:t xml:space="preserve">ákladním strategickým dokumentem v oblasti cestovního ruchu je </w:t>
      </w:r>
      <w:r w:rsidR="00A21404" w:rsidRPr="00754C44">
        <w:rPr>
          <w:rFonts w:ascii="Calibri" w:hAnsi="Calibri" w:cs="Calibri"/>
          <w:i/>
          <w:sz w:val="24"/>
          <w:szCs w:val="24"/>
        </w:rPr>
        <w:t>Koncepc</w:t>
      </w:r>
      <w:r w:rsidR="00754C44" w:rsidRPr="00754C44">
        <w:rPr>
          <w:rFonts w:ascii="Calibri" w:hAnsi="Calibri" w:cs="Calibri"/>
          <w:i/>
          <w:sz w:val="24"/>
          <w:szCs w:val="24"/>
        </w:rPr>
        <w:t>e</w:t>
      </w:r>
      <w:r w:rsidR="00A21404" w:rsidRPr="00754C44">
        <w:rPr>
          <w:rFonts w:ascii="Calibri" w:hAnsi="Calibri" w:cs="Calibri"/>
          <w:i/>
          <w:sz w:val="24"/>
          <w:szCs w:val="24"/>
        </w:rPr>
        <w:t xml:space="preserve"> státní politiky cestovního ruchu v České republice 2014</w:t>
      </w:r>
      <w:r w:rsidR="00237B9B">
        <w:rPr>
          <w:rFonts w:ascii="Calibri" w:hAnsi="Calibri" w:cs="Calibri"/>
          <w:i/>
          <w:sz w:val="24"/>
          <w:szCs w:val="24"/>
        </w:rPr>
        <w:t>–</w:t>
      </w:r>
      <w:r w:rsidR="00A21404" w:rsidRPr="00754C44">
        <w:rPr>
          <w:rFonts w:ascii="Calibri" w:hAnsi="Calibri" w:cs="Calibri"/>
          <w:i/>
          <w:sz w:val="24"/>
          <w:szCs w:val="24"/>
        </w:rPr>
        <w:t>2020</w:t>
      </w:r>
      <w:r w:rsidR="00754C44">
        <w:rPr>
          <w:rStyle w:val="Znakapoznpodarou"/>
          <w:rFonts w:ascii="Calibri" w:hAnsi="Calibri" w:cs="Calibri"/>
          <w:i/>
          <w:sz w:val="24"/>
          <w:szCs w:val="24"/>
        </w:rPr>
        <w:footnoteReference w:id="13"/>
      </w:r>
      <w:r w:rsidR="00A21404">
        <w:rPr>
          <w:rFonts w:ascii="Calibri" w:hAnsi="Calibri" w:cs="Calibri"/>
          <w:sz w:val="24"/>
          <w:szCs w:val="24"/>
        </w:rPr>
        <w:t xml:space="preserve">. </w:t>
      </w:r>
      <w:r w:rsidR="0029627E">
        <w:rPr>
          <w:rFonts w:ascii="Calibri" w:hAnsi="Calibri" w:cs="Calibri"/>
          <w:sz w:val="24"/>
          <w:szCs w:val="24"/>
        </w:rPr>
        <w:t xml:space="preserve">Globálním cílem </w:t>
      </w:r>
      <w:r w:rsidR="00B54924">
        <w:rPr>
          <w:rFonts w:ascii="Calibri" w:hAnsi="Calibri" w:cs="Calibri"/>
          <w:sz w:val="24"/>
          <w:szCs w:val="24"/>
        </w:rPr>
        <w:t>K</w:t>
      </w:r>
      <w:r w:rsidR="00213C36">
        <w:rPr>
          <w:rFonts w:ascii="Calibri" w:hAnsi="Calibri" w:cs="Calibri"/>
          <w:sz w:val="24"/>
          <w:szCs w:val="24"/>
        </w:rPr>
        <w:t xml:space="preserve">oncepce </w:t>
      </w:r>
      <w:r w:rsidR="0029627E">
        <w:rPr>
          <w:rFonts w:ascii="Calibri" w:hAnsi="Calibri" w:cs="Calibri"/>
          <w:sz w:val="24"/>
          <w:szCs w:val="24"/>
        </w:rPr>
        <w:t>j</w:t>
      </w:r>
      <w:r w:rsidR="00571445">
        <w:rPr>
          <w:rFonts w:ascii="Calibri" w:hAnsi="Calibri" w:cs="Calibri"/>
          <w:sz w:val="24"/>
          <w:szCs w:val="24"/>
        </w:rPr>
        <w:t>e</w:t>
      </w:r>
      <w:r w:rsidR="000103ED">
        <w:rPr>
          <w:rFonts w:ascii="Calibri" w:hAnsi="Calibri" w:cs="Calibri"/>
          <w:sz w:val="24"/>
          <w:szCs w:val="24"/>
        </w:rPr>
        <w:t xml:space="preserve"> </w:t>
      </w:r>
      <w:r w:rsidR="00A16285" w:rsidRPr="007C2FB9">
        <w:rPr>
          <w:rFonts w:ascii="Calibri" w:hAnsi="Calibri" w:cs="Calibri"/>
          <w:i/>
          <w:sz w:val="24"/>
          <w:szCs w:val="24"/>
        </w:rPr>
        <w:t>zvýšení</w:t>
      </w:r>
      <w:r w:rsidR="00A16285">
        <w:rPr>
          <w:rFonts w:ascii="Calibri" w:hAnsi="Calibri" w:cs="Calibri"/>
          <w:sz w:val="24"/>
          <w:szCs w:val="24"/>
        </w:rPr>
        <w:t xml:space="preserve"> </w:t>
      </w:r>
      <w:r w:rsidR="00571445" w:rsidRPr="00571445">
        <w:rPr>
          <w:rFonts w:ascii="Calibri" w:hAnsi="Calibri" w:cs="Calibri"/>
          <w:i/>
          <w:sz w:val="24"/>
          <w:szCs w:val="24"/>
        </w:rPr>
        <w:t>konkurenceschopnosti celého odvětví cestovního ruchu na národní i regionální úrovni a</w:t>
      </w:r>
      <w:r w:rsidR="00571445">
        <w:rPr>
          <w:rFonts w:ascii="Calibri" w:hAnsi="Calibri" w:cs="Calibri"/>
          <w:i/>
          <w:sz w:val="24"/>
          <w:szCs w:val="24"/>
        </w:rPr>
        <w:t> </w:t>
      </w:r>
      <w:r w:rsidR="00571445" w:rsidRPr="00571445">
        <w:rPr>
          <w:rFonts w:ascii="Calibri" w:hAnsi="Calibri" w:cs="Calibri"/>
          <w:i/>
          <w:sz w:val="24"/>
          <w:szCs w:val="24"/>
        </w:rPr>
        <w:t>udržení jeho ekonomické výkonnosti jako důsledek dosažení rovnováhy mezi ekonomickým, sociokulturním, environmentálním a regionálním rozvojem.</w:t>
      </w:r>
    </w:p>
    <w:p w14:paraId="7360C928" w14:textId="7BFA2696" w:rsidR="0099001D" w:rsidRDefault="00A464BF" w:rsidP="000103ED">
      <w:pPr>
        <w:spacing w:after="120" w:line="240" w:lineRule="auto"/>
        <w:jc w:val="both"/>
        <w:rPr>
          <w:rFonts w:cstheme="minorHAnsi"/>
          <w:sz w:val="24"/>
          <w:szCs w:val="24"/>
        </w:rPr>
      </w:pPr>
      <w:r>
        <w:rPr>
          <w:rFonts w:ascii="Calibri" w:hAnsi="Calibri" w:cs="Calibri"/>
          <w:sz w:val="24"/>
          <w:szCs w:val="24"/>
        </w:rPr>
        <w:t>Soustavu g</w:t>
      </w:r>
      <w:r w:rsidR="002C093E">
        <w:rPr>
          <w:rFonts w:ascii="Calibri" w:hAnsi="Calibri" w:cs="Calibri"/>
          <w:sz w:val="24"/>
          <w:szCs w:val="24"/>
        </w:rPr>
        <w:t>lobální</w:t>
      </w:r>
      <w:r>
        <w:rPr>
          <w:rFonts w:ascii="Calibri" w:hAnsi="Calibri" w:cs="Calibri"/>
          <w:sz w:val="24"/>
          <w:szCs w:val="24"/>
        </w:rPr>
        <w:t xml:space="preserve">ho a </w:t>
      </w:r>
      <w:r w:rsidR="002C093E">
        <w:rPr>
          <w:rFonts w:ascii="Calibri" w:hAnsi="Calibri" w:cs="Calibri"/>
          <w:sz w:val="24"/>
          <w:szCs w:val="24"/>
        </w:rPr>
        <w:t>další</w:t>
      </w:r>
      <w:r>
        <w:rPr>
          <w:rFonts w:ascii="Calibri" w:hAnsi="Calibri" w:cs="Calibri"/>
          <w:sz w:val="24"/>
          <w:szCs w:val="24"/>
        </w:rPr>
        <w:t>ch</w:t>
      </w:r>
      <w:r w:rsidR="002C093E">
        <w:rPr>
          <w:rFonts w:ascii="Calibri" w:hAnsi="Calibri" w:cs="Calibri"/>
          <w:sz w:val="24"/>
          <w:szCs w:val="24"/>
        </w:rPr>
        <w:t xml:space="preserve"> specifick</w:t>
      </w:r>
      <w:r>
        <w:rPr>
          <w:rFonts w:ascii="Calibri" w:hAnsi="Calibri" w:cs="Calibri"/>
          <w:sz w:val="24"/>
          <w:szCs w:val="24"/>
        </w:rPr>
        <w:t>ých</w:t>
      </w:r>
      <w:r w:rsidR="002C093E">
        <w:rPr>
          <w:rFonts w:ascii="Calibri" w:hAnsi="Calibri" w:cs="Calibri"/>
          <w:sz w:val="24"/>
          <w:szCs w:val="24"/>
        </w:rPr>
        <w:t xml:space="preserve"> cíl</w:t>
      </w:r>
      <w:r>
        <w:rPr>
          <w:rFonts w:ascii="Calibri" w:hAnsi="Calibri" w:cs="Calibri"/>
          <w:sz w:val="24"/>
          <w:szCs w:val="24"/>
        </w:rPr>
        <w:t>ů</w:t>
      </w:r>
      <w:r w:rsidR="002C093E">
        <w:rPr>
          <w:rFonts w:ascii="Calibri" w:hAnsi="Calibri" w:cs="Calibri"/>
          <w:sz w:val="24"/>
          <w:szCs w:val="24"/>
        </w:rPr>
        <w:t xml:space="preserve"> </w:t>
      </w:r>
      <w:r w:rsidR="002C093E" w:rsidRPr="006252C2">
        <w:rPr>
          <w:rFonts w:ascii="Calibri" w:hAnsi="Calibri" w:cs="Calibri"/>
          <w:sz w:val="24"/>
          <w:szCs w:val="24"/>
        </w:rPr>
        <w:t>Koncepce</w:t>
      </w:r>
      <w:r w:rsidR="002C093E">
        <w:rPr>
          <w:rFonts w:ascii="Calibri" w:hAnsi="Calibri" w:cs="Calibri"/>
          <w:sz w:val="24"/>
          <w:szCs w:val="24"/>
        </w:rPr>
        <w:t xml:space="preserve"> však MMR nenastavilo</w:t>
      </w:r>
      <w:r w:rsidR="00AA5CC8" w:rsidRPr="00AA5CC8">
        <w:rPr>
          <w:rFonts w:ascii="Calibri" w:hAnsi="Calibri" w:cs="Calibri"/>
          <w:sz w:val="24"/>
          <w:szCs w:val="24"/>
        </w:rPr>
        <w:t xml:space="preserve"> dostatečně </w:t>
      </w:r>
      <w:r w:rsidR="002C093E" w:rsidRPr="00AA5CC8">
        <w:rPr>
          <w:rFonts w:ascii="Calibri" w:hAnsi="Calibri" w:cs="Calibri"/>
          <w:sz w:val="24"/>
          <w:szCs w:val="24"/>
        </w:rPr>
        <w:t>konkrétn</w:t>
      </w:r>
      <w:r w:rsidR="002C093E">
        <w:rPr>
          <w:rFonts w:ascii="Calibri" w:hAnsi="Calibri" w:cs="Calibri"/>
          <w:sz w:val="24"/>
          <w:szCs w:val="24"/>
        </w:rPr>
        <w:t>ě</w:t>
      </w:r>
      <w:r w:rsidR="002C093E" w:rsidRPr="00AA5CC8">
        <w:rPr>
          <w:rFonts w:ascii="Calibri" w:hAnsi="Calibri" w:cs="Calibri"/>
          <w:sz w:val="24"/>
          <w:szCs w:val="24"/>
        </w:rPr>
        <w:t xml:space="preserve"> </w:t>
      </w:r>
      <w:r w:rsidR="00AA5CC8" w:rsidRPr="00AA5CC8">
        <w:rPr>
          <w:rFonts w:ascii="Calibri" w:hAnsi="Calibri" w:cs="Calibri"/>
          <w:sz w:val="24"/>
          <w:szCs w:val="24"/>
        </w:rPr>
        <w:t>a</w:t>
      </w:r>
      <w:r w:rsidR="00F35AEF">
        <w:rPr>
          <w:rFonts w:ascii="Calibri" w:hAnsi="Calibri" w:cs="Calibri"/>
          <w:sz w:val="24"/>
          <w:szCs w:val="24"/>
        </w:rPr>
        <w:t> </w:t>
      </w:r>
      <w:r w:rsidR="002C093E" w:rsidRPr="00AA5CC8">
        <w:rPr>
          <w:rFonts w:ascii="Calibri" w:hAnsi="Calibri" w:cs="Calibri"/>
          <w:sz w:val="24"/>
          <w:szCs w:val="24"/>
        </w:rPr>
        <w:t>měřiteln</w:t>
      </w:r>
      <w:r w:rsidR="002C093E">
        <w:rPr>
          <w:rFonts w:ascii="Calibri" w:hAnsi="Calibri" w:cs="Calibri"/>
          <w:sz w:val="24"/>
          <w:szCs w:val="24"/>
        </w:rPr>
        <w:t xml:space="preserve">ě, neboť nestanovilo jednoznačné kvantifikované hodnoty, které měly být realizací </w:t>
      </w:r>
      <w:r w:rsidR="002C093E" w:rsidRPr="006252C2">
        <w:rPr>
          <w:rFonts w:ascii="Calibri" w:hAnsi="Calibri" w:cs="Calibri"/>
          <w:sz w:val="24"/>
          <w:szCs w:val="24"/>
        </w:rPr>
        <w:t>Koncepce</w:t>
      </w:r>
      <w:r w:rsidR="002C093E">
        <w:rPr>
          <w:rFonts w:ascii="Calibri" w:hAnsi="Calibri" w:cs="Calibri"/>
          <w:sz w:val="24"/>
          <w:szCs w:val="24"/>
        </w:rPr>
        <w:t xml:space="preserve"> dosaženy.</w:t>
      </w:r>
      <w:r w:rsidR="005F73E9">
        <w:rPr>
          <w:rFonts w:ascii="Calibri" w:hAnsi="Calibri" w:cs="Calibri"/>
          <w:sz w:val="24"/>
          <w:szCs w:val="24"/>
        </w:rPr>
        <w:t xml:space="preserve"> </w:t>
      </w:r>
      <w:r w:rsidR="002C093E">
        <w:rPr>
          <w:rFonts w:ascii="Calibri" w:hAnsi="Calibri" w:cs="Calibri"/>
          <w:sz w:val="24"/>
          <w:szCs w:val="24"/>
        </w:rPr>
        <w:t>N</w:t>
      </w:r>
      <w:r w:rsidR="002C093E" w:rsidRPr="00AA5CC8">
        <w:rPr>
          <w:rFonts w:ascii="Calibri" w:hAnsi="Calibri" w:cs="Calibri"/>
          <w:sz w:val="24"/>
          <w:szCs w:val="24"/>
        </w:rPr>
        <w:t xml:space="preserve">ení </w:t>
      </w:r>
      <w:r w:rsidR="002C093E">
        <w:rPr>
          <w:rFonts w:ascii="Calibri" w:hAnsi="Calibri" w:cs="Calibri"/>
          <w:sz w:val="24"/>
          <w:szCs w:val="24"/>
        </w:rPr>
        <w:t xml:space="preserve">proto </w:t>
      </w:r>
      <w:r w:rsidR="00AA5CC8" w:rsidRPr="00AA5CC8">
        <w:rPr>
          <w:rFonts w:ascii="Calibri" w:hAnsi="Calibri" w:cs="Calibri"/>
          <w:sz w:val="24"/>
          <w:szCs w:val="24"/>
        </w:rPr>
        <w:t xml:space="preserve">možné </w:t>
      </w:r>
      <w:r w:rsidR="0019650E">
        <w:rPr>
          <w:rFonts w:ascii="Calibri" w:hAnsi="Calibri" w:cs="Calibri"/>
          <w:sz w:val="24"/>
          <w:szCs w:val="24"/>
        </w:rPr>
        <w:t>posoudit</w:t>
      </w:r>
      <w:r w:rsidR="00AA5CC8" w:rsidRPr="00AA5CC8">
        <w:rPr>
          <w:rFonts w:ascii="Calibri" w:hAnsi="Calibri" w:cs="Calibri"/>
          <w:sz w:val="24"/>
          <w:szCs w:val="24"/>
        </w:rPr>
        <w:t xml:space="preserve">, zda </w:t>
      </w:r>
      <w:r w:rsidR="002C093E">
        <w:rPr>
          <w:rFonts w:ascii="Calibri" w:hAnsi="Calibri" w:cs="Calibri"/>
          <w:sz w:val="24"/>
          <w:szCs w:val="24"/>
        </w:rPr>
        <w:t>cíle byly splněny, případně nakolik, a</w:t>
      </w:r>
      <w:r w:rsidR="0019650E">
        <w:rPr>
          <w:rFonts w:ascii="Calibri" w:hAnsi="Calibri" w:cs="Calibri"/>
          <w:sz w:val="24"/>
          <w:szCs w:val="24"/>
        </w:rPr>
        <w:t> </w:t>
      </w:r>
      <w:r w:rsidR="005F73E9">
        <w:rPr>
          <w:rFonts w:ascii="Calibri" w:hAnsi="Calibri" w:cs="Calibri"/>
          <w:sz w:val="24"/>
          <w:szCs w:val="24"/>
        </w:rPr>
        <w:t xml:space="preserve">zda byly </w:t>
      </w:r>
      <w:r w:rsidR="00DA370F" w:rsidRPr="00DA370F">
        <w:rPr>
          <w:rFonts w:ascii="Calibri" w:hAnsi="Calibri" w:cs="Calibri"/>
          <w:sz w:val="24"/>
          <w:szCs w:val="24"/>
        </w:rPr>
        <w:t>finanční prostředky využity účelně</w:t>
      </w:r>
      <w:r w:rsidR="005D172B">
        <w:rPr>
          <w:rFonts w:cstheme="minorHAnsi"/>
          <w:sz w:val="24"/>
          <w:szCs w:val="24"/>
        </w:rPr>
        <w:t xml:space="preserve">. NPPCRR </w:t>
      </w:r>
      <w:r w:rsidR="002C093E">
        <w:rPr>
          <w:rFonts w:cstheme="minorHAnsi"/>
          <w:sz w:val="24"/>
          <w:szCs w:val="24"/>
        </w:rPr>
        <w:t xml:space="preserve">přitom </w:t>
      </w:r>
      <w:r w:rsidR="0019650E">
        <w:rPr>
          <w:rFonts w:cstheme="minorHAnsi"/>
          <w:sz w:val="24"/>
          <w:szCs w:val="24"/>
        </w:rPr>
        <w:t>zajistil</w:t>
      </w:r>
      <w:r w:rsidR="005D172B">
        <w:rPr>
          <w:rFonts w:cstheme="minorHAnsi"/>
          <w:sz w:val="24"/>
          <w:szCs w:val="24"/>
        </w:rPr>
        <w:t xml:space="preserve"> finanční zdroje pro realizaci některých opatření Koncepce.</w:t>
      </w:r>
    </w:p>
    <w:p w14:paraId="35AE68A0" w14:textId="6D75E6C3" w:rsidR="000603BC" w:rsidRPr="00273003" w:rsidRDefault="000603BC" w:rsidP="000103ED">
      <w:pPr>
        <w:pStyle w:val="JK4"/>
        <w:numPr>
          <w:ilvl w:val="0"/>
          <w:numId w:val="0"/>
        </w:numPr>
        <w:spacing w:before="240" w:after="120"/>
        <w:ind w:left="284" w:hanging="284"/>
      </w:pPr>
      <w:r w:rsidRPr="00273003">
        <w:rPr>
          <w:b/>
          <w:bCs/>
          <w:i/>
          <w:color w:val="FF0000"/>
        </w:rPr>
        <w:t xml:space="preserve">→ </w:t>
      </w:r>
      <w:r w:rsidRPr="00273003">
        <w:rPr>
          <w:b/>
          <w:bCs/>
          <w:i/>
          <w:color w:val="FF0000"/>
        </w:rPr>
        <w:tab/>
      </w:r>
      <w:bookmarkStart w:id="9" w:name="_Hlk144203570"/>
      <w:r w:rsidR="00521722">
        <w:rPr>
          <w:b/>
          <w:bCs/>
          <w:i/>
          <w:color w:val="FF0000"/>
        </w:rPr>
        <w:t xml:space="preserve">Parametry </w:t>
      </w:r>
      <w:r>
        <w:rPr>
          <w:b/>
          <w:bCs/>
          <w:i/>
          <w:color w:val="FF0000"/>
        </w:rPr>
        <w:t>NPPCRR neměří výsledek</w:t>
      </w:r>
      <w:r w:rsidR="003C6F11">
        <w:rPr>
          <w:b/>
          <w:bCs/>
          <w:i/>
          <w:color w:val="FF0000"/>
        </w:rPr>
        <w:t>, který</w:t>
      </w:r>
      <w:r>
        <w:rPr>
          <w:b/>
          <w:bCs/>
          <w:i/>
          <w:color w:val="FF0000"/>
        </w:rPr>
        <w:t xml:space="preserve"> dotace</w:t>
      </w:r>
      <w:r w:rsidR="003C6F11">
        <w:rPr>
          <w:b/>
          <w:bCs/>
          <w:i/>
          <w:color w:val="FF0000"/>
        </w:rPr>
        <w:t xml:space="preserve"> přináší</w:t>
      </w:r>
      <w:r w:rsidR="00E769AD">
        <w:rPr>
          <w:b/>
          <w:bCs/>
          <w:i/>
          <w:color w:val="FF0000"/>
        </w:rPr>
        <w:t xml:space="preserve">. Nemohou tak efektivně sloužit </w:t>
      </w:r>
      <w:r>
        <w:rPr>
          <w:b/>
          <w:bCs/>
          <w:i/>
          <w:color w:val="FF0000"/>
        </w:rPr>
        <w:t>pro řízení provádění programu.</w:t>
      </w:r>
      <w:bookmarkEnd w:id="9"/>
    </w:p>
    <w:p w14:paraId="6E9DB873" w14:textId="56834936" w:rsidR="00F33BE1" w:rsidRDefault="00501DA0" w:rsidP="003A55A4">
      <w:pPr>
        <w:spacing w:after="120" w:line="240" w:lineRule="auto"/>
        <w:jc w:val="both"/>
        <w:rPr>
          <w:rFonts w:cstheme="minorHAnsi"/>
          <w:sz w:val="24"/>
          <w:szCs w:val="24"/>
        </w:rPr>
      </w:pPr>
      <w:r>
        <w:rPr>
          <w:rFonts w:cstheme="minorHAnsi"/>
          <w:sz w:val="24"/>
          <w:szCs w:val="24"/>
        </w:rPr>
        <w:t>N</w:t>
      </w:r>
      <w:r w:rsidR="000603BC" w:rsidRPr="000603BC">
        <w:rPr>
          <w:rFonts w:cstheme="minorHAnsi"/>
          <w:sz w:val="24"/>
          <w:szCs w:val="24"/>
        </w:rPr>
        <w:t xml:space="preserve">a úrovni cílů </w:t>
      </w:r>
      <w:r>
        <w:rPr>
          <w:rFonts w:cstheme="minorHAnsi"/>
          <w:sz w:val="24"/>
          <w:szCs w:val="24"/>
        </w:rPr>
        <w:t>NPPCRR</w:t>
      </w:r>
      <w:r w:rsidR="000603BC" w:rsidRPr="000603BC">
        <w:rPr>
          <w:rFonts w:cstheme="minorHAnsi"/>
          <w:sz w:val="24"/>
          <w:szCs w:val="24"/>
        </w:rPr>
        <w:t xml:space="preserve"> by měly být stanoveny minimálně </w:t>
      </w:r>
      <w:r>
        <w:rPr>
          <w:rFonts w:cstheme="minorHAnsi"/>
          <w:sz w:val="24"/>
          <w:szCs w:val="24"/>
        </w:rPr>
        <w:t xml:space="preserve">takové </w:t>
      </w:r>
      <w:r w:rsidR="000603BC" w:rsidRPr="000603BC">
        <w:rPr>
          <w:rFonts w:cstheme="minorHAnsi"/>
          <w:sz w:val="24"/>
          <w:szCs w:val="24"/>
        </w:rPr>
        <w:t xml:space="preserve">výsledkové indikátory, které prokazují účinky daného </w:t>
      </w:r>
      <w:r w:rsidR="00452BEA" w:rsidRPr="000603BC">
        <w:rPr>
          <w:rFonts w:cstheme="minorHAnsi"/>
          <w:sz w:val="24"/>
          <w:szCs w:val="24"/>
        </w:rPr>
        <w:t>pro</w:t>
      </w:r>
      <w:r w:rsidR="00452BEA">
        <w:rPr>
          <w:rFonts w:cstheme="minorHAnsi"/>
          <w:sz w:val="24"/>
          <w:szCs w:val="24"/>
        </w:rPr>
        <w:t>gramu</w:t>
      </w:r>
      <w:r w:rsidR="000603BC" w:rsidRPr="000603BC">
        <w:rPr>
          <w:rFonts w:cstheme="minorHAnsi"/>
          <w:sz w:val="24"/>
          <w:szCs w:val="24"/>
        </w:rPr>
        <w:t xml:space="preserve">, resp. </w:t>
      </w:r>
      <w:r w:rsidR="00452BEA">
        <w:rPr>
          <w:rFonts w:cstheme="minorHAnsi"/>
          <w:sz w:val="24"/>
          <w:szCs w:val="24"/>
        </w:rPr>
        <w:t xml:space="preserve">jeho </w:t>
      </w:r>
      <w:r w:rsidR="000603BC" w:rsidRPr="000603BC">
        <w:rPr>
          <w:rFonts w:cstheme="minorHAnsi"/>
          <w:sz w:val="24"/>
          <w:szCs w:val="24"/>
        </w:rPr>
        <w:t xml:space="preserve">přínosy. </w:t>
      </w:r>
      <w:r w:rsidR="00F33BE1" w:rsidRPr="00F33BE1">
        <w:rPr>
          <w:rFonts w:cstheme="minorHAnsi"/>
          <w:sz w:val="24"/>
          <w:szCs w:val="24"/>
        </w:rPr>
        <w:t>MMR</w:t>
      </w:r>
      <w:r w:rsidR="005F73E9">
        <w:rPr>
          <w:rFonts w:cstheme="minorHAnsi"/>
          <w:sz w:val="24"/>
          <w:szCs w:val="24"/>
        </w:rPr>
        <w:t xml:space="preserve"> </w:t>
      </w:r>
      <w:r w:rsidR="008802D3">
        <w:rPr>
          <w:rFonts w:cstheme="minorHAnsi"/>
          <w:sz w:val="24"/>
          <w:szCs w:val="24"/>
        </w:rPr>
        <w:t xml:space="preserve">však </w:t>
      </w:r>
      <w:r w:rsidR="00F33BE1" w:rsidRPr="00F33BE1">
        <w:rPr>
          <w:rFonts w:cstheme="minorHAnsi"/>
          <w:sz w:val="24"/>
          <w:szCs w:val="24"/>
        </w:rPr>
        <w:t xml:space="preserve">stanovilo pro sledování cílů obou podprogramů </w:t>
      </w:r>
      <w:r w:rsidR="00187913">
        <w:rPr>
          <w:rFonts w:cstheme="minorHAnsi"/>
          <w:sz w:val="24"/>
          <w:szCs w:val="24"/>
        </w:rPr>
        <w:t xml:space="preserve">NPPCRR </w:t>
      </w:r>
      <w:r w:rsidR="00F33BE1" w:rsidRPr="00F33BE1">
        <w:rPr>
          <w:rFonts w:cstheme="minorHAnsi"/>
          <w:sz w:val="24"/>
          <w:szCs w:val="24"/>
        </w:rPr>
        <w:t xml:space="preserve">pouze výstupové </w:t>
      </w:r>
      <w:r w:rsidR="00F67BF9">
        <w:rPr>
          <w:rFonts w:cstheme="minorHAnsi"/>
          <w:sz w:val="24"/>
          <w:szCs w:val="24"/>
        </w:rPr>
        <w:t>parametry</w:t>
      </w:r>
      <w:r w:rsidR="00F33BE1" w:rsidRPr="00F33BE1">
        <w:rPr>
          <w:rFonts w:cstheme="minorHAnsi"/>
          <w:sz w:val="24"/>
          <w:szCs w:val="24"/>
        </w:rPr>
        <w:t>, které</w:t>
      </w:r>
      <w:r w:rsidR="005F73E9">
        <w:rPr>
          <w:rFonts w:cstheme="minorHAnsi"/>
          <w:sz w:val="24"/>
          <w:szCs w:val="24"/>
        </w:rPr>
        <w:t xml:space="preserve"> </w:t>
      </w:r>
      <w:r w:rsidR="00F33BE1" w:rsidRPr="00F33BE1">
        <w:rPr>
          <w:rFonts w:cstheme="minorHAnsi"/>
          <w:sz w:val="24"/>
          <w:szCs w:val="24"/>
        </w:rPr>
        <w:t>popisují výhradně činnosti projektů</w:t>
      </w:r>
      <w:r w:rsidR="00C610D9">
        <w:rPr>
          <w:rFonts w:cstheme="minorHAnsi"/>
          <w:sz w:val="24"/>
          <w:szCs w:val="24"/>
        </w:rPr>
        <w:t xml:space="preserve"> (například: </w:t>
      </w:r>
      <w:r w:rsidR="00172704" w:rsidRPr="006149BE">
        <w:rPr>
          <w:rFonts w:cstheme="minorHAnsi"/>
          <w:i/>
          <w:sz w:val="24"/>
          <w:szCs w:val="24"/>
        </w:rPr>
        <w:t xml:space="preserve">počet podpořených prvků doprovodné infrastruktury </w:t>
      </w:r>
      <w:r w:rsidR="00A4689A">
        <w:rPr>
          <w:rFonts w:cstheme="minorHAnsi"/>
          <w:i/>
          <w:sz w:val="24"/>
          <w:szCs w:val="24"/>
        </w:rPr>
        <w:t>cestovního ruchu</w:t>
      </w:r>
      <w:r w:rsidR="00172704" w:rsidRPr="006149BE">
        <w:rPr>
          <w:rFonts w:cstheme="minorHAnsi"/>
          <w:i/>
          <w:sz w:val="24"/>
          <w:szCs w:val="24"/>
        </w:rPr>
        <w:t xml:space="preserve"> – min. 80 prvků</w:t>
      </w:r>
      <w:r w:rsidR="00172704">
        <w:rPr>
          <w:rFonts w:cstheme="minorHAnsi"/>
          <w:sz w:val="24"/>
          <w:szCs w:val="24"/>
        </w:rPr>
        <w:t>)</w:t>
      </w:r>
      <w:r w:rsidR="00F33BE1" w:rsidRPr="00F33BE1">
        <w:rPr>
          <w:rFonts w:cstheme="minorHAnsi"/>
          <w:sz w:val="24"/>
          <w:szCs w:val="24"/>
        </w:rPr>
        <w:t xml:space="preserve"> či výstupy jednotlivých akcí</w:t>
      </w:r>
      <w:r w:rsidR="00C610D9">
        <w:rPr>
          <w:rFonts w:cstheme="minorHAnsi"/>
          <w:sz w:val="24"/>
          <w:szCs w:val="24"/>
        </w:rPr>
        <w:t xml:space="preserve"> (například </w:t>
      </w:r>
      <w:r w:rsidR="007D1EF6">
        <w:rPr>
          <w:rFonts w:cstheme="minorHAnsi"/>
          <w:i/>
          <w:sz w:val="24"/>
          <w:szCs w:val="24"/>
        </w:rPr>
        <w:t>p</w:t>
      </w:r>
      <w:r w:rsidR="008E40AB" w:rsidRPr="008E40AB">
        <w:rPr>
          <w:rFonts w:cstheme="minorHAnsi"/>
          <w:i/>
          <w:sz w:val="24"/>
          <w:szCs w:val="24"/>
        </w:rPr>
        <w:t>očet akcí monitorovaných elektronickými sčítači – min. 30 akcí</w:t>
      </w:r>
      <w:r w:rsidR="00C610D9">
        <w:rPr>
          <w:rFonts w:cstheme="minorHAnsi"/>
          <w:sz w:val="24"/>
          <w:szCs w:val="24"/>
        </w:rPr>
        <w:t>)</w:t>
      </w:r>
      <w:r w:rsidR="00F33BE1" w:rsidRPr="00F33BE1">
        <w:rPr>
          <w:rFonts w:cstheme="minorHAnsi"/>
          <w:sz w:val="24"/>
          <w:szCs w:val="24"/>
        </w:rPr>
        <w:t xml:space="preserve">. </w:t>
      </w:r>
      <w:r w:rsidR="00452BEA">
        <w:rPr>
          <w:rFonts w:cstheme="minorHAnsi"/>
          <w:sz w:val="24"/>
          <w:szCs w:val="24"/>
        </w:rPr>
        <w:t>Takovéto parametry však n</w:t>
      </w:r>
      <w:r w:rsidR="00452BEA" w:rsidRPr="00F33BE1">
        <w:rPr>
          <w:rFonts w:cstheme="minorHAnsi"/>
          <w:sz w:val="24"/>
          <w:szCs w:val="24"/>
        </w:rPr>
        <w:t>epopisují</w:t>
      </w:r>
      <w:r w:rsidR="00452BEA">
        <w:rPr>
          <w:rFonts w:cstheme="minorHAnsi"/>
          <w:sz w:val="24"/>
          <w:szCs w:val="24"/>
        </w:rPr>
        <w:t xml:space="preserve"> </w:t>
      </w:r>
      <w:r w:rsidR="00F33BE1" w:rsidRPr="00F33BE1">
        <w:rPr>
          <w:rFonts w:cstheme="minorHAnsi"/>
          <w:sz w:val="24"/>
          <w:szCs w:val="24"/>
        </w:rPr>
        <w:t>a nemohou měřit výsledek dotace</w:t>
      </w:r>
      <w:r w:rsidR="005F73E9">
        <w:rPr>
          <w:rFonts w:cstheme="minorHAnsi"/>
          <w:sz w:val="24"/>
          <w:szCs w:val="24"/>
        </w:rPr>
        <w:t>,</w:t>
      </w:r>
      <w:r w:rsidR="00F33BE1" w:rsidRPr="00F33BE1">
        <w:rPr>
          <w:rFonts w:cstheme="minorHAnsi"/>
          <w:sz w:val="24"/>
          <w:szCs w:val="24"/>
        </w:rPr>
        <w:t xml:space="preserve"> a sloužit </w:t>
      </w:r>
      <w:r w:rsidR="00452BEA">
        <w:rPr>
          <w:rFonts w:cstheme="minorHAnsi"/>
          <w:sz w:val="24"/>
          <w:szCs w:val="24"/>
        </w:rPr>
        <w:t xml:space="preserve">tak </w:t>
      </w:r>
      <w:r w:rsidR="00F33BE1" w:rsidRPr="00F33BE1">
        <w:rPr>
          <w:rFonts w:cstheme="minorHAnsi"/>
          <w:sz w:val="24"/>
          <w:szCs w:val="24"/>
        </w:rPr>
        <w:t>pro řízení programu po</w:t>
      </w:r>
      <w:r w:rsidR="0037793E">
        <w:rPr>
          <w:rFonts w:cstheme="minorHAnsi"/>
          <w:sz w:val="24"/>
          <w:szCs w:val="24"/>
        </w:rPr>
        <w:t> </w:t>
      </w:r>
      <w:r w:rsidR="00F33BE1" w:rsidRPr="00F33BE1">
        <w:rPr>
          <w:rFonts w:cstheme="minorHAnsi"/>
          <w:sz w:val="24"/>
          <w:szCs w:val="24"/>
        </w:rPr>
        <w:t>celou dobu jeho provádění</w:t>
      </w:r>
      <w:r w:rsidR="00452BEA">
        <w:rPr>
          <w:rFonts w:cstheme="minorHAnsi"/>
          <w:sz w:val="24"/>
          <w:szCs w:val="24"/>
        </w:rPr>
        <w:t>, neboť neumožňují</w:t>
      </w:r>
      <w:r w:rsidR="00F33BE1" w:rsidRPr="00F33BE1">
        <w:rPr>
          <w:rFonts w:cstheme="minorHAnsi"/>
          <w:sz w:val="24"/>
          <w:szCs w:val="24"/>
        </w:rPr>
        <w:t xml:space="preserve"> posoudit, zda bylo dosaženo zamýšlené dlouhodobější změny. Nastavené </w:t>
      </w:r>
      <w:r w:rsidR="00F67BF9">
        <w:rPr>
          <w:rFonts w:cstheme="minorHAnsi"/>
          <w:sz w:val="24"/>
          <w:szCs w:val="24"/>
        </w:rPr>
        <w:t>parametry</w:t>
      </w:r>
      <w:r w:rsidR="00F67BF9" w:rsidRPr="00F33BE1">
        <w:rPr>
          <w:rFonts w:cstheme="minorHAnsi"/>
          <w:sz w:val="24"/>
          <w:szCs w:val="24"/>
        </w:rPr>
        <w:t xml:space="preserve"> </w:t>
      </w:r>
      <w:r w:rsidR="00F33BE1" w:rsidRPr="00F33BE1">
        <w:rPr>
          <w:rFonts w:cstheme="minorHAnsi"/>
          <w:sz w:val="24"/>
          <w:szCs w:val="24"/>
        </w:rPr>
        <w:t>tak</w:t>
      </w:r>
      <w:r w:rsidR="00F67BF9">
        <w:rPr>
          <w:rFonts w:cstheme="minorHAnsi"/>
          <w:sz w:val="24"/>
          <w:szCs w:val="24"/>
        </w:rPr>
        <w:t>é</w:t>
      </w:r>
      <w:r w:rsidR="00F33BE1" w:rsidRPr="00F33BE1">
        <w:rPr>
          <w:rFonts w:cstheme="minorHAnsi"/>
          <w:sz w:val="24"/>
          <w:szCs w:val="24"/>
        </w:rPr>
        <w:t xml:space="preserve"> </w:t>
      </w:r>
      <w:r w:rsidR="00F67BF9">
        <w:rPr>
          <w:rFonts w:cstheme="minorHAnsi"/>
          <w:sz w:val="24"/>
          <w:szCs w:val="24"/>
        </w:rPr>
        <w:t xml:space="preserve">mj. nemohou nijak měřit </w:t>
      </w:r>
      <w:r w:rsidR="00F33BE1" w:rsidRPr="00F33BE1">
        <w:rPr>
          <w:rFonts w:cstheme="minorHAnsi"/>
          <w:sz w:val="24"/>
          <w:szCs w:val="24"/>
        </w:rPr>
        <w:t xml:space="preserve">přínosy </w:t>
      </w:r>
      <w:r w:rsidR="0037793E">
        <w:rPr>
          <w:rFonts w:cstheme="minorHAnsi"/>
          <w:sz w:val="24"/>
          <w:szCs w:val="24"/>
        </w:rPr>
        <w:t>NPPCRR</w:t>
      </w:r>
      <w:r w:rsidR="00F33BE1" w:rsidRPr="00F33BE1">
        <w:rPr>
          <w:rFonts w:cstheme="minorHAnsi"/>
          <w:sz w:val="24"/>
          <w:szCs w:val="24"/>
        </w:rPr>
        <w:t xml:space="preserve"> pro </w:t>
      </w:r>
      <w:r w:rsidR="0037793E">
        <w:rPr>
          <w:rFonts w:cstheme="minorHAnsi"/>
          <w:sz w:val="24"/>
          <w:szCs w:val="24"/>
        </w:rPr>
        <w:t>cestovní ruch</w:t>
      </w:r>
      <w:r w:rsidR="00F33BE1" w:rsidRPr="00F33BE1">
        <w:rPr>
          <w:rFonts w:cstheme="minorHAnsi"/>
          <w:sz w:val="24"/>
          <w:szCs w:val="24"/>
        </w:rPr>
        <w:t xml:space="preserve"> jako celek. </w:t>
      </w:r>
    </w:p>
    <w:p w14:paraId="1967DADE" w14:textId="059C8213" w:rsidR="00665FF4" w:rsidRDefault="00BE5BB2" w:rsidP="00317AAC">
      <w:pPr>
        <w:spacing w:after="120" w:line="240" w:lineRule="auto"/>
        <w:jc w:val="both"/>
        <w:rPr>
          <w:rFonts w:cstheme="minorHAnsi"/>
          <w:sz w:val="24"/>
          <w:szCs w:val="24"/>
        </w:rPr>
      </w:pPr>
      <w:r>
        <w:rPr>
          <w:rFonts w:cstheme="minorHAnsi"/>
          <w:sz w:val="24"/>
          <w:szCs w:val="24"/>
        </w:rPr>
        <w:t>P</w:t>
      </w:r>
      <w:r w:rsidR="007F26BE">
        <w:rPr>
          <w:rFonts w:cstheme="minorHAnsi"/>
          <w:sz w:val="24"/>
          <w:szCs w:val="24"/>
        </w:rPr>
        <w:t>rostou</w:t>
      </w:r>
      <w:r w:rsidR="00CF51AE" w:rsidRPr="00CF51AE">
        <w:rPr>
          <w:rFonts w:cstheme="minorHAnsi"/>
          <w:sz w:val="24"/>
          <w:szCs w:val="24"/>
        </w:rPr>
        <w:t xml:space="preserve"> kontrolou výdajů vzniklých v projektech </w:t>
      </w:r>
      <w:r w:rsidR="00A14312">
        <w:rPr>
          <w:rFonts w:cstheme="minorHAnsi"/>
          <w:sz w:val="24"/>
          <w:szCs w:val="24"/>
        </w:rPr>
        <w:t>nemůže MMR</w:t>
      </w:r>
      <w:r w:rsidR="00CF51AE" w:rsidRPr="00CF51AE">
        <w:rPr>
          <w:rFonts w:cstheme="minorHAnsi"/>
          <w:sz w:val="24"/>
          <w:szCs w:val="24"/>
        </w:rPr>
        <w:t xml:space="preserve"> učinit závěr, zda realizace </w:t>
      </w:r>
      <w:r w:rsidR="007F26BE">
        <w:rPr>
          <w:rFonts w:cstheme="minorHAnsi"/>
          <w:sz w:val="24"/>
          <w:szCs w:val="24"/>
        </w:rPr>
        <w:t>NPPCRR</w:t>
      </w:r>
      <w:r w:rsidR="00CF51AE" w:rsidRPr="00CF51AE">
        <w:rPr>
          <w:rFonts w:cstheme="minorHAnsi"/>
          <w:sz w:val="24"/>
          <w:szCs w:val="24"/>
        </w:rPr>
        <w:t>, v </w:t>
      </w:r>
      <w:r w:rsidR="005F73E9">
        <w:rPr>
          <w:rFonts w:cstheme="minorHAnsi"/>
          <w:sz w:val="24"/>
          <w:szCs w:val="24"/>
        </w:rPr>
        <w:t xml:space="preserve">jehož </w:t>
      </w:r>
      <w:r w:rsidR="00CF51AE" w:rsidRPr="00CF51AE">
        <w:rPr>
          <w:rFonts w:cstheme="minorHAnsi"/>
          <w:sz w:val="24"/>
          <w:szCs w:val="24"/>
        </w:rPr>
        <w:t xml:space="preserve">rámci byly </w:t>
      </w:r>
      <w:r w:rsidR="007F26BE">
        <w:rPr>
          <w:rFonts w:cstheme="minorHAnsi"/>
          <w:sz w:val="24"/>
          <w:szCs w:val="24"/>
        </w:rPr>
        <w:t xml:space="preserve">výdaje </w:t>
      </w:r>
      <w:r w:rsidR="00CF51AE" w:rsidRPr="00CF51AE">
        <w:rPr>
          <w:rFonts w:cstheme="minorHAnsi"/>
          <w:sz w:val="24"/>
          <w:szCs w:val="24"/>
        </w:rPr>
        <w:t xml:space="preserve">vynaloženy, je také </w:t>
      </w:r>
      <w:r w:rsidR="007F26BE" w:rsidRPr="00CF51AE">
        <w:rPr>
          <w:rFonts w:cstheme="minorHAnsi"/>
          <w:sz w:val="24"/>
          <w:szCs w:val="24"/>
        </w:rPr>
        <w:t>účelná</w:t>
      </w:r>
      <w:r w:rsidR="007F26BE">
        <w:rPr>
          <w:rFonts w:cstheme="minorHAnsi"/>
          <w:sz w:val="24"/>
          <w:szCs w:val="24"/>
        </w:rPr>
        <w:t xml:space="preserve">, </w:t>
      </w:r>
      <w:r w:rsidR="007F26BE" w:rsidRPr="00CF51AE">
        <w:rPr>
          <w:rFonts w:cstheme="minorHAnsi"/>
          <w:sz w:val="24"/>
          <w:szCs w:val="24"/>
        </w:rPr>
        <w:t xml:space="preserve">efektivní a </w:t>
      </w:r>
      <w:r w:rsidR="00CF51AE" w:rsidRPr="00CF51AE">
        <w:rPr>
          <w:rFonts w:cstheme="minorHAnsi"/>
          <w:sz w:val="24"/>
          <w:szCs w:val="24"/>
        </w:rPr>
        <w:t xml:space="preserve">hospodárná. </w:t>
      </w:r>
      <w:r w:rsidR="000C1722">
        <w:rPr>
          <w:rFonts w:cstheme="minorHAnsi"/>
          <w:sz w:val="24"/>
          <w:szCs w:val="24"/>
        </w:rPr>
        <w:t xml:space="preserve">Tím, že MMR </w:t>
      </w:r>
      <w:r w:rsidR="005E0F4A" w:rsidRPr="00CF51AE">
        <w:rPr>
          <w:rFonts w:cstheme="minorHAnsi"/>
          <w:sz w:val="24"/>
          <w:szCs w:val="24"/>
        </w:rPr>
        <w:t>nedostatečně stanovil</w:t>
      </w:r>
      <w:r w:rsidR="000C1722">
        <w:rPr>
          <w:rFonts w:cstheme="minorHAnsi"/>
          <w:sz w:val="24"/>
          <w:szCs w:val="24"/>
        </w:rPr>
        <w:t>o</w:t>
      </w:r>
      <w:r w:rsidR="005E0F4A" w:rsidRPr="00CF51AE">
        <w:rPr>
          <w:rFonts w:cstheme="minorHAnsi"/>
          <w:sz w:val="24"/>
          <w:szCs w:val="24"/>
        </w:rPr>
        <w:t xml:space="preserve">, čeho chce dlouhodobě </w:t>
      </w:r>
      <w:r w:rsidR="00180A75">
        <w:rPr>
          <w:rFonts w:cstheme="minorHAnsi"/>
          <w:sz w:val="24"/>
          <w:szCs w:val="24"/>
        </w:rPr>
        <w:t xml:space="preserve">NPPCRR </w:t>
      </w:r>
      <w:r w:rsidR="005E0F4A" w:rsidRPr="00CF51AE">
        <w:rPr>
          <w:rFonts w:cstheme="minorHAnsi"/>
          <w:sz w:val="24"/>
          <w:szCs w:val="24"/>
        </w:rPr>
        <w:t>dosáhnout</w:t>
      </w:r>
      <w:r w:rsidR="005E0F4A">
        <w:rPr>
          <w:rFonts w:cstheme="minorHAnsi"/>
          <w:sz w:val="24"/>
          <w:szCs w:val="24"/>
        </w:rPr>
        <w:t>,</w:t>
      </w:r>
      <w:r w:rsidR="005E0F4A" w:rsidRPr="005E0F4A">
        <w:rPr>
          <w:rFonts w:cstheme="minorHAnsi"/>
          <w:sz w:val="24"/>
          <w:szCs w:val="24"/>
        </w:rPr>
        <w:t xml:space="preserve"> </w:t>
      </w:r>
      <w:r w:rsidR="000C1722">
        <w:rPr>
          <w:rFonts w:cstheme="minorHAnsi"/>
          <w:sz w:val="24"/>
          <w:szCs w:val="24"/>
        </w:rPr>
        <w:t xml:space="preserve">nesplnilo </w:t>
      </w:r>
      <w:r w:rsidR="00F67BF9">
        <w:rPr>
          <w:rFonts w:cstheme="minorHAnsi"/>
          <w:sz w:val="24"/>
          <w:szCs w:val="24"/>
        </w:rPr>
        <w:t xml:space="preserve">povinnosti </w:t>
      </w:r>
      <w:r w:rsidR="000C1722">
        <w:rPr>
          <w:rFonts w:cstheme="minorHAnsi"/>
          <w:sz w:val="24"/>
          <w:szCs w:val="24"/>
        </w:rPr>
        <w:t xml:space="preserve">uvedené v </w:t>
      </w:r>
      <w:r w:rsidR="005E0F4A" w:rsidRPr="00CF51AE">
        <w:rPr>
          <w:rFonts w:cstheme="minorHAnsi"/>
          <w:sz w:val="24"/>
          <w:szCs w:val="24"/>
        </w:rPr>
        <w:t>ustanovení § 39 odst. 3 zákona č. 218/2000 Sb.</w:t>
      </w:r>
      <w:r w:rsidR="00895F06">
        <w:rPr>
          <w:rStyle w:val="Znakapoznpodarou"/>
          <w:rFonts w:cstheme="minorHAnsi"/>
          <w:sz w:val="24"/>
          <w:szCs w:val="24"/>
        </w:rPr>
        <w:footnoteReference w:id="14"/>
      </w:r>
      <w:r w:rsidR="00452BEA">
        <w:rPr>
          <w:rFonts w:ascii="Calibri" w:hAnsi="Calibri" w:cs="Calibri"/>
          <w:sz w:val="24"/>
          <w:szCs w:val="24"/>
        </w:rPr>
        <w:t xml:space="preserve">, který </w:t>
      </w:r>
      <w:r w:rsidR="000C1722">
        <w:rPr>
          <w:rFonts w:ascii="Calibri" w:hAnsi="Calibri" w:cs="Calibri"/>
          <w:sz w:val="24"/>
          <w:szCs w:val="24"/>
        </w:rPr>
        <w:t>MMR</w:t>
      </w:r>
      <w:r w:rsidR="00452BEA">
        <w:rPr>
          <w:rFonts w:ascii="Calibri" w:hAnsi="Calibri" w:cs="Calibri"/>
          <w:sz w:val="24"/>
          <w:szCs w:val="24"/>
        </w:rPr>
        <w:t xml:space="preserve"> nařizuje </w:t>
      </w:r>
      <w:r w:rsidR="00665FF4" w:rsidRPr="00BB26AE">
        <w:rPr>
          <w:rFonts w:cstheme="minorHAnsi"/>
          <w:sz w:val="24"/>
          <w:szCs w:val="24"/>
        </w:rPr>
        <w:t xml:space="preserve">soustavně </w:t>
      </w:r>
      <w:r w:rsidR="00DC350B">
        <w:rPr>
          <w:rFonts w:cstheme="minorHAnsi"/>
          <w:sz w:val="24"/>
          <w:szCs w:val="24"/>
        </w:rPr>
        <w:t>sledovat</w:t>
      </w:r>
      <w:r w:rsidR="00665FF4" w:rsidRPr="00BB26AE">
        <w:rPr>
          <w:rFonts w:cstheme="minorHAnsi"/>
          <w:sz w:val="24"/>
          <w:szCs w:val="24"/>
        </w:rPr>
        <w:t xml:space="preserve"> a vyhodnoc</w:t>
      </w:r>
      <w:r w:rsidR="00DC350B">
        <w:rPr>
          <w:rFonts w:cstheme="minorHAnsi"/>
          <w:sz w:val="24"/>
          <w:szCs w:val="24"/>
        </w:rPr>
        <w:t>ovat</w:t>
      </w:r>
      <w:r w:rsidR="00665FF4" w:rsidRPr="00BB26AE">
        <w:rPr>
          <w:rFonts w:cstheme="minorHAnsi"/>
          <w:sz w:val="24"/>
          <w:szCs w:val="24"/>
        </w:rPr>
        <w:t xml:space="preserve"> hospodárnost, efektivnost a účelnost vynakládání výdajů ve své kapitole</w:t>
      </w:r>
      <w:r w:rsidR="00DC350B">
        <w:rPr>
          <w:rFonts w:cstheme="minorHAnsi"/>
          <w:sz w:val="24"/>
          <w:szCs w:val="24"/>
        </w:rPr>
        <w:t>.</w:t>
      </w:r>
    </w:p>
    <w:p w14:paraId="32FCCD8B" w14:textId="516E881D" w:rsidR="00575448" w:rsidRPr="00575448" w:rsidRDefault="00575448" w:rsidP="00317AAC">
      <w:pPr>
        <w:spacing w:after="120" w:line="240" w:lineRule="auto"/>
        <w:jc w:val="both"/>
        <w:rPr>
          <w:rFonts w:cstheme="minorHAnsi"/>
          <w:sz w:val="24"/>
          <w:szCs w:val="24"/>
        </w:rPr>
      </w:pPr>
      <w:r>
        <w:rPr>
          <w:rFonts w:cstheme="minorHAnsi"/>
          <w:sz w:val="24"/>
          <w:szCs w:val="24"/>
        </w:rPr>
        <w:t xml:space="preserve">MMR prodloužilo </w:t>
      </w:r>
      <w:r w:rsidRPr="00575448">
        <w:rPr>
          <w:rFonts w:cstheme="minorHAnsi"/>
          <w:sz w:val="24"/>
          <w:szCs w:val="24"/>
        </w:rPr>
        <w:t>realizac</w:t>
      </w:r>
      <w:r>
        <w:rPr>
          <w:rFonts w:cstheme="minorHAnsi"/>
          <w:sz w:val="24"/>
          <w:szCs w:val="24"/>
        </w:rPr>
        <w:t>i</w:t>
      </w:r>
      <w:r w:rsidRPr="00575448">
        <w:rPr>
          <w:rFonts w:cstheme="minorHAnsi"/>
          <w:sz w:val="24"/>
          <w:szCs w:val="24"/>
        </w:rPr>
        <w:t xml:space="preserve"> </w:t>
      </w:r>
      <w:r w:rsidR="00F67BF9">
        <w:rPr>
          <w:rFonts w:cstheme="minorHAnsi"/>
          <w:sz w:val="24"/>
          <w:szCs w:val="24"/>
        </w:rPr>
        <w:t>NPPCRR</w:t>
      </w:r>
      <w:r w:rsidR="00F67BF9" w:rsidRPr="00575448">
        <w:rPr>
          <w:rFonts w:cstheme="minorHAnsi"/>
          <w:sz w:val="24"/>
          <w:szCs w:val="24"/>
        </w:rPr>
        <w:t xml:space="preserve"> </w:t>
      </w:r>
      <w:r w:rsidRPr="00575448">
        <w:rPr>
          <w:rFonts w:cstheme="minorHAnsi"/>
          <w:sz w:val="24"/>
          <w:szCs w:val="24"/>
        </w:rPr>
        <w:t>do 31. 12. 2023</w:t>
      </w:r>
      <w:r w:rsidR="005768A8">
        <w:rPr>
          <w:rFonts w:cstheme="minorHAnsi"/>
          <w:sz w:val="24"/>
          <w:szCs w:val="24"/>
        </w:rPr>
        <w:t xml:space="preserve">, kdy </w:t>
      </w:r>
      <w:r w:rsidRPr="00575448">
        <w:rPr>
          <w:rFonts w:cstheme="minorHAnsi"/>
          <w:sz w:val="24"/>
          <w:szCs w:val="24"/>
        </w:rPr>
        <w:t xml:space="preserve">termín předložení závěrečného vyhodnocení celého programu </w:t>
      </w:r>
      <w:r w:rsidR="000D5A75">
        <w:rPr>
          <w:rFonts w:cstheme="minorHAnsi"/>
          <w:sz w:val="24"/>
          <w:szCs w:val="24"/>
        </w:rPr>
        <w:t>je stanoven na</w:t>
      </w:r>
      <w:r w:rsidR="000D5A75" w:rsidRPr="00575448">
        <w:rPr>
          <w:rFonts w:cstheme="minorHAnsi"/>
          <w:sz w:val="24"/>
          <w:szCs w:val="24"/>
        </w:rPr>
        <w:t xml:space="preserve"> </w:t>
      </w:r>
      <w:r w:rsidRPr="00575448">
        <w:rPr>
          <w:rFonts w:cstheme="minorHAnsi"/>
          <w:sz w:val="24"/>
          <w:szCs w:val="24"/>
        </w:rPr>
        <w:t>31. 12. 2025.</w:t>
      </w:r>
      <w:r w:rsidR="005768A8">
        <w:rPr>
          <w:rFonts w:cstheme="minorHAnsi"/>
          <w:sz w:val="24"/>
          <w:szCs w:val="24"/>
        </w:rPr>
        <w:t xml:space="preserve"> V rámci tohoto prodloužení MMR nenavýšilo alokaci </w:t>
      </w:r>
      <w:r w:rsidR="000D5A75">
        <w:rPr>
          <w:rFonts w:cstheme="minorHAnsi"/>
          <w:sz w:val="24"/>
          <w:szCs w:val="24"/>
        </w:rPr>
        <w:t>NPPCRR</w:t>
      </w:r>
      <w:r w:rsidR="005768A8">
        <w:rPr>
          <w:rFonts w:cstheme="minorHAnsi"/>
          <w:sz w:val="24"/>
          <w:szCs w:val="24"/>
        </w:rPr>
        <w:t xml:space="preserve">. </w:t>
      </w:r>
      <w:r w:rsidR="005768A8" w:rsidRPr="005768A8">
        <w:rPr>
          <w:rFonts w:cstheme="minorHAnsi"/>
          <w:sz w:val="24"/>
          <w:szCs w:val="24"/>
        </w:rPr>
        <w:t xml:space="preserve">I přes </w:t>
      </w:r>
      <w:r w:rsidR="000D5A75">
        <w:rPr>
          <w:rFonts w:cstheme="minorHAnsi"/>
          <w:sz w:val="24"/>
          <w:szCs w:val="24"/>
        </w:rPr>
        <w:t xml:space="preserve">jeho </w:t>
      </w:r>
      <w:r w:rsidR="005768A8" w:rsidRPr="005768A8">
        <w:rPr>
          <w:rFonts w:cstheme="minorHAnsi"/>
          <w:sz w:val="24"/>
          <w:szCs w:val="24"/>
        </w:rPr>
        <w:t xml:space="preserve">prodloužení </w:t>
      </w:r>
      <w:r w:rsidR="000D5A75">
        <w:rPr>
          <w:rFonts w:cstheme="minorHAnsi"/>
          <w:sz w:val="24"/>
          <w:szCs w:val="24"/>
        </w:rPr>
        <w:t xml:space="preserve">a rozličnou dosavadní míru jejich plnění </w:t>
      </w:r>
      <w:r w:rsidR="005768A8" w:rsidRPr="005768A8">
        <w:rPr>
          <w:rFonts w:cstheme="minorHAnsi"/>
          <w:sz w:val="24"/>
          <w:szCs w:val="24"/>
        </w:rPr>
        <w:t xml:space="preserve">MMR </w:t>
      </w:r>
      <w:r w:rsidR="000D5A75">
        <w:rPr>
          <w:rFonts w:cstheme="minorHAnsi"/>
          <w:sz w:val="24"/>
          <w:szCs w:val="24"/>
        </w:rPr>
        <w:t xml:space="preserve">zároveň neprovedlo </w:t>
      </w:r>
      <w:r w:rsidR="005768A8" w:rsidRPr="005768A8">
        <w:rPr>
          <w:rFonts w:cstheme="minorHAnsi"/>
          <w:sz w:val="24"/>
          <w:szCs w:val="24"/>
        </w:rPr>
        <w:t>žádnou úpravu parametrů</w:t>
      </w:r>
      <w:r w:rsidR="00E80AB4">
        <w:rPr>
          <w:rFonts w:cstheme="minorHAnsi"/>
          <w:sz w:val="24"/>
          <w:szCs w:val="24"/>
        </w:rPr>
        <w:t>.</w:t>
      </w:r>
    </w:p>
    <w:p w14:paraId="2A5A090C" w14:textId="273E573A" w:rsidR="009A336B" w:rsidRDefault="00E769AD" w:rsidP="00DA7F60">
      <w:pPr>
        <w:spacing w:after="240" w:line="240" w:lineRule="auto"/>
        <w:jc w:val="both"/>
        <w:rPr>
          <w:rFonts w:cstheme="minorHAnsi"/>
          <w:sz w:val="24"/>
          <w:szCs w:val="24"/>
        </w:rPr>
      </w:pPr>
      <w:r w:rsidRPr="00574EB2">
        <w:rPr>
          <w:rFonts w:ascii="Calibri" w:hAnsi="Calibri" w:cs="Calibri"/>
          <w:sz w:val="24"/>
          <w:szCs w:val="24"/>
        </w:rPr>
        <w:t>S existencí NPPCRR počítá MMR i v následujícím období.</w:t>
      </w:r>
      <w:r>
        <w:rPr>
          <w:rFonts w:ascii="Calibri" w:hAnsi="Calibri" w:cs="Calibri"/>
          <w:sz w:val="24"/>
          <w:szCs w:val="24"/>
        </w:rPr>
        <w:t xml:space="preserve"> N</w:t>
      </w:r>
      <w:r w:rsidRPr="00780F96">
        <w:rPr>
          <w:rFonts w:cstheme="minorHAnsi"/>
          <w:sz w:val="24"/>
          <w:szCs w:val="24"/>
        </w:rPr>
        <w:t>ávrh</w:t>
      </w:r>
      <w:r w:rsidR="000103ED">
        <w:rPr>
          <w:rFonts w:cstheme="minorHAnsi"/>
          <w:sz w:val="24"/>
          <w:szCs w:val="24"/>
        </w:rPr>
        <w:t xml:space="preserve"> </w:t>
      </w:r>
      <w:r w:rsidRPr="00780F96">
        <w:rPr>
          <w:rFonts w:cstheme="minorHAnsi"/>
          <w:sz w:val="24"/>
          <w:szCs w:val="24"/>
        </w:rPr>
        <w:t xml:space="preserve">programu </w:t>
      </w:r>
      <w:r>
        <w:rPr>
          <w:rFonts w:cstheme="minorHAnsi"/>
          <w:sz w:val="24"/>
          <w:szCs w:val="24"/>
        </w:rPr>
        <w:t xml:space="preserve">opět </w:t>
      </w:r>
      <w:r w:rsidRPr="00780F96">
        <w:rPr>
          <w:rFonts w:cstheme="minorHAnsi"/>
          <w:sz w:val="24"/>
          <w:szCs w:val="24"/>
        </w:rPr>
        <w:t xml:space="preserve">obsahuje pouze parametry výstupů a neobsahuje </w:t>
      </w:r>
      <w:r w:rsidR="00FC6417">
        <w:rPr>
          <w:rFonts w:cstheme="minorHAnsi"/>
          <w:sz w:val="24"/>
          <w:szCs w:val="24"/>
        </w:rPr>
        <w:t>ani jeden</w:t>
      </w:r>
      <w:r w:rsidRPr="00780F96">
        <w:rPr>
          <w:rFonts w:cstheme="minorHAnsi"/>
          <w:sz w:val="24"/>
          <w:szCs w:val="24"/>
        </w:rPr>
        <w:t xml:space="preserve"> výsledkový/dopadový indikátor, ke</w:t>
      </w:r>
      <w:r w:rsidR="000103ED">
        <w:rPr>
          <w:rFonts w:cstheme="minorHAnsi"/>
          <w:sz w:val="24"/>
          <w:szCs w:val="24"/>
        </w:rPr>
        <w:t xml:space="preserve"> </w:t>
      </w:r>
      <w:r w:rsidRPr="00780F96">
        <w:rPr>
          <w:rFonts w:cstheme="minorHAnsi"/>
          <w:sz w:val="24"/>
          <w:szCs w:val="24"/>
        </w:rPr>
        <w:t>kterému by</w:t>
      </w:r>
      <w:r w:rsidR="000103ED">
        <w:rPr>
          <w:rFonts w:cstheme="minorHAnsi"/>
          <w:sz w:val="24"/>
          <w:szCs w:val="24"/>
        </w:rPr>
        <w:t xml:space="preserve"> </w:t>
      </w:r>
      <w:r w:rsidRPr="00780F96">
        <w:rPr>
          <w:rFonts w:cstheme="minorHAnsi"/>
          <w:sz w:val="24"/>
          <w:szCs w:val="24"/>
        </w:rPr>
        <w:t>realizace programu měla směřovat. Absence</w:t>
      </w:r>
      <w:r w:rsidR="000103ED">
        <w:rPr>
          <w:rFonts w:cstheme="minorHAnsi"/>
          <w:sz w:val="24"/>
          <w:szCs w:val="24"/>
        </w:rPr>
        <w:t xml:space="preserve"> </w:t>
      </w:r>
      <w:r w:rsidRPr="00780F96">
        <w:rPr>
          <w:rFonts w:cstheme="minorHAnsi"/>
          <w:sz w:val="24"/>
          <w:szCs w:val="24"/>
        </w:rPr>
        <w:t xml:space="preserve">dlouhodobějšího přesahu za rámec realizace projektů (tzn. zachycení pouze výstupů) </w:t>
      </w:r>
      <w:r w:rsidR="007352A7">
        <w:rPr>
          <w:rFonts w:cstheme="minorHAnsi"/>
          <w:sz w:val="24"/>
          <w:szCs w:val="24"/>
        </w:rPr>
        <w:t>povede</w:t>
      </w:r>
      <w:r w:rsidRPr="00780F96">
        <w:rPr>
          <w:rFonts w:cstheme="minorHAnsi"/>
          <w:sz w:val="24"/>
          <w:szCs w:val="24"/>
        </w:rPr>
        <w:t xml:space="preserve"> ke stejným vyhodnocením, jaká NKÚ učinil ve</w:t>
      </w:r>
      <w:r w:rsidR="000103ED">
        <w:rPr>
          <w:rFonts w:cstheme="minorHAnsi"/>
          <w:sz w:val="24"/>
          <w:szCs w:val="24"/>
        </w:rPr>
        <w:t xml:space="preserve"> </w:t>
      </w:r>
      <w:r w:rsidRPr="00780F96">
        <w:rPr>
          <w:rFonts w:cstheme="minorHAnsi"/>
          <w:sz w:val="24"/>
          <w:szCs w:val="24"/>
        </w:rPr>
        <w:t>vztahu k</w:t>
      </w:r>
      <w:r w:rsidR="00452BEA">
        <w:rPr>
          <w:rFonts w:cstheme="minorHAnsi"/>
          <w:sz w:val="24"/>
          <w:szCs w:val="24"/>
        </w:rPr>
        <w:t>e kontrolovanému</w:t>
      </w:r>
      <w:r w:rsidR="000103ED">
        <w:rPr>
          <w:rFonts w:cstheme="minorHAnsi"/>
          <w:sz w:val="24"/>
          <w:szCs w:val="24"/>
        </w:rPr>
        <w:t xml:space="preserve"> </w:t>
      </w:r>
      <w:r w:rsidRPr="00780F96">
        <w:rPr>
          <w:rFonts w:cstheme="minorHAnsi"/>
          <w:sz w:val="24"/>
          <w:szCs w:val="24"/>
        </w:rPr>
        <w:t>NPPCRR</w:t>
      </w:r>
      <w:r>
        <w:rPr>
          <w:rFonts w:cstheme="minorHAnsi"/>
          <w:sz w:val="24"/>
          <w:szCs w:val="24"/>
        </w:rPr>
        <w:t>.</w:t>
      </w:r>
    </w:p>
    <w:p w14:paraId="6E4FF324" w14:textId="40D60ED2" w:rsidR="00CA6354" w:rsidRPr="00273003" w:rsidRDefault="00CA6354" w:rsidP="00CA6354">
      <w:pPr>
        <w:pStyle w:val="JK4"/>
        <w:keepNext w:val="0"/>
        <w:numPr>
          <w:ilvl w:val="0"/>
          <w:numId w:val="0"/>
        </w:numPr>
        <w:spacing w:after="120"/>
        <w:ind w:left="284" w:hanging="284"/>
      </w:pPr>
      <w:r w:rsidRPr="00273003">
        <w:rPr>
          <w:b/>
          <w:bCs/>
          <w:i/>
          <w:color w:val="FF0000"/>
        </w:rPr>
        <w:t xml:space="preserve">→ </w:t>
      </w:r>
      <w:r w:rsidRPr="00273003">
        <w:rPr>
          <w:b/>
          <w:bCs/>
          <w:i/>
          <w:color w:val="FF0000"/>
        </w:rPr>
        <w:tab/>
      </w:r>
      <w:bookmarkStart w:id="10" w:name="_Hlk144203577"/>
      <w:r>
        <w:rPr>
          <w:b/>
          <w:bCs/>
          <w:i/>
          <w:color w:val="FF0000"/>
        </w:rPr>
        <w:t>NPPCRR nepřispěl ke snížení regionálních disparit.</w:t>
      </w:r>
    </w:p>
    <w:bookmarkEnd w:id="10"/>
    <w:p w14:paraId="3F24CDDD" w14:textId="6036C421" w:rsidR="00BA208E" w:rsidRDefault="004463B4" w:rsidP="004D18DE">
      <w:pPr>
        <w:pStyle w:val="JK4"/>
        <w:keepNext w:val="0"/>
        <w:numPr>
          <w:ilvl w:val="0"/>
          <w:numId w:val="0"/>
        </w:numPr>
        <w:tabs>
          <w:tab w:val="left" w:pos="426"/>
        </w:tabs>
      </w:pPr>
      <w:r w:rsidRPr="00826ED0">
        <w:t>MMR v</w:t>
      </w:r>
      <w:r w:rsidR="009E2AEE" w:rsidRPr="00826ED0">
        <w:t xml:space="preserve"> dokumentaci</w:t>
      </w:r>
      <w:r w:rsidRPr="00826ED0">
        <w:t xml:space="preserve"> NPPCRR</w:t>
      </w:r>
      <w:r w:rsidR="001529F1" w:rsidRPr="00826ED0">
        <w:t xml:space="preserve"> stanovilo, že </w:t>
      </w:r>
      <w:r w:rsidR="009E2AEE" w:rsidRPr="00826ED0">
        <w:t>jedním z cílů programu je teritoriální i časové rozprostření návštěvnosti.</w:t>
      </w:r>
      <w:r w:rsidR="001529F1" w:rsidRPr="00826ED0">
        <w:t xml:space="preserve"> Pro </w:t>
      </w:r>
      <w:r w:rsidR="00823B58" w:rsidRPr="00826ED0">
        <w:t>takto definovaný</w:t>
      </w:r>
      <w:r w:rsidR="001529F1" w:rsidRPr="00826ED0">
        <w:t xml:space="preserve"> cíl</w:t>
      </w:r>
      <w:r w:rsidR="00135876" w:rsidRPr="00826ED0">
        <w:t xml:space="preserve"> však</w:t>
      </w:r>
      <w:r w:rsidR="001529F1" w:rsidRPr="00826ED0">
        <w:t xml:space="preserve"> </w:t>
      </w:r>
      <w:r w:rsidR="00826ED0" w:rsidRPr="00826ED0">
        <w:t>MMR</w:t>
      </w:r>
      <w:r w:rsidR="001529F1" w:rsidRPr="00826ED0">
        <w:t xml:space="preserve"> nenastavilo žádné vhodné </w:t>
      </w:r>
      <w:r w:rsidR="00826ED0" w:rsidRPr="00826ED0">
        <w:t>parametry/</w:t>
      </w:r>
      <w:r w:rsidR="001529F1" w:rsidRPr="00826ED0">
        <w:t xml:space="preserve">indikátory, které by umožňovaly jeho </w:t>
      </w:r>
      <w:r w:rsidR="00A83340" w:rsidRPr="00826ED0">
        <w:t>měření,</w:t>
      </w:r>
      <w:r w:rsidR="00D00BF8" w:rsidRPr="00826ED0">
        <w:t xml:space="preserve"> a tudíž ani cílovou hodnotu, jejíž dosažení by</w:t>
      </w:r>
      <w:r w:rsidR="00492857" w:rsidRPr="00826ED0">
        <w:t xml:space="preserve"> </w:t>
      </w:r>
      <w:r w:rsidR="00D00BF8" w:rsidRPr="00826ED0">
        <w:t>považovalo za účelné vynaložení prostředků programu</w:t>
      </w:r>
      <w:r w:rsidR="001529F1" w:rsidRPr="00826ED0">
        <w:t>.</w:t>
      </w:r>
      <w:r w:rsidR="00823B58" w:rsidRPr="00826ED0">
        <w:t xml:space="preserve"> </w:t>
      </w:r>
      <w:r w:rsidR="00BA208E">
        <w:t>NKÚ zpracoval následující mapy</w:t>
      </w:r>
      <w:r w:rsidR="00856898">
        <w:t xml:space="preserve"> (</w:t>
      </w:r>
      <w:r w:rsidR="005F73E9">
        <w:t>viz o</w:t>
      </w:r>
      <w:r w:rsidR="00856898">
        <w:t xml:space="preserve">brázky č. 1 a </w:t>
      </w:r>
      <w:r w:rsidR="001E1579">
        <w:t>2)</w:t>
      </w:r>
      <w:r w:rsidR="00BA208E">
        <w:t xml:space="preserve"> demonstrující </w:t>
      </w:r>
      <w:r w:rsidR="00815B01">
        <w:t xml:space="preserve">geografické rozložení </w:t>
      </w:r>
      <w:r w:rsidR="00BA208E">
        <w:t>realizovaných projektů podpořených NPPCRR v letech 2017</w:t>
      </w:r>
      <w:r w:rsidR="00C16C5C">
        <w:t>–</w:t>
      </w:r>
      <w:r w:rsidR="00BA208E">
        <w:t>2022 v územním členění podle okresů, podle jednotlivých podprogramů.</w:t>
      </w:r>
    </w:p>
    <w:p w14:paraId="085B467B" w14:textId="1C49014A" w:rsidR="004D18DE" w:rsidRPr="004D18DE" w:rsidRDefault="004D18DE" w:rsidP="00DA7F60">
      <w:pPr>
        <w:keepNext/>
        <w:spacing w:before="120" w:after="40"/>
        <w:jc w:val="both"/>
        <w:rPr>
          <w:b/>
          <w:sz w:val="24"/>
          <w:szCs w:val="24"/>
        </w:rPr>
      </w:pPr>
      <w:r w:rsidRPr="004D18DE">
        <w:rPr>
          <w:b/>
          <w:sz w:val="24"/>
          <w:szCs w:val="24"/>
        </w:rPr>
        <w:t xml:space="preserve">Obrázek č. </w:t>
      </w:r>
      <w:r w:rsidRPr="004D18DE">
        <w:rPr>
          <w:b/>
          <w:sz w:val="24"/>
          <w:szCs w:val="24"/>
        </w:rPr>
        <w:fldChar w:fldCharType="begin"/>
      </w:r>
      <w:r w:rsidRPr="004D18DE">
        <w:rPr>
          <w:b/>
          <w:sz w:val="24"/>
          <w:szCs w:val="24"/>
        </w:rPr>
        <w:instrText xml:space="preserve"> SEQ Obrázek_č.: \* ARABIC </w:instrText>
      </w:r>
      <w:r w:rsidRPr="004D18DE">
        <w:rPr>
          <w:b/>
          <w:sz w:val="24"/>
          <w:szCs w:val="24"/>
        </w:rPr>
        <w:fldChar w:fldCharType="separate"/>
      </w:r>
      <w:r w:rsidR="00F8318C">
        <w:rPr>
          <w:b/>
          <w:noProof/>
          <w:sz w:val="24"/>
          <w:szCs w:val="24"/>
        </w:rPr>
        <w:t>1</w:t>
      </w:r>
      <w:r w:rsidRPr="004D18DE">
        <w:rPr>
          <w:b/>
          <w:sz w:val="24"/>
          <w:szCs w:val="24"/>
        </w:rPr>
        <w:fldChar w:fldCharType="end"/>
      </w:r>
      <w:r w:rsidRPr="004D18DE">
        <w:rPr>
          <w:b/>
          <w:sz w:val="24"/>
          <w:szCs w:val="24"/>
        </w:rPr>
        <w:t xml:space="preserve">: Počty realizovaných projektů podprogramu </w:t>
      </w:r>
      <w:r w:rsidRPr="006252C2">
        <w:rPr>
          <w:b/>
          <w:sz w:val="24"/>
          <w:szCs w:val="24"/>
        </w:rPr>
        <w:t>Rozvoj</w:t>
      </w:r>
      <w:r w:rsidRPr="00871D88">
        <w:rPr>
          <w:b/>
          <w:i/>
          <w:sz w:val="24"/>
          <w:szCs w:val="24"/>
        </w:rPr>
        <w:t xml:space="preserve"> </w:t>
      </w:r>
      <w:r w:rsidRPr="004D18DE">
        <w:rPr>
          <w:b/>
          <w:sz w:val="24"/>
          <w:szCs w:val="24"/>
        </w:rPr>
        <w:t>v jednotlivých okresech</w:t>
      </w:r>
    </w:p>
    <w:p w14:paraId="30ABA3DE" w14:textId="7840E20F" w:rsidR="004D18DE" w:rsidRDefault="0045698F" w:rsidP="00A10302">
      <w:pPr>
        <w:pStyle w:val="KP-normlnbezodsazen"/>
        <w:keepNext/>
        <w:keepLines/>
        <w:spacing w:before="120" w:after="120"/>
        <w:jc w:val="center"/>
      </w:pPr>
      <w:r>
        <w:rPr>
          <w:noProof/>
        </w:rPr>
        <w:drawing>
          <wp:inline distT="0" distB="0" distL="0" distR="0" wp14:anchorId="62305D0D" wp14:editId="2FE62570">
            <wp:extent cx="5760000" cy="332019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3620"/>
                    <a:stretch/>
                  </pic:blipFill>
                  <pic:spPr bwMode="auto">
                    <a:xfrm>
                      <a:off x="0" y="0"/>
                      <a:ext cx="5760000" cy="3320195"/>
                    </a:xfrm>
                    <a:prstGeom prst="rect">
                      <a:avLst/>
                    </a:prstGeom>
                    <a:noFill/>
                    <a:ln>
                      <a:noFill/>
                    </a:ln>
                    <a:extLst>
                      <a:ext uri="{53640926-AAD7-44D8-BBD7-CCE9431645EC}">
                        <a14:shadowObscured xmlns:a14="http://schemas.microsoft.com/office/drawing/2010/main"/>
                      </a:ext>
                    </a:extLst>
                  </pic:spPr>
                </pic:pic>
              </a:graphicData>
            </a:graphic>
          </wp:inline>
        </w:drawing>
      </w:r>
    </w:p>
    <w:p w14:paraId="43BA448E" w14:textId="300F0CCB" w:rsidR="004D18DE" w:rsidRDefault="004D18DE" w:rsidP="00DA7F60">
      <w:pPr>
        <w:pStyle w:val="KP-normlnbezodsazen"/>
        <w:spacing w:before="120" w:after="360"/>
        <w:rPr>
          <w:sz w:val="20"/>
          <w:szCs w:val="20"/>
        </w:rPr>
      </w:pPr>
      <w:r w:rsidRPr="00C16C5C">
        <w:rPr>
          <w:b/>
          <w:sz w:val="20"/>
          <w:szCs w:val="20"/>
        </w:rPr>
        <w:t>Zdroj:</w:t>
      </w:r>
      <w:r>
        <w:rPr>
          <w:sz w:val="20"/>
          <w:szCs w:val="20"/>
        </w:rPr>
        <w:t xml:space="preserve"> MMR, </w:t>
      </w:r>
      <w:r w:rsidR="005F73E9">
        <w:rPr>
          <w:sz w:val="20"/>
          <w:szCs w:val="20"/>
        </w:rPr>
        <w:t>vypracoval</w:t>
      </w:r>
      <w:r>
        <w:rPr>
          <w:sz w:val="20"/>
          <w:szCs w:val="20"/>
        </w:rPr>
        <w:t xml:space="preserve"> NKÚ. </w:t>
      </w:r>
    </w:p>
    <w:p w14:paraId="02DF810D" w14:textId="74CD9C6A" w:rsidR="00B45FF1" w:rsidRPr="00B45FF1" w:rsidRDefault="00B45FF1" w:rsidP="00DA7F60">
      <w:pPr>
        <w:keepNext/>
        <w:spacing w:before="120" w:after="40"/>
        <w:jc w:val="both"/>
        <w:rPr>
          <w:b/>
          <w:spacing w:val="-4"/>
          <w:sz w:val="24"/>
          <w:szCs w:val="24"/>
        </w:rPr>
      </w:pPr>
      <w:r w:rsidRPr="00B45FF1">
        <w:rPr>
          <w:b/>
          <w:sz w:val="24"/>
          <w:szCs w:val="24"/>
        </w:rPr>
        <w:t xml:space="preserve">Obrázek č. </w:t>
      </w:r>
      <w:r w:rsidRPr="00B45FF1">
        <w:rPr>
          <w:b/>
          <w:sz w:val="24"/>
          <w:szCs w:val="24"/>
        </w:rPr>
        <w:fldChar w:fldCharType="begin"/>
      </w:r>
      <w:r w:rsidRPr="00B45FF1">
        <w:rPr>
          <w:b/>
          <w:sz w:val="24"/>
          <w:szCs w:val="24"/>
        </w:rPr>
        <w:instrText xml:space="preserve"> SEQ Obrázek_č.: \* ARABIC </w:instrText>
      </w:r>
      <w:r w:rsidRPr="00B45FF1">
        <w:rPr>
          <w:b/>
          <w:sz w:val="24"/>
          <w:szCs w:val="24"/>
        </w:rPr>
        <w:fldChar w:fldCharType="separate"/>
      </w:r>
      <w:r w:rsidR="00F8318C">
        <w:rPr>
          <w:b/>
          <w:noProof/>
          <w:sz w:val="24"/>
          <w:szCs w:val="24"/>
        </w:rPr>
        <w:t>2</w:t>
      </w:r>
      <w:r w:rsidRPr="00B45FF1">
        <w:rPr>
          <w:b/>
          <w:sz w:val="24"/>
          <w:szCs w:val="24"/>
        </w:rPr>
        <w:fldChar w:fldCharType="end"/>
      </w:r>
      <w:r w:rsidRPr="00B45FF1">
        <w:rPr>
          <w:b/>
          <w:sz w:val="24"/>
          <w:szCs w:val="24"/>
        </w:rPr>
        <w:t xml:space="preserve">: </w:t>
      </w:r>
      <w:r w:rsidRPr="00B45FF1">
        <w:rPr>
          <w:b/>
          <w:spacing w:val="-4"/>
          <w:sz w:val="24"/>
          <w:szCs w:val="24"/>
        </w:rPr>
        <w:t xml:space="preserve">Počty realizovaných projektů podprogramu </w:t>
      </w:r>
      <w:r w:rsidRPr="006252C2">
        <w:rPr>
          <w:b/>
          <w:spacing w:val="-4"/>
          <w:sz w:val="24"/>
          <w:szCs w:val="24"/>
        </w:rPr>
        <w:t>Marketing</w:t>
      </w:r>
      <w:r w:rsidRPr="00B45FF1">
        <w:rPr>
          <w:b/>
          <w:spacing w:val="-4"/>
          <w:sz w:val="24"/>
          <w:szCs w:val="24"/>
        </w:rPr>
        <w:t xml:space="preserve"> v jednotlivých okresech</w:t>
      </w:r>
    </w:p>
    <w:p w14:paraId="53666E71" w14:textId="7CAA234D" w:rsidR="00B45FF1" w:rsidRDefault="00A24CB4" w:rsidP="00B45FF1">
      <w:pPr>
        <w:pStyle w:val="KP-normlnbezodsazen"/>
        <w:spacing w:before="120" w:after="120"/>
      </w:pPr>
      <w:r>
        <w:rPr>
          <w:noProof/>
        </w:rPr>
        <w:drawing>
          <wp:inline distT="0" distB="0" distL="0" distR="0" wp14:anchorId="7E06336B" wp14:editId="3E915502">
            <wp:extent cx="5760000" cy="3278994"/>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0" cy="3278994"/>
                    </a:xfrm>
                    <a:prstGeom prst="rect">
                      <a:avLst/>
                    </a:prstGeom>
                    <a:noFill/>
                    <a:ln>
                      <a:noFill/>
                    </a:ln>
                  </pic:spPr>
                </pic:pic>
              </a:graphicData>
            </a:graphic>
          </wp:inline>
        </w:drawing>
      </w:r>
    </w:p>
    <w:p w14:paraId="1BA7D107" w14:textId="4C6A8350" w:rsidR="00B45FF1" w:rsidRDefault="00B45FF1" w:rsidP="00DA7F60">
      <w:pPr>
        <w:pStyle w:val="KP-normlnbezodsazen"/>
        <w:spacing w:before="120"/>
        <w:rPr>
          <w:sz w:val="20"/>
          <w:szCs w:val="20"/>
        </w:rPr>
      </w:pPr>
      <w:r w:rsidRPr="00C16C5C">
        <w:rPr>
          <w:b/>
          <w:sz w:val="20"/>
          <w:szCs w:val="20"/>
        </w:rPr>
        <w:t>Zdroj:</w:t>
      </w:r>
      <w:r>
        <w:rPr>
          <w:sz w:val="20"/>
          <w:szCs w:val="20"/>
        </w:rPr>
        <w:t xml:space="preserve"> MMR, </w:t>
      </w:r>
      <w:r w:rsidR="005F73E9">
        <w:rPr>
          <w:sz w:val="20"/>
          <w:szCs w:val="20"/>
        </w:rPr>
        <w:t>vypracoval</w:t>
      </w:r>
      <w:r>
        <w:rPr>
          <w:sz w:val="20"/>
          <w:szCs w:val="20"/>
        </w:rPr>
        <w:t xml:space="preserve"> NKÚ.</w:t>
      </w:r>
    </w:p>
    <w:p w14:paraId="35B73AC6" w14:textId="2D3C7D6A" w:rsidR="009A02A0" w:rsidRPr="000103ED" w:rsidRDefault="005F73E9" w:rsidP="00DA7F60">
      <w:pPr>
        <w:spacing w:after="360" w:line="240" w:lineRule="auto"/>
        <w:ind w:left="567" w:hanging="567"/>
        <w:rPr>
          <w:rFonts w:ascii="Calibri" w:hAnsi="Calibri" w:cs="Calibri"/>
          <w:sz w:val="20"/>
          <w:szCs w:val="20"/>
        </w:rPr>
      </w:pPr>
      <w:r>
        <w:rPr>
          <w:b/>
          <w:sz w:val="20"/>
          <w:szCs w:val="20"/>
        </w:rPr>
        <w:t>P</w:t>
      </w:r>
      <w:r w:rsidRPr="00C16C5C">
        <w:rPr>
          <w:b/>
          <w:sz w:val="20"/>
          <w:szCs w:val="20"/>
        </w:rPr>
        <w:t>o</w:t>
      </w:r>
      <w:r>
        <w:rPr>
          <w:b/>
          <w:sz w:val="20"/>
          <w:szCs w:val="20"/>
        </w:rPr>
        <w:t xml:space="preserve">zn.: </w:t>
      </w:r>
      <w:r w:rsidR="009A02A0" w:rsidRPr="000103ED">
        <w:rPr>
          <w:rFonts w:ascii="Calibri" w:hAnsi="Calibri" w:cs="Calibri"/>
          <w:sz w:val="20"/>
          <w:szCs w:val="20"/>
        </w:rPr>
        <w:t>Interaktivní zobrazení dat obsažených v kontrolním závěru lze najít zde:</w:t>
      </w:r>
      <w:r w:rsidR="00E06761" w:rsidRPr="000103ED">
        <w:rPr>
          <w:rFonts w:ascii="Calibri" w:hAnsi="Calibri" w:cs="Calibri"/>
          <w:sz w:val="20"/>
          <w:szCs w:val="20"/>
        </w:rPr>
        <w:t xml:space="preserve"> </w:t>
      </w:r>
      <w:hyperlink r:id="rId14" w:history="1">
        <w:r w:rsidR="00E06761" w:rsidRPr="000103ED">
          <w:rPr>
            <w:rStyle w:val="Hypertextovodkaz"/>
            <w:rFonts w:ascii="Calibri" w:hAnsi="Calibri" w:cs="Calibri"/>
            <w:sz w:val="20"/>
            <w:szCs w:val="20"/>
          </w:rPr>
          <w:t>https://www.nku.cz/scripts/detail.php?id=13503</w:t>
        </w:r>
      </w:hyperlink>
      <w:r>
        <w:rPr>
          <w:sz w:val="20"/>
          <w:szCs w:val="20"/>
        </w:rPr>
        <w:t>.</w:t>
      </w:r>
    </w:p>
    <w:p w14:paraId="505D623B" w14:textId="57E1F1BB" w:rsidR="008B3DC8" w:rsidRDefault="006C510A" w:rsidP="008B3DC8">
      <w:pPr>
        <w:pStyle w:val="KP-normlnbezodsazen"/>
        <w:spacing w:before="120" w:after="120"/>
      </w:pPr>
      <w:r w:rsidRPr="009D1095">
        <w:t>NKÚ zjistil, že míra podpory (počet podpořených projektů) mezi regiony je značně odlišná</w:t>
      </w:r>
      <w:r w:rsidR="00883A67">
        <w:t>. Z</w:t>
      </w:r>
      <w:r w:rsidRPr="009D1095">
        <w:t xml:space="preserve">ejména v případě podprogramu </w:t>
      </w:r>
      <w:r w:rsidRPr="006252C2">
        <w:t>Marketing</w:t>
      </w:r>
      <w:r w:rsidRPr="00C61652">
        <w:rPr>
          <w:i/>
        </w:rPr>
        <w:t xml:space="preserve"> </w:t>
      </w:r>
      <w:r w:rsidRPr="009D1095">
        <w:t>existuje mnoho lokalit, ve kterých nebyl podpořen žádný projekt</w:t>
      </w:r>
      <w:r w:rsidR="00850BA6">
        <w:t>.</w:t>
      </w:r>
      <w:r w:rsidR="0042662A">
        <w:t xml:space="preserve"> N</w:t>
      </w:r>
      <w:r w:rsidR="008B3DC8">
        <w:t xml:space="preserve">ejvíce projektů </w:t>
      </w:r>
      <w:r w:rsidR="00907857">
        <w:t xml:space="preserve">bylo </w:t>
      </w:r>
      <w:r w:rsidR="008B3DC8">
        <w:t>podpořeno v okrese České Budějovice, ve</w:t>
      </w:r>
      <w:r w:rsidR="000103ED">
        <w:t xml:space="preserve"> </w:t>
      </w:r>
      <w:r w:rsidR="008B3DC8">
        <w:t xml:space="preserve">kterém byla velká míra podpory i </w:t>
      </w:r>
      <w:r w:rsidR="00AC7462">
        <w:t xml:space="preserve">v </w:t>
      </w:r>
      <w:r w:rsidR="008B3DC8">
        <w:t xml:space="preserve">podprogramu </w:t>
      </w:r>
      <w:r w:rsidR="008B3DC8" w:rsidRPr="006252C2">
        <w:t>Rozvoj</w:t>
      </w:r>
      <w:r w:rsidR="008B3DC8" w:rsidRPr="00C61652">
        <w:rPr>
          <w:i/>
        </w:rPr>
        <w:t>.</w:t>
      </w:r>
      <w:r w:rsidR="008B3DC8">
        <w:t xml:space="preserve"> Naopak je velmi nízká míra podpory v celém Ústeckém či Karlovarském kraji a situace není o mnoho lepší ani v kraji Vysočina nebo ve Středočeském kraji. Této skutečnosti odpovídají i údaje o finančním čerpání disponibilní alokace uvedené </w:t>
      </w:r>
      <w:r w:rsidR="008B3DC8" w:rsidRPr="002876C3">
        <w:t xml:space="preserve">v příloze č. </w:t>
      </w:r>
      <w:r w:rsidR="00F72DFD">
        <w:t>4</w:t>
      </w:r>
      <w:r w:rsidR="00C2210F">
        <w:t xml:space="preserve"> </w:t>
      </w:r>
      <w:r w:rsidR="008B3DC8" w:rsidRPr="002876C3">
        <w:t>tohoto kontrolního závěru.</w:t>
      </w:r>
    </w:p>
    <w:p w14:paraId="7C7B6CFB" w14:textId="1A0FD292" w:rsidR="00CA0A25" w:rsidRPr="00C971EC" w:rsidRDefault="001B26B3" w:rsidP="00C971EC">
      <w:pPr>
        <w:pStyle w:val="KP-normlnbezodsazen"/>
        <w:spacing w:before="120" w:after="120"/>
      </w:pPr>
      <w:r>
        <w:t xml:space="preserve">Cílové hodnoty parametrů programu a obou jeho podprogramů MMR nastavilo odborným odhadem na základě předchozích zkušeností. </w:t>
      </w:r>
      <w:r w:rsidR="00C971EC" w:rsidRPr="00C971EC">
        <w:t>K tomu NKÚ dodává, že p</w:t>
      </w:r>
      <w:r w:rsidR="00CA0A25" w:rsidRPr="00C971EC">
        <w:t xml:space="preserve">oskytování dotací podle předchozí míry podpory </w:t>
      </w:r>
      <w:r w:rsidR="00C971EC" w:rsidRPr="00C971EC">
        <w:t>cestovního ruchu</w:t>
      </w:r>
      <w:r w:rsidR="00CA0A25" w:rsidRPr="00C971EC">
        <w:t xml:space="preserve"> v daném regionu, která de facto odráží ekonomický potenciál regionů, nemůže být efektivním nástrojem k tomu, aby mezi regiony docházelo ke snižování regionálních disparit. </w:t>
      </w:r>
    </w:p>
    <w:p w14:paraId="368D62BF" w14:textId="35B74DD2" w:rsidR="004054AF" w:rsidRPr="00EF49FA" w:rsidRDefault="004054AF" w:rsidP="000103ED">
      <w:pPr>
        <w:pStyle w:val="Nadpis2"/>
        <w:spacing w:before="240" w:after="120" w:line="240" w:lineRule="auto"/>
        <w:ind w:left="284" w:hanging="284"/>
        <w:rPr>
          <w:rFonts w:asciiTheme="minorHAnsi" w:eastAsiaTheme="minorHAnsi" w:hAnsiTheme="minorHAnsi" w:cstheme="minorHAnsi"/>
          <w:i/>
          <w:color w:val="0070C0"/>
          <w:sz w:val="24"/>
          <w:szCs w:val="24"/>
        </w:rPr>
      </w:pPr>
      <w:r>
        <w:rPr>
          <w:rFonts w:asciiTheme="minorHAnsi" w:eastAsiaTheme="minorHAnsi" w:hAnsiTheme="minorHAnsi" w:cstheme="minorHAnsi"/>
          <w:i/>
          <w:color w:val="0070C0"/>
          <w:sz w:val="24"/>
          <w:szCs w:val="24"/>
        </w:rPr>
        <w:t xml:space="preserve">B. </w:t>
      </w:r>
      <w:r w:rsidR="000103ED">
        <w:rPr>
          <w:rFonts w:asciiTheme="minorHAnsi" w:eastAsiaTheme="minorHAnsi" w:hAnsiTheme="minorHAnsi" w:cstheme="minorHAnsi"/>
          <w:i/>
          <w:color w:val="0070C0"/>
          <w:sz w:val="24"/>
          <w:szCs w:val="24"/>
        </w:rPr>
        <w:tab/>
      </w:r>
      <w:r w:rsidR="00722B7A">
        <w:rPr>
          <w:rFonts w:asciiTheme="minorHAnsi" w:eastAsiaTheme="minorHAnsi" w:hAnsiTheme="minorHAnsi" w:cstheme="minorHAnsi"/>
          <w:i/>
          <w:color w:val="0070C0"/>
          <w:sz w:val="24"/>
          <w:szCs w:val="24"/>
        </w:rPr>
        <w:t>MMR nehodnot</w:t>
      </w:r>
      <w:r w:rsidR="00497BF3">
        <w:rPr>
          <w:rFonts w:asciiTheme="minorHAnsi" w:eastAsiaTheme="minorHAnsi" w:hAnsiTheme="minorHAnsi" w:cstheme="minorHAnsi"/>
          <w:i/>
          <w:color w:val="0070C0"/>
          <w:sz w:val="24"/>
          <w:szCs w:val="24"/>
        </w:rPr>
        <w:t>ilo</w:t>
      </w:r>
      <w:r w:rsidR="00722B7A">
        <w:rPr>
          <w:rFonts w:asciiTheme="minorHAnsi" w:eastAsiaTheme="minorHAnsi" w:hAnsiTheme="minorHAnsi" w:cstheme="minorHAnsi"/>
          <w:i/>
          <w:color w:val="0070C0"/>
          <w:sz w:val="24"/>
          <w:szCs w:val="24"/>
        </w:rPr>
        <w:t xml:space="preserve"> a nesled</w:t>
      </w:r>
      <w:r w:rsidR="00497BF3">
        <w:rPr>
          <w:rFonts w:asciiTheme="minorHAnsi" w:eastAsiaTheme="minorHAnsi" w:hAnsiTheme="minorHAnsi" w:cstheme="minorHAnsi"/>
          <w:i/>
          <w:color w:val="0070C0"/>
          <w:sz w:val="24"/>
          <w:szCs w:val="24"/>
        </w:rPr>
        <w:t>ovalo</w:t>
      </w:r>
      <w:r w:rsidR="00BD4AE9">
        <w:rPr>
          <w:rFonts w:asciiTheme="minorHAnsi" w:eastAsiaTheme="minorHAnsi" w:hAnsiTheme="minorHAnsi" w:cstheme="minorHAnsi"/>
          <w:i/>
          <w:color w:val="0070C0"/>
          <w:sz w:val="24"/>
          <w:szCs w:val="24"/>
        </w:rPr>
        <w:t xml:space="preserve"> při výběru projektů NPPCRR k podpoře</w:t>
      </w:r>
      <w:r w:rsidR="00722B7A">
        <w:rPr>
          <w:rFonts w:asciiTheme="minorHAnsi" w:eastAsiaTheme="minorHAnsi" w:hAnsiTheme="minorHAnsi" w:cstheme="minorHAnsi"/>
          <w:i/>
          <w:color w:val="0070C0"/>
          <w:sz w:val="24"/>
          <w:szCs w:val="24"/>
        </w:rPr>
        <w:t xml:space="preserve"> očekávaný přínos projektů pro cestovní ruch.</w:t>
      </w:r>
    </w:p>
    <w:p w14:paraId="6F4653E4" w14:textId="1A7EADBF" w:rsidR="00F436FC" w:rsidRDefault="0012311F" w:rsidP="00F436FC">
      <w:pPr>
        <w:pStyle w:val="KP-normlnbezodsazen"/>
        <w:spacing w:before="120" w:after="120"/>
      </w:pPr>
      <w:r>
        <w:t xml:space="preserve">Jedním ze základních předpokladů úspěšné realizace </w:t>
      </w:r>
      <w:r w:rsidR="00DC47FA">
        <w:t xml:space="preserve">NPPCRR </w:t>
      </w:r>
      <w:r>
        <w:t>je výběr kvalitních projektů splňujících základní kritéria pro účast v </w:t>
      </w:r>
      <w:r w:rsidR="007C7025">
        <w:t>p</w:t>
      </w:r>
      <w:r>
        <w:t>rogramu a přinášejících nejlepší hodnotu za</w:t>
      </w:r>
      <w:r w:rsidR="00A54CF9">
        <w:t xml:space="preserve"> </w:t>
      </w:r>
      <w:r>
        <w:t>poskytnuté prostředky. Výběr těchto projektů má být proveden prostřednictvím jednoznačných, nediskriminačních a objektivních hodnoticích kritérií.</w:t>
      </w:r>
    </w:p>
    <w:p w14:paraId="4AE506E5" w14:textId="262B2B81" w:rsidR="00DB4E49" w:rsidRPr="003D5A9C" w:rsidRDefault="00DB4E49" w:rsidP="003D5A9C">
      <w:pPr>
        <w:pStyle w:val="JK4"/>
        <w:keepNext w:val="0"/>
        <w:numPr>
          <w:ilvl w:val="0"/>
          <w:numId w:val="0"/>
        </w:numPr>
        <w:spacing w:after="120"/>
        <w:ind w:left="284" w:hanging="284"/>
        <w:rPr>
          <w:b/>
          <w:bCs/>
          <w:i/>
          <w:color w:val="FF0000"/>
        </w:rPr>
      </w:pPr>
      <w:bookmarkStart w:id="11" w:name="_Hlk98943423"/>
      <w:r w:rsidRPr="003D5A9C">
        <w:rPr>
          <w:b/>
          <w:bCs/>
          <w:i/>
          <w:color w:val="FF0000"/>
        </w:rPr>
        <w:t xml:space="preserve">→ </w:t>
      </w:r>
      <w:r w:rsidRPr="003D5A9C">
        <w:rPr>
          <w:b/>
          <w:bCs/>
          <w:i/>
          <w:color w:val="FF0000"/>
        </w:rPr>
        <w:tab/>
      </w:r>
      <w:bookmarkStart w:id="12" w:name="_Hlk144203593"/>
      <w:bookmarkEnd w:id="11"/>
      <w:r w:rsidRPr="003D5A9C">
        <w:rPr>
          <w:b/>
          <w:bCs/>
          <w:i/>
          <w:color w:val="FF0000"/>
        </w:rPr>
        <w:t xml:space="preserve">Žadatelé </w:t>
      </w:r>
      <w:r w:rsidR="00C77830">
        <w:rPr>
          <w:b/>
          <w:bCs/>
          <w:i/>
          <w:color w:val="FF0000"/>
        </w:rPr>
        <w:t>podprogram</w:t>
      </w:r>
      <w:r w:rsidR="00217150">
        <w:rPr>
          <w:b/>
          <w:bCs/>
          <w:i/>
          <w:color w:val="FF0000"/>
        </w:rPr>
        <w:t>ů</w:t>
      </w:r>
      <w:r w:rsidR="00C77830">
        <w:rPr>
          <w:b/>
          <w:bCs/>
          <w:i/>
          <w:color w:val="FF0000"/>
        </w:rPr>
        <w:t xml:space="preserve"> Rozvoj</w:t>
      </w:r>
      <w:r w:rsidR="00BB5ACD">
        <w:rPr>
          <w:b/>
          <w:bCs/>
          <w:i/>
          <w:color w:val="FF0000"/>
        </w:rPr>
        <w:t xml:space="preserve"> i Marketing</w:t>
      </w:r>
      <w:r w:rsidR="00C77830">
        <w:rPr>
          <w:b/>
          <w:bCs/>
          <w:i/>
          <w:color w:val="FF0000"/>
        </w:rPr>
        <w:t xml:space="preserve"> </w:t>
      </w:r>
      <w:r w:rsidRPr="003D5A9C">
        <w:rPr>
          <w:b/>
          <w:bCs/>
          <w:i/>
          <w:color w:val="FF0000"/>
        </w:rPr>
        <w:t>si stanovili v žádostech o dotaci cíle, které nebyly konkrétní a měřitelné</w:t>
      </w:r>
      <w:bookmarkEnd w:id="12"/>
      <w:r w:rsidR="00417190">
        <w:rPr>
          <w:b/>
          <w:bCs/>
          <w:i/>
          <w:color w:val="FF0000"/>
        </w:rPr>
        <w:t>.</w:t>
      </w:r>
    </w:p>
    <w:p w14:paraId="05680936" w14:textId="24B3019D" w:rsidR="003D5A9C" w:rsidRDefault="006E4E8A" w:rsidP="006E4E8A">
      <w:pPr>
        <w:pStyle w:val="KP-normlnbezodsazen"/>
        <w:spacing w:before="120" w:after="120"/>
      </w:pPr>
      <w:r>
        <w:t xml:space="preserve">Na základě analýzy </w:t>
      </w:r>
      <w:r w:rsidR="00A54CF9">
        <w:t>r</w:t>
      </w:r>
      <w:r w:rsidR="00F61D8C">
        <w:t>ozhodnutí o poskytnutí dotace (dále také „</w:t>
      </w:r>
      <w:proofErr w:type="spellStart"/>
      <w:r>
        <w:t>RoPD</w:t>
      </w:r>
      <w:proofErr w:type="spellEnd"/>
      <w:r w:rsidR="00F61D8C">
        <w:t>“)</w:t>
      </w:r>
      <w:r>
        <w:t xml:space="preserve">, </w:t>
      </w:r>
      <w:r w:rsidR="00A54CF9">
        <w:t>p</w:t>
      </w:r>
      <w:r>
        <w:t>odmínek k </w:t>
      </w:r>
      <w:proofErr w:type="spellStart"/>
      <w:r>
        <w:t>RoPD</w:t>
      </w:r>
      <w:proofErr w:type="spellEnd"/>
      <w:r>
        <w:t xml:space="preserve"> a</w:t>
      </w:r>
      <w:r w:rsidR="00F61D8C">
        <w:t> </w:t>
      </w:r>
      <w:r>
        <w:t>žádostí o dotaci, vč. příloh, NKÚ u </w:t>
      </w:r>
      <w:r w:rsidR="00F61D8C">
        <w:t xml:space="preserve">vybraných </w:t>
      </w:r>
      <w:r>
        <w:t>projektů zjistil, že v</w:t>
      </w:r>
      <w:r w:rsidR="00BA5750">
        <w:t> projektových záměrech</w:t>
      </w:r>
      <w:r>
        <w:t xml:space="preserve"> nebyly ve</w:t>
      </w:r>
      <w:r w:rsidR="000103ED">
        <w:t xml:space="preserve"> </w:t>
      </w:r>
      <w:r>
        <w:t xml:space="preserve">všech případech stanoveny konkrétní a měřitelné cíle projektu. Cíle projektu </w:t>
      </w:r>
      <w:r w:rsidR="001856BF">
        <w:t xml:space="preserve">přitom </w:t>
      </w:r>
      <w:r>
        <w:t>byly v </w:t>
      </w:r>
      <w:proofErr w:type="spellStart"/>
      <w:r>
        <w:t>RoPD</w:t>
      </w:r>
      <w:proofErr w:type="spellEnd"/>
      <w:r>
        <w:t xml:space="preserve"> ze strany MMR stanoveny </w:t>
      </w:r>
      <w:r w:rsidR="001856BF">
        <w:t xml:space="preserve">vždy </w:t>
      </w:r>
      <w:r w:rsidRPr="006E4E8A">
        <w:t xml:space="preserve">pouze </w:t>
      </w:r>
      <w:r w:rsidR="00780C15">
        <w:t>odkazem na</w:t>
      </w:r>
      <w:r w:rsidR="004A1C8A">
        <w:t> </w:t>
      </w:r>
      <w:r w:rsidR="00780C15">
        <w:t>projektový záměr</w:t>
      </w:r>
      <w:r w:rsidR="001856BF">
        <w:t>, který byl povinnou přílohou</w:t>
      </w:r>
      <w:r w:rsidR="00373433">
        <w:t xml:space="preserve"> žádosti o dotaci</w:t>
      </w:r>
      <w:r>
        <w:t>.</w:t>
      </w:r>
      <w:r w:rsidR="00840852">
        <w:t xml:space="preserve"> </w:t>
      </w:r>
    </w:p>
    <w:p w14:paraId="7BEF92D5" w14:textId="28C19E1B" w:rsidR="006E4E8A" w:rsidRDefault="003D5A9C" w:rsidP="002C022B">
      <w:pPr>
        <w:pStyle w:val="KP-normlnbezodsazen"/>
        <w:spacing w:before="120" w:after="240"/>
      </w:pPr>
      <w:r w:rsidRPr="003D5A9C">
        <w:t>Na vzorku vybraných projektů</w:t>
      </w:r>
      <w:r w:rsidR="00A558F4">
        <w:t xml:space="preserve"> podprogramu </w:t>
      </w:r>
      <w:r w:rsidR="001472E4" w:rsidRPr="006252C2">
        <w:t>R</w:t>
      </w:r>
      <w:r w:rsidR="00A558F4" w:rsidRPr="006252C2">
        <w:t>ozvoj</w:t>
      </w:r>
      <w:r w:rsidRPr="003D5A9C">
        <w:t xml:space="preserve"> </w:t>
      </w:r>
      <w:r w:rsidR="00BB5ACD">
        <w:t xml:space="preserve">a </w:t>
      </w:r>
      <w:r w:rsidR="00BB5ACD" w:rsidRPr="006252C2">
        <w:t>Marketing</w:t>
      </w:r>
      <w:r w:rsidR="00BB5ACD">
        <w:t xml:space="preserve"> </w:t>
      </w:r>
      <w:r w:rsidRPr="003D5A9C">
        <w:t xml:space="preserve">NKÚ zjistil, že </w:t>
      </w:r>
      <w:r>
        <w:t>n</w:t>
      </w:r>
      <w:r w:rsidR="00840852">
        <w:t>ěkteré z cílů uvedených v žádostech o dotaci nenaplňovaly aspekt</w:t>
      </w:r>
      <w:r w:rsidR="005649E5">
        <w:t>y</w:t>
      </w:r>
      <w:r w:rsidR="00840852">
        <w:t xml:space="preserve"> konkrétnosti a měřitelnosti, když kromě nedostatků ve</w:t>
      </w:r>
      <w:r w:rsidR="000103ED">
        <w:t xml:space="preserve"> </w:t>
      </w:r>
      <w:r w:rsidR="00840852">
        <w:t>formulaci neměly nastaveny jednoznačné kvantitativní a kvalitativní aspekty a</w:t>
      </w:r>
      <w:r w:rsidR="0058343E">
        <w:t> </w:t>
      </w:r>
      <w:r w:rsidR="00840852">
        <w:t>způsob, jakým by mělo být dosahování</w:t>
      </w:r>
      <w:r w:rsidR="0058343E">
        <w:t xml:space="preserve"> cílů</w:t>
      </w:r>
      <w:r w:rsidR="00840852">
        <w:t xml:space="preserve"> měřeno. Jednalo se zejména o problém s dlouhodobějšími cíli a přínosy realizovaných projektů, který </w:t>
      </w:r>
      <w:r w:rsidR="00C87283">
        <w:t>zahrnuje</w:t>
      </w:r>
      <w:r w:rsidR="00840852">
        <w:t xml:space="preserve"> i dobu udržitelnosti projektových záměrů</w:t>
      </w:r>
      <w:r>
        <w:t>, jak ukazuje příklad č</w:t>
      </w:r>
      <w:r w:rsidRPr="00166A68">
        <w:t xml:space="preserve">. </w:t>
      </w:r>
      <w:r w:rsidR="00166A68" w:rsidRPr="00166A68">
        <w:t>1</w:t>
      </w:r>
      <w:r w:rsidR="00752D95">
        <w:t xml:space="preserve"> z podprogramu </w:t>
      </w:r>
      <w:r w:rsidR="00752D95" w:rsidRPr="006252C2">
        <w:t>Rozvoj</w:t>
      </w:r>
      <w:r w:rsidRPr="00166A68">
        <w:t>.</w:t>
      </w:r>
    </w:p>
    <w:tbl>
      <w:tblPr>
        <w:tblStyle w:val="Mkatabulky"/>
        <w:tblW w:w="0" w:type="auto"/>
        <w:tblLook w:val="04A0" w:firstRow="1" w:lastRow="0" w:firstColumn="1" w:lastColumn="0" w:noHBand="0" w:noVBand="1"/>
      </w:tblPr>
      <w:tblGrid>
        <w:gridCol w:w="9062"/>
      </w:tblGrid>
      <w:tr w:rsidR="004D1333" w14:paraId="74E53E7F" w14:textId="77777777" w:rsidTr="00B3429A">
        <w:trPr>
          <w:trHeight w:val="699"/>
        </w:trPr>
        <w:tc>
          <w:tcPr>
            <w:tcW w:w="9062" w:type="dxa"/>
          </w:tcPr>
          <w:p w14:paraId="283FB71D" w14:textId="36993645" w:rsidR="004D1333" w:rsidRPr="004D1333" w:rsidRDefault="004D1333" w:rsidP="004D1333">
            <w:pPr>
              <w:spacing w:after="120"/>
              <w:rPr>
                <w:b/>
                <w:color w:val="2F5496" w:themeColor="accent5" w:themeShade="BF"/>
                <w:sz w:val="24"/>
                <w:szCs w:val="24"/>
              </w:rPr>
            </w:pPr>
            <w:r>
              <w:rPr>
                <w:b/>
                <w:color w:val="2F5496" w:themeColor="accent5" w:themeShade="BF"/>
                <w:sz w:val="24"/>
                <w:szCs w:val="24"/>
              </w:rPr>
              <w:t>P</w:t>
            </w:r>
            <w:r w:rsidRPr="004D1333">
              <w:rPr>
                <w:b/>
                <w:color w:val="2F5496" w:themeColor="accent5" w:themeShade="BF"/>
                <w:sz w:val="24"/>
                <w:szCs w:val="24"/>
              </w:rPr>
              <w:t xml:space="preserve">říklad č. </w:t>
            </w:r>
            <w:r w:rsidR="003B5A41">
              <w:rPr>
                <w:b/>
                <w:color w:val="2F5496" w:themeColor="accent5" w:themeShade="BF"/>
                <w:sz w:val="24"/>
                <w:szCs w:val="24"/>
              </w:rPr>
              <w:t>1</w:t>
            </w:r>
          </w:p>
          <w:p w14:paraId="62F3B228" w14:textId="066A6507" w:rsidR="004D1333" w:rsidRPr="000103ED" w:rsidRDefault="004D1333" w:rsidP="00A307DC">
            <w:pPr>
              <w:pStyle w:val="KP-normlnbezodsazen"/>
              <w:spacing w:before="120" w:after="120"/>
              <w:rPr>
                <w:sz w:val="22"/>
                <w:szCs w:val="22"/>
              </w:rPr>
            </w:pPr>
            <w:r w:rsidRPr="000103ED">
              <w:rPr>
                <w:sz w:val="22"/>
                <w:szCs w:val="22"/>
              </w:rPr>
              <w:t xml:space="preserve">Příjemce </w:t>
            </w:r>
            <w:r w:rsidR="00031515" w:rsidRPr="000103ED">
              <w:rPr>
                <w:sz w:val="22"/>
                <w:szCs w:val="22"/>
              </w:rPr>
              <w:t>podpory</w:t>
            </w:r>
            <w:r w:rsidRPr="000103ED">
              <w:rPr>
                <w:sz w:val="22"/>
                <w:szCs w:val="22"/>
              </w:rPr>
              <w:t xml:space="preserve"> </w:t>
            </w:r>
            <w:r w:rsidR="00373433" w:rsidRPr="000103ED">
              <w:rPr>
                <w:sz w:val="22"/>
                <w:szCs w:val="22"/>
              </w:rPr>
              <w:t xml:space="preserve">realizoval v rámci projektu výstavbu </w:t>
            </w:r>
            <w:proofErr w:type="spellStart"/>
            <w:r w:rsidR="00373433" w:rsidRPr="000103ED">
              <w:rPr>
                <w:sz w:val="22"/>
                <w:szCs w:val="22"/>
              </w:rPr>
              <w:t>workoutového</w:t>
            </w:r>
            <w:proofErr w:type="spellEnd"/>
            <w:r w:rsidR="00373433" w:rsidRPr="000103ED">
              <w:rPr>
                <w:sz w:val="22"/>
                <w:szCs w:val="22"/>
              </w:rPr>
              <w:t xml:space="preserve"> hřiště. V</w:t>
            </w:r>
            <w:r w:rsidR="00FD3BFB" w:rsidRPr="000103ED">
              <w:rPr>
                <w:sz w:val="22"/>
                <w:szCs w:val="22"/>
              </w:rPr>
              <w:t> </w:t>
            </w:r>
            <w:r w:rsidRPr="000103ED">
              <w:rPr>
                <w:sz w:val="22"/>
                <w:szCs w:val="22"/>
              </w:rPr>
              <w:t xml:space="preserve">projektovém záměru </w:t>
            </w:r>
            <w:r w:rsidR="00373433" w:rsidRPr="000103ED">
              <w:rPr>
                <w:sz w:val="22"/>
                <w:szCs w:val="22"/>
              </w:rPr>
              <w:t xml:space="preserve">uvedl </w:t>
            </w:r>
            <w:r w:rsidRPr="000103ED">
              <w:rPr>
                <w:sz w:val="22"/>
                <w:szCs w:val="22"/>
              </w:rPr>
              <w:t xml:space="preserve">následující cíle a přínosy akce: „Rozšíření nabídky </w:t>
            </w:r>
            <w:r w:rsidR="00AB36D3" w:rsidRPr="000103ED">
              <w:rPr>
                <w:sz w:val="22"/>
                <w:szCs w:val="22"/>
              </w:rPr>
              <w:t>cestovního ruchu</w:t>
            </w:r>
            <w:r w:rsidRPr="000103ED">
              <w:rPr>
                <w:sz w:val="22"/>
                <w:szCs w:val="22"/>
              </w:rPr>
              <w:t xml:space="preserve"> ve městě i region, rozšíření cílové skupiny, pro kterou je cestovní ruch nabízen</w:t>
            </w:r>
            <w:r w:rsidR="006252C2">
              <w:rPr>
                <w:sz w:val="22"/>
                <w:szCs w:val="22"/>
              </w:rPr>
              <w:t xml:space="preserve">. </w:t>
            </w:r>
            <w:r w:rsidR="00EC6636">
              <w:rPr>
                <w:sz w:val="22"/>
                <w:szCs w:val="22"/>
              </w:rPr>
              <w:t>(</w:t>
            </w:r>
            <w:r w:rsidR="00373433" w:rsidRPr="000103ED">
              <w:rPr>
                <w:sz w:val="22"/>
                <w:szCs w:val="22"/>
              </w:rPr>
              <w:t>…</w:t>
            </w:r>
            <w:r w:rsidR="00EC6636">
              <w:rPr>
                <w:sz w:val="22"/>
                <w:szCs w:val="22"/>
              </w:rPr>
              <w:t>) B</w:t>
            </w:r>
            <w:r w:rsidRPr="000103ED">
              <w:rPr>
                <w:sz w:val="22"/>
                <w:szCs w:val="22"/>
              </w:rPr>
              <w:t>ude posílen cestovních ruch pro neorganizované sportovní aktivity. Jak pro ty stávající, kterou tvoří in-</w:t>
            </w:r>
            <w:r w:rsidR="00A54CF9">
              <w:rPr>
                <w:sz w:val="22"/>
                <w:szCs w:val="22"/>
              </w:rPr>
              <w:t>l</w:t>
            </w:r>
            <w:r w:rsidRPr="000103ED">
              <w:rPr>
                <w:sz w:val="22"/>
                <w:szCs w:val="22"/>
              </w:rPr>
              <w:t>ine bruslení, skateboard, kondičních běh; tak</w:t>
            </w:r>
            <w:r w:rsidR="000103ED">
              <w:rPr>
                <w:sz w:val="22"/>
                <w:szCs w:val="22"/>
              </w:rPr>
              <w:t xml:space="preserve"> </w:t>
            </w:r>
            <w:r w:rsidRPr="000103ED">
              <w:rPr>
                <w:sz w:val="22"/>
                <w:szCs w:val="22"/>
              </w:rPr>
              <w:t>pro ty nové – cvičení na</w:t>
            </w:r>
            <w:r w:rsidR="000103ED">
              <w:rPr>
                <w:sz w:val="22"/>
                <w:szCs w:val="22"/>
              </w:rPr>
              <w:t xml:space="preserve"> </w:t>
            </w:r>
            <w:proofErr w:type="spellStart"/>
            <w:r w:rsidRPr="000103ED">
              <w:rPr>
                <w:sz w:val="22"/>
                <w:szCs w:val="22"/>
              </w:rPr>
              <w:t>workoutových</w:t>
            </w:r>
            <w:proofErr w:type="spellEnd"/>
            <w:r w:rsidRPr="000103ED">
              <w:rPr>
                <w:sz w:val="22"/>
                <w:szCs w:val="22"/>
              </w:rPr>
              <w:t xml:space="preserve"> a</w:t>
            </w:r>
            <w:r w:rsidR="00FD3BFB" w:rsidRPr="000103ED">
              <w:rPr>
                <w:sz w:val="22"/>
                <w:szCs w:val="22"/>
              </w:rPr>
              <w:t> </w:t>
            </w:r>
            <w:proofErr w:type="spellStart"/>
            <w:r w:rsidRPr="000103ED">
              <w:rPr>
                <w:sz w:val="22"/>
                <w:szCs w:val="22"/>
              </w:rPr>
              <w:t>parkourových</w:t>
            </w:r>
            <w:proofErr w:type="spellEnd"/>
            <w:r w:rsidRPr="000103ED">
              <w:rPr>
                <w:sz w:val="22"/>
                <w:szCs w:val="22"/>
              </w:rPr>
              <w:t xml:space="preserve"> prvcích</w:t>
            </w:r>
            <w:r w:rsidR="00A307DC" w:rsidRPr="000103ED">
              <w:rPr>
                <w:sz w:val="22"/>
                <w:szCs w:val="22"/>
              </w:rPr>
              <w:t>“</w:t>
            </w:r>
            <w:r w:rsidRPr="000103ED">
              <w:rPr>
                <w:sz w:val="22"/>
                <w:szCs w:val="22"/>
              </w:rPr>
              <w:t>.</w:t>
            </w:r>
          </w:p>
          <w:p w14:paraId="53AED319" w14:textId="03B57180" w:rsidR="009225E0" w:rsidRPr="00FE05E7" w:rsidRDefault="00A307DC" w:rsidP="00FA61A2">
            <w:pPr>
              <w:pStyle w:val="KP-normlnbezodsazen"/>
              <w:spacing w:before="120" w:after="120"/>
              <w:rPr>
                <w:i/>
              </w:rPr>
            </w:pPr>
            <w:r w:rsidRPr="000103ED">
              <w:rPr>
                <w:sz w:val="22"/>
                <w:szCs w:val="22"/>
              </w:rPr>
              <w:t xml:space="preserve">NKÚ </w:t>
            </w:r>
            <w:r w:rsidR="006F39F0" w:rsidRPr="000103ED">
              <w:rPr>
                <w:sz w:val="22"/>
                <w:szCs w:val="22"/>
              </w:rPr>
              <w:t>zjistil</w:t>
            </w:r>
            <w:r w:rsidRPr="000103ED">
              <w:rPr>
                <w:sz w:val="22"/>
                <w:szCs w:val="22"/>
              </w:rPr>
              <w:t xml:space="preserve">, že </w:t>
            </w:r>
            <w:r w:rsidR="00D46C60" w:rsidRPr="000103ED">
              <w:rPr>
                <w:sz w:val="22"/>
                <w:szCs w:val="22"/>
              </w:rPr>
              <w:t xml:space="preserve">v žádosti ani jejích přílohách nejsou uvedeny </w:t>
            </w:r>
            <w:r w:rsidRPr="000103ED">
              <w:rPr>
                <w:sz w:val="22"/>
                <w:szCs w:val="22"/>
              </w:rPr>
              <w:t xml:space="preserve">žádné odpovídající </w:t>
            </w:r>
            <w:r w:rsidR="00BE1DB1" w:rsidRPr="000103ED">
              <w:rPr>
                <w:sz w:val="22"/>
                <w:szCs w:val="22"/>
              </w:rPr>
              <w:t>parametry</w:t>
            </w:r>
            <w:r w:rsidRPr="000103ED">
              <w:rPr>
                <w:sz w:val="22"/>
                <w:szCs w:val="22"/>
              </w:rPr>
              <w:t>, které by stanovily cílové hodnoty (změn</w:t>
            </w:r>
            <w:r w:rsidR="00A54CF9">
              <w:rPr>
                <w:sz w:val="22"/>
                <w:szCs w:val="22"/>
              </w:rPr>
              <w:t>y</w:t>
            </w:r>
            <w:r w:rsidRPr="000103ED">
              <w:rPr>
                <w:sz w:val="22"/>
                <w:szCs w:val="22"/>
              </w:rPr>
              <w:t xml:space="preserve">), </w:t>
            </w:r>
            <w:r w:rsidR="00A54CF9">
              <w:rPr>
                <w:sz w:val="22"/>
                <w:szCs w:val="22"/>
              </w:rPr>
              <w:t>kterých</w:t>
            </w:r>
            <w:r w:rsidR="00D46C60" w:rsidRPr="000103ED">
              <w:rPr>
                <w:sz w:val="22"/>
                <w:szCs w:val="22"/>
              </w:rPr>
              <w:t xml:space="preserve"> </w:t>
            </w:r>
            <w:r w:rsidRPr="000103ED">
              <w:rPr>
                <w:sz w:val="22"/>
                <w:szCs w:val="22"/>
              </w:rPr>
              <w:t>by realizací projektu mělo být ve</w:t>
            </w:r>
            <w:r w:rsidR="00DF3F7E" w:rsidRPr="000103ED">
              <w:rPr>
                <w:sz w:val="22"/>
                <w:szCs w:val="22"/>
              </w:rPr>
              <w:t> </w:t>
            </w:r>
            <w:r w:rsidRPr="000103ED">
              <w:rPr>
                <w:sz w:val="22"/>
                <w:szCs w:val="22"/>
              </w:rPr>
              <w:t xml:space="preserve">vztahu k těmto cílům dosaženo. </w:t>
            </w:r>
            <w:r w:rsidR="000B4766" w:rsidRPr="000103ED">
              <w:rPr>
                <w:sz w:val="22"/>
                <w:szCs w:val="22"/>
              </w:rPr>
              <w:t>C</w:t>
            </w:r>
            <w:r w:rsidRPr="000103ED">
              <w:rPr>
                <w:sz w:val="22"/>
                <w:szCs w:val="22"/>
              </w:rPr>
              <w:t xml:space="preserve">íle </w:t>
            </w:r>
            <w:r w:rsidR="000B4766" w:rsidRPr="000103ED">
              <w:rPr>
                <w:sz w:val="22"/>
                <w:szCs w:val="22"/>
              </w:rPr>
              <w:t>projektu jsou zcela</w:t>
            </w:r>
            <w:r w:rsidR="00F367A2" w:rsidRPr="000103ED">
              <w:rPr>
                <w:sz w:val="22"/>
                <w:szCs w:val="22"/>
              </w:rPr>
              <w:t xml:space="preserve"> </w:t>
            </w:r>
            <w:r w:rsidRPr="000103ED">
              <w:rPr>
                <w:sz w:val="22"/>
                <w:szCs w:val="22"/>
              </w:rPr>
              <w:t>nekonkrétní a</w:t>
            </w:r>
            <w:r w:rsidR="00C26FB4" w:rsidRPr="000103ED">
              <w:rPr>
                <w:sz w:val="22"/>
                <w:szCs w:val="22"/>
              </w:rPr>
              <w:t> </w:t>
            </w:r>
            <w:r w:rsidRPr="000103ED">
              <w:rPr>
                <w:sz w:val="22"/>
                <w:szCs w:val="22"/>
              </w:rPr>
              <w:t>neměřitelné.</w:t>
            </w:r>
          </w:p>
        </w:tc>
      </w:tr>
    </w:tbl>
    <w:p w14:paraId="4D75B16D" w14:textId="62CFEAC7" w:rsidR="000B28A1" w:rsidRDefault="00EA6581" w:rsidP="002C022B">
      <w:pPr>
        <w:pStyle w:val="KP-normlnbezodsazen"/>
        <w:spacing w:before="240" w:after="120"/>
      </w:pPr>
      <w:r>
        <w:t xml:space="preserve">Žadatel byl dle </w:t>
      </w:r>
      <w:r w:rsidR="00A54CF9">
        <w:t>z</w:t>
      </w:r>
      <w:r>
        <w:t xml:space="preserve">ásad pro žadatele povinen sledovat efektivitu a účelnost realizovaných akcí a provádění této činnosti dokládal monitorováním parametrů </w:t>
      </w:r>
      <w:r w:rsidR="00BE1DB1">
        <w:t>projektů, které byly stanoveny ve vazbě na parametry NPPCRR</w:t>
      </w:r>
      <w:r>
        <w:t xml:space="preserve">. </w:t>
      </w:r>
      <w:r w:rsidR="00BE1DB1">
        <w:t>Stejně jako u NPPCRR jako takového, tak i v</w:t>
      </w:r>
      <w:r>
        <w:t xml:space="preserve"> </w:t>
      </w:r>
      <w:r w:rsidR="00BE1DB1">
        <w:t xml:space="preserve">případě podpořených projektů </w:t>
      </w:r>
      <w:r>
        <w:t xml:space="preserve">se </w:t>
      </w:r>
      <w:r w:rsidR="001B5376">
        <w:t xml:space="preserve">tak </w:t>
      </w:r>
      <w:r>
        <w:t xml:space="preserve">jednalo pouze o parametry výstupové. V rámci hodnocení jednotlivých žádostí o dotaci </w:t>
      </w:r>
      <w:r w:rsidR="001B5376">
        <w:t xml:space="preserve">proto </w:t>
      </w:r>
      <w:r>
        <w:t xml:space="preserve">MMR </w:t>
      </w:r>
      <w:r w:rsidR="001B5376">
        <w:t xml:space="preserve">nemohlo důsledně hodnotit dlouhodobé přínosy předložených žádostí pro </w:t>
      </w:r>
      <w:r w:rsidR="006E4765">
        <w:t>cestovní ruch</w:t>
      </w:r>
      <w:r w:rsidR="0025182E">
        <w:t xml:space="preserve">. MMR </w:t>
      </w:r>
      <w:r w:rsidR="001B5376">
        <w:t xml:space="preserve">následně u podpořených projektů po příjemcích nepožaduje, aby uceleně sledovali a popisovali dosažené přínosy jejich projektů pro </w:t>
      </w:r>
      <w:r w:rsidR="006E4765">
        <w:t>cestovní ruch</w:t>
      </w:r>
      <w:r w:rsidR="001B5376">
        <w:t>, a to ani během období udržitelnosti dosažených výstupů projektů.</w:t>
      </w:r>
    </w:p>
    <w:p w14:paraId="2A2E933C" w14:textId="497671F5" w:rsidR="00814A0C" w:rsidRDefault="005B0AB2" w:rsidP="00814A0C">
      <w:pPr>
        <w:pStyle w:val="KP-normlnbezodsazen"/>
        <w:spacing w:before="120" w:after="120"/>
      </w:pPr>
      <w:r>
        <w:t xml:space="preserve">NKÚ </w:t>
      </w:r>
      <w:r w:rsidR="00722B7A">
        <w:t xml:space="preserve">dále </w:t>
      </w:r>
      <w:r>
        <w:t xml:space="preserve">zjistil, že </w:t>
      </w:r>
      <w:r w:rsidR="00F72DFD">
        <w:t>v důsledku dostat</w:t>
      </w:r>
      <w:r w:rsidR="00341612">
        <w:t>ku</w:t>
      </w:r>
      <w:r w:rsidR="00F72DFD">
        <w:t xml:space="preserve"> </w:t>
      </w:r>
      <w:r w:rsidR="00D17616">
        <w:t>peněžních</w:t>
      </w:r>
      <w:r w:rsidR="00DA7D99">
        <w:t xml:space="preserve"> prostředků </w:t>
      </w:r>
      <w:r>
        <w:t>mezi projektovými záměry neprobíhal žádn</w:t>
      </w:r>
      <w:r w:rsidR="00D17616">
        <w:t>ý</w:t>
      </w:r>
      <w:r w:rsidR="00DA7D99">
        <w:t xml:space="preserve"> další</w:t>
      </w:r>
      <w:r>
        <w:t xml:space="preserve"> </w:t>
      </w:r>
      <w:r w:rsidR="00D17616">
        <w:t>výběr</w:t>
      </w:r>
      <w:r>
        <w:t>, co</w:t>
      </w:r>
      <w:r w:rsidR="00A73A3E">
        <w:t xml:space="preserve"> </w:t>
      </w:r>
      <w:r>
        <w:t>se kvality týče. Při</w:t>
      </w:r>
      <w:r w:rsidR="000A2E72">
        <w:t xml:space="preserve"> </w:t>
      </w:r>
      <w:r>
        <w:t>výběru projektu ke spolufinancování rozhodoval</w:t>
      </w:r>
      <w:r w:rsidR="00DA7D99">
        <w:t>o</w:t>
      </w:r>
      <w:r>
        <w:t xml:space="preserve"> pouze </w:t>
      </w:r>
      <w:r w:rsidR="00DA7D99">
        <w:t>to, zda žádost nebyla vyřazena</w:t>
      </w:r>
      <w:r w:rsidR="00AE019D">
        <w:t xml:space="preserve"> pro nesplnění především formálních náležitostí a přijatelnosti projektu/žadatele</w:t>
      </w:r>
      <w:r>
        <w:t xml:space="preserve">, záleželo </w:t>
      </w:r>
      <w:r w:rsidR="00DA7D99">
        <w:t>t</w:t>
      </w:r>
      <w:r w:rsidR="00AE019D">
        <w:t>edy</w:t>
      </w:r>
      <w:r w:rsidR="00DA7D99">
        <w:t xml:space="preserve"> primárně </w:t>
      </w:r>
      <w:r>
        <w:t>na kvalitě zpracování žádosti o dotaci</w:t>
      </w:r>
      <w:r w:rsidR="00D17616">
        <w:t xml:space="preserve"> po formální stránce</w:t>
      </w:r>
      <w:r>
        <w:t>.</w:t>
      </w:r>
    </w:p>
    <w:p w14:paraId="02EC6B69" w14:textId="7DA49748" w:rsidR="00AE019D" w:rsidRDefault="008C10B1" w:rsidP="008C10B1">
      <w:pPr>
        <w:pStyle w:val="KP-normlnbezodsazen"/>
        <w:spacing w:before="120" w:after="120"/>
      </w:pPr>
      <w:r>
        <w:t>Analýzou nastavených kritérií a hodnot</w:t>
      </w:r>
      <w:r w:rsidR="00396733">
        <w:t>i</w:t>
      </w:r>
      <w:r>
        <w:t xml:space="preserve">cích listů NKÚ </w:t>
      </w:r>
      <w:r w:rsidR="001C6C11">
        <w:t>dále zjistil</w:t>
      </w:r>
      <w:r>
        <w:t>, že</w:t>
      </w:r>
      <w:r w:rsidR="00F72DFD">
        <w:t xml:space="preserve"> v podprogramu Rozvoj </w:t>
      </w:r>
      <w:r>
        <w:t xml:space="preserve">MMR </w:t>
      </w:r>
      <w:r w:rsidR="00AE019D">
        <w:t>na rozdíl od</w:t>
      </w:r>
      <w:r w:rsidR="000A2E72">
        <w:t xml:space="preserve"> </w:t>
      </w:r>
      <w:r w:rsidR="000012BE">
        <w:t xml:space="preserve">projektů krajů či obcí </w:t>
      </w:r>
      <w:r w:rsidR="004326A1">
        <w:t xml:space="preserve">vůbec </w:t>
      </w:r>
      <w:r w:rsidR="00AE019D">
        <w:t xml:space="preserve">nepožadovalo po příjemcích doložení </w:t>
      </w:r>
      <w:r w:rsidRPr="008C10B1">
        <w:t>potřebnost</w:t>
      </w:r>
      <w:r w:rsidR="00AE019D">
        <w:t>i</w:t>
      </w:r>
      <w:r w:rsidRPr="008C10B1">
        <w:t xml:space="preserve"> projektů</w:t>
      </w:r>
      <w:r>
        <w:t xml:space="preserve"> </w:t>
      </w:r>
      <w:r w:rsidR="00AE019D">
        <w:t>ze</w:t>
      </w:r>
      <w:r w:rsidR="000A2E72">
        <w:t xml:space="preserve"> </w:t>
      </w:r>
      <w:r w:rsidR="00AE019D">
        <w:t xml:space="preserve">strany stanovených subjektů </w:t>
      </w:r>
      <w:r>
        <w:t>v těch případech, kdy</w:t>
      </w:r>
      <w:r w:rsidR="000A2E72">
        <w:t xml:space="preserve"> </w:t>
      </w:r>
      <w:r>
        <w:t xml:space="preserve">žadatelem </w:t>
      </w:r>
      <w:r w:rsidR="00120076">
        <w:t xml:space="preserve">byl </w:t>
      </w:r>
      <w:r>
        <w:t>podnikatelský subjekt</w:t>
      </w:r>
      <w:r w:rsidR="00AE019D">
        <w:rPr>
          <w:rStyle w:val="Znakapoznpodarou"/>
        </w:rPr>
        <w:footnoteReference w:id="15"/>
      </w:r>
      <w:r w:rsidR="00AE019D">
        <w:t xml:space="preserve">. </w:t>
      </w:r>
    </w:p>
    <w:p w14:paraId="3B3DABAA" w14:textId="2E4CAB21" w:rsidR="008C10B1" w:rsidRDefault="00AE019D" w:rsidP="002C022B">
      <w:pPr>
        <w:pStyle w:val="KP-normlnbezodsazen"/>
        <w:spacing w:before="120" w:after="240"/>
      </w:pPr>
      <w:r>
        <w:t>NKÚ na vzorku vybraných projektů přitom zjistil případy projektů, kdy jejich potřebnost pro</w:t>
      </w:r>
      <w:r w:rsidR="000A2E72">
        <w:t xml:space="preserve"> </w:t>
      </w:r>
      <w:r w:rsidR="003644C7">
        <w:t>cestovní ruch</w:t>
      </w:r>
      <w:r>
        <w:t xml:space="preserve"> nebyla jednoznačně prokazatelná nebo je zpochybnitelná, </w:t>
      </w:r>
      <w:r w:rsidR="001B06E9">
        <w:t xml:space="preserve">viz příklad č. </w:t>
      </w:r>
      <w:r w:rsidR="00267EB0">
        <w:t>2</w:t>
      </w:r>
      <w:r w:rsidR="001B06E9">
        <w:t>.</w:t>
      </w:r>
    </w:p>
    <w:tbl>
      <w:tblPr>
        <w:tblStyle w:val="Mkatabulky"/>
        <w:tblW w:w="0" w:type="auto"/>
        <w:tblLook w:val="04A0" w:firstRow="1" w:lastRow="0" w:firstColumn="1" w:lastColumn="0" w:noHBand="0" w:noVBand="1"/>
      </w:tblPr>
      <w:tblGrid>
        <w:gridCol w:w="9062"/>
      </w:tblGrid>
      <w:tr w:rsidR="001B06E9" w14:paraId="262D2D87" w14:textId="77777777" w:rsidTr="00F0247B">
        <w:trPr>
          <w:trHeight w:val="416"/>
        </w:trPr>
        <w:tc>
          <w:tcPr>
            <w:tcW w:w="9062" w:type="dxa"/>
          </w:tcPr>
          <w:p w14:paraId="7994FDC7" w14:textId="482CB208" w:rsidR="001B06E9" w:rsidRPr="00FF44D9" w:rsidRDefault="001B06E9" w:rsidP="00FF44D9">
            <w:pPr>
              <w:spacing w:after="120"/>
              <w:rPr>
                <w:b/>
                <w:color w:val="2F5496" w:themeColor="accent5" w:themeShade="BF"/>
                <w:sz w:val="24"/>
                <w:szCs w:val="24"/>
              </w:rPr>
            </w:pPr>
            <w:r w:rsidRPr="00FF44D9">
              <w:rPr>
                <w:b/>
                <w:color w:val="2F5496" w:themeColor="accent5" w:themeShade="BF"/>
                <w:sz w:val="24"/>
                <w:szCs w:val="24"/>
              </w:rPr>
              <w:t>Příklad č.</w:t>
            </w:r>
            <w:r w:rsidR="002D7C92">
              <w:rPr>
                <w:b/>
                <w:color w:val="2F5496" w:themeColor="accent5" w:themeShade="BF"/>
                <w:sz w:val="24"/>
                <w:szCs w:val="24"/>
              </w:rPr>
              <w:t xml:space="preserve"> </w:t>
            </w:r>
            <w:r w:rsidR="00267EB0">
              <w:rPr>
                <w:b/>
                <w:color w:val="2F5496" w:themeColor="accent5" w:themeShade="BF"/>
                <w:sz w:val="24"/>
                <w:szCs w:val="24"/>
              </w:rPr>
              <w:t>2</w:t>
            </w:r>
          </w:p>
          <w:p w14:paraId="43D0E939" w14:textId="317D33C2" w:rsidR="00843FCE" w:rsidRPr="000A2E72" w:rsidRDefault="001B06E9" w:rsidP="00EF228E">
            <w:pPr>
              <w:spacing w:after="120"/>
              <w:jc w:val="both"/>
            </w:pPr>
            <w:r w:rsidRPr="000A2E72">
              <w:t xml:space="preserve">Příjemce </w:t>
            </w:r>
            <w:r w:rsidR="00031515" w:rsidRPr="000A2E72">
              <w:t>podpory</w:t>
            </w:r>
            <w:r w:rsidRPr="000A2E72">
              <w:t xml:space="preserve"> v projektovém záměru uvedl, že jeho projekt</w:t>
            </w:r>
            <w:r w:rsidR="00FD5ABC" w:rsidRPr="000A2E72">
              <w:t xml:space="preserve"> (výstavba dětského hřiště)</w:t>
            </w:r>
            <w:r w:rsidRPr="000A2E72">
              <w:t xml:space="preserve"> má přímou vazbu na trasy cestovního ruchu</w:t>
            </w:r>
            <w:r w:rsidR="00AC7A63" w:rsidRPr="000A2E72">
              <w:t xml:space="preserve">, což doložil </w:t>
            </w:r>
            <w:r w:rsidR="00C13894" w:rsidRPr="000A2E72">
              <w:t xml:space="preserve">snímkem turistické infrastruktury. </w:t>
            </w:r>
            <w:r w:rsidR="00AE019D" w:rsidRPr="000A2E72">
              <w:t>Už</w:t>
            </w:r>
            <w:r w:rsidR="000A2E72">
              <w:t xml:space="preserve"> </w:t>
            </w:r>
            <w:r w:rsidR="00AE019D" w:rsidRPr="000A2E72">
              <w:t>z tohoto snímku je</w:t>
            </w:r>
            <w:r w:rsidR="000A2E72">
              <w:t xml:space="preserve"> </w:t>
            </w:r>
            <w:r w:rsidR="00AE019D" w:rsidRPr="000A2E72">
              <w:t>však patrné</w:t>
            </w:r>
            <w:r w:rsidR="00203BCA" w:rsidRPr="000A2E72">
              <w:t xml:space="preserve">, že </w:t>
            </w:r>
            <w:r w:rsidR="00C13894" w:rsidRPr="000A2E72">
              <w:t>místo realizace projektu</w:t>
            </w:r>
            <w:r w:rsidR="00203BCA" w:rsidRPr="000A2E72">
              <w:t xml:space="preserve"> </w:t>
            </w:r>
            <w:r w:rsidR="00C13894" w:rsidRPr="000A2E72">
              <w:t>se nenachází přímo u vymezených tras, ale je od nich oddělené mezinárodní silnicí.</w:t>
            </w:r>
            <w:r w:rsidR="00203BCA" w:rsidRPr="000A2E72">
              <w:t xml:space="preserve"> </w:t>
            </w:r>
            <w:r w:rsidR="001F61F2" w:rsidRPr="000A2E72">
              <w:t xml:space="preserve">Připravované zahloubení </w:t>
            </w:r>
            <w:r w:rsidR="00AE019D" w:rsidRPr="000A2E72">
              <w:t xml:space="preserve">této </w:t>
            </w:r>
            <w:r w:rsidR="001F61F2" w:rsidRPr="000A2E72">
              <w:t>silnice</w:t>
            </w:r>
            <w:r w:rsidR="00396733">
              <w:t xml:space="preserve"> </w:t>
            </w:r>
            <w:r w:rsidR="00AE019D" w:rsidRPr="000A2E72">
              <w:t>přímo v místě realizace projektu, se kterým příjemce</w:t>
            </w:r>
            <w:r w:rsidR="00031515" w:rsidRPr="000A2E72">
              <w:t xml:space="preserve"> podpory</w:t>
            </w:r>
            <w:r w:rsidR="00AE019D" w:rsidRPr="000A2E72">
              <w:t xml:space="preserve"> </w:t>
            </w:r>
            <w:r w:rsidR="00EF228E" w:rsidRPr="000A2E72">
              <w:t>počítal, je</w:t>
            </w:r>
            <w:r w:rsidR="000A2E72">
              <w:t xml:space="preserve"> </w:t>
            </w:r>
            <w:r w:rsidR="00203BCA" w:rsidRPr="000A2E72">
              <w:t>v současné době odložen</w:t>
            </w:r>
            <w:r w:rsidR="001F61F2" w:rsidRPr="000A2E72">
              <w:t xml:space="preserve">o. </w:t>
            </w:r>
            <w:r w:rsidR="00843FCE" w:rsidRPr="000A2E72">
              <w:t>I po</w:t>
            </w:r>
            <w:r w:rsidR="001F61F2" w:rsidRPr="000A2E72">
              <w:t xml:space="preserve"> dokončení projektu trvá </w:t>
            </w:r>
            <w:r w:rsidR="00AE019D" w:rsidRPr="000A2E72">
              <w:t xml:space="preserve">stav, kdy </w:t>
            </w:r>
            <w:r w:rsidR="00843FCE" w:rsidRPr="000A2E72">
              <w:t>ohnisko cestovního ruchu, na které se projekt měl především vázat, není snadno dostupné docházkovou vzdáleností</w:t>
            </w:r>
            <w:r w:rsidR="001F61F2" w:rsidRPr="000A2E72">
              <w:t>.</w:t>
            </w:r>
            <w:r w:rsidR="00A2436E" w:rsidRPr="000A2E72">
              <w:t xml:space="preserve"> </w:t>
            </w:r>
          </w:p>
          <w:p w14:paraId="2B427734" w14:textId="4E4DE223" w:rsidR="00843FCE" w:rsidRPr="000A2E72" w:rsidRDefault="00843FCE" w:rsidP="00EF228E">
            <w:pPr>
              <w:spacing w:after="120"/>
              <w:jc w:val="both"/>
            </w:pPr>
            <w:r w:rsidRPr="000A2E72">
              <w:t xml:space="preserve">Jedná se o případ projektu, u kterého </w:t>
            </w:r>
            <w:r w:rsidR="001F61F2" w:rsidRPr="000A2E72">
              <w:t>MMR neprovádělo žádné hodnocení potřebnosti ve vztahu k cestovnímu ruchu</w:t>
            </w:r>
            <w:r w:rsidR="00217F16" w:rsidRPr="000A2E72">
              <w:t xml:space="preserve">, kdy </w:t>
            </w:r>
            <w:r w:rsidR="00172319" w:rsidRPr="000A2E72">
              <w:t>nevyžadovalo ani vyjádření obce ani kraje.</w:t>
            </w:r>
            <w:r w:rsidR="002D7C92" w:rsidRPr="000A2E72">
              <w:t xml:space="preserve"> </w:t>
            </w:r>
            <w:r w:rsidR="00A86453" w:rsidRPr="000A2E72">
              <w:t>Ve vztahu k NPPCRR a</w:t>
            </w:r>
            <w:r w:rsidR="00854791" w:rsidRPr="000A2E72">
              <w:t> </w:t>
            </w:r>
            <w:r w:rsidR="00A86453" w:rsidRPr="000A2E72">
              <w:t>podporovaným oblastem dále NKÚ vyhodnotil, že vybudování dětského hřiště není žádnou z forem doprovodné infrastruktury, na kterou by dokumentace podprogramu Rozvoj příkladně pamatovala (odpočivadla, sociální zázemí, vyhlídky apod.), a hřiště není situováno ani na východištích tras nebo podél těchto tras, ani případně na</w:t>
            </w:r>
            <w:r w:rsidR="000A2E72">
              <w:t xml:space="preserve"> </w:t>
            </w:r>
            <w:r w:rsidR="00A86453" w:rsidRPr="000A2E72">
              <w:t>hojně navštěvovaných turistických lokalitách.</w:t>
            </w:r>
            <w:r w:rsidRPr="000A2E72">
              <w:t xml:space="preserve"> </w:t>
            </w:r>
          </w:p>
          <w:p w14:paraId="7EF20816" w14:textId="3822D497" w:rsidR="00A86453" w:rsidRPr="00203BCA" w:rsidRDefault="00843FCE" w:rsidP="00267EB0">
            <w:pPr>
              <w:jc w:val="both"/>
              <w:rPr>
                <w:i/>
                <w:sz w:val="24"/>
                <w:szCs w:val="24"/>
              </w:rPr>
            </w:pPr>
            <w:r w:rsidRPr="000A2E72">
              <w:t>Přesto MMR podporu tomuto projektu poskytlo.</w:t>
            </w:r>
          </w:p>
        </w:tc>
      </w:tr>
    </w:tbl>
    <w:p w14:paraId="53CD2A0D" w14:textId="76EB5C13" w:rsidR="0033671E" w:rsidRPr="0033671E" w:rsidRDefault="005F46C9" w:rsidP="000A2E72">
      <w:pPr>
        <w:pStyle w:val="Nadpis2"/>
        <w:spacing w:before="240" w:after="120" w:line="240" w:lineRule="auto"/>
        <w:ind w:left="284" w:hanging="284"/>
        <w:rPr>
          <w:rFonts w:asciiTheme="minorHAnsi" w:eastAsiaTheme="minorHAnsi" w:hAnsiTheme="minorHAnsi" w:cstheme="minorHAnsi"/>
          <w:i/>
          <w:color w:val="0070C0"/>
          <w:sz w:val="24"/>
          <w:szCs w:val="24"/>
        </w:rPr>
      </w:pPr>
      <w:r>
        <w:rPr>
          <w:rFonts w:asciiTheme="minorHAnsi" w:eastAsiaTheme="minorHAnsi" w:hAnsiTheme="minorHAnsi" w:cstheme="minorHAnsi"/>
          <w:i/>
          <w:color w:val="0070C0"/>
          <w:sz w:val="24"/>
          <w:szCs w:val="24"/>
        </w:rPr>
        <w:t>C.</w:t>
      </w:r>
      <w:r w:rsidR="0033671E">
        <w:rPr>
          <w:rFonts w:asciiTheme="minorHAnsi" w:eastAsiaTheme="minorHAnsi" w:hAnsiTheme="minorHAnsi" w:cstheme="minorHAnsi"/>
          <w:i/>
          <w:color w:val="0070C0"/>
          <w:sz w:val="24"/>
          <w:szCs w:val="24"/>
        </w:rPr>
        <w:t xml:space="preserve"> </w:t>
      </w:r>
      <w:r w:rsidR="000A2E72">
        <w:rPr>
          <w:rFonts w:asciiTheme="minorHAnsi" w:eastAsiaTheme="minorHAnsi" w:hAnsiTheme="minorHAnsi" w:cstheme="minorHAnsi"/>
          <w:i/>
          <w:color w:val="0070C0"/>
          <w:sz w:val="24"/>
          <w:szCs w:val="24"/>
        </w:rPr>
        <w:tab/>
      </w:r>
      <w:r w:rsidR="00385AEE">
        <w:rPr>
          <w:rFonts w:asciiTheme="minorHAnsi" w:eastAsiaTheme="minorHAnsi" w:hAnsiTheme="minorHAnsi" w:cstheme="minorHAnsi"/>
          <w:i/>
          <w:color w:val="0070C0"/>
          <w:sz w:val="24"/>
          <w:szCs w:val="24"/>
        </w:rPr>
        <w:t xml:space="preserve">MMR </w:t>
      </w:r>
      <w:r w:rsidR="0054312F">
        <w:rPr>
          <w:rFonts w:asciiTheme="minorHAnsi" w:eastAsiaTheme="minorHAnsi" w:hAnsiTheme="minorHAnsi" w:cstheme="minorHAnsi"/>
          <w:i/>
          <w:color w:val="0070C0"/>
          <w:sz w:val="24"/>
          <w:szCs w:val="24"/>
        </w:rPr>
        <w:t>nemělo dostatečné informace</w:t>
      </w:r>
      <w:r w:rsidR="00385AEE">
        <w:rPr>
          <w:rFonts w:asciiTheme="minorHAnsi" w:eastAsiaTheme="minorHAnsi" w:hAnsiTheme="minorHAnsi" w:cstheme="minorHAnsi"/>
          <w:i/>
          <w:color w:val="0070C0"/>
          <w:sz w:val="24"/>
          <w:szCs w:val="24"/>
        </w:rPr>
        <w:t xml:space="preserve"> k ověřování účelnosti a hospodárnosti poskytovaných peněžních prostředků</w:t>
      </w:r>
      <w:r w:rsidR="0054312F">
        <w:rPr>
          <w:rFonts w:asciiTheme="minorHAnsi" w:eastAsiaTheme="minorHAnsi" w:hAnsiTheme="minorHAnsi" w:cstheme="minorHAnsi"/>
          <w:i/>
          <w:color w:val="0070C0"/>
          <w:sz w:val="24"/>
          <w:szCs w:val="24"/>
        </w:rPr>
        <w:t>.</w:t>
      </w:r>
    </w:p>
    <w:p w14:paraId="00351B9A" w14:textId="37A47603" w:rsidR="00391A61" w:rsidRDefault="009A06CD" w:rsidP="00391A61">
      <w:pPr>
        <w:pStyle w:val="JK4"/>
        <w:keepNext w:val="0"/>
        <w:numPr>
          <w:ilvl w:val="0"/>
          <w:numId w:val="0"/>
        </w:numPr>
        <w:tabs>
          <w:tab w:val="left" w:pos="567"/>
        </w:tabs>
        <w:spacing w:after="120"/>
      </w:pPr>
      <w:r w:rsidRPr="009A06CD">
        <w:t>Příjemce</w:t>
      </w:r>
      <w:r>
        <w:t xml:space="preserve"> </w:t>
      </w:r>
      <w:r w:rsidR="00031515">
        <w:t>podpory</w:t>
      </w:r>
      <w:r>
        <w:t xml:space="preserve"> z NPPCRR</w:t>
      </w:r>
      <w:r w:rsidRPr="009A06CD">
        <w:t xml:space="preserve"> </w:t>
      </w:r>
      <w:r w:rsidR="004C7A15">
        <w:t>má povinnost předložit</w:t>
      </w:r>
      <w:r w:rsidR="004C7A15" w:rsidRPr="009A06CD">
        <w:t xml:space="preserve"> </w:t>
      </w:r>
      <w:r w:rsidRPr="009A06CD">
        <w:t>MMR</w:t>
      </w:r>
      <w:r>
        <w:t xml:space="preserve"> </w:t>
      </w:r>
      <w:r w:rsidRPr="009A06CD">
        <w:t>dokumentaci k</w:t>
      </w:r>
      <w:r>
        <w:t> </w:t>
      </w:r>
      <w:r w:rsidR="00396733">
        <w:t>z</w:t>
      </w:r>
      <w:r>
        <w:t>ávěrečnému vyhodnocení akce (dále také „</w:t>
      </w:r>
      <w:r w:rsidRPr="009A06CD">
        <w:t>ZVA</w:t>
      </w:r>
      <w:r>
        <w:t>“)</w:t>
      </w:r>
      <w:r w:rsidRPr="009A06CD">
        <w:t xml:space="preserve"> nejpozději ve lhůtě do </w:t>
      </w:r>
      <w:r w:rsidR="004C7A15">
        <w:t>jednoho</w:t>
      </w:r>
      <w:r w:rsidR="004C7A15" w:rsidRPr="009A06CD">
        <w:t xml:space="preserve"> </w:t>
      </w:r>
      <w:r w:rsidRPr="009A06CD">
        <w:t>měsíce od</w:t>
      </w:r>
      <w:r w:rsidR="00396733">
        <w:t xml:space="preserve"> </w:t>
      </w:r>
      <w:r w:rsidRPr="009A06CD">
        <w:t xml:space="preserve">dokončení realizace akce (nejpozději v termínu stanoveném v </w:t>
      </w:r>
      <w:proofErr w:type="spellStart"/>
      <w:r w:rsidRPr="009A06CD">
        <w:t>RoPD</w:t>
      </w:r>
      <w:proofErr w:type="spellEnd"/>
      <w:r w:rsidRPr="009A06CD">
        <w:t xml:space="preserve">). </w:t>
      </w:r>
      <w:r w:rsidR="00391A61">
        <w:t xml:space="preserve">ZVA </w:t>
      </w:r>
      <w:r w:rsidR="004C7A15">
        <w:t>by měl</w:t>
      </w:r>
      <w:r w:rsidR="0079243F">
        <w:t>a</w:t>
      </w:r>
      <w:r w:rsidR="004C7A15">
        <w:t xml:space="preserve"> informovat </w:t>
      </w:r>
      <w:r w:rsidR="00391A61">
        <w:t>o</w:t>
      </w:r>
      <w:r w:rsidR="00F4641D">
        <w:t> </w:t>
      </w:r>
      <w:r w:rsidR="00391A61">
        <w:t>plnění závazných ukazatelů a podmínek účasti státního rozpočtu na financování akce stanovených v</w:t>
      </w:r>
      <w:r w:rsidR="00396733">
        <w:t> </w:t>
      </w:r>
      <w:proofErr w:type="spellStart"/>
      <w:r w:rsidR="00391A61">
        <w:t>RoPD</w:t>
      </w:r>
      <w:proofErr w:type="spellEnd"/>
      <w:r w:rsidR="00396733">
        <w:t>,</w:t>
      </w:r>
      <w:r w:rsidR="004C7A15">
        <w:t xml:space="preserve"> a je tak pro MMR stěžejním dokumentem pro kontrolu dosažení účelů podpořených projektů</w:t>
      </w:r>
      <w:r w:rsidR="004F4E11">
        <w:t xml:space="preserve"> za dobu jejich realizace</w:t>
      </w:r>
      <w:r w:rsidR="00391A61">
        <w:t>.</w:t>
      </w:r>
      <w:r w:rsidR="00391A61" w:rsidRPr="009A06CD">
        <w:t xml:space="preserve"> </w:t>
      </w:r>
      <w:r w:rsidRPr="009A06CD">
        <w:t xml:space="preserve">Příjemce </w:t>
      </w:r>
      <w:r w:rsidR="00031515">
        <w:t xml:space="preserve">podpory </w:t>
      </w:r>
      <w:r w:rsidRPr="009A06CD">
        <w:t>přiklád</w:t>
      </w:r>
      <w:r w:rsidR="00155AF2">
        <w:t>á</w:t>
      </w:r>
      <w:r w:rsidRPr="009A06CD">
        <w:t xml:space="preserve"> k ZVA kromě jiného i</w:t>
      </w:r>
      <w:r w:rsidR="00031515">
        <w:t> </w:t>
      </w:r>
      <w:r w:rsidRPr="009A06CD">
        <w:t>fotodokumentaci, ze</w:t>
      </w:r>
      <w:r w:rsidR="00396733">
        <w:t xml:space="preserve"> </w:t>
      </w:r>
      <w:r w:rsidRPr="009A06CD">
        <w:t xml:space="preserve">které bylo patrné splnění podmínek publicity akce. </w:t>
      </w:r>
      <w:r w:rsidR="00391A61" w:rsidRPr="00391A61">
        <w:t xml:space="preserve"> </w:t>
      </w:r>
    </w:p>
    <w:p w14:paraId="05EE605A" w14:textId="3B501A38" w:rsidR="005954C7" w:rsidRPr="009A06CD" w:rsidRDefault="005954C7" w:rsidP="000A2E72">
      <w:pPr>
        <w:pStyle w:val="JK4"/>
        <w:numPr>
          <w:ilvl w:val="0"/>
          <w:numId w:val="0"/>
        </w:numPr>
        <w:spacing w:before="240" w:after="120"/>
        <w:ind w:left="284" w:hanging="284"/>
      </w:pPr>
      <w:r w:rsidRPr="003D5A9C">
        <w:rPr>
          <w:b/>
          <w:bCs/>
          <w:i/>
          <w:color w:val="FF0000"/>
        </w:rPr>
        <w:t xml:space="preserve">→ </w:t>
      </w:r>
      <w:r w:rsidRPr="003D5A9C">
        <w:rPr>
          <w:b/>
          <w:bCs/>
          <w:i/>
          <w:color w:val="FF0000"/>
        </w:rPr>
        <w:tab/>
      </w:r>
      <w:bookmarkStart w:id="13" w:name="_Hlk144203643"/>
      <w:r>
        <w:rPr>
          <w:b/>
          <w:bCs/>
          <w:i/>
          <w:color w:val="FF0000"/>
        </w:rPr>
        <w:t>MMR neprovedlo kontroly ZVA z výzev 2018</w:t>
      </w:r>
      <w:r w:rsidR="00396733">
        <w:rPr>
          <w:rFonts w:cs="Calibri"/>
          <w:b/>
          <w:bCs/>
          <w:i/>
          <w:color w:val="FF0000"/>
        </w:rPr>
        <w:t>−</w:t>
      </w:r>
      <w:r>
        <w:rPr>
          <w:b/>
          <w:bCs/>
          <w:i/>
          <w:color w:val="FF0000"/>
        </w:rPr>
        <w:t>2022, …</w:t>
      </w:r>
      <w:bookmarkEnd w:id="13"/>
    </w:p>
    <w:p w14:paraId="27CF2AA7" w14:textId="3B412972" w:rsidR="00172319" w:rsidRDefault="00D468CD" w:rsidP="002025FD">
      <w:pPr>
        <w:pStyle w:val="JK4"/>
        <w:keepNext w:val="0"/>
        <w:numPr>
          <w:ilvl w:val="0"/>
          <w:numId w:val="0"/>
        </w:numPr>
        <w:tabs>
          <w:tab w:val="left" w:pos="567"/>
        </w:tabs>
        <w:spacing w:after="120"/>
      </w:pPr>
      <w:r>
        <w:t>NKÚ ověřil, že příjemci</w:t>
      </w:r>
      <w:r w:rsidR="00031515">
        <w:t xml:space="preserve"> podpory u</w:t>
      </w:r>
      <w:r>
        <w:t xml:space="preserve"> projektů vybraných ke kontrole NKÚ předali svá ZVA na</w:t>
      </w:r>
      <w:r w:rsidR="000A2E72">
        <w:t xml:space="preserve"> </w:t>
      </w:r>
      <w:r>
        <w:t>MMR</w:t>
      </w:r>
      <w:r w:rsidR="008E7690">
        <w:t xml:space="preserve"> v termínu stanoveném v </w:t>
      </w:r>
      <w:proofErr w:type="spellStart"/>
      <w:r w:rsidR="008E7690">
        <w:t>RoPD</w:t>
      </w:r>
      <w:proofErr w:type="spellEnd"/>
      <w:r w:rsidR="008E7690">
        <w:t>. MMR dle svých vlastních interních předpisů je</w:t>
      </w:r>
      <w:r w:rsidR="000A2E72">
        <w:t xml:space="preserve"> </w:t>
      </w:r>
      <w:r w:rsidR="008E7690">
        <w:t xml:space="preserve">povinno údaje ZVA předané příjemcem dotace zkontrolovat, potvrdit </w:t>
      </w:r>
      <w:r w:rsidR="008E7690" w:rsidRPr="007E05DE">
        <w:t>ukončení</w:t>
      </w:r>
      <w:r w:rsidR="008E7690">
        <w:t xml:space="preserve"> ZVA </w:t>
      </w:r>
      <w:r w:rsidR="008E7690" w:rsidRPr="008E7690">
        <w:t>nejpozději do 12</w:t>
      </w:r>
      <w:r w:rsidR="000A2E72">
        <w:t> </w:t>
      </w:r>
      <w:r w:rsidR="008E7690" w:rsidRPr="008E7690">
        <w:t>měsíců od</w:t>
      </w:r>
      <w:r w:rsidR="00D842E2">
        <w:t> </w:t>
      </w:r>
      <w:r w:rsidR="008E7690" w:rsidRPr="008E7690">
        <w:t>ukončení akce</w:t>
      </w:r>
      <w:r w:rsidR="008E7690">
        <w:t xml:space="preserve"> a neprodleně předat správci rozpočtu souhrnnou informaci o</w:t>
      </w:r>
      <w:r w:rsidR="000A2E72">
        <w:t> </w:t>
      </w:r>
      <w:r w:rsidR="008E7690">
        <w:t>ukončení akce, včetně jejího finančního vypořádání.</w:t>
      </w:r>
      <w:r w:rsidR="002025FD">
        <w:t xml:space="preserve"> </w:t>
      </w:r>
      <w:bookmarkStart w:id="14" w:name="_Hlk141223657"/>
      <w:r w:rsidR="005921DB">
        <w:t>V této souvislosti NKÚ zjistil</w:t>
      </w:r>
      <w:r w:rsidR="008E7690" w:rsidRPr="008E7690">
        <w:t>, že MMR</w:t>
      </w:r>
      <w:r w:rsidR="00A14C00" w:rsidRPr="008E7690">
        <w:t xml:space="preserve"> ke dni kontroly NKÚ (dne 15. 6. 2023</w:t>
      </w:r>
      <w:r w:rsidR="00A14C00">
        <w:t xml:space="preserve">) </w:t>
      </w:r>
      <w:r w:rsidR="00A14C00" w:rsidRPr="008E7690">
        <w:t>nezkontroloval</w:t>
      </w:r>
      <w:r w:rsidR="00A14C00">
        <w:t>o</w:t>
      </w:r>
      <w:r w:rsidR="00A14C00" w:rsidRPr="008E7690">
        <w:t xml:space="preserve"> </w:t>
      </w:r>
      <w:r w:rsidR="008E7690" w:rsidRPr="008E7690">
        <w:t>údaje ZVA předané příjemci dotací u</w:t>
      </w:r>
      <w:r w:rsidR="000A2E72">
        <w:t> </w:t>
      </w:r>
      <w:r w:rsidR="008E7690" w:rsidRPr="008E7690">
        <w:t>vzorku 19 projektů, přičemž</w:t>
      </w:r>
      <w:r w:rsidR="000A2E72">
        <w:t xml:space="preserve"> </w:t>
      </w:r>
      <w:r w:rsidR="008E7690" w:rsidRPr="008E7690">
        <w:t xml:space="preserve">u 14 z nich již uplynula 12měsíční lhůta stanovená </w:t>
      </w:r>
      <w:r w:rsidR="002025FD" w:rsidRPr="008E7690">
        <w:t xml:space="preserve">MMR </w:t>
      </w:r>
      <w:r w:rsidR="008E7690" w:rsidRPr="008E7690">
        <w:t xml:space="preserve">pro jejich kontrolu. </w:t>
      </w:r>
      <w:r w:rsidR="002025FD" w:rsidRPr="002025FD">
        <w:t>Lhůty pro tuto kontrolu MMR překročilo v některých případech až o dva roky.</w:t>
      </w:r>
    </w:p>
    <w:p w14:paraId="5C2D68EC" w14:textId="40067DF9" w:rsidR="005954C7" w:rsidRPr="009A06CD" w:rsidRDefault="005954C7" w:rsidP="000A2E72">
      <w:pPr>
        <w:pStyle w:val="JK4"/>
        <w:numPr>
          <w:ilvl w:val="0"/>
          <w:numId w:val="0"/>
        </w:numPr>
        <w:spacing w:before="240" w:after="120"/>
        <w:ind w:left="284" w:hanging="284"/>
      </w:pPr>
      <w:bookmarkStart w:id="15" w:name="_Hlk144203650"/>
      <w:r w:rsidRPr="003D5A9C">
        <w:rPr>
          <w:b/>
          <w:bCs/>
          <w:i/>
          <w:color w:val="FF0000"/>
        </w:rPr>
        <w:t xml:space="preserve">→ </w:t>
      </w:r>
      <w:r w:rsidRPr="003D5A9C">
        <w:rPr>
          <w:b/>
          <w:bCs/>
          <w:i/>
          <w:color w:val="FF0000"/>
        </w:rPr>
        <w:tab/>
      </w:r>
      <w:r>
        <w:rPr>
          <w:b/>
          <w:bCs/>
          <w:i/>
          <w:color w:val="FF0000"/>
        </w:rPr>
        <w:t xml:space="preserve"> … </w:t>
      </w:r>
      <w:r w:rsidR="00217F16">
        <w:rPr>
          <w:b/>
          <w:bCs/>
          <w:i/>
          <w:color w:val="FF0000"/>
        </w:rPr>
        <w:t xml:space="preserve">a </w:t>
      </w:r>
      <w:r>
        <w:rPr>
          <w:b/>
          <w:bCs/>
          <w:i/>
          <w:color w:val="FF0000"/>
        </w:rPr>
        <w:t>nemělo</w:t>
      </w:r>
      <w:r w:rsidR="00217F16">
        <w:rPr>
          <w:b/>
          <w:bCs/>
          <w:i/>
          <w:color w:val="FF0000"/>
        </w:rPr>
        <w:t xml:space="preserve"> tak</w:t>
      </w:r>
      <w:r>
        <w:rPr>
          <w:b/>
          <w:bCs/>
          <w:i/>
          <w:color w:val="FF0000"/>
        </w:rPr>
        <w:t xml:space="preserve"> úplné informace z dotačně podpořených projektů</w:t>
      </w:r>
      <w:r w:rsidR="00172319">
        <w:rPr>
          <w:b/>
          <w:bCs/>
          <w:i/>
          <w:color w:val="FF0000"/>
        </w:rPr>
        <w:t xml:space="preserve"> z let 2018</w:t>
      </w:r>
      <w:r w:rsidR="00456800">
        <w:rPr>
          <w:b/>
          <w:bCs/>
          <w:i/>
          <w:color w:val="FF0000"/>
        </w:rPr>
        <w:t>–</w:t>
      </w:r>
      <w:r w:rsidR="00172319">
        <w:rPr>
          <w:b/>
          <w:bCs/>
          <w:i/>
          <w:color w:val="FF0000"/>
        </w:rPr>
        <w:t>2020</w:t>
      </w:r>
      <w:r>
        <w:rPr>
          <w:b/>
          <w:bCs/>
          <w:i/>
          <w:color w:val="FF0000"/>
        </w:rPr>
        <w:t>.</w:t>
      </w:r>
    </w:p>
    <w:bookmarkEnd w:id="14"/>
    <w:bookmarkEnd w:id="15"/>
    <w:p w14:paraId="23DCCECF" w14:textId="545A007F" w:rsidR="00881E61" w:rsidRDefault="002025FD" w:rsidP="00666FAD">
      <w:pPr>
        <w:pStyle w:val="JK4"/>
        <w:keepNext w:val="0"/>
        <w:numPr>
          <w:ilvl w:val="0"/>
          <w:numId w:val="0"/>
        </w:numPr>
        <w:tabs>
          <w:tab w:val="left" w:pos="567"/>
        </w:tabs>
        <w:spacing w:after="120"/>
      </w:pPr>
      <w:r>
        <w:t>NKÚ zjistil</w:t>
      </w:r>
      <w:r w:rsidRPr="002025FD">
        <w:t xml:space="preserve">, že MMR </w:t>
      </w:r>
      <w:r w:rsidR="00F55EB6">
        <w:t>provedlo kontrolu</w:t>
      </w:r>
      <w:r w:rsidRPr="002025FD">
        <w:t xml:space="preserve"> pouze část ZVA z výzev roku 2017</w:t>
      </w:r>
      <w:r w:rsidR="00881E61">
        <w:t>.</w:t>
      </w:r>
      <w:r w:rsidR="00247230">
        <w:t xml:space="preserve"> </w:t>
      </w:r>
      <w:r w:rsidR="00881E61">
        <w:t>NKÚ</w:t>
      </w:r>
      <w:r w:rsidR="000A2E72">
        <w:t xml:space="preserve"> </w:t>
      </w:r>
      <w:r w:rsidR="00881E61">
        <w:t>dále zjistil, že</w:t>
      </w:r>
      <w:r w:rsidR="000A2E72">
        <w:t xml:space="preserve"> </w:t>
      </w:r>
      <w:r w:rsidR="00881E61" w:rsidRPr="001E13A9">
        <w:t>do</w:t>
      </w:r>
      <w:r w:rsidR="000A2E72">
        <w:t xml:space="preserve"> </w:t>
      </w:r>
      <w:r w:rsidR="00881E61" w:rsidRPr="001E13A9">
        <w:t xml:space="preserve">základního souboru sloužícího pro výběr vzorku </w:t>
      </w:r>
      <w:r w:rsidR="00881E61">
        <w:t xml:space="preserve">ke kontrole na místě </w:t>
      </w:r>
      <w:r w:rsidR="00881E61" w:rsidRPr="001E13A9">
        <w:t xml:space="preserve">zahrnovalo MMR převážně </w:t>
      </w:r>
      <w:r w:rsidR="00881E61">
        <w:t>pouze</w:t>
      </w:r>
      <w:r w:rsidR="00881E61" w:rsidRPr="001E13A9">
        <w:t xml:space="preserve"> ukončené akce s</w:t>
      </w:r>
      <w:r w:rsidR="00881E61">
        <w:t xml:space="preserve">e schváleným </w:t>
      </w:r>
      <w:r w:rsidR="00881E61" w:rsidRPr="001E13A9">
        <w:t>ZVA. Pokud</w:t>
      </w:r>
      <w:r w:rsidR="000A2E72">
        <w:t xml:space="preserve"> </w:t>
      </w:r>
      <w:r w:rsidR="00881E61" w:rsidRPr="001E13A9">
        <w:t xml:space="preserve">tedy projekt neměl schválené ZVA, nepodléhal zpravidla ani následné </w:t>
      </w:r>
      <w:r w:rsidR="00881E61">
        <w:t>veřejnosprávní kontrole</w:t>
      </w:r>
      <w:r w:rsidR="00881E61" w:rsidRPr="001E13A9">
        <w:t xml:space="preserve"> ze strany MMR.</w:t>
      </w:r>
      <w:r w:rsidR="00881E61">
        <w:t xml:space="preserve"> </w:t>
      </w:r>
      <w:r w:rsidR="002E401D" w:rsidRPr="00BE15A2">
        <w:rPr>
          <w:rFonts w:asciiTheme="minorHAnsi" w:hAnsiTheme="minorHAnsi" w:cstheme="minorHAnsi"/>
        </w:rPr>
        <w:t>MMR tak nezjistilo nedostatky projektů, které bylo možné detekovat pouze při</w:t>
      </w:r>
      <w:r w:rsidR="000A2E72">
        <w:rPr>
          <w:rFonts w:asciiTheme="minorHAnsi" w:hAnsiTheme="minorHAnsi" w:cstheme="minorHAnsi"/>
        </w:rPr>
        <w:t xml:space="preserve"> </w:t>
      </w:r>
      <w:r w:rsidR="002E401D" w:rsidRPr="00BE15A2">
        <w:rPr>
          <w:rFonts w:asciiTheme="minorHAnsi" w:hAnsiTheme="minorHAnsi" w:cstheme="minorHAnsi"/>
        </w:rPr>
        <w:t>kontrole na místě. NKÚ přitom při</w:t>
      </w:r>
      <w:r w:rsidR="000A2E72">
        <w:rPr>
          <w:rFonts w:asciiTheme="minorHAnsi" w:hAnsiTheme="minorHAnsi" w:cstheme="minorHAnsi"/>
        </w:rPr>
        <w:t xml:space="preserve"> </w:t>
      </w:r>
      <w:r w:rsidR="002E401D" w:rsidRPr="00BE15A2">
        <w:rPr>
          <w:rFonts w:asciiTheme="minorHAnsi" w:hAnsiTheme="minorHAnsi" w:cstheme="minorHAnsi"/>
        </w:rPr>
        <w:t xml:space="preserve">kontrole na místě zjistil u příjemců podpory významné nedostatky, na které poukazuje v oddílech </w:t>
      </w:r>
      <w:r w:rsidR="002E401D">
        <w:rPr>
          <w:rFonts w:asciiTheme="minorHAnsi" w:hAnsiTheme="minorHAnsi" w:cstheme="minorHAnsi"/>
        </w:rPr>
        <w:t>IV</w:t>
      </w:r>
      <w:r w:rsidR="002E401D" w:rsidRPr="00BE15A2">
        <w:rPr>
          <w:rFonts w:asciiTheme="minorHAnsi" w:hAnsiTheme="minorHAnsi" w:cstheme="minorHAnsi"/>
        </w:rPr>
        <w:t xml:space="preserve">.D a </w:t>
      </w:r>
      <w:r w:rsidR="002E401D">
        <w:rPr>
          <w:rFonts w:asciiTheme="minorHAnsi" w:hAnsiTheme="minorHAnsi" w:cstheme="minorHAnsi"/>
        </w:rPr>
        <w:t>IV</w:t>
      </w:r>
      <w:r w:rsidR="002E401D" w:rsidRPr="00BE15A2">
        <w:rPr>
          <w:rFonts w:asciiTheme="minorHAnsi" w:hAnsiTheme="minorHAnsi" w:cstheme="minorHAnsi"/>
        </w:rPr>
        <w:t>.E tohoto kontrolního závěru.</w:t>
      </w:r>
    </w:p>
    <w:p w14:paraId="3F61D8F3" w14:textId="0B66482E" w:rsidR="00F05A5C" w:rsidRDefault="00FF5B85" w:rsidP="00FC7381">
      <w:pPr>
        <w:pStyle w:val="JK4"/>
        <w:keepNext w:val="0"/>
        <w:numPr>
          <w:ilvl w:val="0"/>
          <w:numId w:val="0"/>
        </w:numPr>
        <w:tabs>
          <w:tab w:val="left" w:pos="567"/>
        </w:tabs>
        <w:spacing w:after="120"/>
      </w:pPr>
      <w:r>
        <w:t>Tím</w:t>
      </w:r>
      <w:r w:rsidR="00666FAD" w:rsidRPr="00666FAD">
        <w:t xml:space="preserve">, že </w:t>
      </w:r>
      <w:r>
        <w:t xml:space="preserve">MMR </w:t>
      </w:r>
      <w:r w:rsidR="00666FAD" w:rsidRPr="00666FAD">
        <w:t>neproved</w:t>
      </w:r>
      <w:r>
        <w:t>lo</w:t>
      </w:r>
      <w:r w:rsidR="00666FAD" w:rsidRPr="00666FAD">
        <w:t xml:space="preserve"> kontrol</w:t>
      </w:r>
      <w:r>
        <w:t>u</w:t>
      </w:r>
      <w:r w:rsidR="00666FAD" w:rsidRPr="00666FAD">
        <w:t xml:space="preserve"> údajů uvedených v ZVA, </w:t>
      </w:r>
      <w:r w:rsidR="00881E61">
        <w:t xml:space="preserve">zároveň </w:t>
      </w:r>
      <w:r w:rsidR="00666FAD" w:rsidRPr="00666FAD">
        <w:t xml:space="preserve">nemá </w:t>
      </w:r>
      <w:r>
        <w:t xml:space="preserve">aktuální, </w:t>
      </w:r>
      <w:r w:rsidR="00666FAD" w:rsidRPr="00666FAD">
        <w:t>správné a</w:t>
      </w:r>
      <w:r w:rsidR="000A2E72">
        <w:t> </w:t>
      </w:r>
      <w:r w:rsidR="00666FAD" w:rsidRPr="00666FAD">
        <w:t>úplné informace o efektivnosti akce, včetně naplnění jednotlivých cílů</w:t>
      </w:r>
      <w:r>
        <w:t xml:space="preserve">, </w:t>
      </w:r>
      <w:r w:rsidR="00912D09">
        <w:t>tedy informace mj.</w:t>
      </w:r>
      <w:r w:rsidR="000A2E72">
        <w:t> </w:t>
      </w:r>
      <w:r w:rsidR="00912D09">
        <w:t xml:space="preserve">potřebné </w:t>
      </w:r>
      <w:r>
        <w:t xml:space="preserve">pro </w:t>
      </w:r>
      <w:r w:rsidR="00912D09">
        <w:t xml:space="preserve">efektivní </w:t>
      </w:r>
      <w:r>
        <w:t xml:space="preserve">řízení </w:t>
      </w:r>
      <w:r w:rsidR="008C4F32">
        <w:t xml:space="preserve">a provádění </w:t>
      </w:r>
      <w:r>
        <w:t>NPPCRR.</w:t>
      </w:r>
      <w:r w:rsidR="00F05A5C">
        <w:t xml:space="preserve"> </w:t>
      </w:r>
      <w:bookmarkStart w:id="16" w:name="_Hlk148507042"/>
      <w:r w:rsidR="00F05A5C">
        <w:t>I v případě provedení ZVA nemusí MMR z důvodu nedostatečnosti nastavených cílů na úrovni projektů a požadavků na informování dostat všechny potřebné informace pro hodnocení efektivnosti uskutečněných akcí k tomu, aby plnilo své povinnosti uvedené v ustanovení § 39 odst. 3</w:t>
      </w:r>
      <w:r w:rsidR="00B1206F">
        <w:t> </w:t>
      </w:r>
      <w:r w:rsidR="00F05A5C">
        <w:t>zákona č. 218/2000 Sb.</w:t>
      </w:r>
      <w:bookmarkEnd w:id="16"/>
    </w:p>
    <w:p w14:paraId="4548406B" w14:textId="25581672" w:rsidR="00FC7381" w:rsidRDefault="009A1D69" w:rsidP="002C022B">
      <w:pPr>
        <w:pStyle w:val="JK4"/>
        <w:keepNext w:val="0"/>
        <w:numPr>
          <w:ilvl w:val="0"/>
          <w:numId w:val="0"/>
        </w:numPr>
        <w:tabs>
          <w:tab w:val="left" w:pos="567"/>
        </w:tabs>
        <w:spacing w:after="240"/>
      </w:pPr>
      <w:r>
        <w:t xml:space="preserve">Následující příklad pak ilustruje, že nastavení kontrolních procesů na MMR dále </w:t>
      </w:r>
      <w:r w:rsidR="00F86B3D">
        <w:t xml:space="preserve">vede </w:t>
      </w:r>
      <w:r>
        <w:t xml:space="preserve">k tomu, že ponechání některých kontrolních kroků až na kontrolu ZVA ve spojitosti s neprováděním těchto kontrol </w:t>
      </w:r>
      <w:r w:rsidR="00F86B3D">
        <w:t>znamená</w:t>
      </w:r>
      <w:r>
        <w:t>, že MMR neodhal</w:t>
      </w:r>
      <w:r w:rsidR="00557232">
        <w:t>ilo</w:t>
      </w:r>
      <w:r>
        <w:t xml:space="preserve"> ani některá pochybení, která </w:t>
      </w:r>
      <w:r w:rsidR="00557232">
        <w:t>by byla</w:t>
      </w:r>
      <w:r>
        <w:t xml:space="preserve"> schopná zachytit účinná administrativní kontrola „od stolu“.</w:t>
      </w:r>
    </w:p>
    <w:tbl>
      <w:tblPr>
        <w:tblStyle w:val="Mkatabulky"/>
        <w:tblW w:w="0" w:type="auto"/>
        <w:tblLook w:val="04A0" w:firstRow="1" w:lastRow="0" w:firstColumn="1" w:lastColumn="0" w:noHBand="0" w:noVBand="1"/>
      </w:tblPr>
      <w:tblGrid>
        <w:gridCol w:w="9062"/>
      </w:tblGrid>
      <w:tr w:rsidR="00FC7381" w14:paraId="51C57A80" w14:textId="77777777" w:rsidTr="00FC7381">
        <w:tc>
          <w:tcPr>
            <w:tcW w:w="9062" w:type="dxa"/>
          </w:tcPr>
          <w:p w14:paraId="3C7BA83C" w14:textId="4FDBDD39" w:rsidR="00FC7381" w:rsidRPr="00FF44D9" w:rsidRDefault="00FC7381" w:rsidP="00FC7381">
            <w:pPr>
              <w:spacing w:after="120"/>
              <w:rPr>
                <w:b/>
                <w:color w:val="2F5496" w:themeColor="accent5" w:themeShade="BF"/>
                <w:sz w:val="24"/>
                <w:szCs w:val="24"/>
              </w:rPr>
            </w:pPr>
            <w:r w:rsidRPr="00FF44D9">
              <w:rPr>
                <w:b/>
                <w:color w:val="2F5496" w:themeColor="accent5" w:themeShade="BF"/>
                <w:sz w:val="24"/>
                <w:szCs w:val="24"/>
              </w:rPr>
              <w:t xml:space="preserve">Příklad č. </w:t>
            </w:r>
            <w:r w:rsidR="0025340F">
              <w:rPr>
                <w:b/>
                <w:color w:val="2F5496" w:themeColor="accent5" w:themeShade="BF"/>
                <w:sz w:val="24"/>
                <w:szCs w:val="24"/>
              </w:rPr>
              <w:t>3</w:t>
            </w:r>
          </w:p>
          <w:p w14:paraId="280DA394" w14:textId="2A723979" w:rsidR="00F86B3D" w:rsidRPr="000A2E72" w:rsidRDefault="000173E4" w:rsidP="0096521D">
            <w:pPr>
              <w:pStyle w:val="JK4"/>
              <w:keepNext w:val="0"/>
              <w:numPr>
                <w:ilvl w:val="0"/>
                <w:numId w:val="0"/>
              </w:numPr>
              <w:tabs>
                <w:tab w:val="left" w:pos="567"/>
              </w:tabs>
              <w:spacing w:after="120"/>
              <w:rPr>
                <w:sz w:val="22"/>
                <w:szCs w:val="22"/>
              </w:rPr>
            </w:pPr>
            <w:r w:rsidRPr="000A2E72">
              <w:rPr>
                <w:sz w:val="22"/>
                <w:szCs w:val="22"/>
              </w:rPr>
              <w:t xml:space="preserve">Zásady pro poskytování dotace </w:t>
            </w:r>
            <w:r w:rsidR="0096521D" w:rsidRPr="000A2E72">
              <w:rPr>
                <w:sz w:val="22"/>
                <w:szCs w:val="22"/>
              </w:rPr>
              <w:t xml:space="preserve">stanoví, že příjemce </w:t>
            </w:r>
            <w:r w:rsidR="00DC2B06" w:rsidRPr="000A2E72">
              <w:rPr>
                <w:sz w:val="22"/>
                <w:szCs w:val="22"/>
              </w:rPr>
              <w:t>podpory</w:t>
            </w:r>
            <w:r w:rsidR="0096521D" w:rsidRPr="000A2E72">
              <w:rPr>
                <w:sz w:val="22"/>
                <w:szCs w:val="22"/>
              </w:rPr>
              <w:t xml:space="preserve"> </w:t>
            </w:r>
            <w:r w:rsidR="00EB5D1A" w:rsidRPr="000A2E72">
              <w:rPr>
                <w:sz w:val="22"/>
                <w:szCs w:val="22"/>
              </w:rPr>
              <w:t xml:space="preserve">bude </w:t>
            </w:r>
            <w:r w:rsidR="0096521D" w:rsidRPr="000A2E72">
              <w:rPr>
                <w:sz w:val="22"/>
                <w:szCs w:val="22"/>
              </w:rPr>
              <w:t>pro tok vlastních a</w:t>
            </w:r>
            <w:r w:rsidR="004A1C8A" w:rsidRPr="000A2E72">
              <w:rPr>
                <w:sz w:val="22"/>
                <w:szCs w:val="22"/>
              </w:rPr>
              <w:t> </w:t>
            </w:r>
            <w:r w:rsidR="0096521D" w:rsidRPr="000A2E72">
              <w:rPr>
                <w:sz w:val="22"/>
                <w:szCs w:val="22"/>
              </w:rPr>
              <w:t>dotačních peněžních prostředků pro financování akce podpořené v rámci NPPCRR</w:t>
            </w:r>
            <w:r w:rsidR="00EB5D1A" w:rsidRPr="000A2E72">
              <w:rPr>
                <w:sz w:val="22"/>
                <w:szCs w:val="22"/>
              </w:rPr>
              <w:t xml:space="preserve"> využívat k tomu určený specializovaný účet, který </w:t>
            </w:r>
            <w:r w:rsidR="00AD1610" w:rsidRPr="000A2E72">
              <w:rPr>
                <w:sz w:val="22"/>
                <w:szCs w:val="22"/>
              </w:rPr>
              <w:t>bude užíván pouze pro účely dotace</w:t>
            </w:r>
            <w:r w:rsidR="009A1D69" w:rsidRPr="000A2E72">
              <w:rPr>
                <w:sz w:val="22"/>
                <w:szCs w:val="22"/>
              </w:rPr>
              <w:t>.</w:t>
            </w:r>
            <w:r w:rsidR="0096521D" w:rsidRPr="000A2E72">
              <w:rPr>
                <w:sz w:val="22"/>
                <w:szCs w:val="22"/>
              </w:rPr>
              <w:t xml:space="preserve"> </w:t>
            </w:r>
            <w:r w:rsidR="00EB5D1A" w:rsidRPr="000A2E72">
              <w:rPr>
                <w:sz w:val="22"/>
                <w:szCs w:val="22"/>
              </w:rPr>
              <w:t xml:space="preserve">Příjemce </w:t>
            </w:r>
            <w:r w:rsidR="00DC2B06" w:rsidRPr="000A2E72">
              <w:rPr>
                <w:sz w:val="22"/>
                <w:szCs w:val="22"/>
              </w:rPr>
              <w:t>podpory</w:t>
            </w:r>
            <w:r w:rsidR="00EB5D1A" w:rsidRPr="000A2E72">
              <w:rPr>
                <w:sz w:val="22"/>
                <w:szCs w:val="22"/>
              </w:rPr>
              <w:t xml:space="preserve"> předložil na MMR výpis</w:t>
            </w:r>
            <w:r w:rsidR="00AD1610" w:rsidRPr="000A2E72">
              <w:rPr>
                <w:sz w:val="22"/>
                <w:szCs w:val="22"/>
              </w:rPr>
              <w:t>y</w:t>
            </w:r>
            <w:r w:rsidR="00EB5D1A" w:rsidRPr="000A2E72">
              <w:rPr>
                <w:sz w:val="22"/>
                <w:szCs w:val="22"/>
              </w:rPr>
              <w:t xml:space="preserve"> z bankovního účtu</w:t>
            </w:r>
            <w:r w:rsidR="00AD1610" w:rsidRPr="000A2E72">
              <w:rPr>
                <w:sz w:val="22"/>
                <w:szCs w:val="22"/>
              </w:rPr>
              <w:t>, ze kterých bylo zřejmé, že</w:t>
            </w:r>
            <w:r w:rsidR="004A1C8A" w:rsidRPr="000A2E72">
              <w:rPr>
                <w:sz w:val="22"/>
                <w:szCs w:val="22"/>
              </w:rPr>
              <w:t xml:space="preserve"> </w:t>
            </w:r>
            <w:r w:rsidR="00723B7E" w:rsidRPr="000A2E72">
              <w:rPr>
                <w:sz w:val="22"/>
                <w:szCs w:val="22"/>
              </w:rPr>
              <w:t xml:space="preserve">bankovní účet </w:t>
            </w:r>
            <w:r w:rsidR="00AD1610" w:rsidRPr="000A2E72">
              <w:rPr>
                <w:sz w:val="22"/>
                <w:szCs w:val="22"/>
              </w:rPr>
              <w:t xml:space="preserve">používal </w:t>
            </w:r>
            <w:r w:rsidR="00723B7E" w:rsidRPr="000A2E72">
              <w:rPr>
                <w:sz w:val="22"/>
                <w:szCs w:val="22"/>
              </w:rPr>
              <w:t>k úhradě i jiných nákladů</w:t>
            </w:r>
            <w:r w:rsidR="001F220E">
              <w:rPr>
                <w:sz w:val="22"/>
                <w:szCs w:val="22"/>
              </w:rPr>
              <w:t>,</w:t>
            </w:r>
            <w:r w:rsidR="00723B7E" w:rsidRPr="000A2E72">
              <w:rPr>
                <w:sz w:val="22"/>
                <w:szCs w:val="22"/>
              </w:rPr>
              <w:t xml:space="preserve"> nesouvisejících s realizovaným projektem. </w:t>
            </w:r>
          </w:p>
          <w:p w14:paraId="152BF0E7" w14:textId="3B68F00E" w:rsidR="00723B7E" w:rsidRDefault="00295A79" w:rsidP="00200E5D">
            <w:pPr>
              <w:pStyle w:val="JK4"/>
              <w:keepNext w:val="0"/>
              <w:numPr>
                <w:ilvl w:val="0"/>
                <w:numId w:val="0"/>
              </w:numPr>
              <w:tabs>
                <w:tab w:val="left" w:pos="567"/>
              </w:tabs>
              <w:spacing w:after="120"/>
            </w:pPr>
            <w:r w:rsidRPr="000A2E72">
              <w:rPr>
                <w:sz w:val="22"/>
                <w:szCs w:val="22"/>
              </w:rPr>
              <w:t xml:space="preserve">MMR tuto skutečnost ověřuje </w:t>
            </w:r>
            <w:r w:rsidR="00AF6F2C" w:rsidRPr="000A2E72">
              <w:rPr>
                <w:sz w:val="22"/>
                <w:szCs w:val="22"/>
              </w:rPr>
              <w:t xml:space="preserve">zpravidla v rámci kontroly ZVA, popř. </w:t>
            </w:r>
            <w:r w:rsidR="001F220E">
              <w:rPr>
                <w:sz w:val="22"/>
                <w:szCs w:val="22"/>
              </w:rPr>
              <w:t>u </w:t>
            </w:r>
            <w:r w:rsidR="00AF6F2C" w:rsidRPr="000A2E72">
              <w:rPr>
                <w:sz w:val="22"/>
                <w:szCs w:val="22"/>
              </w:rPr>
              <w:t>průběžné zprávy</w:t>
            </w:r>
            <w:r w:rsidR="00F86B3D" w:rsidRPr="000A2E72">
              <w:rPr>
                <w:sz w:val="22"/>
                <w:szCs w:val="22"/>
              </w:rPr>
              <w:t>, a</w:t>
            </w:r>
            <w:r w:rsidR="001F220E">
              <w:rPr>
                <w:sz w:val="22"/>
                <w:szCs w:val="22"/>
              </w:rPr>
              <w:t>le</w:t>
            </w:r>
            <w:r w:rsidR="00F86B3D" w:rsidRPr="000A2E72">
              <w:rPr>
                <w:sz w:val="22"/>
                <w:szCs w:val="22"/>
              </w:rPr>
              <w:t xml:space="preserve"> ani u</w:t>
            </w:r>
            <w:r w:rsidR="001F220E">
              <w:rPr>
                <w:sz w:val="22"/>
                <w:szCs w:val="22"/>
              </w:rPr>
              <w:t> </w:t>
            </w:r>
            <w:r w:rsidR="00F86B3D" w:rsidRPr="000A2E72">
              <w:rPr>
                <w:sz w:val="22"/>
                <w:szCs w:val="22"/>
              </w:rPr>
              <w:t>tohoto projektu nepostupovalo jinak a pochybení příjemce před kontrolou NKÚ neodhalilo.</w:t>
            </w:r>
            <w:r w:rsidR="00200E5D" w:rsidRPr="000A2E72">
              <w:rPr>
                <w:sz w:val="22"/>
                <w:szCs w:val="22"/>
              </w:rPr>
              <w:t xml:space="preserve"> </w:t>
            </w:r>
            <w:r w:rsidR="005954C7" w:rsidRPr="000A2E72">
              <w:rPr>
                <w:sz w:val="22"/>
                <w:szCs w:val="22"/>
              </w:rPr>
              <w:t xml:space="preserve">Důsledkem </w:t>
            </w:r>
            <w:r w:rsidR="00AD1610" w:rsidRPr="000A2E72">
              <w:rPr>
                <w:sz w:val="22"/>
                <w:szCs w:val="22"/>
              </w:rPr>
              <w:t>tohoto postupu</w:t>
            </w:r>
            <w:r w:rsidR="005954C7" w:rsidRPr="000A2E72">
              <w:rPr>
                <w:sz w:val="22"/>
                <w:szCs w:val="22"/>
              </w:rPr>
              <w:t xml:space="preserve"> je dosavadní neuvalení sankce</w:t>
            </w:r>
            <w:r w:rsidR="00854BD1" w:rsidRPr="000A2E72">
              <w:rPr>
                <w:sz w:val="22"/>
                <w:szCs w:val="22"/>
              </w:rPr>
              <w:t xml:space="preserve"> dle </w:t>
            </w:r>
            <w:proofErr w:type="spellStart"/>
            <w:r w:rsidR="00854BD1" w:rsidRPr="000A2E72">
              <w:rPr>
                <w:sz w:val="22"/>
                <w:szCs w:val="22"/>
              </w:rPr>
              <w:t>RoPD</w:t>
            </w:r>
            <w:proofErr w:type="spellEnd"/>
            <w:r w:rsidR="005954C7" w:rsidRPr="000A2E72">
              <w:rPr>
                <w:sz w:val="22"/>
                <w:szCs w:val="22"/>
              </w:rPr>
              <w:t>, které má činit 0,5 % z poskytnuté částky dotace.</w:t>
            </w:r>
          </w:p>
        </w:tc>
      </w:tr>
    </w:tbl>
    <w:p w14:paraId="49321827" w14:textId="57C45B87" w:rsidR="004054AF" w:rsidRPr="00EF49FA" w:rsidRDefault="005F46C9" w:rsidP="000A2E72">
      <w:pPr>
        <w:pStyle w:val="Nadpis2"/>
        <w:spacing w:before="240" w:after="120" w:line="240" w:lineRule="auto"/>
        <w:ind w:left="284" w:hanging="284"/>
        <w:rPr>
          <w:rFonts w:asciiTheme="minorHAnsi" w:eastAsiaTheme="minorHAnsi" w:hAnsiTheme="minorHAnsi" w:cstheme="minorHAnsi"/>
          <w:i/>
          <w:color w:val="0070C0"/>
          <w:sz w:val="24"/>
          <w:szCs w:val="24"/>
        </w:rPr>
      </w:pPr>
      <w:r>
        <w:rPr>
          <w:rFonts w:asciiTheme="minorHAnsi" w:eastAsiaTheme="minorHAnsi" w:hAnsiTheme="minorHAnsi" w:cstheme="minorHAnsi"/>
          <w:i/>
          <w:color w:val="0070C0"/>
          <w:sz w:val="24"/>
          <w:szCs w:val="24"/>
        </w:rPr>
        <w:t>D</w:t>
      </w:r>
      <w:r w:rsidR="004054AF">
        <w:rPr>
          <w:rFonts w:asciiTheme="minorHAnsi" w:eastAsiaTheme="minorHAnsi" w:hAnsiTheme="minorHAnsi" w:cstheme="minorHAnsi"/>
          <w:i/>
          <w:color w:val="0070C0"/>
          <w:sz w:val="24"/>
          <w:szCs w:val="24"/>
        </w:rPr>
        <w:t xml:space="preserve">. </w:t>
      </w:r>
      <w:r w:rsidR="000A2E72">
        <w:rPr>
          <w:rFonts w:asciiTheme="minorHAnsi" w:eastAsiaTheme="minorHAnsi" w:hAnsiTheme="minorHAnsi" w:cstheme="minorHAnsi"/>
          <w:i/>
          <w:color w:val="0070C0"/>
          <w:sz w:val="24"/>
          <w:szCs w:val="24"/>
        </w:rPr>
        <w:tab/>
      </w:r>
      <w:r w:rsidR="006931FA">
        <w:rPr>
          <w:rFonts w:asciiTheme="minorHAnsi" w:eastAsiaTheme="minorHAnsi" w:hAnsiTheme="minorHAnsi" w:cstheme="minorHAnsi"/>
          <w:i/>
          <w:color w:val="0070C0"/>
          <w:sz w:val="24"/>
          <w:szCs w:val="24"/>
        </w:rPr>
        <w:t>P</w:t>
      </w:r>
      <w:r w:rsidR="004054AF" w:rsidRPr="00EF49FA">
        <w:rPr>
          <w:rFonts w:asciiTheme="minorHAnsi" w:eastAsiaTheme="minorHAnsi" w:hAnsiTheme="minorHAnsi" w:cstheme="minorHAnsi"/>
          <w:i/>
          <w:color w:val="0070C0"/>
          <w:sz w:val="24"/>
          <w:szCs w:val="24"/>
        </w:rPr>
        <w:t xml:space="preserve">eněžní prostředky na podporu vybraných příjemců </w:t>
      </w:r>
      <w:r w:rsidR="00DC2B06">
        <w:rPr>
          <w:rFonts w:asciiTheme="minorHAnsi" w:eastAsiaTheme="minorHAnsi" w:hAnsiTheme="minorHAnsi" w:cstheme="minorHAnsi"/>
          <w:i/>
          <w:color w:val="0070C0"/>
          <w:sz w:val="24"/>
          <w:szCs w:val="24"/>
        </w:rPr>
        <w:t xml:space="preserve">podpory z </w:t>
      </w:r>
      <w:r w:rsidR="004054AF" w:rsidRPr="00EF49FA">
        <w:rPr>
          <w:rFonts w:asciiTheme="minorHAnsi" w:eastAsiaTheme="minorHAnsi" w:hAnsiTheme="minorHAnsi" w:cstheme="minorHAnsi"/>
          <w:i/>
          <w:color w:val="0070C0"/>
          <w:sz w:val="24"/>
          <w:szCs w:val="24"/>
        </w:rPr>
        <w:t xml:space="preserve">NPPCRR </w:t>
      </w:r>
      <w:r w:rsidR="006931FA">
        <w:rPr>
          <w:rFonts w:asciiTheme="minorHAnsi" w:eastAsiaTheme="minorHAnsi" w:hAnsiTheme="minorHAnsi" w:cstheme="minorHAnsi"/>
          <w:i/>
          <w:color w:val="0070C0"/>
          <w:sz w:val="24"/>
          <w:szCs w:val="24"/>
        </w:rPr>
        <w:t xml:space="preserve">nebyly </w:t>
      </w:r>
      <w:r w:rsidR="00DD43F3">
        <w:rPr>
          <w:rFonts w:asciiTheme="minorHAnsi" w:eastAsiaTheme="minorHAnsi" w:hAnsiTheme="minorHAnsi" w:cstheme="minorHAnsi"/>
          <w:i/>
          <w:color w:val="0070C0"/>
          <w:sz w:val="24"/>
          <w:szCs w:val="24"/>
        </w:rPr>
        <w:t xml:space="preserve">v některých případech </w:t>
      </w:r>
      <w:r w:rsidR="004054AF" w:rsidRPr="00EF49FA">
        <w:rPr>
          <w:rFonts w:asciiTheme="minorHAnsi" w:eastAsiaTheme="minorHAnsi" w:hAnsiTheme="minorHAnsi" w:cstheme="minorHAnsi"/>
          <w:i/>
          <w:color w:val="0070C0"/>
          <w:sz w:val="24"/>
          <w:szCs w:val="24"/>
        </w:rPr>
        <w:t>poskytovány a čerpány účelně</w:t>
      </w:r>
      <w:r w:rsidR="006931FA">
        <w:rPr>
          <w:rFonts w:asciiTheme="minorHAnsi" w:eastAsiaTheme="minorHAnsi" w:hAnsiTheme="minorHAnsi" w:cstheme="minorHAnsi"/>
          <w:i/>
          <w:color w:val="0070C0"/>
          <w:sz w:val="24"/>
          <w:szCs w:val="24"/>
        </w:rPr>
        <w:t>.</w:t>
      </w:r>
    </w:p>
    <w:p w14:paraId="105B0D00" w14:textId="66A13319" w:rsidR="00A76049" w:rsidRPr="00CF2FEB" w:rsidRDefault="00A76049" w:rsidP="00CF2FEB">
      <w:pPr>
        <w:pStyle w:val="JK4"/>
        <w:keepNext w:val="0"/>
        <w:numPr>
          <w:ilvl w:val="0"/>
          <w:numId w:val="0"/>
        </w:numPr>
        <w:tabs>
          <w:tab w:val="left" w:pos="567"/>
        </w:tabs>
        <w:spacing w:after="120"/>
      </w:pPr>
      <w:bookmarkStart w:id="17" w:name="_Hlk99007641"/>
      <w:r w:rsidRPr="00CF2FEB">
        <w:t>Na základě skutečností zjištěných při kontrole vybraných projektů a u poskytovatel</w:t>
      </w:r>
      <w:r w:rsidR="00CF2FEB" w:rsidRPr="00CF2FEB">
        <w:t>e</w:t>
      </w:r>
      <w:r w:rsidRPr="00CF2FEB">
        <w:t xml:space="preserve"> podpory provedl NKÚ vyhodnocení toho, zda peněžní prostředky státního rozpočtu </w:t>
      </w:r>
      <w:r w:rsidR="00CF2FEB" w:rsidRPr="00CF2FEB">
        <w:t>určené</w:t>
      </w:r>
      <w:r w:rsidRPr="00CF2FEB">
        <w:t xml:space="preserve"> na</w:t>
      </w:r>
      <w:r w:rsidR="000A2E72">
        <w:t xml:space="preserve"> </w:t>
      </w:r>
      <w:r w:rsidRPr="00CF2FEB">
        <w:t xml:space="preserve">podporu </w:t>
      </w:r>
      <w:r w:rsidR="00CF2FEB" w:rsidRPr="00CF2FEB">
        <w:t>cestovního ruchu</w:t>
      </w:r>
      <w:r w:rsidRPr="00CF2FEB">
        <w:t xml:space="preserve"> byly poskytovány a čerpány účelně. Za tímto účelem </w:t>
      </w:r>
      <w:r w:rsidR="00CF2FEB" w:rsidRPr="00CF2FEB">
        <w:t xml:space="preserve">NKÚ </w:t>
      </w:r>
      <w:r w:rsidRPr="00CF2FEB">
        <w:t>zpracoval pro</w:t>
      </w:r>
      <w:r w:rsidR="000A2E72">
        <w:t xml:space="preserve"> </w:t>
      </w:r>
      <w:r w:rsidRPr="00CF2FEB">
        <w:t xml:space="preserve">hodnocení projektů </w:t>
      </w:r>
      <w:r w:rsidR="009156A0">
        <w:t>pěti</w:t>
      </w:r>
      <w:r w:rsidRPr="00CF2FEB">
        <w:t>stupňovou hodnot</w:t>
      </w:r>
      <w:r w:rsidR="00E56603" w:rsidRPr="00CF2FEB">
        <w:t>i</w:t>
      </w:r>
      <w:r w:rsidRPr="00CF2FEB">
        <w:t>cí škálu (projekt je: účelný</w:t>
      </w:r>
      <w:r w:rsidR="00C9209D" w:rsidRPr="00CF2FEB">
        <w:t> </w:t>
      </w:r>
      <w:r w:rsidRPr="00CF2FEB">
        <w:t>–</w:t>
      </w:r>
      <w:r w:rsidR="000A2E72">
        <w:t xml:space="preserve"> </w:t>
      </w:r>
      <w:r w:rsidRPr="00CF2FEB">
        <w:t>účelný s mírnými nedostatky – účelný omezeně – neúčelný</w:t>
      </w:r>
      <w:r w:rsidR="009156A0">
        <w:t xml:space="preserve"> – projekt nebyl hodnocen</w:t>
      </w:r>
      <w:r w:rsidRPr="00CF2FEB">
        <w:t xml:space="preserve">) a stanovil jednotná kritéria pro </w:t>
      </w:r>
      <w:r w:rsidRPr="00B823A0">
        <w:t>hodnocení (</w:t>
      </w:r>
      <w:r w:rsidR="00E56603" w:rsidRPr="00B823A0">
        <w:t>viz</w:t>
      </w:r>
      <w:r w:rsidR="0060014B" w:rsidRPr="00B823A0">
        <w:t> </w:t>
      </w:r>
      <w:r w:rsidRPr="00B823A0">
        <w:t xml:space="preserve">příloha č. </w:t>
      </w:r>
      <w:r w:rsidR="00060DCD">
        <w:t>3</w:t>
      </w:r>
      <w:r w:rsidR="00E56603" w:rsidRPr="00B823A0">
        <w:t xml:space="preserve"> tohoto kontrolního závěru</w:t>
      </w:r>
      <w:r w:rsidRPr="00B823A0">
        <w:t>). Výsledky posouzení po</w:t>
      </w:r>
      <w:r w:rsidR="000A2E72">
        <w:t xml:space="preserve"> </w:t>
      </w:r>
      <w:r w:rsidRPr="00B823A0">
        <w:t>jednotlivých projektech obsahuje příloha č.</w:t>
      </w:r>
      <w:r w:rsidR="00046F3E" w:rsidRPr="00B823A0">
        <w:t> </w:t>
      </w:r>
      <w:r w:rsidR="00060DCD">
        <w:t>2</w:t>
      </w:r>
      <w:r w:rsidR="00E56603" w:rsidRPr="00B823A0">
        <w:t xml:space="preserve"> tohoto</w:t>
      </w:r>
      <w:r w:rsidR="00E56603" w:rsidRPr="00CF2FEB">
        <w:t xml:space="preserve"> kontrolního závěru</w:t>
      </w:r>
      <w:r w:rsidRPr="00CF2FEB">
        <w:t>.</w:t>
      </w:r>
    </w:p>
    <w:p w14:paraId="100E83B5" w14:textId="5B060A17" w:rsidR="00A76049" w:rsidRPr="0061720A" w:rsidRDefault="00D569BD" w:rsidP="000A2E72">
      <w:pPr>
        <w:pStyle w:val="JK4"/>
        <w:numPr>
          <w:ilvl w:val="0"/>
          <w:numId w:val="0"/>
        </w:numPr>
        <w:spacing w:before="240" w:after="120"/>
        <w:ind w:left="284" w:hanging="284"/>
      </w:pPr>
      <w:bookmarkStart w:id="18" w:name="_Hlk98947168"/>
      <w:r w:rsidRPr="0061720A">
        <w:rPr>
          <w:b/>
          <w:bCs/>
          <w:i/>
          <w:color w:val="FF0000"/>
        </w:rPr>
        <w:t xml:space="preserve">→ </w:t>
      </w:r>
      <w:r w:rsidRPr="0061720A">
        <w:rPr>
          <w:b/>
          <w:bCs/>
          <w:i/>
          <w:color w:val="FF0000"/>
        </w:rPr>
        <w:tab/>
        <w:t>Ú</w:t>
      </w:r>
      <w:r w:rsidRPr="0061720A">
        <w:rPr>
          <w:b/>
          <w:i/>
          <w:color w:val="FF0000"/>
        </w:rPr>
        <w:t>čelnost</w:t>
      </w:r>
      <w:r w:rsidR="00E6602B" w:rsidRPr="0061720A">
        <w:rPr>
          <w:b/>
          <w:i/>
          <w:color w:val="FF0000"/>
        </w:rPr>
        <w:t xml:space="preserve"> vynaložených prostředků byla u </w:t>
      </w:r>
      <w:r w:rsidR="00C365F1" w:rsidRPr="0061720A">
        <w:rPr>
          <w:b/>
          <w:i/>
          <w:color w:val="FF0000"/>
        </w:rPr>
        <w:t>13</w:t>
      </w:r>
      <w:r w:rsidR="00E6602B" w:rsidRPr="0061720A">
        <w:rPr>
          <w:b/>
          <w:i/>
          <w:color w:val="FF0000"/>
        </w:rPr>
        <w:t xml:space="preserve"> z 1</w:t>
      </w:r>
      <w:r w:rsidR="00C365F1" w:rsidRPr="0061720A">
        <w:rPr>
          <w:b/>
          <w:i/>
          <w:color w:val="FF0000"/>
        </w:rPr>
        <w:t>9</w:t>
      </w:r>
      <w:r w:rsidR="00E6602B" w:rsidRPr="0061720A">
        <w:rPr>
          <w:b/>
          <w:i/>
          <w:color w:val="FF0000"/>
        </w:rPr>
        <w:t xml:space="preserve"> kontrolovaných projektů vyhodnocena pozitivně, u </w:t>
      </w:r>
      <w:r w:rsidR="00C365F1" w:rsidRPr="0061720A">
        <w:rPr>
          <w:b/>
          <w:i/>
          <w:color w:val="FF0000"/>
        </w:rPr>
        <w:t>tří</w:t>
      </w:r>
      <w:r w:rsidR="00E6602B" w:rsidRPr="0061720A">
        <w:rPr>
          <w:b/>
          <w:i/>
          <w:color w:val="FF0000"/>
        </w:rPr>
        <w:t xml:space="preserve"> byla naopak vyhodnocena jako omezeně účelná a </w:t>
      </w:r>
      <w:r w:rsidR="00E56603" w:rsidRPr="0061720A">
        <w:rPr>
          <w:b/>
          <w:i/>
          <w:color w:val="FF0000"/>
        </w:rPr>
        <w:t>u </w:t>
      </w:r>
      <w:r w:rsidR="00C365F1" w:rsidRPr="0061720A">
        <w:rPr>
          <w:b/>
          <w:i/>
          <w:color w:val="FF0000"/>
        </w:rPr>
        <w:t>tř</w:t>
      </w:r>
      <w:r w:rsidR="001D7DBE">
        <w:rPr>
          <w:b/>
          <w:i/>
          <w:color w:val="FF0000"/>
        </w:rPr>
        <w:t>í</w:t>
      </w:r>
      <w:r w:rsidR="00E6602B" w:rsidRPr="0061720A">
        <w:rPr>
          <w:b/>
          <w:i/>
          <w:color w:val="FF0000"/>
        </w:rPr>
        <w:t xml:space="preserve"> </w:t>
      </w:r>
      <w:r w:rsidR="00E56603" w:rsidRPr="0061720A">
        <w:rPr>
          <w:b/>
          <w:i/>
          <w:color w:val="FF0000"/>
        </w:rPr>
        <w:t xml:space="preserve">jako </w:t>
      </w:r>
      <w:r w:rsidR="00E6602B" w:rsidRPr="0061720A">
        <w:rPr>
          <w:b/>
          <w:i/>
          <w:color w:val="FF0000"/>
        </w:rPr>
        <w:t>zcela neúčelná.</w:t>
      </w:r>
      <w:r w:rsidRPr="0061720A">
        <w:rPr>
          <w:b/>
          <w:i/>
          <w:color w:val="FF0000"/>
        </w:rPr>
        <w:t xml:space="preserve"> </w:t>
      </w:r>
      <w:r w:rsidR="00A76049" w:rsidRPr="0061720A">
        <w:t xml:space="preserve"> </w:t>
      </w:r>
      <w:bookmarkEnd w:id="18"/>
    </w:p>
    <w:p w14:paraId="17DF6DE7" w14:textId="5055A4ED" w:rsidR="00935BCF" w:rsidRPr="005E44C9" w:rsidRDefault="00A90A0E" w:rsidP="002C022B">
      <w:pPr>
        <w:pStyle w:val="JK4"/>
        <w:keepNext w:val="0"/>
        <w:numPr>
          <w:ilvl w:val="0"/>
          <w:numId w:val="0"/>
        </w:numPr>
        <w:tabs>
          <w:tab w:val="left" w:pos="567"/>
        </w:tabs>
        <w:spacing w:after="240"/>
      </w:pPr>
      <w:r w:rsidRPr="0061720A">
        <w:t>Hodnocení účelnosti vynaložených peněžních prostředků provedl NKÚ na vybraném vzorku</w:t>
      </w:r>
      <w:r w:rsidR="00E877D2" w:rsidRPr="0061720A">
        <w:t xml:space="preserve"> projektů</w:t>
      </w:r>
      <w:r w:rsidR="00A76049" w:rsidRPr="0061720A">
        <w:t xml:space="preserve">. </w:t>
      </w:r>
      <w:r w:rsidR="00ED6FDF">
        <w:t>Projekty s nejasně a nekonkrétně stanovenými cíli (</w:t>
      </w:r>
      <w:r w:rsidR="00F67892">
        <w:t>například projekty uvedené jako</w:t>
      </w:r>
      <w:r w:rsidR="00ED6FDF">
        <w:t xml:space="preserve"> příklady </w:t>
      </w:r>
      <w:r w:rsidR="002155CA" w:rsidRPr="002155CA">
        <w:rPr>
          <w:color w:val="auto"/>
        </w:rPr>
        <w:t>1</w:t>
      </w:r>
      <w:r w:rsidR="00ED6FDF" w:rsidRPr="002155CA">
        <w:rPr>
          <w:color w:val="auto"/>
        </w:rPr>
        <w:t xml:space="preserve"> a </w:t>
      </w:r>
      <w:r w:rsidR="002155CA" w:rsidRPr="002155CA">
        <w:rPr>
          <w:color w:val="auto"/>
        </w:rPr>
        <w:t>2</w:t>
      </w:r>
      <w:r w:rsidR="00ED6FDF" w:rsidRPr="002155CA">
        <w:rPr>
          <w:color w:val="auto"/>
        </w:rPr>
        <w:t xml:space="preserve">) </w:t>
      </w:r>
      <w:r w:rsidR="00ED6FDF">
        <w:t xml:space="preserve">NKÚ hodnotil jako </w:t>
      </w:r>
      <w:r w:rsidR="00504505">
        <w:t xml:space="preserve">omezeně </w:t>
      </w:r>
      <w:r w:rsidR="00ED6FDF">
        <w:t>účeln</w:t>
      </w:r>
      <w:r w:rsidR="00504505">
        <w:t>é</w:t>
      </w:r>
      <w:r w:rsidR="00ED6FDF">
        <w:t xml:space="preserve">. Závažné případy pochybení v oblasti účelnosti jsou uvedeny </w:t>
      </w:r>
      <w:r w:rsidR="00693507" w:rsidRPr="005E44C9">
        <w:t xml:space="preserve">v příkladech č. </w:t>
      </w:r>
      <w:r w:rsidR="002155CA">
        <w:t>4</w:t>
      </w:r>
      <w:r w:rsidR="00693507" w:rsidRPr="005E44C9">
        <w:t xml:space="preserve"> a </w:t>
      </w:r>
      <w:r w:rsidR="002155CA">
        <w:t>5.</w:t>
      </w:r>
      <w:bookmarkEnd w:id="17"/>
    </w:p>
    <w:tbl>
      <w:tblPr>
        <w:tblStyle w:val="Mkatabulky"/>
        <w:tblW w:w="0" w:type="auto"/>
        <w:tblLook w:val="04A0" w:firstRow="1" w:lastRow="0" w:firstColumn="1" w:lastColumn="0" w:noHBand="0" w:noVBand="1"/>
      </w:tblPr>
      <w:tblGrid>
        <w:gridCol w:w="9062"/>
      </w:tblGrid>
      <w:tr w:rsidR="005E44C9" w14:paraId="03B43CD5" w14:textId="77777777" w:rsidTr="00B97261">
        <w:tc>
          <w:tcPr>
            <w:tcW w:w="9062" w:type="dxa"/>
          </w:tcPr>
          <w:p w14:paraId="60A6A907" w14:textId="75C719F4" w:rsidR="005E44C9" w:rsidRPr="00FF44D9" w:rsidRDefault="005E44C9" w:rsidP="005E44C9">
            <w:pPr>
              <w:spacing w:after="120"/>
              <w:rPr>
                <w:b/>
                <w:color w:val="2F5496" w:themeColor="accent5" w:themeShade="BF"/>
                <w:sz w:val="24"/>
                <w:szCs w:val="24"/>
              </w:rPr>
            </w:pPr>
            <w:r w:rsidRPr="00FF44D9">
              <w:rPr>
                <w:b/>
                <w:color w:val="2F5496" w:themeColor="accent5" w:themeShade="BF"/>
                <w:sz w:val="24"/>
                <w:szCs w:val="24"/>
              </w:rPr>
              <w:t xml:space="preserve">Příklad č. </w:t>
            </w:r>
            <w:r w:rsidR="002155CA">
              <w:rPr>
                <w:b/>
                <w:color w:val="2F5496" w:themeColor="accent5" w:themeShade="BF"/>
                <w:sz w:val="24"/>
                <w:szCs w:val="24"/>
              </w:rPr>
              <w:t>4</w:t>
            </w:r>
          </w:p>
          <w:p w14:paraId="4D3766F4" w14:textId="6B17501D" w:rsidR="0038009C" w:rsidRPr="005F6394" w:rsidRDefault="005E44C9" w:rsidP="0038009C">
            <w:pPr>
              <w:pStyle w:val="JK4"/>
              <w:keepNext w:val="0"/>
              <w:numPr>
                <w:ilvl w:val="0"/>
                <w:numId w:val="0"/>
              </w:numPr>
              <w:tabs>
                <w:tab w:val="left" w:pos="567"/>
              </w:tabs>
              <w:spacing w:after="120"/>
              <w:rPr>
                <w:sz w:val="22"/>
                <w:szCs w:val="22"/>
              </w:rPr>
            </w:pPr>
            <w:r w:rsidRPr="005F6394">
              <w:rPr>
                <w:sz w:val="22"/>
                <w:szCs w:val="22"/>
              </w:rPr>
              <w:t xml:space="preserve">Příjemce </w:t>
            </w:r>
            <w:r w:rsidR="00DC2B06" w:rsidRPr="005F6394">
              <w:rPr>
                <w:sz w:val="22"/>
                <w:szCs w:val="22"/>
              </w:rPr>
              <w:t>podpory</w:t>
            </w:r>
            <w:r w:rsidRPr="005F6394">
              <w:rPr>
                <w:sz w:val="22"/>
                <w:szCs w:val="22"/>
              </w:rPr>
              <w:t xml:space="preserve"> plánoval zrekonstruovat a zpřístupnit část objektu, ve</w:t>
            </w:r>
            <w:r w:rsidR="005F6394">
              <w:rPr>
                <w:sz w:val="22"/>
                <w:szCs w:val="22"/>
              </w:rPr>
              <w:t xml:space="preserve"> </w:t>
            </w:r>
            <w:r w:rsidRPr="005F6394">
              <w:rPr>
                <w:sz w:val="22"/>
                <w:szCs w:val="22"/>
              </w:rPr>
              <w:t>kterém měl vytvořit stálé expozice kulturně-historických, zemědělských, sportovních a</w:t>
            </w:r>
            <w:r w:rsidR="007D1AE0" w:rsidRPr="005F6394">
              <w:rPr>
                <w:sz w:val="22"/>
                <w:szCs w:val="22"/>
              </w:rPr>
              <w:t> </w:t>
            </w:r>
            <w:r w:rsidRPr="005F6394">
              <w:rPr>
                <w:sz w:val="22"/>
                <w:szCs w:val="22"/>
              </w:rPr>
              <w:t>průmyslných zajímavostí v regionu. Vznik těchto expozic, včetně odpovídajících služeb a</w:t>
            </w:r>
            <w:r w:rsidR="007D1AE0" w:rsidRPr="005F6394">
              <w:rPr>
                <w:sz w:val="22"/>
                <w:szCs w:val="22"/>
              </w:rPr>
              <w:t> </w:t>
            </w:r>
            <w:r w:rsidRPr="005F6394">
              <w:rPr>
                <w:sz w:val="22"/>
                <w:szCs w:val="22"/>
              </w:rPr>
              <w:t xml:space="preserve">zázemí, měl za cíl přilákat do </w:t>
            </w:r>
            <w:r w:rsidR="00175176" w:rsidRPr="005F6394">
              <w:rPr>
                <w:sz w:val="22"/>
                <w:szCs w:val="22"/>
              </w:rPr>
              <w:t>místa</w:t>
            </w:r>
            <w:r w:rsidRPr="005F6394">
              <w:rPr>
                <w:sz w:val="22"/>
                <w:szCs w:val="22"/>
              </w:rPr>
              <w:t xml:space="preserve"> nové návštěvníky, prodloužit pobyt stávající</w:t>
            </w:r>
            <w:r w:rsidR="001F220E">
              <w:rPr>
                <w:sz w:val="22"/>
                <w:szCs w:val="22"/>
              </w:rPr>
              <w:t>ch návštěvníků</w:t>
            </w:r>
            <w:r w:rsidRPr="005F6394">
              <w:rPr>
                <w:sz w:val="22"/>
                <w:szCs w:val="22"/>
              </w:rPr>
              <w:t xml:space="preserve"> a</w:t>
            </w:r>
            <w:r w:rsidR="007D1AE0" w:rsidRPr="005F6394">
              <w:rPr>
                <w:sz w:val="22"/>
                <w:szCs w:val="22"/>
              </w:rPr>
              <w:t> </w:t>
            </w:r>
            <w:r w:rsidRPr="005F6394">
              <w:rPr>
                <w:sz w:val="22"/>
                <w:szCs w:val="22"/>
              </w:rPr>
              <w:t>především rozšířit nabídku turistických produktů mimo hlavní sezonu.</w:t>
            </w:r>
            <w:r w:rsidR="0038009C" w:rsidRPr="005F6394">
              <w:rPr>
                <w:sz w:val="22"/>
                <w:szCs w:val="22"/>
              </w:rPr>
              <w:t xml:space="preserve"> </w:t>
            </w:r>
            <w:r w:rsidR="002B09E2" w:rsidRPr="005F6394">
              <w:rPr>
                <w:sz w:val="22"/>
                <w:szCs w:val="22"/>
              </w:rPr>
              <w:t>P</w:t>
            </w:r>
            <w:r w:rsidR="0038009C" w:rsidRPr="005F6394">
              <w:rPr>
                <w:sz w:val="22"/>
                <w:szCs w:val="22"/>
              </w:rPr>
              <w:t>říjemce</w:t>
            </w:r>
            <w:r w:rsidR="00DC2B06" w:rsidRPr="005F6394">
              <w:rPr>
                <w:sz w:val="22"/>
                <w:szCs w:val="22"/>
              </w:rPr>
              <w:t xml:space="preserve"> podpory</w:t>
            </w:r>
            <w:r w:rsidR="0038009C" w:rsidRPr="005F6394">
              <w:rPr>
                <w:sz w:val="22"/>
                <w:szCs w:val="22"/>
              </w:rPr>
              <w:t xml:space="preserve"> </w:t>
            </w:r>
            <w:r w:rsidR="002B09E2" w:rsidRPr="005F6394">
              <w:rPr>
                <w:sz w:val="22"/>
                <w:szCs w:val="22"/>
              </w:rPr>
              <w:t>deklaroval</w:t>
            </w:r>
            <w:r w:rsidR="0038009C" w:rsidRPr="005F6394">
              <w:rPr>
                <w:sz w:val="22"/>
                <w:szCs w:val="22"/>
              </w:rPr>
              <w:t xml:space="preserve">, že projekt bude obsahovat </w:t>
            </w:r>
            <w:r w:rsidR="00AA5F56" w:rsidRPr="005F6394">
              <w:rPr>
                <w:sz w:val="22"/>
                <w:szCs w:val="22"/>
              </w:rPr>
              <w:t xml:space="preserve">tři </w:t>
            </w:r>
            <w:r w:rsidR="0038009C" w:rsidRPr="005F6394">
              <w:rPr>
                <w:sz w:val="22"/>
                <w:szCs w:val="22"/>
              </w:rPr>
              <w:t>základní aktivity, a to stavební úpravy</w:t>
            </w:r>
            <w:r w:rsidR="002B09E2" w:rsidRPr="005F6394">
              <w:rPr>
                <w:sz w:val="22"/>
                <w:szCs w:val="22"/>
              </w:rPr>
              <w:t>,</w:t>
            </w:r>
            <w:r w:rsidR="0038009C" w:rsidRPr="005F6394">
              <w:rPr>
                <w:sz w:val="22"/>
                <w:szCs w:val="22"/>
              </w:rPr>
              <w:t xml:space="preserve"> dodávku mobilního hygienického zařízení</w:t>
            </w:r>
            <w:r w:rsidR="002B09E2" w:rsidRPr="005F6394">
              <w:rPr>
                <w:sz w:val="22"/>
                <w:szCs w:val="22"/>
              </w:rPr>
              <w:t xml:space="preserve"> a</w:t>
            </w:r>
            <w:r w:rsidR="00A076E6" w:rsidRPr="005F6394">
              <w:rPr>
                <w:sz w:val="22"/>
                <w:szCs w:val="22"/>
              </w:rPr>
              <w:t xml:space="preserve"> mobilních zařízení pro výstavu </w:t>
            </w:r>
            <w:r w:rsidR="00A076E6" w:rsidRPr="006252C2">
              <w:rPr>
                <w:i/>
                <w:sz w:val="22"/>
                <w:szCs w:val="22"/>
              </w:rPr>
              <w:t>Expozice sportu, průmyslu a obchodu</w:t>
            </w:r>
            <w:r w:rsidR="00A076E6" w:rsidRPr="005F6394">
              <w:rPr>
                <w:sz w:val="22"/>
                <w:szCs w:val="22"/>
              </w:rPr>
              <w:t xml:space="preserve"> a</w:t>
            </w:r>
            <w:r w:rsidR="00D44BE8" w:rsidRPr="005F6394">
              <w:rPr>
                <w:sz w:val="22"/>
                <w:szCs w:val="22"/>
              </w:rPr>
              <w:t> </w:t>
            </w:r>
            <w:r w:rsidR="00A076E6" w:rsidRPr="005F6394">
              <w:rPr>
                <w:sz w:val="22"/>
                <w:szCs w:val="22"/>
              </w:rPr>
              <w:t>marketingové činnosti akce.</w:t>
            </w:r>
          </w:p>
          <w:p w14:paraId="7B5ED8E6" w14:textId="7D5FDDCA" w:rsidR="00B279AA" w:rsidRPr="005F6394" w:rsidRDefault="004E4597" w:rsidP="0038009C">
            <w:pPr>
              <w:pStyle w:val="JK4"/>
              <w:keepNext w:val="0"/>
              <w:numPr>
                <w:ilvl w:val="0"/>
                <w:numId w:val="0"/>
              </w:numPr>
              <w:tabs>
                <w:tab w:val="left" w:pos="567"/>
              </w:tabs>
              <w:spacing w:after="120"/>
              <w:rPr>
                <w:sz w:val="22"/>
                <w:szCs w:val="22"/>
              </w:rPr>
            </w:pPr>
            <w:r w:rsidRPr="005F6394">
              <w:rPr>
                <w:sz w:val="22"/>
                <w:szCs w:val="22"/>
              </w:rPr>
              <w:t>NKÚ kontrolou fyzické realizace projektu zjistil, že příjemce neprovedl realizaci projektu v</w:t>
            </w:r>
            <w:r w:rsidR="00D44BE8" w:rsidRPr="005F6394">
              <w:rPr>
                <w:sz w:val="22"/>
                <w:szCs w:val="22"/>
              </w:rPr>
              <w:t> </w:t>
            </w:r>
            <w:r w:rsidRPr="005F6394">
              <w:rPr>
                <w:sz w:val="22"/>
                <w:szCs w:val="22"/>
              </w:rPr>
              <w:t>souladu se</w:t>
            </w:r>
            <w:r w:rsidR="005F6394">
              <w:rPr>
                <w:sz w:val="22"/>
                <w:szCs w:val="22"/>
              </w:rPr>
              <w:t xml:space="preserve"> </w:t>
            </w:r>
            <w:r w:rsidRPr="005F6394">
              <w:rPr>
                <w:sz w:val="22"/>
                <w:szCs w:val="22"/>
              </w:rPr>
              <w:t>schváleným projektovým záměrem</w:t>
            </w:r>
            <w:r w:rsidR="002F06BB" w:rsidRPr="005F6394">
              <w:rPr>
                <w:sz w:val="22"/>
                <w:szCs w:val="22"/>
              </w:rPr>
              <w:t>, kdy</w:t>
            </w:r>
            <w:r w:rsidR="002B09E2" w:rsidRPr="005F6394">
              <w:rPr>
                <w:sz w:val="22"/>
                <w:szCs w:val="22"/>
              </w:rPr>
              <w:t>ž</w:t>
            </w:r>
            <w:r w:rsidR="002F06BB" w:rsidRPr="005F6394">
              <w:rPr>
                <w:sz w:val="22"/>
                <w:szCs w:val="22"/>
              </w:rPr>
              <w:t xml:space="preserve"> v prvním patře </w:t>
            </w:r>
            <w:r w:rsidR="002B09E2" w:rsidRPr="005F6394">
              <w:rPr>
                <w:sz w:val="22"/>
                <w:szCs w:val="22"/>
              </w:rPr>
              <w:t>objektu</w:t>
            </w:r>
            <w:r w:rsidR="002F06BB" w:rsidRPr="005F6394">
              <w:rPr>
                <w:sz w:val="22"/>
                <w:szCs w:val="22"/>
              </w:rPr>
              <w:t>, kde měla být expozice průmyslu, obchodu a zemědělství, nebylo z mobilních zařízení pro výstavu instalováno ani jedno</w:t>
            </w:r>
            <w:r w:rsidR="009A1CE8" w:rsidRPr="005F6394">
              <w:rPr>
                <w:sz w:val="22"/>
                <w:szCs w:val="22"/>
              </w:rPr>
              <w:t>.</w:t>
            </w:r>
            <w:r w:rsidR="002F06BB" w:rsidRPr="005F6394">
              <w:rPr>
                <w:sz w:val="22"/>
                <w:szCs w:val="22"/>
              </w:rPr>
              <w:t xml:space="preserve"> </w:t>
            </w:r>
            <w:r w:rsidR="009A1CE8" w:rsidRPr="005F6394">
              <w:rPr>
                <w:sz w:val="22"/>
                <w:szCs w:val="22"/>
              </w:rPr>
              <w:t>P</w:t>
            </w:r>
            <w:r w:rsidR="002F06BB" w:rsidRPr="005F6394">
              <w:rPr>
                <w:sz w:val="22"/>
                <w:szCs w:val="22"/>
              </w:rPr>
              <w:t xml:space="preserve">rostor </w:t>
            </w:r>
            <w:r w:rsidR="009A1CE8" w:rsidRPr="005F6394">
              <w:rPr>
                <w:sz w:val="22"/>
                <w:szCs w:val="22"/>
              </w:rPr>
              <w:t xml:space="preserve">byl prázdný </w:t>
            </w:r>
            <w:r w:rsidR="002F06BB" w:rsidRPr="005F6394">
              <w:rPr>
                <w:sz w:val="22"/>
                <w:szCs w:val="22"/>
              </w:rPr>
              <w:t xml:space="preserve">bez viditelných stavebních úprav. </w:t>
            </w:r>
            <w:r w:rsidR="009A1CE8" w:rsidRPr="005F6394">
              <w:rPr>
                <w:sz w:val="22"/>
                <w:szCs w:val="22"/>
              </w:rPr>
              <w:t>P</w:t>
            </w:r>
            <w:r w:rsidR="001C24E8" w:rsidRPr="005F6394">
              <w:rPr>
                <w:sz w:val="22"/>
                <w:szCs w:val="22"/>
              </w:rPr>
              <w:t xml:space="preserve">říjemce </w:t>
            </w:r>
            <w:r w:rsidR="002B09E2" w:rsidRPr="005F6394">
              <w:rPr>
                <w:sz w:val="22"/>
                <w:szCs w:val="22"/>
              </w:rPr>
              <w:t xml:space="preserve">přitom </w:t>
            </w:r>
            <w:r w:rsidR="001C24E8" w:rsidRPr="005F6394">
              <w:rPr>
                <w:sz w:val="22"/>
                <w:szCs w:val="22"/>
              </w:rPr>
              <w:t xml:space="preserve">uhradil dodavateli </w:t>
            </w:r>
            <w:r w:rsidR="002B09E2" w:rsidRPr="005F6394">
              <w:rPr>
                <w:sz w:val="22"/>
                <w:szCs w:val="22"/>
              </w:rPr>
              <w:t xml:space="preserve">veškerá </w:t>
            </w:r>
            <w:r w:rsidR="001C24E8" w:rsidRPr="005F6394">
              <w:rPr>
                <w:sz w:val="22"/>
                <w:szCs w:val="22"/>
              </w:rPr>
              <w:t>fakturovan</w:t>
            </w:r>
            <w:r w:rsidR="00B97261" w:rsidRPr="005F6394">
              <w:rPr>
                <w:sz w:val="22"/>
                <w:szCs w:val="22"/>
              </w:rPr>
              <w:t>á</w:t>
            </w:r>
            <w:r w:rsidR="001C24E8" w:rsidRPr="005F6394">
              <w:rPr>
                <w:sz w:val="22"/>
                <w:szCs w:val="22"/>
              </w:rPr>
              <w:t xml:space="preserve"> plnění v</w:t>
            </w:r>
            <w:r w:rsidR="009A1CE8" w:rsidRPr="005F6394">
              <w:rPr>
                <w:sz w:val="22"/>
                <w:szCs w:val="22"/>
              </w:rPr>
              <w:t> </w:t>
            </w:r>
            <w:r w:rsidR="001C24E8" w:rsidRPr="005F6394">
              <w:rPr>
                <w:sz w:val="22"/>
                <w:szCs w:val="22"/>
              </w:rPr>
              <w:t>plné výši,</w:t>
            </w:r>
            <w:r w:rsidR="009A1CE8" w:rsidRPr="005F6394">
              <w:rPr>
                <w:sz w:val="22"/>
                <w:szCs w:val="22"/>
              </w:rPr>
              <w:t xml:space="preserve"> tedy jak stavební úpravy, tak dodávku mobiliáře.</w:t>
            </w:r>
            <w:r w:rsidR="001C24E8" w:rsidRPr="005F6394">
              <w:rPr>
                <w:sz w:val="22"/>
                <w:szCs w:val="22"/>
              </w:rPr>
              <w:t xml:space="preserve"> </w:t>
            </w:r>
            <w:r w:rsidR="009A1CE8" w:rsidRPr="005F6394">
              <w:rPr>
                <w:sz w:val="22"/>
                <w:szCs w:val="22"/>
              </w:rPr>
              <w:t>P</w:t>
            </w:r>
            <w:r w:rsidR="001C24E8" w:rsidRPr="005F6394">
              <w:rPr>
                <w:sz w:val="22"/>
                <w:szCs w:val="22"/>
              </w:rPr>
              <w:t>říjemce nedisponoval ani</w:t>
            </w:r>
            <w:r w:rsidR="005F6394">
              <w:rPr>
                <w:sz w:val="22"/>
                <w:szCs w:val="22"/>
              </w:rPr>
              <w:t xml:space="preserve"> </w:t>
            </w:r>
            <w:r w:rsidR="001C24E8" w:rsidRPr="005F6394">
              <w:rPr>
                <w:sz w:val="22"/>
                <w:szCs w:val="22"/>
              </w:rPr>
              <w:t>stavebním deníkem.</w:t>
            </w:r>
            <w:r w:rsidR="00B279AA" w:rsidRPr="005F6394">
              <w:rPr>
                <w:sz w:val="22"/>
                <w:szCs w:val="22"/>
              </w:rPr>
              <w:t xml:space="preserve"> Příjemce dále nedoložil žádný výstup (plnění) vztahující se k</w:t>
            </w:r>
            <w:r w:rsidR="005F6394">
              <w:rPr>
                <w:sz w:val="22"/>
                <w:szCs w:val="22"/>
              </w:rPr>
              <w:t> </w:t>
            </w:r>
            <w:r w:rsidR="00B279AA" w:rsidRPr="005F6394">
              <w:rPr>
                <w:sz w:val="22"/>
                <w:szCs w:val="22"/>
              </w:rPr>
              <w:t xml:space="preserve">odbornému podkladu pro vytvoření informačních panelů ani nedoložil přehled pořízeného vybavení, které mělo být dle předávacího protokolu umístěno (dodáno) v prostorách </w:t>
            </w:r>
            <w:r w:rsidR="009A1CE8" w:rsidRPr="005F6394">
              <w:rPr>
                <w:sz w:val="22"/>
                <w:szCs w:val="22"/>
              </w:rPr>
              <w:t xml:space="preserve">předpokládané </w:t>
            </w:r>
            <w:r w:rsidR="00B279AA" w:rsidRPr="005F6394">
              <w:rPr>
                <w:sz w:val="22"/>
                <w:szCs w:val="22"/>
              </w:rPr>
              <w:t>výstavy.</w:t>
            </w:r>
          </w:p>
          <w:p w14:paraId="685443A7" w14:textId="44E4BAEA" w:rsidR="002F06BB" w:rsidRPr="00D44BE8" w:rsidRDefault="00B45DB8" w:rsidP="000B6EE9">
            <w:pPr>
              <w:pStyle w:val="JK4"/>
              <w:keepNext w:val="0"/>
              <w:numPr>
                <w:ilvl w:val="0"/>
                <w:numId w:val="0"/>
              </w:numPr>
              <w:tabs>
                <w:tab w:val="left" w:pos="567"/>
              </w:tabs>
              <w:spacing w:after="120"/>
              <w:rPr>
                <w:i/>
              </w:rPr>
            </w:pPr>
            <w:r w:rsidRPr="005F6394">
              <w:rPr>
                <w:sz w:val="22"/>
                <w:szCs w:val="22"/>
              </w:rPr>
              <w:t>NKÚ vyhodnotil, že příjemce dotace nevynaložil peněžní prostředky ve výši 1 992</w:t>
            </w:r>
            <w:r w:rsidR="005F6394">
              <w:rPr>
                <w:sz w:val="22"/>
                <w:szCs w:val="22"/>
              </w:rPr>
              <w:t> </w:t>
            </w:r>
            <w:r w:rsidRPr="005F6394">
              <w:rPr>
                <w:sz w:val="22"/>
                <w:szCs w:val="22"/>
              </w:rPr>
              <w:t>320</w:t>
            </w:r>
            <w:r w:rsidR="005F6394">
              <w:rPr>
                <w:sz w:val="22"/>
                <w:szCs w:val="22"/>
              </w:rPr>
              <w:t> </w:t>
            </w:r>
            <w:r w:rsidRPr="005F6394">
              <w:rPr>
                <w:sz w:val="22"/>
                <w:szCs w:val="22"/>
              </w:rPr>
              <w:t>Kč účelně a hospodárně, když dotaci v této výši nepoužil na úhradu stavebních prací a instalaci některých expozic a nepředložil žádné konkrétní výstupy vztahující se ke zpracování odborných podkladů a pořízení vybavení</w:t>
            </w:r>
            <w:r w:rsidR="008B3EE6">
              <w:rPr>
                <w:sz w:val="22"/>
                <w:szCs w:val="22"/>
              </w:rPr>
              <w:t>.</w:t>
            </w:r>
          </w:p>
        </w:tc>
      </w:tr>
    </w:tbl>
    <w:p w14:paraId="09A3A77B" w14:textId="77777777" w:rsidR="000A2E1D" w:rsidRDefault="000A2E1D" w:rsidP="002C022B">
      <w:pPr>
        <w:spacing w:before="120" w:after="120" w:line="240" w:lineRule="auto"/>
        <w:jc w:val="both"/>
        <w:rPr>
          <w:b/>
          <w:color w:val="004595"/>
          <w:sz w:val="24"/>
          <w:szCs w:val="24"/>
          <w:highlight w:val="yellow"/>
        </w:rPr>
      </w:pPr>
    </w:p>
    <w:tbl>
      <w:tblPr>
        <w:tblStyle w:val="Mkatabulky"/>
        <w:tblW w:w="0" w:type="auto"/>
        <w:tblLook w:val="04A0" w:firstRow="1" w:lastRow="0" w:firstColumn="1" w:lastColumn="0" w:noHBand="0" w:noVBand="1"/>
      </w:tblPr>
      <w:tblGrid>
        <w:gridCol w:w="9062"/>
      </w:tblGrid>
      <w:tr w:rsidR="00C93146" w14:paraId="5862CB27" w14:textId="77777777" w:rsidTr="00C93146">
        <w:tc>
          <w:tcPr>
            <w:tcW w:w="9062" w:type="dxa"/>
          </w:tcPr>
          <w:p w14:paraId="5BEB0DA1" w14:textId="76A39236" w:rsidR="00C93146" w:rsidRPr="00FF44D9" w:rsidRDefault="00C93146" w:rsidP="00C93146">
            <w:pPr>
              <w:spacing w:after="120"/>
              <w:rPr>
                <w:b/>
                <w:color w:val="2F5496" w:themeColor="accent5" w:themeShade="BF"/>
                <w:sz w:val="24"/>
                <w:szCs w:val="24"/>
              </w:rPr>
            </w:pPr>
            <w:bookmarkStart w:id="19" w:name="_Hlk99008016"/>
            <w:r w:rsidRPr="00FF44D9">
              <w:rPr>
                <w:b/>
                <w:color w:val="2F5496" w:themeColor="accent5" w:themeShade="BF"/>
                <w:sz w:val="24"/>
                <w:szCs w:val="24"/>
              </w:rPr>
              <w:t xml:space="preserve">Příklad č. </w:t>
            </w:r>
            <w:r w:rsidR="002155CA">
              <w:rPr>
                <w:b/>
                <w:color w:val="2F5496" w:themeColor="accent5" w:themeShade="BF"/>
                <w:sz w:val="24"/>
                <w:szCs w:val="24"/>
              </w:rPr>
              <w:t>5</w:t>
            </w:r>
          </w:p>
          <w:p w14:paraId="67DB0D39" w14:textId="4C792AF3" w:rsidR="009B080C" w:rsidRPr="005F6394" w:rsidRDefault="008A37BA" w:rsidP="008D1E9F">
            <w:pPr>
              <w:pStyle w:val="JK4"/>
              <w:keepNext w:val="0"/>
              <w:numPr>
                <w:ilvl w:val="0"/>
                <w:numId w:val="0"/>
              </w:numPr>
              <w:tabs>
                <w:tab w:val="left" w:pos="567"/>
              </w:tabs>
              <w:spacing w:after="120"/>
              <w:rPr>
                <w:rFonts w:cstheme="minorHAnsi"/>
                <w:sz w:val="22"/>
                <w:szCs w:val="22"/>
              </w:rPr>
            </w:pPr>
            <w:r w:rsidRPr="005F6394">
              <w:rPr>
                <w:sz w:val="22"/>
                <w:szCs w:val="22"/>
              </w:rPr>
              <w:t>P</w:t>
            </w:r>
            <w:r w:rsidR="00F17BCF" w:rsidRPr="005F6394">
              <w:rPr>
                <w:sz w:val="22"/>
                <w:szCs w:val="22"/>
              </w:rPr>
              <w:t xml:space="preserve">říjemce </w:t>
            </w:r>
            <w:r w:rsidR="00DC2B06" w:rsidRPr="005F6394">
              <w:rPr>
                <w:sz w:val="22"/>
                <w:szCs w:val="22"/>
              </w:rPr>
              <w:t>podpory</w:t>
            </w:r>
            <w:r w:rsidR="009913DF" w:rsidRPr="005F6394">
              <w:rPr>
                <w:sz w:val="22"/>
                <w:szCs w:val="22"/>
              </w:rPr>
              <w:t xml:space="preserve"> </w:t>
            </w:r>
            <w:r w:rsidR="009B080C" w:rsidRPr="005F6394">
              <w:rPr>
                <w:sz w:val="22"/>
                <w:szCs w:val="22"/>
              </w:rPr>
              <w:t>v projektovém záměru uvedl</w:t>
            </w:r>
            <w:r w:rsidR="003E32F2" w:rsidRPr="005F6394">
              <w:rPr>
                <w:sz w:val="22"/>
                <w:szCs w:val="22"/>
              </w:rPr>
              <w:t xml:space="preserve">, že </w:t>
            </w:r>
            <w:r w:rsidRPr="005F6394">
              <w:rPr>
                <w:sz w:val="22"/>
                <w:szCs w:val="22"/>
              </w:rPr>
              <w:t xml:space="preserve">cílem </w:t>
            </w:r>
            <w:r w:rsidR="003E32F2" w:rsidRPr="005F6394">
              <w:rPr>
                <w:sz w:val="22"/>
                <w:szCs w:val="22"/>
              </w:rPr>
              <w:t xml:space="preserve">projektu </w:t>
            </w:r>
            <w:r w:rsidRPr="005F6394">
              <w:rPr>
                <w:sz w:val="22"/>
                <w:szCs w:val="22"/>
              </w:rPr>
              <w:t>je</w:t>
            </w:r>
            <w:r w:rsidR="009B080C" w:rsidRPr="005F6394">
              <w:rPr>
                <w:rFonts w:cstheme="minorHAnsi"/>
                <w:sz w:val="22"/>
                <w:szCs w:val="22"/>
              </w:rPr>
              <w:t xml:space="preserve"> vybudování říční sauny umístěné na břehu řeky</w:t>
            </w:r>
            <w:r w:rsidR="0035382B" w:rsidRPr="005F6394">
              <w:rPr>
                <w:rFonts w:cstheme="minorHAnsi"/>
                <w:sz w:val="22"/>
                <w:szCs w:val="22"/>
              </w:rPr>
              <w:t xml:space="preserve"> Svratky</w:t>
            </w:r>
            <w:r w:rsidRPr="005F6394">
              <w:rPr>
                <w:rFonts w:cstheme="minorHAnsi"/>
                <w:sz w:val="22"/>
                <w:szCs w:val="22"/>
              </w:rPr>
              <w:t xml:space="preserve"> za účelem</w:t>
            </w:r>
            <w:r w:rsidR="009B080C" w:rsidRPr="005F6394">
              <w:rPr>
                <w:rFonts w:cstheme="minorHAnsi"/>
                <w:sz w:val="22"/>
                <w:szCs w:val="22"/>
              </w:rPr>
              <w:t xml:space="preserve"> oživit prostor u řeky a vytvořit místo pro celoroční setkávání</w:t>
            </w:r>
            <w:r w:rsidRPr="005F6394">
              <w:rPr>
                <w:rFonts w:cstheme="minorHAnsi"/>
                <w:sz w:val="22"/>
                <w:szCs w:val="22"/>
              </w:rPr>
              <w:t>.</w:t>
            </w:r>
          </w:p>
          <w:p w14:paraId="3B654918" w14:textId="1F38031D" w:rsidR="00302D61" w:rsidRPr="005F6394" w:rsidRDefault="00AF3589" w:rsidP="008D1E9F">
            <w:pPr>
              <w:pStyle w:val="JK4"/>
              <w:keepNext w:val="0"/>
              <w:numPr>
                <w:ilvl w:val="0"/>
                <w:numId w:val="0"/>
              </w:numPr>
              <w:tabs>
                <w:tab w:val="left" w:pos="567"/>
              </w:tabs>
              <w:spacing w:after="120"/>
              <w:rPr>
                <w:sz w:val="22"/>
                <w:szCs w:val="22"/>
              </w:rPr>
            </w:pPr>
            <w:r w:rsidRPr="005F6394">
              <w:rPr>
                <w:sz w:val="22"/>
                <w:szCs w:val="22"/>
              </w:rPr>
              <w:t>Místním šetřením</w:t>
            </w:r>
            <w:r w:rsidR="00BE2929" w:rsidRPr="005F6394">
              <w:rPr>
                <w:sz w:val="22"/>
                <w:szCs w:val="22"/>
              </w:rPr>
              <w:t>, monitoringem webové stránky příjemce</w:t>
            </w:r>
            <w:r w:rsidR="00DC2B06" w:rsidRPr="005F6394">
              <w:rPr>
                <w:sz w:val="22"/>
                <w:szCs w:val="22"/>
              </w:rPr>
              <w:t xml:space="preserve"> podpory</w:t>
            </w:r>
            <w:r w:rsidR="00BE2929" w:rsidRPr="005F6394">
              <w:rPr>
                <w:sz w:val="22"/>
                <w:szCs w:val="22"/>
              </w:rPr>
              <w:t xml:space="preserve"> i jiných webových stránek</w:t>
            </w:r>
            <w:r w:rsidRPr="005F6394">
              <w:rPr>
                <w:sz w:val="22"/>
                <w:szCs w:val="22"/>
              </w:rPr>
              <w:t xml:space="preserve"> </w:t>
            </w:r>
            <w:r w:rsidR="00BE2929" w:rsidRPr="005F6394">
              <w:rPr>
                <w:sz w:val="22"/>
                <w:szCs w:val="22"/>
              </w:rPr>
              <w:t xml:space="preserve">NKÚ </w:t>
            </w:r>
            <w:r w:rsidRPr="005F6394">
              <w:rPr>
                <w:sz w:val="22"/>
                <w:szCs w:val="22"/>
              </w:rPr>
              <w:t>zjistil, že</w:t>
            </w:r>
            <w:r w:rsidR="001C106D" w:rsidRPr="005F6394">
              <w:rPr>
                <w:sz w:val="22"/>
                <w:szCs w:val="22"/>
              </w:rPr>
              <w:t> </w:t>
            </w:r>
            <w:r w:rsidR="00467639" w:rsidRPr="005F6394">
              <w:rPr>
                <w:sz w:val="22"/>
                <w:szCs w:val="22"/>
              </w:rPr>
              <w:t>provozní prostor sauny je využíván v rozporu s projektovým záměrem, zásadami i</w:t>
            </w:r>
            <w:r w:rsidR="00B07AA6" w:rsidRPr="005F6394">
              <w:rPr>
                <w:sz w:val="22"/>
                <w:szCs w:val="22"/>
              </w:rPr>
              <w:t> </w:t>
            </w:r>
            <w:r w:rsidR="00467639" w:rsidRPr="005F6394">
              <w:rPr>
                <w:sz w:val="22"/>
                <w:szCs w:val="22"/>
              </w:rPr>
              <w:t>podprogramem Rozvoj, kdy letní provoz sauny se primárně zaměřuje na poskytování stravovacích služeb v pravidelném denním provozu od úterý do neděle v dopoledních i</w:t>
            </w:r>
            <w:r w:rsidR="00B07AA6" w:rsidRPr="005F6394">
              <w:rPr>
                <w:sz w:val="22"/>
                <w:szCs w:val="22"/>
              </w:rPr>
              <w:t> </w:t>
            </w:r>
            <w:r w:rsidR="00467639" w:rsidRPr="005F6394">
              <w:rPr>
                <w:sz w:val="22"/>
                <w:szCs w:val="22"/>
              </w:rPr>
              <w:t>odpoledních hodinách.</w:t>
            </w:r>
            <w:r w:rsidR="00302D61" w:rsidRPr="005F6394">
              <w:rPr>
                <w:sz w:val="22"/>
                <w:szCs w:val="22"/>
              </w:rPr>
              <w:t xml:space="preserve"> Kontrolou NKÚ bylo zjištěno, že objekt je zcela upraven jako bistro/kavárna.</w:t>
            </w:r>
          </w:p>
          <w:p w14:paraId="00C31E01" w14:textId="4425F230" w:rsidR="00F37999" w:rsidRPr="00BD4011" w:rsidRDefault="00394505" w:rsidP="008D1E9F">
            <w:pPr>
              <w:pStyle w:val="JK4"/>
              <w:keepNext w:val="0"/>
              <w:numPr>
                <w:ilvl w:val="0"/>
                <w:numId w:val="0"/>
              </w:numPr>
              <w:tabs>
                <w:tab w:val="left" w:pos="567"/>
              </w:tabs>
              <w:spacing w:after="120"/>
              <w:rPr>
                <w:i/>
              </w:rPr>
            </w:pPr>
            <w:r w:rsidRPr="005F6394">
              <w:rPr>
                <w:sz w:val="22"/>
                <w:szCs w:val="22"/>
              </w:rPr>
              <w:t xml:space="preserve">Zásady pro poskytování dotací podprogramu Rozvoj přitom stanoví, že není podporována výstavba ani rozšíření stravovacích zařízení. Z těchto důvodů NKÚ vyhodnotil vynaložení prostředků z NPPCRR </w:t>
            </w:r>
            <w:r w:rsidR="00073294" w:rsidRPr="005F6394">
              <w:rPr>
                <w:sz w:val="22"/>
                <w:szCs w:val="22"/>
              </w:rPr>
              <w:t xml:space="preserve">ve výši 1 155 954 Kč </w:t>
            </w:r>
            <w:r w:rsidRPr="005F6394">
              <w:rPr>
                <w:sz w:val="22"/>
                <w:szCs w:val="22"/>
              </w:rPr>
              <w:t>na tento projekt jako neúčelné.</w:t>
            </w:r>
          </w:p>
        </w:tc>
      </w:tr>
    </w:tbl>
    <w:p w14:paraId="304CDF17" w14:textId="3FC9A48B" w:rsidR="00A65537" w:rsidRPr="00833988" w:rsidRDefault="00A76049" w:rsidP="008D1E9F">
      <w:pPr>
        <w:pStyle w:val="JK4"/>
        <w:keepNext w:val="0"/>
        <w:numPr>
          <w:ilvl w:val="0"/>
          <w:numId w:val="0"/>
        </w:numPr>
        <w:tabs>
          <w:tab w:val="left" w:pos="567"/>
        </w:tabs>
        <w:spacing w:after="120"/>
      </w:pPr>
      <w:r w:rsidRPr="00833988">
        <w:t xml:space="preserve">Souhrnný výsledek hodnocení účelnosti </w:t>
      </w:r>
      <w:r w:rsidR="00DF1E4F" w:rsidRPr="00833988">
        <w:t>19</w:t>
      </w:r>
      <w:r w:rsidRPr="00833988">
        <w:t xml:space="preserve"> posuzovaných projektů ukazuje názorně graf č</w:t>
      </w:r>
      <w:r w:rsidRPr="00CB796D">
        <w:t>.</w:t>
      </w:r>
      <w:r w:rsidR="00B9765B" w:rsidRPr="00CB796D">
        <w:t> </w:t>
      </w:r>
      <w:r w:rsidR="00CB796D" w:rsidRPr="00CB796D">
        <w:t>1</w:t>
      </w:r>
      <w:r w:rsidRPr="00CB796D">
        <w:t>.</w:t>
      </w:r>
      <w:r w:rsidRPr="00833988">
        <w:t xml:space="preserve"> </w:t>
      </w:r>
      <w:r w:rsidR="008B3EE6">
        <w:t xml:space="preserve">Celkem </w:t>
      </w:r>
      <w:r w:rsidR="004B5AE2" w:rsidRPr="00833988">
        <w:t>68 %</w:t>
      </w:r>
      <w:r w:rsidRPr="00833988">
        <w:t xml:space="preserve"> projektů </w:t>
      </w:r>
      <w:r w:rsidR="00F142E5" w:rsidRPr="00833988">
        <w:t>získal</w:t>
      </w:r>
      <w:r w:rsidR="00F142E5">
        <w:t>o</w:t>
      </w:r>
      <w:r w:rsidR="00F142E5" w:rsidRPr="00833988">
        <w:t xml:space="preserve"> </w:t>
      </w:r>
      <w:r w:rsidRPr="00833988">
        <w:t>pozitivní hodnocení (projekty byly hodnoceny nejhůře jako účelné s mírnými nedostatky)</w:t>
      </w:r>
      <w:r w:rsidR="00510A6C" w:rsidRPr="00833988">
        <w:t xml:space="preserve">. </w:t>
      </w:r>
      <w:r w:rsidR="00F142E5">
        <w:t>U</w:t>
      </w:r>
      <w:r w:rsidRPr="00833988">
        <w:t xml:space="preserve"> </w:t>
      </w:r>
      <w:r w:rsidR="004B5AE2" w:rsidRPr="00833988">
        <w:t>šesti</w:t>
      </w:r>
      <w:r w:rsidRPr="00833988">
        <w:t xml:space="preserve"> </w:t>
      </w:r>
      <w:r w:rsidR="00510A6C" w:rsidRPr="00833988">
        <w:t xml:space="preserve">projektů </w:t>
      </w:r>
      <w:r w:rsidRPr="00833988">
        <w:t>bylo hodnocení účelnosti</w:t>
      </w:r>
      <w:r w:rsidR="00510A6C" w:rsidRPr="00833988">
        <w:t xml:space="preserve"> vynaložených prostředků</w:t>
      </w:r>
      <w:r w:rsidRPr="00833988">
        <w:t xml:space="preserve"> významně sníženo</w:t>
      </w:r>
      <w:r w:rsidR="00510A6C" w:rsidRPr="00833988">
        <w:t xml:space="preserve">, přičemž </w:t>
      </w:r>
      <w:r w:rsidR="004B5AE2" w:rsidRPr="00833988">
        <w:t>tři</w:t>
      </w:r>
      <w:r w:rsidRPr="00833988">
        <w:t xml:space="preserve"> projekt</w:t>
      </w:r>
      <w:r w:rsidR="004B5AE2" w:rsidRPr="00833988">
        <w:t>y</w:t>
      </w:r>
      <w:r w:rsidRPr="00833988">
        <w:t xml:space="preserve"> byl</w:t>
      </w:r>
      <w:r w:rsidR="004B5AE2" w:rsidRPr="00833988">
        <w:t>y</w:t>
      </w:r>
      <w:r w:rsidRPr="00833988">
        <w:t xml:space="preserve"> hodnocen</w:t>
      </w:r>
      <w:r w:rsidR="004B5AE2" w:rsidRPr="00833988">
        <w:t>y</w:t>
      </w:r>
      <w:r w:rsidRPr="00833988">
        <w:t xml:space="preserve"> jako </w:t>
      </w:r>
      <w:r w:rsidR="00510A6C" w:rsidRPr="00833988">
        <w:t xml:space="preserve">zcela </w:t>
      </w:r>
      <w:r w:rsidRPr="00833988">
        <w:t>neúčeln</w:t>
      </w:r>
      <w:r w:rsidR="00D26715">
        <w:t>é</w:t>
      </w:r>
      <w:bookmarkEnd w:id="19"/>
      <w:r w:rsidR="000F082E">
        <w:t>.</w:t>
      </w:r>
    </w:p>
    <w:p w14:paraId="001E3127" w14:textId="3F75F93F" w:rsidR="00CB6FAA" w:rsidRPr="00833988" w:rsidRDefault="00CB6FAA" w:rsidP="00B962EB">
      <w:pPr>
        <w:keepNext/>
        <w:spacing w:before="240" w:after="0" w:line="240" w:lineRule="auto"/>
        <w:rPr>
          <w:b/>
          <w:sz w:val="24"/>
        </w:rPr>
      </w:pPr>
      <w:r w:rsidRPr="00833988">
        <w:rPr>
          <w:b/>
          <w:sz w:val="24"/>
        </w:rPr>
        <w:t xml:space="preserve">Graf č. </w:t>
      </w:r>
      <w:r w:rsidR="00CB796D">
        <w:rPr>
          <w:b/>
          <w:sz w:val="24"/>
        </w:rPr>
        <w:t>1</w:t>
      </w:r>
      <w:r w:rsidRPr="00833988">
        <w:rPr>
          <w:b/>
          <w:sz w:val="24"/>
        </w:rPr>
        <w:t>: Souhrnný výsledek hodnocení účelnosti posuzovaných projektů</w:t>
      </w:r>
    </w:p>
    <w:p w14:paraId="2EC7720B" w14:textId="0179D173" w:rsidR="00AA238E" w:rsidRDefault="006252C2" w:rsidP="00B962EB">
      <w:pPr>
        <w:pStyle w:val="JK4"/>
        <w:numPr>
          <w:ilvl w:val="0"/>
          <w:numId w:val="0"/>
        </w:numPr>
        <w:spacing w:before="0" w:after="0"/>
        <w:rPr>
          <w:b/>
          <w:sz w:val="20"/>
        </w:rPr>
      </w:pPr>
      <w:bookmarkStart w:id="20" w:name="_Hlk99008301"/>
      <w:r>
        <w:rPr>
          <w:noProof/>
        </w:rPr>
        <w:drawing>
          <wp:inline distT="0" distB="0" distL="0" distR="0" wp14:anchorId="140FCBF8" wp14:editId="7DAEC8E0">
            <wp:extent cx="5760000" cy="936000"/>
            <wp:effectExtent l="0" t="0" r="0" b="0"/>
            <wp:docPr id="2" name="Graf 2">
              <a:extLst xmlns:a="http://schemas.openxmlformats.org/drawingml/2006/main">
                <a:ext uri="{FF2B5EF4-FFF2-40B4-BE49-F238E27FC236}">
                  <a16:creationId xmlns:a16="http://schemas.microsoft.com/office/drawing/2014/main" id="{2675E88F-6F97-453C-B6A7-FB1551D776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9DA8B5B" w14:textId="40C70372" w:rsidR="00CB6FAA" w:rsidRDefault="00CB6FAA" w:rsidP="00B962EB">
      <w:pPr>
        <w:pStyle w:val="JK4"/>
        <w:keepNext w:val="0"/>
        <w:numPr>
          <w:ilvl w:val="0"/>
          <w:numId w:val="0"/>
        </w:numPr>
        <w:spacing w:before="0" w:after="240"/>
        <w:rPr>
          <w:sz w:val="20"/>
        </w:rPr>
      </w:pPr>
      <w:r w:rsidRPr="00CB6FAA">
        <w:rPr>
          <w:b/>
          <w:sz w:val="20"/>
        </w:rPr>
        <w:t>Zdroj:</w:t>
      </w:r>
      <w:r w:rsidRPr="00CB6FAA">
        <w:rPr>
          <w:sz w:val="20"/>
        </w:rPr>
        <w:t xml:space="preserve"> </w:t>
      </w:r>
      <w:bookmarkEnd w:id="20"/>
      <w:r w:rsidR="008B3EE6">
        <w:rPr>
          <w:sz w:val="20"/>
        </w:rPr>
        <w:t>vypracoval</w:t>
      </w:r>
      <w:r w:rsidR="0056319F" w:rsidRPr="0056319F">
        <w:rPr>
          <w:sz w:val="20"/>
          <w:szCs w:val="20"/>
        </w:rPr>
        <w:t xml:space="preserve"> </w:t>
      </w:r>
      <w:r w:rsidR="0056319F" w:rsidRPr="0056319F">
        <w:rPr>
          <w:noProof/>
          <w:sz w:val="20"/>
          <w:szCs w:val="20"/>
        </w:rPr>
        <w:t>NKÚ z kontrolních protokolů příjemců podpory.</w:t>
      </w:r>
    </w:p>
    <w:p w14:paraId="1E822851" w14:textId="4937FC4C" w:rsidR="004054AF" w:rsidRPr="005F6394" w:rsidRDefault="005F46C9" w:rsidP="005F6394">
      <w:pPr>
        <w:pStyle w:val="Nadpis2"/>
        <w:spacing w:before="240" w:after="120" w:line="240" w:lineRule="auto"/>
        <w:ind w:left="284" w:hanging="284"/>
        <w:rPr>
          <w:rFonts w:asciiTheme="minorHAnsi" w:eastAsiaTheme="minorHAnsi" w:hAnsiTheme="minorHAnsi" w:cstheme="minorHAnsi"/>
          <w:i/>
          <w:color w:val="0070C0"/>
          <w:sz w:val="24"/>
          <w:szCs w:val="24"/>
        </w:rPr>
      </w:pPr>
      <w:r w:rsidRPr="005F6394">
        <w:rPr>
          <w:rFonts w:asciiTheme="minorHAnsi" w:eastAsiaTheme="minorHAnsi" w:hAnsiTheme="minorHAnsi" w:cstheme="minorHAnsi"/>
          <w:i/>
          <w:color w:val="0070C0"/>
          <w:sz w:val="24"/>
          <w:szCs w:val="24"/>
        </w:rPr>
        <w:t>E</w:t>
      </w:r>
      <w:r w:rsidR="004054AF" w:rsidRPr="005F6394">
        <w:rPr>
          <w:rFonts w:asciiTheme="minorHAnsi" w:eastAsiaTheme="minorHAnsi" w:hAnsiTheme="minorHAnsi" w:cstheme="minorHAnsi"/>
          <w:i/>
          <w:color w:val="0070C0"/>
          <w:sz w:val="24"/>
          <w:szCs w:val="24"/>
        </w:rPr>
        <w:t xml:space="preserve">. </w:t>
      </w:r>
      <w:r w:rsidR="005F6394" w:rsidRPr="005F6394">
        <w:rPr>
          <w:rFonts w:asciiTheme="minorHAnsi" w:eastAsiaTheme="minorHAnsi" w:hAnsiTheme="minorHAnsi" w:cstheme="minorHAnsi"/>
          <w:i/>
          <w:color w:val="0070C0"/>
          <w:sz w:val="24"/>
          <w:szCs w:val="24"/>
        </w:rPr>
        <w:tab/>
      </w:r>
      <w:r w:rsidR="00E3028F" w:rsidRPr="005F6394">
        <w:rPr>
          <w:rFonts w:asciiTheme="minorHAnsi" w:eastAsiaTheme="minorHAnsi" w:hAnsiTheme="minorHAnsi" w:cstheme="minorHAnsi"/>
          <w:i/>
          <w:color w:val="0070C0"/>
          <w:sz w:val="24"/>
          <w:szCs w:val="24"/>
        </w:rPr>
        <w:t>P</w:t>
      </w:r>
      <w:r w:rsidR="004054AF" w:rsidRPr="005F6394">
        <w:rPr>
          <w:rFonts w:asciiTheme="minorHAnsi" w:eastAsiaTheme="minorHAnsi" w:hAnsiTheme="minorHAnsi" w:cstheme="minorHAnsi"/>
          <w:i/>
          <w:color w:val="0070C0"/>
          <w:sz w:val="24"/>
          <w:szCs w:val="24"/>
        </w:rPr>
        <w:t>eněžní prostředky na podporu vybraných příjemců</w:t>
      </w:r>
      <w:r w:rsidR="00DC2B06" w:rsidRPr="005F6394">
        <w:rPr>
          <w:rFonts w:asciiTheme="minorHAnsi" w:eastAsiaTheme="minorHAnsi" w:hAnsiTheme="minorHAnsi" w:cstheme="minorHAnsi"/>
          <w:i/>
          <w:color w:val="0070C0"/>
          <w:sz w:val="24"/>
          <w:szCs w:val="24"/>
        </w:rPr>
        <w:t xml:space="preserve"> podpory z</w:t>
      </w:r>
      <w:r w:rsidR="004054AF" w:rsidRPr="005F6394">
        <w:rPr>
          <w:rFonts w:asciiTheme="minorHAnsi" w:eastAsiaTheme="minorHAnsi" w:hAnsiTheme="minorHAnsi" w:cstheme="minorHAnsi"/>
          <w:i/>
          <w:color w:val="0070C0"/>
          <w:sz w:val="24"/>
          <w:szCs w:val="24"/>
        </w:rPr>
        <w:t xml:space="preserve"> NPPCRR </w:t>
      </w:r>
      <w:r w:rsidR="00E3028F" w:rsidRPr="005F6394">
        <w:rPr>
          <w:rFonts w:asciiTheme="minorHAnsi" w:eastAsiaTheme="minorHAnsi" w:hAnsiTheme="minorHAnsi" w:cstheme="minorHAnsi"/>
          <w:i/>
          <w:color w:val="0070C0"/>
          <w:sz w:val="24"/>
          <w:szCs w:val="24"/>
        </w:rPr>
        <w:t xml:space="preserve">nebyly v některých případech </w:t>
      </w:r>
      <w:r w:rsidR="004054AF" w:rsidRPr="005F6394">
        <w:rPr>
          <w:rFonts w:asciiTheme="minorHAnsi" w:eastAsiaTheme="minorHAnsi" w:hAnsiTheme="minorHAnsi" w:cstheme="minorHAnsi"/>
          <w:i/>
          <w:color w:val="0070C0"/>
          <w:sz w:val="24"/>
          <w:szCs w:val="24"/>
        </w:rPr>
        <w:t>poskytovány a čerpány hospodárně a v souladu s právními předpisy</w:t>
      </w:r>
      <w:r w:rsidR="00E3028F" w:rsidRPr="005F6394">
        <w:rPr>
          <w:rFonts w:asciiTheme="minorHAnsi" w:eastAsiaTheme="minorHAnsi" w:hAnsiTheme="minorHAnsi" w:cstheme="minorHAnsi"/>
          <w:i/>
          <w:color w:val="0070C0"/>
          <w:sz w:val="24"/>
          <w:szCs w:val="24"/>
        </w:rPr>
        <w:t>.</w:t>
      </w:r>
    </w:p>
    <w:p w14:paraId="04621ECB" w14:textId="709BF450" w:rsidR="00836B35" w:rsidRPr="000A308E" w:rsidRDefault="00A36044" w:rsidP="00394310">
      <w:pPr>
        <w:pStyle w:val="JK4"/>
        <w:keepNext w:val="0"/>
        <w:numPr>
          <w:ilvl w:val="0"/>
          <w:numId w:val="0"/>
        </w:numPr>
        <w:tabs>
          <w:tab w:val="left" w:pos="567"/>
        </w:tabs>
        <w:spacing w:after="120"/>
      </w:pPr>
      <w:r w:rsidRPr="000A308E">
        <w:t>Na základě skutečností zjištěných při kontrole vybraných projektů a u poskytovatel</w:t>
      </w:r>
      <w:r w:rsidR="008C45CF" w:rsidRPr="000A308E">
        <w:t>e</w:t>
      </w:r>
      <w:r w:rsidRPr="000A308E">
        <w:t xml:space="preserve"> podpory provedl NKÚ vyhodnocení toho, zda peněžní prostředky státního rozpočtu</w:t>
      </w:r>
      <w:r w:rsidR="008C45CF" w:rsidRPr="000A308E">
        <w:t xml:space="preserve"> určené</w:t>
      </w:r>
      <w:r w:rsidRPr="000A308E">
        <w:t xml:space="preserve"> na podporu </w:t>
      </w:r>
      <w:r w:rsidR="000803EE" w:rsidRPr="000A308E">
        <w:t>cestovního ruchu</w:t>
      </w:r>
      <w:r w:rsidRPr="000A308E">
        <w:t xml:space="preserve"> byly poskytovány a čerpány </w:t>
      </w:r>
      <w:r w:rsidR="000803EE" w:rsidRPr="000A308E">
        <w:t>hospodárně</w:t>
      </w:r>
      <w:r w:rsidRPr="000A308E">
        <w:t xml:space="preserve">. Obdobně jako v případě hodnocení účelnosti zpracoval NKÚ pro hodnocení </w:t>
      </w:r>
      <w:r w:rsidR="0000608B" w:rsidRPr="000A308E">
        <w:t>hospodárnosti</w:t>
      </w:r>
      <w:r w:rsidR="00316CFE" w:rsidRPr="000A308E">
        <w:t xml:space="preserve"> </w:t>
      </w:r>
      <w:r w:rsidRPr="000A308E">
        <w:t xml:space="preserve">projektů </w:t>
      </w:r>
      <w:r w:rsidR="0000608B" w:rsidRPr="000A308E">
        <w:t>pěti</w:t>
      </w:r>
      <w:r w:rsidRPr="000A308E">
        <w:t xml:space="preserve">stupňovou </w:t>
      </w:r>
      <w:r w:rsidR="00ED49A0" w:rsidRPr="000A308E">
        <w:t>hodnot</w:t>
      </w:r>
      <w:r w:rsidR="00ED49A0">
        <w:t>i</w:t>
      </w:r>
      <w:r w:rsidR="00ED49A0" w:rsidRPr="000A308E">
        <w:t xml:space="preserve">cí </w:t>
      </w:r>
      <w:r w:rsidRPr="000A308E">
        <w:t xml:space="preserve">škálu (projekt je: </w:t>
      </w:r>
      <w:r w:rsidR="0000608B" w:rsidRPr="000A308E">
        <w:t>hospodárný</w:t>
      </w:r>
      <w:r w:rsidRPr="000A308E">
        <w:t xml:space="preserve"> – </w:t>
      </w:r>
      <w:r w:rsidR="008C45CF" w:rsidRPr="000A308E">
        <w:t>hospodárný</w:t>
      </w:r>
      <w:r w:rsidRPr="000A308E">
        <w:t xml:space="preserve"> s mírnými nedostatky – </w:t>
      </w:r>
      <w:r w:rsidR="008C45CF" w:rsidRPr="000A308E">
        <w:t xml:space="preserve">hospodárný </w:t>
      </w:r>
      <w:r w:rsidRPr="000A308E">
        <w:t xml:space="preserve">omezeně – </w:t>
      </w:r>
      <w:r w:rsidR="008C45CF" w:rsidRPr="000A308E">
        <w:t>nehospodárný – projekt nebyl hodnocen</w:t>
      </w:r>
      <w:r w:rsidRPr="000A308E">
        <w:t>) a stanovil jednotná kritéria pro vyhodnocení (</w:t>
      </w:r>
      <w:r w:rsidR="00DA742E" w:rsidRPr="00E21A25">
        <w:t>viz</w:t>
      </w:r>
      <w:r w:rsidR="009C5275">
        <w:t xml:space="preserve"> </w:t>
      </w:r>
      <w:r w:rsidRPr="00E21A25">
        <w:t>příloha č.</w:t>
      </w:r>
      <w:r w:rsidR="00DA742E" w:rsidRPr="00E21A25">
        <w:t> </w:t>
      </w:r>
      <w:r w:rsidR="00060DCD">
        <w:t>3</w:t>
      </w:r>
      <w:r w:rsidR="00DA742E" w:rsidRPr="00E21A25">
        <w:t xml:space="preserve"> tohoto kontrolního závěru</w:t>
      </w:r>
      <w:r w:rsidRPr="00E21A25">
        <w:t>). Výsledky posouzení po</w:t>
      </w:r>
      <w:r w:rsidR="009C5275">
        <w:t xml:space="preserve"> </w:t>
      </w:r>
      <w:r w:rsidRPr="00E21A25">
        <w:t xml:space="preserve">jednotlivých projektech obsahuje příloha č. </w:t>
      </w:r>
      <w:r w:rsidR="00060DCD">
        <w:t>2</w:t>
      </w:r>
      <w:r w:rsidR="003A795B" w:rsidRPr="000A308E">
        <w:t xml:space="preserve"> tohoto kontrolního závěru</w:t>
      </w:r>
      <w:r w:rsidRPr="000A308E">
        <w:t>.</w:t>
      </w:r>
    </w:p>
    <w:p w14:paraId="43440752" w14:textId="784059A5" w:rsidR="00A36044" w:rsidRPr="001575DD" w:rsidRDefault="00C253E2" w:rsidP="005F6394">
      <w:pPr>
        <w:keepNext/>
        <w:spacing w:before="240" w:after="120" w:line="240" w:lineRule="auto"/>
        <w:ind w:left="284" w:hanging="284"/>
        <w:rPr>
          <w:i/>
          <w:sz w:val="28"/>
          <w:szCs w:val="28"/>
        </w:rPr>
      </w:pPr>
      <w:r w:rsidRPr="000F6F6A">
        <w:rPr>
          <w:b/>
          <w:bCs/>
          <w:i/>
          <w:color w:val="FF0000"/>
          <w:sz w:val="24"/>
          <w:szCs w:val="24"/>
        </w:rPr>
        <w:t xml:space="preserve">→ </w:t>
      </w:r>
      <w:r w:rsidR="00282685" w:rsidRPr="000F6F6A">
        <w:rPr>
          <w:b/>
          <w:bCs/>
          <w:i/>
          <w:color w:val="FF0000"/>
          <w:sz w:val="24"/>
          <w:szCs w:val="24"/>
        </w:rPr>
        <w:tab/>
      </w:r>
      <w:r w:rsidR="00727F9B" w:rsidRPr="000F6F6A">
        <w:rPr>
          <w:b/>
          <w:i/>
          <w:color w:val="FF0000"/>
          <w:sz w:val="24"/>
          <w:szCs w:val="24"/>
        </w:rPr>
        <w:t>Hospodárnost</w:t>
      </w:r>
      <w:r w:rsidRPr="000F6F6A">
        <w:rPr>
          <w:b/>
          <w:i/>
          <w:color w:val="FF0000"/>
          <w:sz w:val="24"/>
          <w:szCs w:val="24"/>
        </w:rPr>
        <w:t xml:space="preserve"> </w:t>
      </w:r>
      <w:r w:rsidR="007E1B1B" w:rsidRPr="000F6F6A">
        <w:rPr>
          <w:b/>
          <w:i/>
          <w:color w:val="FF0000"/>
          <w:sz w:val="24"/>
          <w:szCs w:val="24"/>
        </w:rPr>
        <w:t>vynaložených</w:t>
      </w:r>
      <w:r w:rsidR="001575DD">
        <w:rPr>
          <w:b/>
          <w:i/>
          <w:color w:val="FF0000"/>
          <w:sz w:val="24"/>
          <w:szCs w:val="24"/>
        </w:rPr>
        <w:t xml:space="preserve"> peněžních</w:t>
      </w:r>
      <w:r w:rsidR="007E1B1B" w:rsidRPr="000F6F6A">
        <w:rPr>
          <w:b/>
          <w:i/>
          <w:color w:val="FF0000"/>
          <w:sz w:val="24"/>
          <w:szCs w:val="24"/>
        </w:rPr>
        <w:t xml:space="preserve"> prostředků </w:t>
      </w:r>
      <w:r w:rsidR="003A795B" w:rsidRPr="000F6F6A">
        <w:rPr>
          <w:b/>
          <w:i/>
          <w:color w:val="FF0000"/>
          <w:sz w:val="24"/>
          <w:szCs w:val="24"/>
        </w:rPr>
        <w:t>u </w:t>
      </w:r>
      <w:r w:rsidR="008A1334" w:rsidRPr="000F6F6A">
        <w:rPr>
          <w:b/>
          <w:i/>
          <w:color w:val="FF0000"/>
          <w:sz w:val="24"/>
          <w:szCs w:val="24"/>
        </w:rPr>
        <w:t>14</w:t>
      </w:r>
      <w:r w:rsidRPr="000F6F6A">
        <w:rPr>
          <w:b/>
          <w:i/>
          <w:color w:val="FF0000"/>
          <w:sz w:val="24"/>
          <w:szCs w:val="24"/>
        </w:rPr>
        <w:t xml:space="preserve"> z</w:t>
      </w:r>
      <w:r w:rsidR="00C37F2C" w:rsidRPr="000F6F6A">
        <w:rPr>
          <w:b/>
          <w:i/>
          <w:color w:val="FF0000"/>
          <w:sz w:val="24"/>
          <w:szCs w:val="24"/>
        </w:rPr>
        <w:t> 1</w:t>
      </w:r>
      <w:r w:rsidR="008A1334" w:rsidRPr="000F6F6A">
        <w:rPr>
          <w:b/>
          <w:i/>
          <w:color w:val="FF0000"/>
          <w:sz w:val="24"/>
          <w:szCs w:val="24"/>
        </w:rPr>
        <w:t>9</w:t>
      </w:r>
      <w:r w:rsidR="00C37F2C" w:rsidRPr="000F6F6A">
        <w:rPr>
          <w:b/>
          <w:i/>
          <w:color w:val="FF0000"/>
          <w:sz w:val="24"/>
          <w:szCs w:val="24"/>
        </w:rPr>
        <w:t xml:space="preserve"> </w:t>
      </w:r>
      <w:r w:rsidRPr="000F6F6A">
        <w:rPr>
          <w:b/>
          <w:i/>
          <w:color w:val="FF0000"/>
          <w:sz w:val="24"/>
          <w:szCs w:val="24"/>
        </w:rPr>
        <w:t xml:space="preserve">kontrolovaných projektů byla vyhodnocena pozitivně, </w:t>
      </w:r>
      <w:r w:rsidR="008A1334" w:rsidRPr="000F6F6A">
        <w:rPr>
          <w:b/>
          <w:i/>
          <w:color w:val="FF0000"/>
          <w:sz w:val="24"/>
          <w:szCs w:val="24"/>
        </w:rPr>
        <w:t>tři</w:t>
      </w:r>
      <w:r w:rsidR="007E1B1B" w:rsidRPr="000F6F6A">
        <w:rPr>
          <w:b/>
          <w:i/>
          <w:color w:val="FF0000"/>
          <w:sz w:val="24"/>
          <w:szCs w:val="24"/>
        </w:rPr>
        <w:t xml:space="preserve"> projekt</w:t>
      </w:r>
      <w:r w:rsidR="008A1334" w:rsidRPr="000F6F6A">
        <w:rPr>
          <w:b/>
          <w:i/>
          <w:color w:val="FF0000"/>
          <w:sz w:val="24"/>
          <w:szCs w:val="24"/>
        </w:rPr>
        <w:t>y</w:t>
      </w:r>
      <w:r w:rsidR="007E1B1B" w:rsidRPr="000F6F6A">
        <w:rPr>
          <w:b/>
          <w:i/>
          <w:color w:val="FF0000"/>
          <w:sz w:val="24"/>
          <w:szCs w:val="24"/>
        </w:rPr>
        <w:t xml:space="preserve"> byl</w:t>
      </w:r>
      <w:r w:rsidR="003B14D3" w:rsidRPr="000F6F6A">
        <w:rPr>
          <w:b/>
          <w:i/>
          <w:color w:val="FF0000"/>
          <w:sz w:val="24"/>
          <w:szCs w:val="24"/>
        </w:rPr>
        <w:t>y</w:t>
      </w:r>
      <w:r w:rsidR="007E1B1B" w:rsidRPr="000F6F6A">
        <w:rPr>
          <w:b/>
          <w:i/>
          <w:color w:val="FF0000"/>
          <w:sz w:val="24"/>
          <w:szCs w:val="24"/>
        </w:rPr>
        <w:t xml:space="preserve"> vyhodnocen</w:t>
      </w:r>
      <w:r w:rsidR="003B14D3" w:rsidRPr="000F6F6A">
        <w:rPr>
          <w:b/>
          <w:i/>
          <w:color w:val="FF0000"/>
          <w:sz w:val="24"/>
          <w:szCs w:val="24"/>
        </w:rPr>
        <w:t>y</w:t>
      </w:r>
      <w:r w:rsidR="007E1B1B" w:rsidRPr="000F6F6A">
        <w:rPr>
          <w:b/>
          <w:i/>
          <w:color w:val="FF0000"/>
          <w:sz w:val="24"/>
          <w:szCs w:val="24"/>
        </w:rPr>
        <w:t xml:space="preserve"> jako </w:t>
      </w:r>
      <w:r w:rsidR="003B14D3" w:rsidRPr="000F6F6A">
        <w:rPr>
          <w:b/>
          <w:i/>
          <w:color w:val="FF0000"/>
          <w:sz w:val="24"/>
          <w:szCs w:val="24"/>
        </w:rPr>
        <w:t>zcela nehospodárné, a</w:t>
      </w:r>
      <w:r w:rsidR="005F6394">
        <w:rPr>
          <w:b/>
          <w:i/>
          <w:color w:val="FF0000"/>
          <w:sz w:val="24"/>
          <w:szCs w:val="24"/>
        </w:rPr>
        <w:t> </w:t>
      </w:r>
      <w:r w:rsidR="003B14D3" w:rsidRPr="000F6F6A">
        <w:rPr>
          <w:b/>
          <w:i/>
          <w:color w:val="FF0000"/>
          <w:sz w:val="24"/>
          <w:szCs w:val="24"/>
        </w:rPr>
        <w:t>dva</w:t>
      </w:r>
      <w:r w:rsidR="007E1B1B" w:rsidRPr="000F6F6A">
        <w:rPr>
          <w:b/>
          <w:i/>
          <w:color w:val="FF0000"/>
          <w:sz w:val="24"/>
          <w:szCs w:val="24"/>
        </w:rPr>
        <w:t xml:space="preserve"> </w:t>
      </w:r>
      <w:r w:rsidR="003B14D3" w:rsidRPr="001575DD">
        <w:rPr>
          <w:b/>
          <w:i/>
          <w:color w:val="FF0000"/>
          <w:sz w:val="24"/>
          <w:szCs w:val="24"/>
        </w:rPr>
        <w:t>projekty nebyly hodnoceny</w:t>
      </w:r>
      <w:r w:rsidRPr="001575DD">
        <w:rPr>
          <w:b/>
          <w:i/>
          <w:color w:val="FF0000"/>
          <w:sz w:val="24"/>
          <w:szCs w:val="24"/>
        </w:rPr>
        <w:t>.</w:t>
      </w:r>
    </w:p>
    <w:p w14:paraId="23D9A9C3" w14:textId="338A087F" w:rsidR="00A36044" w:rsidRDefault="00A90A0E" w:rsidP="002C022B">
      <w:pPr>
        <w:pStyle w:val="JK4"/>
        <w:keepNext w:val="0"/>
        <w:numPr>
          <w:ilvl w:val="0"/>
          <w:numId w:val="0"/>
        </w:numPr>
        <w:tabs>
          <w:tab w:val="left" w:pos="567"/>
        </w:tabs>
        <w:spacing w:after="240"/>
      </w:pPr>
      <w:r w:rsidRPr="001575DD">
        <w:t xml:space="preserve">Hodnocení </w:t>
      </w:r>
      <w:r w:rsidR="00A57561" w:rsidRPr="001575DD">
        <w:t>hospodárnosti</w:t>
      </w:r>
      <w:r w:rsidRPr="001575DD">
        <w:t xml:space="preserve"> vynaložených peněžních prostředků provedl NKÚ na vybraném vzorku</w:t>
      </w:r>
      <w:r w:rsidR="00024B1E" w:rsidRPr="001575DD">
        <w:t xml:space="preserve"> projektů</w:t>
      </w:r>
      <w:r w:rsidRPr="001575DD">
        <w:t>.</w:t>
      </w:r>
      <w:r w:rsidR="001856E8">
        <w:t xml:space="preserve"> </w:t>
      </w:r>
      <w:r w:rsidR="001856E8" w:rsidRPr="00DD7DE3">
        <w:t xml:space="preserve">NKÚ </w:t>
      </w:r>
      <w:r w:rsidR="00D21741" w:rsidRPr="00DD7DE3">
        <w:t xml:space="preserve">uvádí </w:t>
      </w:r>
      <w:r w:rsidR="0067573A" w:rsidRPr="00DD7DE3">
        <w:t>případy</w:t>
      </w:r>
      <w:r w:rsidR="00D21741" w:rsidRPr="00DD7DE3">
        <w:t xml:space="preserve"> snížení stupně </w:t>
      </w:r>
      <w:r w:rsidR="001575DD" w:rsidRPr="00DD7DE3">
        <w:t>hospodárnosti</w:t>
      </w:r>
      <w:r w:rsidR="00D21741" w:rsidRPr="00DD7DE3">
        <w:t xml:space="preserve"> vynaložených prostředků v příkladech č. </w:t>
      </w:r>
      <w:r w:rsidR="00CD509C" w:rsidRPr="00DD7DE3">
        <w:t>6</w:t>
      </w:r>
      <w:r w:rsidR="00D21741" w:rsidRPr="00DD7DE3">
        <w:t xml:space="preserve"> a </w:t>
      </w:r>
      <w:r w:rsidR="00CD509C" w:rsidRPr="00DD7DE3">
        <w:t>7</w:t>
      </w:r>
      <w:r w:rsidR="00A36044" w:rsidRPr="00DD7DE3">
        <w:t>:</w:t>
      </w:r>
    </w:p>
    <w:p w14:paraId="70525090" w14:textId="30AFA5C1" w:rsidR="00E13ACC" w:rsidRPr="00743F13" w:rsidRDefault="00E13ACC" w:rsidP="009423D3">
      <w:pPr>
        <w:keepNext/>
        <w:pBdr>
          <w:top w:val="single" w:sz="4" w:space="1" w:color="auto"/>
          <w:left w:val="single" w:sz="4" w:space="4" w:color="auto"/>
          <w:bottom w:val="single" w:sz="4" w:space="1" w:color="auto"/>
          <w:right w:val="single" w:sz="4" w:space="4" w:color="auto"/>
        </w:pBdr>
        <w:spacing w:before="120" w:after="120" w:line="240" w:lineRule="auto"/>
        <w:jc w:val="both"/>
        <w:rPr>
          <w:b/>
          <w:color w:val="004595"/>
          <w:sz w:val="24"/>
          <w:szCs w:val="24"/>
        </w:rPr>
      </w:pPr>
      <w:r w:rsidRPr="00743F13">
        <w:rPr>
          <w:b/>
          <w:color w:val="004595"/>
          <w:sz w:val="24"/>
          <w:szCs w:val="24"/>
        </w:rPr>
        <w:t xml:space="preserve">Příklad č. </w:t>
      </w:r>
      <w:r w:rsidR="00CD509C">
        <w:rPr>
          <w:b/>
          <w:color w:val="004595"/>
          <w:sz w:val="24"/>
          <w:szCs w:val="24"/>
        </w:rPr>
        <w:t>6</w:t>
      </w:r>
    </w:p>
    <w:p w14:paraId="41B51604" w14:textId="2EB1AC12" w:rsidR="00D63DE7" w:rsidRPr="005F6394" w:rsidRDefault="006D65CB" w:rsidP="005F6394">
      <w:pPr>
        <w:pBdr>
          <w:top w:val="single" w:sz="4" w:space="1" w:color="auto"/>
          <w:left w:val="single" w:sz="4" w:space="4" w:color="auto"/>
          <w:bottom w:val="single" w:sz="4" w:space="1" w:color="auto"/>
          <w:right w:val="single" w:sz="4" w:space="4" w:color="auto"/>
        </w:pBdr>
        <w:spacing w:before="120" w:after="120" w:line="240" w:lineRule="auto"/>
        <w:jc w:val="both"/>
      </w:pPr>
      <w:r w:rsidRPr="005F6394">
        <w:t xml:space="preserve">Příjemce </w:t>
      </w:r>
      <w:r w:rsidR="00567ABF" w:rsidRPr="005F6394">
        <w:t>podpory</w:t>
      </w:r>
      <w:r w:rsidRPr="005F6394">
        <w:t xml:space="preserve"> </w:t>
      </w:r>
      <w:r w:rsidR="00520830" w:rsidRPr="005F6394">
        <w:t xml:space="preserve">plánoval vytvořit </w:t>
      </w:r>
      <w:r w:rsidR="00D63DE7" w:rsidRPr="005F6394">
        <w:t>marketingový produkt zaměřený na podporu poskytovatelů služeb cestovního ruchu v oblasti vodní rekreační turistiky na řekách Labi a Vltavě v</w:t>
      </w:r>
      <w:r w:rsidR="00520830" w:rsidRPr="005F6394">
        <w:t> </w:t>
      </w:r>
      <w:r w:rsidR="00D63DE7" w:rsidRPr="005F6394">
        <w:t xml:space="preserve">Ústeckém a Středočeském kraji. Tento produkt pak </w:t>
      </w:r>
      <w:r w:rsidR="006B05D8">
        <w:t xml:space="preserve">plánoval </w:t>
      </w:r>
      <w:r w:rsidR="00D63DE7" w:rsidRPr="005F6394">
        <w:t xml:space="preserve">prostřednictvím marketingové kampaně vhodně propagovat tak, aby došlo ke zvýšení </w:t>
      </w:r>
      <w:r w:rsidR="00520830" w:rsidRPr="005F6394">
        <w:t>návštěvnosti tohoto typu služeb a tím i k celkovému rozvoji cestovního ruchu v obou regionech.</w:t>
      </w:r>
    </w:p>
    <w:p w14:paraId="6D1127A1" w14:textId="433AE866" w:rsidR="005C4949" w:rsidRPr="005F6394" w:rsidRDefault="00283221" w:rsidP="005F6394">
      <w:pPr>
        <w:pBdr>
          <w:top w:val="single" w:sz="4" w:space="1" w:color="auto"/>
          <w:left w:val="single" w:sz="4" w:space="4" w:color="auto"/>
          <w:bottom w:val="single" w:sz="4" w:space="1" w:color="auto"/>
          <w:right w:val="single" w:sz="4" w:space="4" w:color="auto"/>
        </w:pBdr>
        <w:spacing w:before="120" w:after="120" w:line="240" w:lineRule="auto"/>
        <w:jc w:val="both"/>
      </w:pPr>
      <w:r w:rsidRPr="005F6394">
        <w:t xml:space="preserve">NKÚ </w:t>
      </w:r>
      <w:r w:rsidR="00DE7EA2" w:rsidRPr="005F6394">
        <w:t>kontrolou zjistil</w:t>
      </w:r>
      <w:r w:rsidRPr="005F6394">
        <w:t>, že příjemce nedoložil žádný výstup (plnění ve formě dokumentu) vztahující se</w:t>
      </w:r>
      <w:r w:rsidR="00DE7EA2" w:rsidRPr="005F6394">
        <w:t> </w:t>
      </w:r>
      <w:r w:rsidRPr="005F6394">
        <w:t>k</w:t>
      </w:r>
      <w:r w:rsidR="00DE7EA2" w:rsidRPr="005F6394">
        <w:t> </w:t>
      </w:r>
      <w:r w:rsidRPr="005F6394">
        <w:t xml:space="preserve">provedení aktivit marketingový výzkum, marketingová strategie a marketingový plán a dále ani doklady k aktivitě workshopy. Příjemce tak </w:t>
      </w:r>
      <w:r w:rsidR="00DE7EA2" w:rsidRPr="005F6394">
        <w:t>neměl</w:t>
      </w:r>
      <w:r w:rsidRPr="005F6394">
        <w:t xml:space="preserve"> podklady k výdajům projektu za celkem 702 483 Kč, přičemž tyto výdaje příjemce uhradil dodavateli v plné výši</w:t>
      </w:r>
      <w:r w:rsidR="00DE7EA2" w:rsidRPr="005F6394">
        <w:t>.</w:t>
      </w:r>
      <w:r w:rsidR="005C4949" w:rsidRPr="005F6394">
        <w:t xml:space="preserve"> Příjemce </w:t>
      </w:r>
      <w:r w:rsidR="00567ABF" w:rsidRPr="005F6394">
        <w:t>podpory</w:t>
      </w:r>
      <w:r w:rsidR="005C4949" w:rsidRPr="005F6394">
        <w:t xml:space="preserve"> sice předložil </w:t>
      </w:r>
      <w:r w:rsidR="006B05D8">
        <w:t>z</w:t>
      </w:r>
      <w:r w:rsidR="005C4949" w:rsidRPr="005F6394">
        <w:t xml:space="preserve">ávěrečné vyhodnocení projektu (akce) dle požadavků </w:t>
      </w:r>
      <w:r w:rsidR="006B05D8">
        <w:t>z</w:t>
      </w:r>
      <w:r w:rsidR="005C4949" w:rsidRPr="005F6394">
        <w:t xml:space="preserve">ásad pro žadatele a podmínek </w:t>
      </w:r>
      <w:proofErr w:type="spellStart"/>
      <w:r w:rsidR="005C4949" w:rsidRPr="005F6394">
        <w:t>RoPD</w:t>
      </w:r>
      <w:proofErr w:type="spellEnd"/>
      <w:r w:rsidR="005C4949" w:rsidRPr="005F6394">
        <w:t>, avšak v tomto vyhodnocení vykázal provedení některých aktivit projektu (marketingové práce a workshopy),</w:t>
      </w:r>
      <w:r w:rsidR="00427A4E" w:rsidRPr="005F6394">
        <w:t xml:space="preserve"> jej</w:t>
      </w:r>
      <w:r w:rsidR="006B05D8">
        <w:t>i</w:t>
      </w:r>
      <w:r w:rsidR="00427A4E" w:rsidRPr="005F6394">
        <w:t>chž provedení nebyl</w:t>
      </w:r>
      <w:r w:rsidR="005F2B3E" w:rsidRPr="005F6394">
        <w:t>o</w:t>
      </w:r>
      <w:r w:rsidR="00427A4E" w:rsidRPr="005F6394">
        <w:t xml:space="preserve"> </w:t>
      </w:r>
      <w:r w:rsidR="005F2B3E" w:rsidRPr="005F6394">
        <w:t>možné</w:t>
      </w:r>
      <w:r w:rsidR="00427A4E" w:rsidRPr="005F6394">
        <w:t xml:space="preserve"> prokázat.</w:t>
      </w:r>
    </w:p>
    <w:p w14:paraId="31F9FF1C" w14:textId="36892372" w:rsidR="00FB270B" w:rsidRPr="005F6394" w:rsidRDefault="00FB270B" w:rsidP="005F6394">
      <w:pPr>
        <w:pBdr>
          <w:top w:val="single" w:sz="4" w:space="1" w:color="auto"/>
          <w:left w:val="single" w:sz="4" w:space="4" w:color="auto"/>
          <w:bottom w:val="single" w:sz="4" w:space="1" w:color="auto"/>
          <w:right w:val="single" w:sz="4" w:space="4" w:color="auto"/>
        </w:pBdr>
        <w:spacing w:before="120" w:after="120" w:line="240" w:lineRule="auto"/>
        <w:jc w:val="both"/>
      </w:pPr>
      <w:r w:rsidRPr="005F6394">
        <w:t>NKÚ tak na základě výše uvedeného hodnotí vynaložení peněžních prostředků tohoto projektu jako</w:t>
      </w:r>
      <w:r w:rsidR="00427A4E" w:rsidRPr="005F6394">
        <w:t xml:space="preserve"> neúčelné a</w:t>
      </w:r>
      <w:r w:rsidRPr="005F6394">
        <w:t xml:space="preserve"> nehospodárné. </w:t>
      </w:r>
    </w:p>
    <w:p w14:paraId="2A4E97D5" w14:textId="04E3B67C" w:rsidR="0035626C" w:rsidRPr="00743F13" w:rsidRDefault="0035626C" w:rsidP="0035626C">
      <w:pPr>
        <w:keepNext/>
        <w:pBdr>
          <w:top w:val="single" w:sz="4" w:space="1" w:color="auto"/>
          <w:left w:val="single" w:sz="4" w:space="1" w:color="auto"/>
          <w:bottom w:val="single" w:sz="4" w:space="1" w:color="auto"/>
          <w:right w:val="single" w:sz="4" w:space="4" w:color="auto"/>
        </w:pBdr>
        <w:spacing w:before="120" w:after="120" w:line="240" w:lineRule="auto"/>
        <w:jc w:val="both"/>
        <w:rPr>
          <w:b/>
          <w:color w:val="004595"/>
          <w:sz w:val="24"/>
          <w:szCs w:val="24"/>
        </w:rPr>
      </w:pPr>
      <w:r w:rsidRPr="00743F13">
        <w:rPr>
          <w:b/>
          <w:color w:val="004595"/>
          <w:sz w:val="24"/>
          <w:szCs w:val="24"/>
        </w:rPr>
        <w:t xml:space="preserve">Příklad č. </w:t>
      </w:r>
      <w:r w:rsidR="00CD509C">
        <w:rPr>
          <w:b/>
          <w:color w:val="004595"/>
          <w:sz w:val="24"/>
          <w:szCs w:val="24"/>
        </w:rPr>
        <w:t>7</w:t>
      </w:r>
    </w:p>
    <w:p w14:paraId="1448FC04" w14:textId="4F1A0604" w:rsidR="00121E51" w:rsidRPr="005F6394" w:rsidRDefault="00A63314" w:rsidP="005F6394">
      <w:pPr>
        <w:pBdr>
          <w:top w:val="single" w:sz="4" w:space="1" w:color="auto"/>
          <w:left w:val="single" w:sz="4" w:space="1" w:color="auto"/>
          <w:bottom w:val="single" w:sz="4" w:space="1" w:color="auto"/>
          <w:right w:val="single" w:sz="4" w:space="4" w:color="auto"/>
        </w:pBdr>
        <w:spacing w:before="120" w:after="120" w:line="240" w:lineRule="auto"/>
        <w:jc w:val="both"/>
        <w:rPr>
          <w:rFonts w:ascii="Calibri" w:hAnsi="Calibri" w:cs="Calibri"/>
        </w:rPr>
      </w:pPr>
      <w:r w:rsidRPr="005F6394">
        <w:rPr>
          <w:rFonts w:ascii="Calibri" w:hAnsi="Calibri" w:cs="Calibri"/>
        </w:rPr>
        <w:t xml:space="preserve">Tentýž příjemce </w:t>
      </w:r>
      <w:r w:rsidR="00567ABF" w:rsidRPr="005F6394">
        <w:rPr>
          <w:rFonts w:ascii="Calibri" w:hAnsi="Calibri" w:cs="Calibri"/>
        </w:rPr>
        <w:t>podpory</w:t>
      </w:r>
      <w:r w:rsidRPr="005F6394">
        <w:rPr>
          <w:rFonts w:ascii="Calibri" w:hAnsi="Calibri" w:cs="Calibri"/>
        </w:rPr>
        <w:t xml:space="preserve"> </w:t>
      </w:r>
      <w:r w:rsidR="008B5F7D" w:rsidRPr="005F6394">
        <w:rPr>
          <w:rFonts w:ascii="Calibri" w:hAnsi="Calibri" w:cs="Calibri"/>
        </w:rPr>
        <w:t>pak v dalším projektu</w:t>
      </w:r>
      <w:r w:rsidR="003E7F45" w:rsidRPr="005F6394">
        <w:rPr>
          <w:rFonts w:ascii="Calibri" w:hAnsi="Calibri" w:cs="Calibri"/>
        </w:rPr>
        <w:t xml:space="preserve"> </w:t>
      </w:r>
      <w:r w:rsidR="009879BF" w:rsidRPr="005F6394">
        <w:rPr>
          <w:rFonts w:ascii="Calibri" w:hAnsi="Calibri" w:cs="Calibri"/>
        </w:rPr>
        <w:t>plánoval nastartovat udržitelný a k životnímu prostředí šetrný cestovní ruch, zvýšit návštěvnost destinace a zároveň prostřednictvím pestré turistické nabídky tuto návštěvnost s ohledem na některá exponovaná místa vhodně rozložit místně, tematicky i v čase.</w:t>
      </w:r>
    </w:p>
    <w:p w14:paraId="085706B6" w14:textId="00F8997D" w:rsidR="002E170E" w:rsidRPr="005F6394" w:rsidRDefault="002E170E" w:rsidP="005F6394">
      <w:pPr>
        <w:pBdr>
          <w:top w:val="single" w:sz="4" w:space="1" w:color="auto"/>
          <w:left w:val="single" w:sz="4" w:space="1" w:color="auto"/>
          <w:bottom w:val="single" w:sz="4" w:space="1" w:color="auto"/>
          <w:right w:val="single" w:sz="4" w:space="4" w:color="auto"/>
        </w:pBdr>
        <w:spacing w:before="120" w:after="120" w:line="240" w:lineRule="auto"/>
        <w:jc w:val="both"/>
        <w:rPr>
          <w:rFonts w:ascii="Calibri" w:hAnsi="Calibri" w:cs="Calibri"/>
        </w:rPr>
      </w:pPr>
      <w:r w:rsidRPr="005F6394">
        <w:rPr>
          <w:rFonts w:ascii="Calibri" w:hAnsi="Calibri" w:cs="Calibri"/>
        </w:rPr>
        <w:t xml:space="preserve">Kontrolou NKÚ bylo zjištěno, že příjemce </w:t>
      </w:r>
      <w:r w:rsidR="00567ABF" w:rsidRPr="005F6394">
        <w:rPr>
          <w:rFonts w:ascii="Calibri" w:hAnsi="Calibri" w:cs="Calibri"/>
        </w:rPr>
        <w:t>podpory</w:t>
      </w:r>
      <w:r w:rsidRPr="005F6394">
        <w:rPr>
          <w:rFonts w:ascii="Calibri" w:hAnsi="Calibri" w:cs="Calibri"/>
        </w:rPr>
        <w:t xml:space="preserve"> neuvedl v rámci ZVA pravdivé informace, neboť k</w:t>
      </w:r>
      <w:r w:rsidR="005F6394">
        <w:rPr>
          <w:rFonts w:ascii="Calibri" w:hAnsi="Calibri" w:cs="Calibri"/>
        </w:rPr>
        <w:t> </w:t>
      </w:r>
      <w:r w:rsidRPr="005F6394">
        <w:rPr>
          <w:rFonts w:ascii="Calibri" w:hAnsi="Calibri" w:cs="Calibri"/>
        </w:rPr>
        <w:t>ZVA přiložil doklady, které neodpovídaly skutečnosti</w:t>
      </w:r>
      <w:r w:rsidR="00976136" w:rsidRPr="005F6394">
        <w:rPr>
          <w:rFonts w:ascii="Calibri" w:hAnsi="Calibri" w:cs="Calibri"/>
        </w:rPr>
        <w:t>.</w:t>
      </w:r>
      <w:r w:rsidRPr="005F6394">
        <w:rPr>
          <w:rFonts w:ascii="Calibri" w:hAnsi="Calibri" w:cs="Calibri"/>
        </w:rPr>
        <w:t xml:space="preserve"> </w:t>
      </w:r>
      <w:r w:rsidR="002F6FA3" w:rsidRPr="005F6394">
        <w:rPr>
          <w:rFonts w:ascii="Calibri" w:hAnsi="Calibri" w:cs="Calibri"/>
        </w:rPr>
        <w:t>V</w:t>
      </w:r>
      <w:r w:rsidRPr="005F6394">
        <w:rPr>
          <w:rFonts w:ascii="Calibri" w:hAnsi="Calibri" w:cs="Calibri"/>
        </w:rPr>
        <w:t>ýpisy z účtu předložené jako podklady k</w:t>
      </w:r>
      <w:r w:rsidR="002F6FA3" w:rsidRPr="005F6394">
        <w:rPr>
          <w:rFonts w:ascii="Calibri" w:hAnsi="Calibri" w:cs="Calibri"/>
        </w:rPr>
        <w:t> </w:t>
      </w:r>
      <w:r w:rsidRPr="005F6394">
        <w:rPr>
          <w:rFonts w:ascii="Calibri" w:hAnsi="Calibri" w:cs="Calibri"/>
        </w:rPr>
        <w:t>ZVA</w:t>
      </w:r>
      <w:r w:rsidR="002F6FA3" w:rsidRPr="005F6394">
        <w:rPr>
          <w:rFonts w:ascii="Calibri" w:hAnsi="Calibri" w:cs="Calibri"/>
        </w:rPr>
        <w:t xml:space="preserve"> totiž</w:t>
      </w:r>
      <w:r w:rsidRPr="005F6394">
        <w:rPr>
          <w:rFonts w:ascii="Calibri" w:hAnsi="Calibri" w:cs="Calibri"/>
        </w:rPr>
        <w:t xml:space="preserve"> obsahují nepravdivé údaje ohledně proplacení dodavatelských faktur. K proplacení těchto faktur došlo, avšak z jiného účtu příjemce a zejména v rozdílné (nižší) částce. Příjemce nebyl schopen doložit, jak</w:t>
      </w:r>
      <w:r w:rsidR="005F6394">
        <w:rPr>
          <w:rFonts w:ascii="Calibri" w:hAnsi="Calibri" w:cs="Calibri"/>
        </w:rPr>
        <w:t xml:space="preserve"> </w:t>
      </w:r>
      <w:r w:rsidRPr="005F6394">
        <w:rPr>
          <w:rFonts w:ascii="Calibri" w:hAnsi="Calibri" w:cs="Calibri"/>
        </w:rPr>
        <w:t>použil část peněžních prostředků určených na realizaci projektu ve výši 516 364 Kč</w:t>
      </w:r>
      <w:r w:rsidR="00FA4010" w:rsidRPr="005F6394">
        <w:rPr>
          <w:rStyle w:val="Odkaznakoment"/>
          <w:rFonts w:ascii="Calibri" w:hAnsi="Calibri" w:cs="Calibri"/>
          <w:sz w:val="22"/>
          <w:szCs w:val="22"/>
        </w:rPr>
        <w:t xml:space="preserve">. </w:t>
      </w:r>
      <w:r w:rsidRPr="005F6394">
        <w:rPr>
          <w:rFonts w:ascii="Calibri" w:hAnsi="Calibri" w:cs="Calibri"/>
        </w:rPr>
        <w:t>Vzhledem k</w:t>
      </w:r>
      <w:r w:rsidR="007B462A" w:rsidRPr="005F6394">
        <w:rPr>
          <w:rFonts w:ascii="Calibri" w:hAnsi="Calibri" w:cs="Calibri"/>
        </w:rPr>
        <w:t> </w:t>
      </w:r>
      <w:r w:rsidRPr="005F6394">
        <w:rPr>
          <w:rFonts w:ascii="Calibri" w:hAnsi="Calibri" w:cs="Calibri"/>
        </w:rPr>
        <w:t>rozložení projektových peněžních prostředků v poměru 49 % dotace a 51 % vlastní financování způsobilých výdajů nebyl příjemce schopen řádně doložit využití peněžních prostředků státního rozpočtu ve výši 253 018 Kč, které mu jako nepoužité zbyly tím, že neproplatil dodavatelům celou fakturovanou částku za jejich plnění.</w:t>
      </w:r>
    </w:p>
    <w:p w14:paraId="43211528" w14:textId="0D4AF01E" w:rsidR="00230065" w:rsidRPr="005F6394" w:rsidRDefault="00230065" w:rsidP="005F6394">
      <w:pPr>
        <w:pBdr>
          <w:top w:val="single" w:sz="4" w:space="1" w:color="auto"/>
          <w:left w:val="single" w:sz="4" w:space="1" w:color="auto"/>
          <w:bottom w:val="single" w:sz="4" w:space="1" w:color="auto"/>
          <w:right w:val="single" w:sz="4" w:space="4" w:color="auto"/>
        </w:pBdr>
        <w:spacing w:before="120" w:after="120" w:line="240" w:lineRule="auto"/>
        <w:jc w:val="both"/>
        <w:rPr>
          <w:rFonts w:ascii="Calibri" w:hAnsi="Calibri" w:cs="Calibri"/>
        </w:rPr>
      </w:pPr>
      <w:r w:rsidRPr="005F6394">
        <w:rPr>
          <w:rFonts w:ascii="Calibri" w:hAnsi="Calibri" w:cs="Calibri"/>
        </w:rPr>
        <w:t>NKÚ tak na základě výše uvedeného hodnotil vynaložení peněžních prostředků tohoto projektu jako nehospodárné</w:t>
      </w:r>
      <w:r w:rsidR="00427A4E" w:rsidRPr="005F6394">
        <w:rPr>
          <w:rFonts w:ascii="Calibri" w:hAnsi="Calibri" w:cs="Calibri"/>
        </w:rPr>
        <w:t>.</w:t>
      </w:r>
    </w:p>
    <w:p w14:paraId="26F44664" w14:textId="5C24F20D" w:rsidR="00A36044" w:rsidRDefault="006533B3" w:rsidP="002C022B">
      <w:pPr>
        <w:pStyle w:val="JK4"/>
        <w:keepNext w:val="0"/>
        <w:numPr>
          <w:ilvl w:val="0"/>
          <w:numId w:val="0"/>
        </w:numPr>
        <w:tabs>
          <w:tab w:val="left" w:pos="567"/>
        </w:tabs>
        <w:spacing w:before="240" w:after="240"/>
      </w:pPr>
      <w:r w:rsidRPr="00BE15A2">
        <w:rPr>
          <w:rFonts w:asciiTheme="minorHAnsi" w:hAnsiTheme="minorHAnsi" w:cstheme="minorHAnsi"/>
        </w:rPr>
        <w:t>Souhrnný výsledek hodnocení hospodárnosti 19 posuzovaných projektů je uveden v</w:t>
      </w:r>
      <w:r>
        <w:rPr>
          <w:rFonts w:asciiTheme="minorHAnsi" w:hAnsiTheme="minorHAnsi" w:cstheme="minorHAnsi"/>
        </w:rPr>
        <w:t> </w:t>
      </w:r>
      <w:r w:rsidRPr="00BE15A2">
        <w:rPr>
          <w:rFonts w:asciiTheme="minorHAnsi" w:hAnsiTheme="minorHAnsi" w:cstheme="minorHAnsi"/>
        </w:rPr>
        <w:t>grafu č.</w:t>
      </w:r>
      <w:r w:rsidR="006A54CE">
        <w:rPr>
          <w:rFonts w:asciiTheme="minorHAnsi" w:hAnsiTheme="minorHAnsi" w:cstheme="minorHAnsi"/>
        </w:rPr>
        <w:t> </w:t>
      </w:r>
      <w:r w:rsidRPr="00BE15A2">
        <w:rPr>
          <w:rFonts w:asciiTheme="minorHAnsi" w:hAnsiTheme="minorHAnsi" w:cstheme="minorHAnsi"/>
        </w:rPr>
        <w:t>2. Majoritní podíl projektů byl hodnocen jako hospodárný, případně hospodárný s mírnými nedostatky.</w:t>
      </w:r>
      <w:r w:rsidR="00C860AD" w:rsidRPr="00C860AD">
        <w:t xml:space="preserve"> </w:t>
      </w:r>
      <w:r w:rsidR="00B36084" w:rsidRPr="00C860AD">
        <w:t>J</w:t>
      </w:r>
      <w:r w:rsidR="00C253E2" w:rsidRPr="00C860AD">
        <w:t xml:space="preserve">ako </w:t>
      </w:r>
      <w:r w:rsidR="00B36084" w:rsidRPr="00C860AD">
        <w:t xml:space="preserve">zcela </w:t>
      </w:r>
      <w:r w:rsidR="00C860AD" w:rsidRPr="00C860AD">
        <w:t>nehospodárné</w:t>
      </w:r>
      <w:r w:rsidR="00C253E2" w:rsidRPr="00C860AD">
        <w:t xml:space="preserve"> byly hodnoceny </w:t>
      </w:r>
      <w:r w:rsidR="00C860AD" w:rsidRPr="00C860AD">
        <w:t>tři</w:t>
      </w:r>
      <w:r w:rsidR="00C253E2" w:rsidRPr="00C860AD">
        <w:t xml:space="preserve"> projekty</w:t>
      </w:r>
      <w:r w:rsidR="00B36084" w:rsidRPr="00C860AD">
        <w:t xml:space="preserve"> (viz příklad</w:t>
      </w:r>
      <w:r w:rsidR="00846006" w:rsidRPr="00C860AD">
        <w:t>y</w:t>
      </w:r>
      <w:r w:rsidR="00B36084" w:rsidRPr="00C860AD">
        <w:t xml:space="preserve"> č. </w:t>
      </w:r>
      <w:r w:rsidR="00CD509C">
        <w:t>6</w:t>
      </w:r>
      <w:r w:rsidR="00846006" w:rsidRPr="00C860AD">
        <w:t xml:space="preserve"> a č. </w:t>
      </w:r>
      <w:r w:rsidR="00CD509C">
        <w:t>7</w:t>
      </w:r>
      <w:r w:rsidR="00B36084" w:rsidRPr="00C860AD">
        <w:t>)</w:t>
      </w:r>
      <w:r w:rsidR="00C860AD" w:rsidRPr="00C860AD">
        <w:t xml:space="preserve"> a</w:t>
      </w:r>
      <w:r w:rsidR="006A54CE">
        <w:t> </w:t>
      </w:r>
      <w:r w:rsidR="00C860AD" w:rsidRPr="00C860AD">
        <w:t>dva projekty nebyly hodnoceny</w:t>
      </w:r>
      <w:r w:rsidR="00DE0FCB" w:rsidRPr="00DE0FCB">
        <w:rPr>
          <w:vertAlign w:val="superscript"/>
        </w:rPr>
        <w:t>3</w:t>
      </w:r>
      <w:r w:rsidR="00AE4971">
        <w:t>.</w:t>
      </w:r>
    </w:p>
    <w:p w14:paraId="043D3B7B" w14:textId="28E86D31" w:rsidR="000D21A2" w:rsidRPr="005B4792" w:rsidRDefault="000D21A2" w:rsidP="005F6394">
      <w:pPr>
        <w:keepNext/>
        <w:keepLines/>
        <w:spacing w:before="240" w:after="0" w:line="240" w:lineRule="auto"/>
        <w:jc w:val="both"/>
        <w:rPr>
          <w:b/>
          <w:sz w:val="24"/>
          <w:szCs w:val="24"/>
        </w:rPr>
      </w:pPr>
      <w:r w:rsidRPr="005B4792">
        <w:rPr>
          <w:b/>
          <w:sz w:val="24"/>
          <w:szCs w:val="24"/>
        </w:rPr>
        <w:t xml:space="preserve">Graf č. </w:t>
      </w:r>
      <w:r w:rsidR="00CB796D">
        <w:rPr>
          <w:b/>
          <w:sz w:val="24"/>
          <w:szCs w:val="24"/>
        </w:rPr>
        <w:t>2</w:t>
      </w:r>
      <w:r w:rsidR="003A795B" w:rsidRPr="005B4792">
        <w:rPr>
          <w:b/>
          <w:sz w:val="24"/>
          <w:szCs w:val="24"/>
        </w:rPr>
        <w:t>:</w:t>
      </w:r>
      <w:r w:rsidRPr="005B4792">
        <w:rPr>
          <w:b/>
          <w:sz w:val="24"/>
          <w:szCs w:val="24"/>
        </w:rPr>
        <w:t xml:space="preserve"> Souhrnný výsledek hodnocení </w:t>
      </w:r>
      <w:r w:rsidR="005B4792">
        <w:rPr>
          <w:b/>
          <w:sz w:val="24"/>
          <w:szCs w:val="24"/>
        </w:rPr>
        <w:t>hospodárnosti</w:t>
      </w:r>
      <w:r w:rsidRPr="005B4792">
        <w:rPr>
          <w:b/>
          <w:sz w:val="24"/>
          <w:szCs w:val="24"/>
        </w:rPr>
        <w:t xml:space="preserve"> posuzovaných projektů</w:t>
      </w:r>
    </w:p>
    <w:p w14:paraId="63402DC9" w14:textId="05BDDF04" w:rsidR="00EE7E80" w:rsidRDefault="006252C2" w:rsidP="00A14706">
      <w:pPr>
        <w:keepNext/>
        <w:keepLines/>
        <w:spacing w:after="0" w:line="240" w:lineRule="auto"/>
        <w:jc w:val="center"/>
        <w:rPr>
          <w:b/>
          <w:sz w:val="20"/>
          <w:szCs w:val="20"/>
        </w:rPr>
      </w:pPr>
      <w:r>
        <w:rPr>
          <w:noProof/>
        </w:rPr>
        <w:drawing>
          <wp:inline distT="0" distB="0" distL="0" distR="0" wp14:anchorId="7A8C4D3A" wp14:editId="6209BFA7">
            <wp:extent cx="5760000" cy="961534"/>
            <wp:effectExtent l="0" t="0" r="0" b="0"/>
            <wp:docPr id="6" name="Graf 6">
              <a:extLst xmlns:a="http://schemas.openxmlformats.org/drawingml/2006/main">
                <a:ext uri="{FF2B5EF4-FFF2-40B4-BE49-F238E27FC236}">
                  <a16:creationId xmlns:a16="http://schemas.microsoft.com/office/drawing/2014/main" id="{CA6C6FB3-7276-49E4-A71A-07F83D4368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06FD652" w14:textId="1066CBEC" w:rsidR="000D21A2" w:rsidRPr="005B4792" w:rsidRDefault="000D21A2" w:rsidP="00AC070C">
      <w:pPr>
        <w:spacing w:after="240" w:line="240" w:lineRule="auto"/>
        <w:jc w:val="both"/>
      </w:pPr>
      <w:r w:rsidRPr="005B4792">
        <w:rPr>
          <w:b/>
          <w:sz w:val="20"/>
          <w:szCs w:val="20"/>
        </w:rPr>
        <w:t>Zdroj</w:t>
      </w:r>
      <w:r w:rsidRPr="005B4792">
        <w:rPr>
          <w:sz w:val="20"/>
          <w:szCs w:val="20"/>
        </w:rPr>
        <w:t xml:space="preserve">: </w:t>
      </w:r>
      <w:r w:rsidR="006B05D8">
        <w:rPr>
          <w:sz w:val="20"/>
          <w:szCs w:val="20"/>
        </w:rPr>
        <w:t>vypracoval</w:t>
      </w:r>
      <w:r w:rsidR="00DA2349" w:rsidRPr="0056319F">
        <w:rPr>
          <w:sz w:val="20"/>
          <w:szCs w:val="20"/>
        </w:rPr>
        <w:t xml:space="preserve"> </w:t>
      </w:r>
      <w:r w:rsidR="00DA2349" w:rsidRPr="0056319F">
        <w:rPr>
          <w:noProof/>
          <w:sz w:val="20"/>
          <w:szCs w:val="20"/>
          <w:lang w:eastAsia="cs-CZ"/>
        </w:rPr>
        <w:t>NKÚ z kontrolních protokolů příjemců podpory.</w:t>
      </w:r>
    </w:p>
    <w:p w14:paraId="7D7DD0EA" w14:textId="52A9CA97" w:rsidR="00357C61" w:rsidRPr="000E2745" w:rsidRDefault="00357C61" w:rsidP="00676D2F">
      <w:pPr>
        <w:pStyle w:val="JK4"/>
        <w:numPr>
          <w:ilvl w:val="0"/>
          <w:numId w:val="0"/>
        </w:numPr>
        <w:spacing w:before="240" w:after="120"/>
        <w:ind w:left="284" w:hanging="284"/>
        <w:rPr>
          <w:b/>
          <w:i/>
          <w:color w:val="FF0000"/>
        </w:rPr>
      </w:pPr>
      <w:r w:rsidRPr="000E2745">
        <w:rPr>
          <w:rFonts w:cs="Calibri"/>
          <w:b/>
          <w:i/>
          <w:color w:val="FF0000"/>
        </w:rPr>
        <w:t xml:space="preserve">→ U </w:t>
      </w:r>
      <w:r w:rsidR="000424D9">
        <w:rPr>
          <w:rFonts w:cs="Calibri"/>
          <w:b/>
          <w:i/>
          <w:color w:val="FF0000"/>
        </w:rPr>
        <w:t>pěti</w:t>
      </w:r>
      <w:r w:rsidRPr="000E2745">
        <w:rPr>
          <w:rFonts w:cs="Calibri"/>
          <w:b/>
          <w:i/>
          <w:color w:val="FF0000"/>
        </w:rPr>
        <w:t xml:space="preserve"> z 1</w:t>
      </w:r>
      <w:r w:rsidR="00EB38A2" w:rsidRPr="000E2745">
        <w:rPr>
          <w:rFonts w:cs="Calibri"/>
          <w:b/>
          <w:i/>
          <w:color w:val="FF0000"/>
        </w:rPr>
        <w:t>9</w:t>
      </w:r>
      <w:r w:rsidRPr="000E2745">
        <w:rPr>
          <w:rFonts w:cs="Calibri"/>
          <w:b/>
          <w:i/>
          <w:color w:val="FF0000"/>
        </w:rPr>
        <w:t xml:space="preserve"> prověřovaných projektů zjistil NKÚ skutečnosti nasvědčující porušení rozpočtové kázně.</w:t>
      </w:r>
    </w:p>
    <w:p w14:paraId="00C59155" w14:textId="38BBC1AA" w:rsidR="00920F7B" w:rsidRPr="000E2745" w:rsidRDefault="00920F7B" w:rsidP="00920F7B">
      <w:pPr>
        <w:pStyle w:val="JK4"/>
        <w:keepNext w:val="0"/>
        <w:numPr>
          <w:ilvl w:val="0"/>
          <w:numId w:val="0"/>
        </w:numPr>
        <w:tabs>
          <w:tab w:val="left" w:pos="567"/>
        </w:tabs>
        <w:spacing w:after="120"/>
      </w:pPr>
      <w:r w:rsidRPr="00920F7B">
        <w:t xml:space="preserve">NKÚ zjistil významné porušení podmínek dotace a financování nezpůsobilých výdajů u celkem </w:t>
      </w:r>
      <w:r w:rsidR="006C6A0B">
        <w:t>pěti</w:t>
      </w:r>
      <w:r w:rsidRPr="00920F7B">
        <w:t xml:space="preserve"> projektů (viz příklady č. </w:t>
      </w:r>
      <w:r w:rsidR="0078382E">
        <w:t xml:space="preserve">3, </w:t>
      </w:r>
      <w:r w:rsidRPr="00920F7B">
        <w:t xml:space="preserve">4, 5, 6 a 7). NKÚ u všech </w:t>
      </w:r>
      <w:r w:rsidR="006C6A0B">
        <w:t>pěti</w:t>
      </w:r>
      <w:r w:rsidRPr="00920F7B">
        <w:t xml:space="preserve"> případů vyhodnotil uvedená zjištění jako skutečnosti nasvědčující možnému porušení rozpočtové kázně</w:t>
      </w:r>
      <w:r w:rsidR="006C6A0B">
        <w:t>.</w:t>
      </w:r>
    </w:p>
    <w:p w14:paraId="57E85878" w14:textId="138A4069" w:rsidR="004054AF" w:rsidRPr="00EF49FA" w:rsidRDefault="005F46C9" w:rsidP="00676D2F">
      <w:pPr>
        <w:pStyle w:val="Nadpis2"/>
        <w:spacing w:before="240" w:after="120" w:line="240" w:lineRule="auto"/>
        <w:ind w:left="284" w:hanging="284"/>
        <w:rPr>
          <w:rFonts w:asciiTheme="minorHAnsi" w:eastAsiaTheme="minorHAnsi" w:hAnsiTheme="minorHAnsi" w:cstheme="minorHAnsi"/>
          <w:i/>
          <w:color w:val="0070C0"/>
          <w:sz w:val="24"/>
          <w:szCs w:val="24"/>
        </w:rPr>
      </w:pPr>
      <w:r>
        <w:rPr>
          <w:rFonts w:asciiTheme="minorHAnsi" w:eastAsiaTheme="minorHAnsi" w:hAnsiTheme="minorHAnsi" w:cstheme="minorHAnsi"/>
          <w:i/>
          <w:color w:val="0070C0"/>
          <w:sz w:val="24"/>
          <w:szCs w:val="24"/>
        </w:rPr>
        <w:t>F</w:t>
      </w:r>
      <w:r w:rsidR="004054AF">
        <w:rPr>
          <w:rFonts w:asciiTheme="minorHAnsi" w:eastAsiaTheme="minorHAnsi" w:hAnsiTheme="minorHAnsi" w:cstheme="minorHAnsi"/>
          <w:i/>
          <w:color w:val="0070C0"/>
          <w:sz w:val="24"/>
          <w:szCs w:val="24"/>
        </w:rPr>
        <w:t xml:space="preserve">. </w:t>
      </w:r>
      <w:r w:rsidR="00676D2F">
        <w:rPr>
          <w:rFonts w:asciiTheme="minorHAnsi" w:eastAsiaTheme="minorHAnsi" w:hAnsiTheme="minorHAnsi" w:cstheme="minorHAnsi"/>
          <w:i/>
          <w:color w:val="0070C0"/>
          <w:sz w:val="24"/>
          <w:szCs w:val="24"/>
        </w:rPr>
        <w:tab/>
      </w:r>
      <w:r w:rsidR="00F379F4">
        <w:rPr>
          <w:rFonts w:asciiTheme="minorHAnsi" w:eastAsiaTheme="minorHAnsi" w:hAnsiTheme="minorHAnsi" w:cstheme="minorHAnsi"/>
          <w:i/>
          <w:color w:val="0070C0"/>
          <w:sz w:val="24"/>
          <w:szCs w:val="24"/>
        </w:rPr>
        <w:t xml:space="preserve">MMR </w:t>
      </w:r>
      <w:r w:rsidR="004970A8">
        <w:rPr>
          <w:rFonts w:asciiTheme="minorHAnsi" w:eastAsiaTheme="minorHAnsi" w:hAnsiTheme="minorHAnsi" w:cstheme="minorHAnsi"/>
          <w:i/>
          <w:color w:val="0070C0"/>
          <w:sz w:val="24"/>
          <w:szCs w:val="24"/>
        </w:rPr>
        <w:t xml:space="preserve">vynaložilo </w:t>
      </w:r>
      <w:r w:rsidR="00F379F4">
        <w:rPr>
          <w:rFonts w:asciiTheme="minorHAnsi" w:eastAsiaTheme="minorHAnsi" w:hAnsiTheme="minorHAnsi" w:cstheme="minorHAnsi"/>
          <w:i/>
          <w:color w:val="0070C0"/>
          <w:sz w:val="24"/>
          <w:szCs w:val="24"/>
        </w:rPr>
        <w:t xml:space="preserve">peněžní prostředky </w:t>
      </w:r>
      <w:r w:rsidR="005C7E1A">
        <w:rPr>
          <w:rFonts w:asciiTheme="minorHAnsi" w:eastAsiaTheme="minorHAnsi" w:hAnsiTheme="minorHAnsi" w:cstheme="minorHAnsi"/>
          <w:i/>
          <w:color w:val="0070C0"/>
          <w:sz w:val="24"/>
          <w:szCs w:val="24"/>
        </w:rPr>
        <w:t>z</w:t>
      </w:r>
      <w:r w:rsidR="004054AF" w:rsidRPr="00EF49FA">
        <w:rPr>
          <w:rFonts w:asciiTheme="minorHAnsi" w:eastAsiaTheme="minorHAnsi" w:hAnsiTheme="minorHAnsi" w:cstheme="minorHAnsi"/>
          <w:i/>
          <w:color w:val="0070C0"/>
          <w:sz w:val="24"/>
          <w:szCs w:val="24"/>
        </w:rPr>
        <w:t xml:space="preserve"> podpůrných programů COVID </w:t>
      </w:r>
      <w:r w:rsidR="004970A8">
        <w:rPr>
          <w:rFonts w:asciiTheme="minorHAnsi" w:eastAsiaTheme="minorHAnsi" w:hAnsiTheme="minorHAnsi" w:cstheme="minorHAnsi"/>
          <w:i/>
          <w:color w:val="0070C0"/>
          <w:sz w:val="24"/>
          <w:szCs w:val="24"/>
        </w:rPr>
        <w:t xml:space="preserve">v </w:t>
      </w:r>
      <w:r w:rsidR="005C7E1A">
        <w:rPr>
          <w:rFonts w:asciiTheme="minorHAnsi" w:eastAsiaTheme="minorHAnsi" w:hAnsiTheme="minorHAnsi" w:cstheme="minorHAnsi"/>
          <w:i/>
          <w:color w:val="0070C0"/>
          <w:sz w:val="24"/>
          <w:szCs w:val="24"/>
        </w:rPr>
        <w:t>soulad</w:t>
      </w:r>
      <w:r w:rsidR="004970A8">
        <w:rPr>
          <w:rFonts w:asciiTheme="minorHAnsi" w:eastAsiaTheme="minorHAnsi" w:hAnsiTheme="minorHAnsi" w:cstheme="minorHAnsi"/>
          <w:i/>
          <w:color w:val="0070C0"/>
          <w:sz w:val="24"/>
          <w:szCs w:val="24"/>
        </w:rPr>
        <w:t>u</w:t>
      </w:r>
      <w:r w:rsidR="005C7E1A">
        <w:rPr>
          <w:rFonts w:asciiTheme="minorHAnsi" w:eastAsiaTheme="minorHAnsi" w:hAnsiTheme="minorHAnsi" w:cstheme="minorHAnsi"/>
          <w:i/>
          <w:color w:val="0070C0"/>
          <w:sz w:val="24"/>
          <w:szCs w:val="24"/>
        </w:rPr>
        <w:t xml:space="preserve"> s právními předpisy</w:t>
      </w:r>
      <w:r w:rsidR="004970A8">
        <w:rPr>
          <w:rFonts w:asciiTheme="minorHAnsi" w:eastAsiaTheme="minorHAnsi" w:hAnsiTheme="minorHAnsi" w:cstheme="minorHAnsi"/>
          <w:i/>
          <w:color w:val="0070C0"/>
          <w:sz w:val="24"/>
          <w:szCs w:val="24"/>
        </w:rPr>
        <w:t>.</w:t>
      </w:r>
    </w:p>
    <w:p w14:paraId="2017687D" w14:textId="69B84F7C" w:rsidR="003A7349" w:rsidRDefault="000716CE" w:rsidP="003A7349">
      <w:pPr>
        <w:pStyle w:val="JK4"/>
        <w:keepNext w:val="0"/>
        <w:numPr>
          <w:ilvl w:val="0"/>
          <w:numId w:val="0"/>
        </w:numPr>
        <w:tabs>
          <w:tab w:val="left" w:pos="567"/>
        </w:tabs>
        <w:spacing w:after="120"/>
      </w:pPr>
      <w:r>
        <w:t xml:space="preserve">MMR při stanovení alokace programu </w:t>
      </w:r>
      <w:r w:rsidR="001F0B33">
        <w:t xml:space="preserve">ve výši 2,5 mld. Kč (viz příloha č. </w:t>
      </w:r>
      <w:r w:rsidR="00060DCD">
        <w:t>1</w:t>
      </w:r>
      <w:r w:rsidR="001F0B33">
        <w:t xml:space="preserve"> tohoto kontrolního závěru) </w:t>
      </w:r>
      <w:r>
        <w:t xml:space="preserve">vycházelo z </w:t>
      </w:r>
      <w:r w:rsidR="003A7349" w:rsidRPr="00804359">
        <w:t xml:space="preserve">odhadované spotřeby vnitřního </w:t>
      </w:r>
      <w:r>
        <w:t>cestovního ruchu</w:t>
      </w:r>
      <w:r w:rsidR="00E452EA">
        <w:rPr>
          <w:rStyle w:val="Znakapoznpodarou"/>
        </w:rPr>
        <w:footnoteReference w:id="16"/>
      </w:r>
      <w:r w:rsidR="003A7349" w:rsidRPr="00804359">
        <w:t xml:space="preserve"> pro rok 2019. Potřeb</w:t>
      </w:r>
      <w:r>
        <w:t>u</w:t>
      </w:r>
      <w:r w:rsidR="003A7349" w:rsidRPr="00804359">
        <w:t xml:space="preserve"> alokované částky </w:t>
      </w:r>
      <w:r w:rsidRPr="00804359">
        <w:t xml:space="preserve">MMR </w:t>
      </w:r>
      <w:r w:rsidR="003A7349" w:rsidRPr="00804359">
        <w:t xml:space="preserve">více </w:t>
      </w:r>
      <w:r>
        <w:t>ne</w:t>
      </w:r>
      <w:r w:rsidR="003A7349" w:rsidRPr="00804359">
        <w:t>zdůvodn</w:t>
      </w:r>
      <w:r>
        <w:t>ilo</w:t>
      </w:r>
      <w:r w:rsidR="003A7349" w:rsidRPr="00804359">
        <w:t>.</w:t>
      </w:r>
      <w:r w:rsidR="003A7349" w:rsidRPr="00256C11">
        <w:t xml:space="preserve"> </w:t>
      </w:r>
    </w:p>
    <w:p w14:paraId="2F8EBA1A" w14:textId="14F87DF6" w:rsidR="000716CE" w:rsidRDefault="00C65774" w:rsidP="000716CE">
      <w:pPr>
        <w:pStyle w:val="JK4"/>
        <w:keepNext w:val="0"/>
        <w:numPr>
          <w:ilvl w:val="0"/>
          <w:numId w:val="0"/>
        </w:numPr>
        <w:tabs>
          <w:tab w:val="left" w:pos="567"/>
        </w:tabs>
        <w:spacing w:after="120"/>
      </w:pPr>
      <w:r>
        <w:t>Primárním</w:t>
      </w:r>
      <w:r w:rsidR="000716CE" w:rsidRPr="003A7349">
        <w:t xml:space="preserve"> záměrem </w:t>
      </w:r>
      <w:r>
        <w:t xml:space="preserve">MMR v provádění </w:t>
      </w:r>
      <w:r w:rsidR="000716CE" w:rsidRPr="003A7349">
        <w:t xml:space="preserve">COVID programů nebyla </w:t>
      </w:r>
      <w:r w:rsidR="00BF2F5B">
        <w:t>efektivnost</w:t>
      </w:r>
      <w:r w:rsidR="000716CE" w:rsidRPr="003A7349">
        <w:t xml:space="preserve"> podpory, </w:t>
      </w:r>
      <w:r w:rsidR="004326E2">
        <w:t>nýbrž</w:t>
      </w:r>
      <w:r w:rsidR="00676D2F">
        <w:t xml:space="preserve"> </w:t>
      </w:r>
      <w:r w:rsidR="000716CE" w:rsidRPr="003A7349">
        <w:t xml:space="preserve">zachování rozsahu nabídky </w:t>
      </w:r>
      <w:r>
        <w:t>tuzemského cestovního ruchu</w:t>
      </w:r>
      <w:r w:rsidR="00C41B5B">
        <w:t>,</w:t>
      </w:r>
      <w:r w:rsidR="004326E2">
        <w:t xml:space="preserve"> </w:t>
      </w:r>
      <w:r w:rsidR="00C41B5B">
        <w:t xml:space="preserve">případně </w:t>
      </w:r>
      <w:r>
        <w:t xml:space="preserve">finanční </w:t>
      </w:r>
      <w:r w:rsidR="000716CE" w:rsidRPr="003A7349">
        <w:t>kompenzace podnikatelům</w:t>
      </w:r>
      <w:r w:rsidR="000716CE" w:rsidRPr="00635B86">
        <w:t>,</w:t>
      </w:r>
      <w:r>
        <w:t xml:space="preserve"> </w:t>
      </w:r>
      <w:r w:rsidR="000716CE">
        <w:t>kteří</w:t>
      </w:r>
      <w:r w:rsidR="00676D2F">
        <w:t xml:space="preserve"> </w:t>
      </w:r>
      <w:r w:rsidR="000716CE" w:rsidRPr="00635B86">
        <w:t>vlivem protiepidemických opatření nemohli provozovat svoji podnikatelskou činnost.</w:t>
      </w:r>
    </w:p>
    <w:p w14:paraId="095A02E5" w14:textId="1A499CB1" w:rsidR="003917BB" w:rsidRDefault="003917BB" w:rsidP="003917BB">
      <w:pPr>
        <w:pStyle w:val="JK4"/>
        <w:keepNext w:val="0"/>
        <w:numPr>
          <w:ilvl w:val="0"/>
          <w:numId w:val="0"/>
        </w:numPr>
        <w:tabs>
          <w:tab w:val="left" w:pos="567"/>
        </w:tabs>
        <w:spacing w:after="120"/>
      </w:pPr>
      <w:r w:rsidRPr="009F5448">
        <w:t>NKÚ ověřil, že MMR postupovalo při správě a administraci COVID dotačních titulů dle</w:t>
      </w:r>
      <w:r w:rsidR="00676D2F">
        <w:t xml:space="preserve"> </w:t>
      </w:r>
      <w:r w:rsidRPr="009F5448">
        <w:t>právníc</w:t>
      </w:r>
      <w:r w:rsidR="00BF2F5B">
        <w:t>h</w:t>
      </w:r>
      <w:r w:rsidRPr="009F5448">
        <w:t xml:space="preserve"> předpisů</w:t>
      </w:r>
      <w:r>
        <w:t xml:space="preserve"> a </w:t>
      </w:r>
      <w:r w:rsidRPr="009F5448">
        <w:t>interních postupů pro oblast národních dotačních titulů a programů</w:t>
      </w:r>
      <w:r>
        <w:t xml:space="preserve">. </w:t>
      </w:r>
      <w:r w:rsidRPr="009F5448">
        <w:t>Kontrolní listy a</w:t>
      </w:r>
      <w:r w:rsidR="000424D9">
        <w:t> </w:t>
      </w:r>
      <w:r w:rsidRPr="009F5448">
        <w:t>využívané formuláře či tabulky odpovídaly potřebám specifik dotačních titulů a byly využívány v rámci jednotlivých výzev jednotně.</w:t>
      </w:r>
      <w:r w:rsidRPr="001524BF">
        <w:t xml:space="preserve"> </w:t>
      </w:r>
      <w:r>
        <w:t xml:space="preserve">NKÚ </w:t>
      </w:r>
      <w:r w:rsidR="00C41B5B">
        <w:t xml:space="preserve">prověřením vzorku vybraných projektů </w:t>
      </w:r>
      <w:r>
        <w:t>nezjistil p</w:t>
      </w:r>
      <w:r w:rsidRPr="00955F1E">
        <w:t>ochybení příjemc</w:t>
      </w:r>
      <w:r>
        <w:t>ů</w:t>
      </w:r>
      <w:r w:rsidRPr="00955F1E">
        <w:t xml:space="preserve"> při</w:t>
      </w:r>
      <w:r w:rsidR="00676D2F">
        <w:t xml:space="preserve"> </w:t>
      </w:r>
      <w:r w:rsidRPr="00955F1E">
        <w:t>dodržování podmínek stanovených v</w:t>
      </w:r>
      <w:r>
        <w:t> </w:t>
      </w:r>
      <w:proofErr w:type="spellStart"/>
      <w:r>
        <w:t>RoPD</w:t>
      </w:r>
      <w:proofErr w:type="spellEnd"/>
      <w:r>
        <w:t>.</w:t>
      </w:r>
      <w:r w:rsidR="00763CAB">
        <w:t xml:space="preserve"> </w:t>
      </w:r>
    </w:p>
    <w:p w14:paraId="591228E0" w14:textId="1E0DD955" w:rsidR="00B0536C" w:rsidRPr="00B0536C" w:rsidRDefault="00D83948" w:rsidP="00B0536C">
      <w:pPr>
        <w:pStyle w:val="JK4"/>
        <w:keepNext w:val="0"/>
        <w:numPr>
          <w:ilvl w:val="0"/>
          <w:numId w:val="0"/>
        </w:numPr>
        <w:tabs>
          <w:tab w:val="left" w:pos="567"/>
        </w:tabs>
        <w:spacing w:after="120"/>
      </w:pPr>
      <w:r w:rsidRPr="00BE15A2">
        <w:rPr>
          <w:rFonts w:asciiTheme="minorHAnsi" w:hAnsiTheme="minorHAnsi" w:cstheme="minorHAnsi"/>
        </w:rPr>
        <w:t>NKÚ dále ověřil, že MMR při kontrole podpůrných programů COVID postupovalo v souladu se zákonem č. 320/2001 Sb.</w:t>
      </w:r>
      <w:r w:rsidR="0009152A">
        <w:rPr>
          <w:rStyle w:val="Znakapoznpodarou"/>
        </w:rPr>
        <w:footnoteReference w:id="17"/>
      </w:r>
      <w:r w:rsidR="00B0536C" w:rsidRPr="00B0536C">
        <w:t xml:space="preserve"> a zákon</w:t>
      </w:r>
      <w:r w:rsidR="00965AFA">
        <w:t>em</w:t>
      </w:r>
      <w:r w:rsidR="00B0536C" w:rsidRPr="00B0536C">
        <w:t xml:space="preserve"> č. 218/2000 Sb.</w:t>
      </w:r>
    </w:p>
    <w:p w14:paraId="3A0753BE" w14:textId="31AE830A" w:rsidR="00A723E5" w:rsidRPr="001C2A3E" w:rsidRDefault="000F2ED7" w:rsidP="0067216C">
      <w:pPr>
        <w:spacing w:before="600" w:after="120" w:line="240" w:lineRule="auto"/>
        <w:jc w:val="both"/>
        <w:rPr>
          <w:b/>
          <w:sz w:val="24"/>
          <w:szCs w:val="24"/>
        </w:rPr>
      </w:pPr>
      <w:r>
        <w:rPr>
          <w:b/>
          <w:sz w:val="24"/>
          <w:szCs w:val="24"/>
        </w:rPr>
        <w:t>S</w:t>
      </w:r>
      <w:r w:rsidR="00903A0D" w:rsidRPr="001C2A3E">
        <w:rPr>
          <w:b/>
          <w:sz w:val="24"/>
          <w:szCs w:val="24"/>
        </w:rPr>
        <w:t>eznam</w:t>
      </w:r>
      <w:r w:rsidR="00A66570" w:rsidRPr="001C2A3E">
        <w:rPr>
          <w:b/>
          <w:sz w:val="24"/>
          <w:szCs w:val="24"/>
        </w:rPr>
        <w:t xml:space="preserve"> </w:t>
      </w:r>
      <w:r w:rsidR="00903A0D" w:rsidRPr="001C2A3E">
        <w:rPr>
          <w:b/>
          <w:sz w:val="24"/>
          <w:szCs w:val="24"/>
        </w:rPr>
        <w:t>zkratek</w:t>
      </w:r>
    </w:p>
    <w:p w14:paraId="6C45B53B" w14:textId="56CDE2FD" w:rsidR="00D26848" w:rsidRPr="001C2A3E" w:rsidRDefault="00D26848" w:rsidP="00676D2F">
      <w:pPr>
        <w:tabs>
          <w:tab w:val="left" w:pos="2268"/>
        </w:tabs>
        <w:spacing w:before="60" w:after="60" w:line="240" w:lineRule="auto"/>
        <w:ind w:left="2268" w:hanging="2268"/>
        <w:rPr>
          <w:rFonts w:cs="Calibri"/>
          <w:color w:val="000000" w:themeColor="text1"/>
          <w:sz w:val="24"/>
          <w:szCs w:val="24"/>
        </w:rPr>
      </w:pPr>
      <w:r w:rsidRPr="001C2A3E">
        <w:rPr>
          <w:rFonts w:cs="Calibri"/>
          <w:color w:val="000000" w:themeColor="text1"/>
          <w:sz w:val="24"/>
          <w:szCs w:val="24"/>
        </w:rPr>
        <w:t>COVID-Podpora CR</w:t>
      </w:r>
      <w:r w:rsidRPr="001C2A3E">
        <w:rPr>
          <w:rFonts w:cs="Calibri"/>
          <w:color w:val="000000" w:themeColor="text1"/>
          <w:sz w:val="24"/>
          <w:szCs w:val="24"/>
        </w:rPr>
        <w:tab/>
      </w:r>
      <w:r w:rsidRPr="006252C2">
        <w:rPr>
          <w:rFonts w:cs="Calibri"/>
          <w:i/>
          <w:color w:val="000000" w:themeColor="text1"/>
          <w:sz w:val="24"/>
          <w:szCs w:val="24"/>
        </w:rPr>
        <w:t>COVID</w:t>
      </w:r>
      <w:r w:rsidR="007364FB" w:rsidRPr="006252C2">
        <w:rPr>
          <w:rFonts w:cs="Calibri"/>
          <w:i/>
          <w:color w:val="000000" w:themeColor="text1"/>
          <w:sz w:val="24"/>
          <w:szCs w:val="24"/>
        </w:rPr>
        <w:t xml:space="preserve"> </w:t>
      </w:r>
      <w:r w:rsidR="007364FB" w:rsidRPr="006252C2">
        <w:rPr>
          <w:rFonts w:cstheme="minorHAnsi"/>
          <w:i/>
          <w:color w:val="000000" w:themeColor="text1"/>
          <w:sz w:val="24"/>
          <w:szCs w:val="24"/>
        </w:rPr>
        <w:t>−</w:t>
      </w:r>
      <w:r w:rsidR="007364FB" w:rsidRPr="006252C2">
        <w:rPr>
          <w:rFonts w:cs="Calibri"/>
          <w:i/>
          <w:color w:val="000000" w:themeColor="text1"/>
          <w:sz w:val="24"/>
          <w:szCs w:val="24"/>
        </w:rPr>
        <w:t xml:space="preserve"> </w:t>
      </w:r>
      <w:r w:rsidRPr="006252C2">
        <w:rPr>
          <w:rFonts w:cs="Calibri"/>
          <w:i/>
          <w:color w:val="000000" w:themeColor="text1"/>
          <w:sz w:val="24"/>
          <w:szCs w:val="24"/>
        </w:rPr>
        <w:t>Podpora cestovního ruchu</w:t>
      </w:r>
    </w:p>
    <w:p w14:paraId="5D0A057A" w14:textId="3389DF79" w:rsidR="006A786C" w:rsidRPr="001C2A3E" w:rsidRDefault="006A786C" w:rsidP="00676D2F">
      <w:pPr>
        <w:tabs>
          <w:tab w:val="left" w:pos="2268"/>
        </w:tabs>
        <w:spacing w:before="60" w:after="60" w:line="240" w:lineRule="auto"/>
        <w:ind w:left="2268" w:hanging="2268"/>
        <w:rPr>
          <w:rFonts w:cs="Calibri"/>
          <w:color w:val="000000" w:themeColor="text1"/>
          <w:sz w:val="24"/>
          <w:szCs w:val="24"/>
        </w:rPr>
      </w:pPr>
      <w:r w:rsidRPr="001C2A3E">
        <w:rPr>
          <w:rFonts w:cs="Calibri"/>
          <w:color w:val="000000" w:themeColor="text1"/>
          <w:sz w:val="24"/>
          <w:szCs w:val="24"/>
        </w:rPr>
        <w:t>COVID-CK</w:t>
      </w:r>
      <w:r w:rsidRPr="001C2A3E">
        <w:rPr>
          <w:rFonts w:cs="Calibri"/>
          <w:color w:val="000000" w:themeColor="text1"/>
          <w:sz w:val="24"/>
          <w:szCs w:val="24"/>
        </w:rPr>
        <w:tab/>
      </w:r>
      <w:r w:rsidRPr="006252C2">
        <w:rPr>
          <w:rFonts w:cs="Calibri"/>
          <w:i/>
          <w:color w:val="000000" w:themeColor="text1"/>
          <w:sz w:val="24"/>
          <w:szCs w:val="24"/>
        </w:rPr>
        <w:t>COVID</w:t>
      </w:r>
      <w:r w:rsidR="007364FB" w:rsidRPr="006252C2">
        <w:rPr>
          <w:rFonts w:cs="Calibri"/>
          <w:i/>
          <w:color w:val="000000" w:themeColor="text1"/>
          <w:sz w:val="24"/>
          <w:szCs w:val="24"/>
        </w:rPr>
        <w:t xml:space="preserve"> </w:t>
      </w:r>
      <w:r w:rsidR="007364FB" w:rsidRPr="006252C2">
        <w:rPr>
          <w:rFonts w:cstheme="minorHAnsi"/>
          <w:i/>
          <w:color w:val="000000" w:themeColor="text1"/>
          <w:sz w:val="24"/>
          <w:szCs w:val="24"/>
        </w:rPr>
        <w:t>−</w:t>
      </w:r>
      <w:r w:rsidR="007364FB" w:rsidRPr="006252C2">
        <w:rPr>
          <w:rFonts w:cs="Calibri"/>
          <w:i/>
          <w:color w:val="000000" w:themeColor="text1"/>
          <w:sz w:val="24"/>
          <w:szCs w:val="24"/>
        </w:rPr>
        <w:t xml:space="preserve"> </w:t>
      </w:r>
      <w:r w:rsidRPr="006252C2">
        <w:rPr>
          <w:rFonts w:cs="Calibri"/>
          <w:i/>
          <w:color w:val="000000" w:themeColor="text1"/>
          <w:sz w:val="24"/>
          <w:szCs w:val="24"/>
        </w:rPr>
        <w:t>Cestovní kanceláře</w:t>
      </w:r>
    </w:p>
    <w:p w14:paraId="1EF4A909" w14:textId="4B4EFD72" w:rsidR="006A786C" w:rsidRPr="001C2A3E" w:rsidRDefault="006A786C" w:rsidP="00676D2F">
      <w:pPr>
        <w:tabs>
          <w:tab w:val="left" w:pos="2268"/>
        </w:tabs>
        <w:spacing w:before="60" w:after="60" w:line="240" w:lineRule="auto"/>
        <w:ind w:left="2268" w:hanging="2268"/>
        <w:rPr>
          <w:rFonts w:cs="Calibri"/>
          <w:color w:val="000000" w:themeColor="text1"/>
          <w:sz w:val="24"/>
          <w:szCs w:val="24"/>
        </w:rPr>
      </w:pPr>
      <w:r w:rsidRPr="001C2A3E">
        <w:rPr>
          <w:rFonts w:cs="Calibri"/>
          <w:color w:val="000000" w:themeColor="text1"/>
          <w:sz w:val="24"/>
          <w:szCs w:val="24"/>
        </w:rPr>
        <w:t xml:space="preserve">COVID-CA </w:t>
      </w:r>
      <w:r w:rsidRPr="001C2A3E">
        <w:rPr>
          <w:rFonts w:cs="Calibri"/>
          <w:color w:val="000000" w:themeColor="text1"/>
          <w:sz w:val="24"/>
          <w:szCs w:val="24"/>
        </w:rPr>
        <w:tab/>
      </w:r>
      <w:r w:rsidRPr="006252C2">
        <w:rPr>
          <w:rFonts w:cs="Calibri"/>
          <w:i/>
          <w:color w:val="000000" w:themeColor="text1"/>
          <w:sz w:val="24"/>
          <w:szCs w:val="24"/>
        </w:rPr>
        <w:t>COVID</w:t>
      </w:r>
      <w:r w:rsidR="007364FB" w:rsidRPr="006252C2">
        <w:rPr>
          <w:rFonts w:cs="Calibri"/>
          <w:i/>
          <w:color w:val="000000" w:themeColor="text1"/>
          <w:sz w:val="24"/>
          <w:szCs w:val="24"/>
        </w:rPr>
        <w:t xml:space="preserve"> </w:t>
      </w:r>
      <w:r w:rsidR="007364FB" w:rsidRPr="006252C2">
        <w:rPr>
          <w:rFonts w:cstheme="minorHAnsi"/>
          <w:i/>
          <w:color w:val="000000" w:themeColor="text1"/>
          <w:sz w:val="24"/>
          <w:szCs w:val="24"/>
        </w:rPr>
        <w:t>−</w:t>
      </w:r>
      <w:r w:rsidR="007364FB" w:rsidRPr="006252C2">
        <w:rPr>
          <w:rFonts w:cs="Calibri"/>
          <w:i/>
          <w:color w:val="000000" w:themeColor="text1"/>
          <w:sz w:val="24"/>
          <w:szCs w:val="24"/>
        </w:rPr>
        <w:t xml:space="preserve"> </w:t>
      </w:r>
      <w:r w:rsidRPr="006252C2">
        <w:rPr>
          <w:rFonts w:cs="Calibri"/>
          <w:i/>
          <w:color w:val="000000" w:themeColor="text1"/>
          <w:sz w:val="24"/>
          <w:szCs w:val="24"/>
        </w:rPr>
        <w:t>Cestovní agentury</w:t>
      </w:r>
    </w:p>
    <w:p w14:paraId="45083A85" w14:textId="305DEC1C" w:rsidR="006A786C" w:rsidRPr="001C2A3E" w:rsidRDefault="006A786C" w:rsidP="00676D2F">
      <w:pPr>
        <w:tabs>
          <w:tab w:val="left" w:pos="2268"/>
        </w:tabs>
        <w:spacing w:before="60" w:after="60" w:line="240" w:lineRule="auto"/>
        <w:ind w:left="2268" w:hanging="2268"/>
        <w:rPr>
          <w:rFonts w:cs="Calibri"/>
          <w:color w:val="000000" w:themeColor="text1"/>
          <w:sz w:val="24"/>
          <w:szCs w:val="24"/>
        </w:rPr>
      </w:pPr>
      <w:r w:rsidRPr="001C2A3E">
        <w:rPr>
          <w:rFonts w:cs="Calibri"/>
          <w:color w:val="000000" w:themeColor="text1"/>
          <w:sz w:val="24"/>
          <w:szCs w:val="24"/>
        </w:rPr>
        <w:t>COVID-Průvodci</w:t>
      </w:r>
      <w:r w:rsidRPr="001C2A3E">
        <w:rPr>
          <w:rFonts w:cs="Calibri"/>
          <w:color w:val="000000" w:themeColor="text1"/>
          <w:sz w:val="24"/>
          <w:szCs w:val="24"/>
        </w:rPr>
        <w:tab/>
      </w:r>
      <w:r w:rsidRPr="006252C2">
        <w:rPr>
          <w:rFonts w:cs="Calibri"/>
          <w:i/>
          <w:color w:val="000000" w:themeColor="text1"/>
          <w:sz w:val="24"/>
          <w:szCs w:val="24"/>
        </w:rPr>
        <w:t>COVID</w:t>
      </w:r>
      <w:r w:rsidR="007364FB" w:rsidRPr="006252C2">
        <w:rPr>
          <w:rFonts w:cs="Calibri"/>
          <w:i/>
          <w:color w:val="000000" w:themeColor="text1"/>
          <w:sz w:val="24"/>
          <w:szCs w:val="24"/>
        </w:rPr>
        <w:t xml:space="preserve"> </w:t>
      </w:r>
      <w:r w:rsidR="007364FB" w:rsidRPr="006252C2">
        <w:rPr>
          <w:rFonts w:cstheme="minorHAnsi"/>
          <w:i/>
          <w:color w:val="000000" w:themeColor="text1"/>
          <w:sz w:val="24"/>
          <w:szCs w:val="24"/>
        </w:rPr>
        <w:t>−</w:t>
      </w:r>
      <w:r w:rsidR="007364FB" w:rsidRPr="006252C2">
        <w:rPr>
          <w:rFonts w:cs="Calibri"/>
          <w:i/>
          <w:color w:val="000000" w:themeColor="text1"/>
          <w:sz w:val="24"/>
          <w:szCs w:val="24"/>
        </w:rPr>
        <w:t xml:space="preserve"> </w:t>
      </w:r>
      <w:r w:rsidRPr="006252C2">
        <w:rPr>
          <w:rFonts w:cs="Calibri"/>
          <w:i/>
          <w:color w:val="000000" w:themeColor="text1"/>
          <w:sz w:val="24"/>
          <w:szCs w:val="24"/>
        </w:rPr>
        <w:t>Průvodci v cestovním ruchu</w:t>
      </w:r>
    </w:p>
    <w:p w14:paraId="5F3DEA59" w14:textId="1E37C504" w:rsidR="006A786C" w:rsidRPr="001C2A3E" w:rsidRDefault="006A786C" w:rsidP="00676D2F">
      <w:pPr>
        <w:tabs>
          <w:tab w:val="left" w:pos="2268"/>
        </w:tabs>
        <w:spacing w:before="60" w:after="60" w:line="240" w:lineRule="auto"/>
        <w:ind w:left="2268" w:hanging="2268"/>
        <w:rPr>
          <w:rFonts w:cs="Calibri"/>
          <w:color w:val="000000" w:themeColor="text1"/>
          <w:sz w:val="24"/>
          <w:szCs w:val="24"/>
        </w:rPr>
      </w:pPr>
      <w:r w:rsidRPr="001C2A3E">
        <w:rPr>
          <w:rFonts w:cs="Calibri"/>
          <w:color w:val="000000" w:themeColor="text1"/>
          <w:sz w:val="24"/>
          <w:szCs w:val="24"/>
        </w:rPr>
        <w:t>COVID-CK II.</w:t>
      </w:r>
      <w:r w:rsidRPr="001C2A3E">
        <w:rPr>
          <w:rFonts w:cs="Calibri"/>
          <w:color w:val="000000" w:themeColor="text1"/>
          <w:sz w:val="24"/>
          <w:szCs w:val="24"/>
        </w:rPr>
        <w:tab/>
      </w:r>
      <w:r w:rsidRPr="006252C2">
        <w:rPr>
          <w:rFonts w:cs="Calibri"/>
          <w:i/>
          <w:color w:val="000000" w:themeColor="text1"/>
          <w:sz w:val="24"/>
          <w:szCs w:val="24"/>
        </w:rPr>
        <w:t>COVID</w:t>
      </w:r>
      <w:r w:rsidR="007364FB" w:rsidRPr="006252C2">
        <w:rPr>
          <w:rFonts w:cs="Calibri"/>
          <w:i/>
          <w:color w:val="000000" w:themeColor="text1"/>
          <w:sz w:val="24"/>
          <w:szCs w:val="24"/>
        </w:rPr>
        <w:t xml:space="preserve"> </w:t>
      </w:r>
      <w:r w:rsidR="007364FB" w:rsidRPr="006252C2">
        <w:rPr>
          <w:rFonts w:cstheme="minorHAnsi"/>
          <w:i/>
          <w:color w:val="000000" w:themeColor="text1"/>
          <w:sz w:val="24"/>
          <w:szCs w:val="24"/>
        </w:rPr>
        <w:t>−</w:t>
      </w:r>
      <w:r w:rsidR="007364FB" w:rsidRPr="006252C2">
        <w:rPr>
          <w:rFonts w:cs="Calibri"/>
          <w:i/>
          <w:color w:val="000000" w:themeColor="text1"/>
          <w:sz w:val="24"/>
          <w:szCs w:val="24"/>
        </w:rPr>
        <w:t xml:space="preserve"> </w:t>
      </w:r>
      <w:r w:rsidRPr="006252C2">
        <w:rPr>
          <w:rFonts w:cs="Calibri"/>
          <w:i/>
          <w:color w:val="000000" w:themeColor="text1"/>
          <w:sz w:val="24"/>
          <w:szCs w:val="24"/>
        </w:rPr>
        <w:t>Cestovní kanceláře II.</w:t>
      </w:r>
    </w:p>
    <w:p w14:paraId="6E6E019B" w14:textId="4C87429A" w:rsidR="006A786C" w:rsidRPr="001C2A3E" w:rsidRDefault="006A786C" w:rsidP="00676D2F">
      <w:pPr>
        <w:tabs>
          <w:tab w:val="left" w:pos="2268"/>
        </w:tabs>
        <w:spacing w:before="60" w:after="60" w:line="240" w:lineRule="auto"/>
        <w:ind w:left="2268" w:hanging="2268"/>
        <w:rPr>
          <w:rFonts w:cs="Calibri"/>
          <w:color w:val="000000" w:themeColor="text1"/>
          <w:sz w:val="24"/>
          <w:szCs w:val="24"/>
        </w:rPr>
      </w:pPr>
      <w:r w:rsidRPr="001C2A3E">
        <w:rPr>
          <w:rFonts w:cs="Calibri"/>
          <w:color w:val="000000" w:themeColor="text1"/>
          <w:sz w:val="24"/>
          <w:szCs w:val="24"/>
        </w:rPr>
        <w:t>COVID-Lázně</w:t>
      </w:r>
      <w:r w:rsidRPr="001C2A3E">
        <w:rPr>
          <w:rFonts w:cs="Calibri"/>
          <w:color w:val="000000" w:themeColor="text1"/>
          <w:sz w:val="24"/>
          <w:szCs w:val="24"/>
        </w:rPr>
        <w:tab/>
      </w:r>
      <w:r w:rsidRPr="006252C2">
        <w:rPr>
          <w:rFonts w:cs="Calibri"/>
          <w:i/>
          <w:color w:val="000000" w:themeColor="text1"/>
          <w:sz w:val="24"/>
          <w:szCs w:val="24"/>
        </w:rPr>
        <w:t>COVID</w:t>
      </w:r>
      <w:r w:rsidR="007364FB" w:rsidRPr="006252C2">
        <w:rPr>
          <w:rFonts w:cs="Calibri"/>
          <w:i/>
          <w:color w:val="000000" w:themeColor="text1"/>
          <w:sz w:val="24"/>
          <w:szCs w:val="24"/>
        </w:rPr>
        <w:t xml:space="preserve"> </w:t>
      </w:r>
      <w:r w:rsidR="007364FB" w:rsidRPr="006252C2">
        <w:rPr>
          <w:rFonts w:cstheme="minorHAnsi"/>
          <w:i/>
          <w:color w:val="000000" w:themeColor="text1"/>
          <w:sz w:val="24"/>
          <w:szCs w:val="24"/>
        </w:rPr>
        <w:t>−</w:t>
      </w:r>
      <w:r w:rsidR="007364FB" w:rsidRPr="006252C2">
        <w:rPr>
          <w:rFonts w:cs="Calibri"/>
          <w:i/>
          <w:color w:val="000000" w:themeColor="text1"/>
          <w:sz w:val="24"/>
          <w:szCs w:val="24"/>
        </w:rPr>
        <w:t xml:space="preserve"> </w:t>
      </w:r>
      <w:r w:rsidRPr="006252C2">
        <w:rPr>
          <w:rFonts w:cs="Calibri"/>
          <w:i/>
          <w:color w:val="000000" w:themeColor="text1"/>
          <w:sz w:val="24"/>
          <w:szCs w:val="24"/>
        </w:rPr>
        <w:t>Lázně</w:t>
      </w:r>
      <w:r w:rsidRPr="001C2A3E">
        <w:rPr>
          <w:rFonts w:cs="Calibri"/>
          <w:color w:val="000000" w:themeColor="text1"/>
          <w:sz w:val="24"/>
          <w:szCs w:val="24"/>
        </w:rPr>
        <w:t xml:space="preserve">, </w:t>
      </w:r>
      <w:r w:rsidRPr="006252C2">
        <w:rPr>
          <w:rFonts w:cs="Calibri"/>
          <w:i/>
          <w:color w:val="000000" w:themeColor="text1"/>
          <w:sz w:val="24"/>
          <w:szCs w:val="24"/>
        </w:rPr>
        <w:t>COVID</w:t>
      </w:r>
      <w:r w:rsidR="007364FB" w:rsidRPr="006252C2">
        <w:rPr>
          <w:rFonts w:cs="Calibri"/>
          <w:i/>
          <w:color w:val="000000" w:themeColor="text1"/>
          <w:sz w:val="24"/>
          <w:szCs w:val="24"/>
        </w:rPr>
        <w:t xml:space="preserve"> </w:t>
      </w:r>
      <w:r w:rsidR="007364FB" w:rsidRPr="006252C2">
        <w:rPr>
          <w:rFonts w:cstheme="minorHAnsi"/>
          <w:i/>
          <w:color w:val="000000" w:themeColor="text1"/>
          <w:sz w:val="24"/>
          <w:szCs w:val="24"/>
        </w:rPr>
        <w:t>−</w:t>
      </w:r>
      <w:r w:rsidR="007364FB" w:rsidRPr="006252C2">
        <w:rPr>
          <w:rFonts w:cs="Calibri"/>
          <w:i/>
          <w:color w:val="000000" w:themeColor="text1"/>
          <w:sz w:val="24"/>
          <w:szCs w:val="24"/>
        </w:rPr>
        <w:t xml:space="preserve"> </w:t>
      </w:r>
      <w:r w:rsidRPr="006252C2">
        <w:rPr>
          <w:rFonts w:cs="Calibri"/>
          <w:i/>
          <w:color w:val="000000" w:themeColor="text1"/>
          <w:sz w:val="24"/>
          <w:szCs w:val="24"/>
        </w:rPr>
        <w:t>Lázně 2021</w:t>
      </w:r>
    </w:p>
    <w:p w14:paraId="2B3E1B20" w14:textId="5021A8AF" w:rsidR="00046F3E" w:rsidRDefault="00046F3E" w:rsidP="00676D2F">
      <w:pPr>
        <w:tabs>
          <w:tab w:val="left" w:pos="2268"/>
        </w:tabs>
        <w:spacing w:before="60" w:after="60" w:line="240" w:lineRule="auto"/>
        <w:ind w:left="2268" w:hanging="2268"/>
        <w:rPr>
          <w:rFonts w:cs="Calibri"/>
          <w:color w:val="000000" w:themeColor="text1"/>
          <w:sz w:val="24"/>
          <w:szCs w:val="24"/>
        </w:rPr>
      </w:pPr>
      <w:r w:rsidRPr="001C2A3E">
        <w:rPr>
          <w:rFonts w:cs="Calibri"/>
          <w:color w:val="000000" w:themeColor="text1"/>
          <w:sz w:val="24"/>
          <w:szCs w:val="24"/>
        </w:rPr>
        <w:t>ČR</w:t>
      </w:r>
      <w:r w:rsidRPr="001C2A3E">
        <w:rPr>
          <w:rFonts w:cs="Calibri"/>
          <w:color w:val="000000" w:themeColor="text1"/>
          <w:sz w:val="24"/>
          <w:szCs w:val="24"/>
        </w:rPr>
        <w:tab/>
        <w:t>Česká republika</w:t>
      </w:r>
    </w:p>
    <w:p w14:paraId="4562FC2E" w14:textId="7E162762" w:rsidR="00FF2551" w:rsidRDefault="00FF2551" w:rsidP="00676D2F">
      <w:pPr>
        <w:tabs>
          <w:tab w:val="left" w:pos="2268"/>
        </w:tabs>
        <w:spacing w:before="60" w:after="60" w:line="240" w:lineRule="auto"/>
        <w:ind w:left="2268" w:hanging="2268"/>
        <w:rPr>
          <w:rFonts w:cs="Calibri"/>
          <w:color w:val="000000" w:themeColor="text1"/>
          <w:sz w:val="24"/>
          <w:szCs w:val="24"/>
        </w:rPr>
      </w:pPr>
      <w:r>
        <w:rPr>
          <w:rFonts w:cs="Calibri"/>
          <w:color w:val="000000" w:themeColor="text1"/>
          <w:sz w:val="24"/>
          <w:szCs w:val="24"/>
        </w:rPr>
        <w:t>Koncepce</w:t>
      </w:r>
      <w:r>
        <w:rPr>
          <w:rFonts w:cs="Calibri"/>
          <w:color w:val="000000" w:themeColor="text1"/>
          <w:sz w:val="24"/>
          <w:szCs w:val="24"/>
        </w:rPr>
        <w:tab/>
      </w:r>
      <w:proofErr w:type="spellStart"/>
      <w:r w:rsidR="00B63116" w:rsidRPr="006252C2">
        <w:rPr>
          <w:rFonts w:cs="Calibri"/>
          <w:i/>
          <w:color w:val="000000" w:themeColor="text1"/>
          <w:sz w:val="24"/>
          <w:szCs w:val="24"/>
        </w:rPr>
        <w:t>Koncepce</w:t>
      </w:r>
      <w:proofErr w:type="spellEnd"/>
      <w:r w:rsidR="00B63116" w:rsidRPr="006252C2">
        <w:rPr>
          <w:rFonts w:cs="Calibri"/>
          <w:i/>
          <w:color w:val="000000" w:themeColor="text1"/>
          <w:sz w:val="24"/>
          <w:szCs w:val="24"/>
        </w:rPr>
        <w:t xml:space="preserve"> státní politiky cestovního ruchu </w:t>
      </w:r>
      <w:r w:rsidR="00DB0105">
        <w:rPr>
          <w:rFonts w:cs="Calibri"/>
          <w:i/>
          <w:color w:val="000000" w:themeColor="text1"/>
          <w:sz w:val="24"/>
          <w:szCs w:val="24"/>
        </w:rPr>
        <w:t>v </w:t>
      </w:r>
      <w:r w:rsidR="00B63116" w:rsidRPr="006252C2">
        <w:rPr>
          <w:rFonts w:cs="Calibri"/>
          <w:i/>
          <w:color w:val="000000" w:themeColor="text1"/>
          <w:sz w:val="24"/>
          <w:szCs w:val="24"/>
        </w:rPr>
        <w:t>Č</w:t>
      </w:r>
      <w:r w:rsidR="00DB0105">
        <w:rPr>
          <w:rFonts w:cs="Calibri"/>
          <w:i/>
          <w:color w:val="000000" w:themeColor="text1"/>
          <w:sz w:val="24"/>
          <w:szCs w:val="24"/>
        </w:rPr>
        <w:t>eské republice</w:t>
      </w:r>
      <w:r w:rsidR="00B63116" w:rsidRPr="006252C2">
        <w:rPr>
          <w:rFonts w:cs="Calibri"/>
          <w:i/>
          <w:color w:val="000000" w:themeColor="text1"/>
          <w:sz w:val="24"/>
          <w:szCs w:val="24"/>
        </w:rPr>
        <w:t xml:space="preserve"> 2014</w:t>
      </w:r>
      <w:r w:rsidR="007364FB" w:rsidRPr="006252C2">
        <w:rPr>
          <w:rFonts w:cstheme="minorHAnsi"/>
          <w:i/>
          <w:color w:val="000000" w:themeColor="text1"/>
          <w:sz w:val="24"/>
          <w:szCs w:val="24"/>
        </w:rPr>
        <w:t>−</w:t>
      </w:r>
      <w:r w:rsidR="00B63116" w:rsidRPr="006252C2">
        <w:rPr>
          <w:rFonts w:cs="Calibri"/>
          <w:i/>
          <w:color w:val="000000" w:themeColor="text1"/>
          <w:sz w:val="24"/>
          <w:szCs w:val="24"/>
        </w:rPr>
        <w:t>2020</w:t>
      </w:r>
    </w:p>
    <w:p w14:paraId="11A17B53" w14:textId="5F73303D" w:rsidR="00955C07" w:rsidRPr="001C2A3E" w:rsidRDefault="00955C07" w:rsidP="00676D2F">
      <w:pPr>
        <w:tabs>
          <w:tab w:val="left" w:pos="2268"/>
        </w:tabs>
        <w:spacing w:before="60" w:after="60" w:line="240" w:lineRule="auto"/>
        <w:ind w:left="2268" w:hanging="2268"/>
        <w:rPr>
          <w:rFonts w:cs="Calibri"/>
          <w:color w:val="000000" w:themeColor="text1"/>
          <w:sz w:val="24"/>
          <w:szCs w:val="24"/>
        </w:rPr>
      </w:pPr>
      <w:r>
        <w:rPr>
          <w:rFonts w:cs="Calibri"/>
          <w:color w:val="000000" w:themeColor="text1"/>
          <w:sz w:val="24"/>
          <w:szCs w:val="24"/>
        </w:rPr>
        <w:t>Marketing</w:t>
      </w:r>
      <w:r>
        <w:rPr>
          <w:rFonts w:cs="Calibri"/>
          <w:color w:val="000000" w:themeColor="text1"/>
          <w:sz w:val="24"/>
          <w:szCs w:val="24"/>
        </w:rPr>
        <w:tab/>
        <w:t xml:space="preserve">podprogram </w:t>
      </w:r>
      <w:r w:rsidRPr="00A175FD">
        <w:rPr>
          <w:rFonts w:cs="Calibri"/>
          <w:i/>
          <w:color w:val="000000" w:themeColor="text1"/>
          <w:sz w:val="24"/>
          <w:szCs w:val="24"/>
        </w:rPr>
        <w:t>Marketingové aktivity v cestovním ruchu</w:t>
      </w:r>
    </w:p>
    <w:p w14:paraId="5163F33C" w14:textId="610E8E24" w:rsidR="00046F3E" w:rsidRPr="001C2A3E" w:rsidRDefault="00046F3E" w:rsidP="00676D2F">
      <w:pPr>
        <w:tabs>
          <w:tab w:val="left" w:pos="2268"/>
        </w:tabs>
        <w:spacing w:before="60" w:after="60" w:line="240" w:lineRule="auto"/>
        <w:ind w:left="2268" w:hanging="2268"/>
        <w:rPr>
          <w:sz w:val="24"/>
          <w:szCs w:val="24"/>
        </w:rPr>
      </w:pPr>
      <w:r w:rsidRPr="001C2A3E">
        <w:rPr>
          <w:sz w:val="24"/>
          <w:szCs w:val="24"/>
        </w:rPr>
        <w:t>MMR</w:t>
      </w:r>
      <w:r w:rsidRPr="001C2A3E">
        <w:rPr>
          <w:sz w:val="24"/>
          <w:szCs w:val="24"/>
        </w:rPr>
        <w:tab/>
        <w:t>Ministerstvo pro místní rozvoj</w:t>
      </w:r>
    </w:p>
    <w:p w14:paraId="306EB2E9" w14:textId="066FF032" w:rsidR="00046F3E" w:rsidRPr="001C2A3E" w:rsidRDefault="00046F3E" w:rsidP="00676D2F">
      <w:pPr>
        <w:tabs>
          <w:tab w:val="left" w:pos="2268"/>
        </w:tabs>
        <w:spacing w:before="60" w:after="60" w:line="240" w:lineRule="auto"/>
        <w:ind w:left="2268" w:hanging="2268"/>
        <w:rPr>
          <w:sz w:val="24"/>
          <w:szCs w:val="24"/>
        </w:rPr>
      </w:pPr>
      <w:r w:rsidRPr="001C2A3E">
        <w:rPr>
          <w:sz w:val="24"/>
          <w:szCs w:val="24"/>
        </w:rPr>
        <w:t>NKÚ</w:t>
      </w:r>
      <w:r w:rsidRPr="001C2A3E">
        <w:rPr>
          <w:sz w:val="24"/>
          <w:szCs w:val="24"/>
        </w:rPr>
        <w:tab/>
        <w:t>Nejvyšší kontrolní úřad</w:t>
      </w:r>
    </w:p>
    <w:p w14:paraId="59484732" w14:textId="32F1DF9A" w:rsidR="00C60258" w:rsidRPr="001C2A3E" w:rsidRDefault="00C60258" w:rsidP="00676D2F">
      <w:pPr>
        <w:tabs>
          <w:tab w:val="left" w:pos="2268"/>
        </w:tabs>
        <w:spacing w:before="60" w:after="60" w:line="240" w:lineRule="auto"/>
        <w:ind w:left="2268" w:hanging="2268"/>
        <w:rPr>
          <w:sz w:val="24"/>
          <w:szCs w:val="24"/>
        </w:rPr>
      </w:pPr>
      <w:r w:rsidRPr="001C2A3E">
        <w:rPr>
          <w:sz w:val="24"/>
          <w:szCs w:val="24"/>
        </w:rPr>
        <w:t>NPPCRR</w:t>
      </w:r>
      <w:r w:rsidRPr="001C2A3E">
        <w:rPr>
          <w:sz w:val="24"/>
          <w:szCs w:val="24"/>
        </w:rPr>
        <w:tab/>
      </w:r>
      <w:r w:rsidRPr="006252C2">
        <w:rPr>
          <w:i/>
          <w:sz w:val="24"/>
          <w:szCs w:val="24"/>
        </w:rPr>
        <w:t>Národní program podpory cestovního ruchu v</w:t>
      </w:r>
      <w:r w:rsidR="007364FB">
        <w:rPr>
          <w:i/>
          <w:sz w:val="24"/>
          <w:szCs w:val="24"/>
        </w:rPr>
        <w:t> </w:t>
      </w:r>
      <w:r w:rsidRPr="006252C2">
        <w:rPr>
          <w:i/>
          <w:sz w:val="24"/>
          <w:szCs w:val="24"/>
        </w:rPr>
        <w:t>regionech</w:t>
      </w:r>
      <w:r w:rsidR="007364FB">
        <w:rPr>
          <w:i/>
          <w:sz w:val="24"/>
          <w:szCs w:val="24"/>
        </w:rPr>
        <w:t xml:space="preserve"> 2016</w:t>
      </w:r>
      <w:r w:rsidR="007364FB">
        <w:rPr>
          <w:rFonts w:cstheme="minorHAnsi"/>
          <w:i/>
          <w:sz w:val="24"/>
          <w:szCs w:val="24"/>
        </w:rPr>
        <w:t>−</w:t>
      </w:r>
      <w:r w:rsidR="007364FB">
        <w:rPr>
          <w:i/>
          <w:sz w:val="24"/>
          <w:szCs w:val="24"/>
        </w:rPr>
        <w:t>2023</w:t>
      </w:r>
    </w:p>
    <w:p w14:paraId="63E45655" w14:textId="041BDA4F" w:rsidR="00046F3E" w:rsidRDefault="00046F3E" w:rsidP="00676D2F">
      <w:pPr>
        <w:tabs>
          <w:tab w:val="left" w:pos="2268"/>
        </w:tabs>
        <w:spacing w:before="60" w:after="60" w:line="240" w:lineRule="auto"/>
        <w:ind w:left="2268" w:hanging="2268"/>
        <w:rPr>
          <w:rFonts w:cstheme="minorHAnsi"/>
          <w:bCs/>
          <w:sz w:val="24"/>
          <w:szCs w:val="24"/>
        </w:rPr>
      </w:pPr>
      <w:proofErr w:type="spellStart"/>
      <w:r w:rsidRPr="001C2A3E">
        <w:rPr>
          <w:rFonts w:cstheme="minorHAnsi"/>
          <w:bCs/>
          <w:sz w:val="24"/>
          <w:szCs w:val="24"/>
        </w:rPr>
        <w:t>RoPD</w:t>
      </w:r>
      <w:proofErr w:type="spellEnd"/>
      <w:r w:rsidRPr="001C2A3E">
        <w:rPr>
          <w:rFonts w:cstheme="minorHAnsi"/>
          <w:bCs/>
          <w:sz w:val="24"/>
          <w:szCs w:val="24"/>
        </w:rPr>
        <w:tab/>
      </w:r>
      <w:r w:rsidR="007364FB">
        <w:rPr>
          <w:rFonts w:cstheme="minorHAnsi"/>
          <w:bCs/>
          <w:sz w:val="24"/>
          <w:szCs w:val="24"/>
        </w:rPr>
        <w:t>r</w:t>
      </w:r>
      <w:r w:rsidRPr="001C2A3E">
        <w:rPr>
          <w:rFonts w:cstheme="minorHAnsi"/>
          <w:bCs/>
          <w:sz w:val="24"/>
          <w:szCs w:val="24"/>
        </w:rPr>
        <w:t>ozhodnutí o poskytnutí dotace</w:t>
      </w:r>
    </w:p>
    <w:p w14:paraId="7DB0109D" w14:textId="06E70600" w:rsidR="00955C07" w:rsidRPr="00A175FD" w:rsidRDefault="00955C07" w:rsidP="00676D2F">
      <w:pPr>
        <w:tabs>
          <w:tab w:val="left" w:pos="2268"/>
        </w:tabs>
        <w:spacing w:before="60" w:after="60" w:line="240" w:lineRule="auto"/>
        <w:ind w:left="2268" w:hanging="2268"/>
        <w:rPr>
          <w:rFonts w:cstheme="minorHAnsi"/>
          <w:bCs/>
          <w:i/>
          <w:sz w:val="24"/>
          <w:szCs w:val="24"/>
        </w:rPr>
      </w:pPr>
      <w:r>
        <w:rPr>
          <w:rFonts w:cstheme="minorHAnsi"/>
          <w:bCs/>
          <w:sz w:val="24"/>
          <w:szCs w:val="24"/>
        </w:rPr>
        <w:t>Rozvoj</w:t>
      </w:r>
      <w:r>
        <w:rPr>
          <w:rFonts w:cstheme="minorHAnsi"/>
          <w:bCs/>
          <w:sz w:val="24"/>
          <w:szCs w:val="24"/>
        </w:rPr>
        <w:tab/>
        <w:t xml:space="preserve">podprogram </w:t>
      </w:r>
      <w:r w:rsidR="004D28DB" w:rsidRPr="00A175FD">
        <w:rPr>
          <w:rFonts w:cstheme="minorHAnsi"/>
          <w:bCs/>
          <w:i/>
          <w:sz w:val="24"/>
          <w:szCs w:val="24"/>
        </w:rPr>
        <w:t>Rozvoj základní a doprovodné infrastruktury cestovního ruchu</w:t>
      </w:r>
    </w:p>
    <w:p w14:paraId="260299EF" w14:textId="67DDE9DE" w:rsidR="004F3158" w:rsidRDefault="004F3158" w:rsidP="00676D2F">
      <w:pPr>
        <w:tabs>
          <w:tab w:val="left" w:pos="2268"/>
        </w:tabs>
        <w:spacing w:before="60" w:after="60" w:line="240" w:lineRule="auto"/>
        <w:ind w:left="2268" w:hanging="2268"/>
        <w:rPr>
          <w:rFonts w:cstheme="minorHAnsi"/>
          <w:bCs/>
          <w:sz w:val="24"/>
          <w:szCs w:val="24"/>
        </w:rPr>
      </w:pPr>
      <w:r w:rsidRPr="001C2A3E">
        <w:rPr>
          <w:rFonts w:cstheme="minorHAnsi"/>
          <w:bCs/>
          <w:sz w:val="24"/>
          <w:szCs w:val="24"/>
        </w:rPr>
        <w:t>vybrané projekty</w:t>
      </w:r>
      <w:r w:rsidRPr="001C2A3E">
        <w:rPr>
          <w:rFonts w:cstheme="minorHAnsi"/>
          <w:bCs/>
          <w:sz w:val="24"/>
          <w:szCs w:val="24"/>
        </w:rPr>
        <w:tab/>
        <w:t>kontrolovaný vzorek</w:t>
      </w:r>
      <w:r w:rsidR="00A61A67" w:rsidRPr="001C2A3E">
        <w:rPr>
          <w:rFonts w:cstheme="minorHAnsi"/>
          <w:bCs/>
          <w:sz w:val="24"/>
          <w:szCs w:val="24"/>
        </w:rPr>
        <w:t xml:space="preserve"> </w:t>
      </w:r>
      <w:r w:rsidRPr="001C2A3E">
        <w:rPr>
          <w:rFonts w:cstheme="minorHAnsi"/>
          <w:bCs/>
          <w:sz w:val="24"/>
          <w:szCs w:val="24"/>
        </w:rPr>
        <w:t>1</w:t>
      </w:r>
      <w:r w:rsidR="00AF411B" w:rsidRPr="001C2A3E">
        <w:rPr>
          <w:rFonts w:cstheme="minorHAnsi"/>
          <w:bCs/>
          <w:sz w:val="24"/>
          <w:szCs w:val="24"/>
        </w:rPr>
        <w:t>9</w:t>
      </w:r>
      <w:r w:rsidRPr="001C2A3E">
        <w:rPr>
          <w:rFonts w:cstheme="minorHAnsi"/>
          <w:bCs/>
          <w:sz w:val="24"/>
          <w:szCs w:val="24"/>
        </w:rPr>
        <w:t xml:space="preserve"> projektů realizovaných u 1</w:t>
      </w:r>
      <w:r w:rsidR="00AF411B" w:rsidRPr="001C2A3E">
        <w:rPr>
          <w:rFonts w:cstheme="minorHAnsi"/>
          <w:bCs/>
          <w:sz w:val="24"/>
          <w:szCs w:val="24"/>
        </w:rPr>
        <w:t>5</w:t>
      </w:r>
      <w:r w:rsidRPr="001C2A3E">
        <w:rPr>
          <w:rFonts w:cstheme="minorHAnsi"/>
          <w:bCs/>
          <w:sz w:val="24"/>
          <w:szCs w:val="24"/>
        </w:rPr>
        <w:t xml:space="preserve"> příjemců podpory</w:t>
      </w:r>
      <w:r w:rsidR="00656EC9" w:rsidRPr="001C2A3E">
        <w:rPr>
          <w:rFonts w:cstheme="minorHAnsi"/>
          <w:bCs/>
          <w:sz w:val="24"/>
          <w:szCs w:val="24"/>
        </w:rPr>
        <w:t xml:space="preserve"> z</w:t>
      </w:r>
      <w:r w:rsidR="00885F9F">
        <w:rPr>
          <w:rFonts w:cstheme="minorHAnsi"/>
          <w:bCs/>
          <w:sz w:val="24"/>
          <w:szCs w:val="24"/>
        </w:rPr>
        <w:t> </w:t>
      </w:r>
      <w:r w:rsidR="00656EC9" w:rsidRPr="001C2A3E">
        <w:rPr>
          <w:rFonts w:cstheme="minorHAnsi"/>
          <w:bCs/>
          <w:sz w:val="24"/>
          <w:szCs w:val="24"/>
        </w:rPr>
        <w:t>NPPCRR</w:t>
      </w:r>
    </w:p>
    <w:p w14:paraId="371FAD47" w14:textId="3B92C77D" w:rsidR="00885F9F" w:rsidRDefault="00885F9F" w:rsidP="00676D2F">
      <w:pPr>
        <w:tabs>
          <w:tab w:val="left" w:pos="2268"/>
        </w:tabs>
        <w:spacing w:before="60" w:after="60" w:line="240" w:lineRule="auto"/>
        <w:ind w:left="2268" w:hanging="2268"/>
        <w:rPr>
          <w:rFonts w:cstheme="minorHAnsi"/>
          <w:bCs/>
          <w:sz w:val="24"/>
          <w:szCs w:val="24"/>
        </w:rPr>
      </w:pPr>
      <w:r w:rsidRPr="00885F9F">
        <w:rPr>
          <w:rFonts w:cstheme="minorHAnsi"/>
          <w:bCs/>
          <w:sz w:val="24"/>
          <w:szCs w:val="24"/>
        </w:rPr>
        <w:t xml:space="preserve">Záruky CK </w:t>
      </w:r>
      <w:r w:rsidRPr="00885F9F">
        <w:rPr>
          <w:rFonts w:cstheme="minorHAnsi"/>
          <w:bCs/>
          <w:sz w:val="24"/>
          <w:szCs w:val="24"/>
        </w:rPr>
        <w:tab/>
      </w:r>
      <w:r w:rsidR="007364FB">
        <w:rPr>
          <w:rFonts w:cstheme="minorHAnsi"/>
          <w:bCs/>
          <w:sz w:val="24"/>
          <w:szCs w:val="24"/>
        </w:rPr>
        <w:t>z</w:t>
      </w:r>
      <w:r w:rsidRPr="00885F9F">
        <w:rPr>
          <w:rFonts w:cstheme="minorHAnsi"/>
          <w:bCs/>
          <w:sz w:val="24"/>
          <w:szCs w:val="24"/>
        </w:rPr>
        <w:t xml:space="preserve">áruky cestovním kancelářím </w:t>
      </w:r>
    </w:p>
    <w:p w14:paraId="6BDECAA1" w14:textId="08FBE87F" w:rsidR="004C2724" w:rsidRDefault="004C2724" w:rsidP="00676D2F">
      <w:pPr>
        <w:tabs>
          <w:tab w:val="left" w:pos="2268"/>
        </w:tabs>
        <w:spacing w:before="60" w:after="60" w:line="240" w:lineRule="auto"/>
        <w:ind w:left="2268" w:hanging="2268"/>
        <w:rPr>
          <w:rFonts w:cstheme="minorHAnsi"/>
          <w:bCs/>
          <w:sz w:val="24"/>
          <w:szCs w:val="24"/>
        </w:rPr>
      </w:pPr>
      <w:r>
        <w:rPr>
          <w:rFonts w:cstheme="minorHAnsi"/>
          <w:bCs/>
          <w:sz w:val="24"/>
          <w:szCs w:val="24"/>
        </w:rPr>
        <w:t>ZVA</w:t>
      </w:r>
      <w:r>
        <w:rPr>
          <w:rFonts w:cstheme="minorHAnsi"/>
          <w:bCs/>
          <w:sz w:val="24"/>
          <w:szCs w:val="24"/>
        </w:rPr>
        <w:tab/>
      </w:r>
      <w:r w:rsidR="00023803">
        <w:rPr>
          <w:rFonts w:cstheme="minorHAnsi"/>
          <w:bCs/>
          <w:sz w:val="24"/>
          <w:szCs w:val="24"/>
        </w:rPr>
        <w:t>z</w:t>
      </w:r>
      <w:r>
        <w:rPr>
          <w:rFonts w:cstheme="minorHAnsi"/>
          <w:bCs/>
          <w:sz w:val="24"/>
          <w:szCs w:val="24"/>
        </w:rPr>
        <w:t>ávěrečné vyhodnocení akce</w:t>
      </w:r>
    </w:p>
    <w:p w14:paraId="4972C810" w14:textId="13C6E4F4" w:rsidR="000F2ED7" w:rsidRPr="000F2ED7" w:rsidRDefault="000F2ED7" w:rsidP="00FA6A2A">
      <w:pPr>
        <w:keepNext/>
        <w:spacing w:before="600" w:after="120" w:line="240" w:lineRule="auto"/>
        <w:jc w:val="both"/>
        <w:rPr>
          <w:b/>
          <w:sz w:val="24"/>
          <w:szCs w:val="24"/>
        </w:rPr>
      </w:pPr>
      <w:r w:rsidRPr="000F2ED7">
        <w:rPr>
          <w:b/>
          <w:sz w:val="24"/>
          <w:szCs w:val="24"/>
        </w:rPr>
        <w:t>Seznam příloh</w:t>
      </w:r>
    </w:p>
    <w:p w14:paraId="50DF40B4" w14:textId="5D65BCE9" w:rsidR="000F2ED7" w:rsidRPr="00CA1049" w:rsidRDefault="00D24351" w:rsidP="00FA6A2A">
      <w:pPr>
        <w:keepNext/>
        <w:spacing w:before="60" w:after="60" w:line="240" w:lineRule="auto"/>
        <w:ind w:left="1247" w:hanging="1247"/>
        <w:rPr>
          <w:bCs/>
          <w:sz w:val="24"/>
          <w:szCs w:val="24"/>
        </w:rPr>
      </w:pPr>
      <w:r w:rsidRPr="00CA1049">
        <w:rPr>
          <w:bCs/>
          <w:sz w:val="24"/>
          <w:szCs w:val="24"/>
        </w:rPr>
        <w:t xml:space="preserve">Příloha č. </w:t>
      </w:r>
      <w:r w:rsidR="001E6613" w:rsidRPr="00CA1049">
        <w:rPr>
          <w:bCs/>
          <w:sz w:val="24"/>
          <w:szCs w:val="24"/>
        </w:rPr>
        <w:t>1</w:t>
      </w:r>
      <w:r w:rsidR="00FA476D" w:rsidRPr="00CA1049">
        <w:rPr>
          <w:bCs/>
          <w:sz w:val="24"/>
          <w:szCs w:val="24"/>
        </w:rPr>
        <w:t xml:space="preserve">: </w:t>
      </w:r>
      <w:r w:rsidR="00FA476D" w:rsidRPr="00CA1049">
        <w:rPr>
          <w:bCs/>
          <w:sz w:val="24"/>
          <w:szCs w:val="24"/>
        </w:rPr>
        <w:tab/>
      </w:r>
      <w:r w:rsidR="00FA476D" w:rsidRPr="00CA1049">
        <w:rPr>
          <w:rFonts w:eastAsia="Calibri" w:cs="Calibri"/>
          <w:sz w:val="24"/>
          <w:szCs w:val="24"/>
        </w:rPr>
        <w:t>Informace</w:t>
      </w:r>
      <w:r w:rsidRPr="00CA1049">
        <w:rPr>
          <w:bCs/>
          <w:sz w:val="24"/>
          <w:szCs w:val="24"/>
        </w:rPr>
        <w:t xml:space="preserve"> o kontrolované oblasti</w:t>
      </w:r>
    </w:p>
    <w:p w14:paraId="79AEEFBB" w14:textId="32A5A913" w:rsidR="00FA476D" w:rsidRPr="00CA1049" w:rsidRDefault="00FA476D" w:rsidP="00FA6A2A">
      <w:pPr>
        <w:keepNext/>
        <w:spacing w:before="60" w:after="60" w:line="240" w:lineRule="auto"/>
        <w:ind w:left="1247" w:hanging="1247"/>
        <w:rPr>
          <w:bCs/>
          <w:sz w:val="24"/>
          <w:szCs w:val="24"/>
        </w:rPr>
      </w:pPr>
      <w:r w:rsidRPr="00CA1049">
        <w:rPr>
          <w:bCs/>
          <w:sz w:val="24"/>
          <w:szCs w:val="24"/>
        </w:rPr>
        <w:t xml:space="preserve">Příloha č. </w:t>
      </w:r>
      <w:r w:rsidR="001E6613" w:rsidRPr="00CA1049">
        <w:rPr>
          <w:bCs/>
          <w:sz w:val="24"/>
          <w:szCs w:val="24"/>
        </w:rPr>
        <w:t>2</w:t>
      </w:r>
      <w:r w:rsidRPr="00CA1049">
        <w:rPr>
          <w:bCs/>
          <w:sz w:val="24"/>
          <w:szCs w:val="24"/>
        </w:rPr>
        <w:t xml:space="preserve">: </w:t>
      </w:r>
      <w:r w:rsidRPr="00CA1049">
        <w:rPr>
          <w:bCs/>
          <w:sz w:val="24"/>
          <w:szCs w:val="24"/>
        </w:rPr>
        <w:tab/>
      </w:r>
      <w:r w:rsidRPr="00CA1049">
        <w:rPr>
          <w:rFonts w:eastAsia="Calibri" w:cs="Calibri"/>
          <w:sz w:val="24"/>
          <w:szCs w:val="24"/>
        </w:rPr>
        <w:t>Přehled kontrolovaných projektů NPPCRR a hodnocení jejich účelnosti a</w:t>
      </w:r>
      <w:r w:rsidR="00CA1049">
        <w:rPr>
          <w:rFonts w:eastAsia="Calibri" w:cs="Calibri"/>
          <w:sz w:val="24"/>
          <w:szCs w:val="24"/>
        </w:rPr>
        <w:t> </w:t>
      </w:r>
      <w:r w:rsidRPr="00CA1049">
        <w:rPr>
          <w:rFonts w:eastAsia="Calibri" w:cs="Calibri"/>
          <w:sz w:val="24"/>
          <w:szCs w:val="24"/>
        </w:rPr>
        <w:t>hospodárnosti</w:t>
      </w:r>
    </w:p>
    <w:p w14:paraId="1CB2F93B" w14:textId="75A35B62" w:rsidR="00FA476D" w:rsidRPr="00CA1049" w:rsidRDefault="00D00A19" w:rsidP="00FA6A2A">
      <w:pPr>
        <w:keepNext/>
        <w:spacing w:before="60" w:after="60" w:line="240" w:lineRule="auto"/>
        <w:ind w:left="1247" w:hanging="1247"/>
        <w:rPr>
          <w:rFonts w:eastAsia="Calibri" w:cs="Calibri"/>
          <w:sz w:val="24"/>
          <w:szCs w:val="24"/>
        </w:rPr>
      </w:pPr>
      <w:r w:rsidRPr="00CA1049">
        <w:rPr>
          <w:bCs/>
          <w:sz w:val="24"/>
          <w:szCs w:val="24"/>
        </w:rPr>
        <w:t xml:space="preserve">Příloha č. </w:t>
      </w:r>
      <w:r w:rsidR="001E6613" w:rsidRPr="00CA1049">
        <w:rPr>
          <w:bCs/>
          <w:sz w:val="24"/>
          <w:szCs w:val="24"/>
        </w:rPr>
        <w:t>3</w:t>
      </w:r>
      <w:r w:rsidRPr="00CA1049">
        <w:rPr>
          <w:bCs/>
          <w:sz w:val="24"/>
          <w:szCs w:val="24"/>
        </w:rPr>
        <w:t>:</w:t>
      </w:r>
      <w:r w:rsidRPr="00CA1049">
        <w:rPr>
          <w:bCs/>
          <w:sz w:val="24"/>
          <w:szCs w:val="24"/>
        </w:rPr>
        <w:tab/>
        <w:t xml:space="preserve">Kritéria hodnocení </w:t>
      </w:r>
      <w:r w:rsidRPr="00CA1049">
        <w:rPr>
          <w:rFonts w:eastAsia="Calibri" w:cs="Calibri"/>
          <w:sz w:val="24"/>
          <w:szCs w:val="24"/>
        </w:rPr>
        <w:t>účelnosti a hospodárnosti projektů NPPCRR</w:t>
      </w:r>
    </w:p>
    <w:p w14:paraId="02315646" w14:textId="77777777" w:rsidR="00FA6A2A" w:rsidRDefault="00D00A19" w:rsidP="00FA6A2A">
      <w:pPr>
        <w:keepNext/>
        <w:spacing w:before="60" w:after="60" w:line="240" w:lineRule="auto"/>
        <w:ind w:left="1247" w:hanging="1247"/>
        <w:rPr>
          <w:bCs/>
          <w:sz w:val="24"/>
          <w:szCs w:val="24"/>
        </w:rPr>
      </w:pPr>
      <w:r w:rsidRPr="00CA1049">
        <w:rPr>
          <w:bCs/>
          <w:sz w:val="24"/>
          <w:szCs w:val="24"/>
        </w:rPr>
        <w:t xml:space="preserve">Příloha č. </w:t>
      </w:r>
      <w:r w:rsidR="001E6613" w:rsidRPr="00CA1049">
        <w:rPr>
          <w:bCs/>
          <w:sz w:val="24"/>
          <w:szCs w:val="24"/>
        </w:rPr>
        <w:t>4</w:t>
      </w:r>
      <w:r w:rsidRPr="00CA1049">
        <w:rPr>
          <w:bCs/>
          <w:sz w:val="24"/>
          <w:szCs w:val="24"/>
        </w:rPr>
        <w:t>:</w:t>
      </w:r>
      <w:r w:rsidRPr="00CA1049">
        <w:rPr>
          <w:bCs/>
          <w:sz w:val="24"/>
          <w:szCs w:val="24"/>
        </w:rPr>
        <w:tab/>
        <w:t>Přehled čerpání alokace v rámci krajů</w:t>
      </w:r>
      <w:bookmarkStart w:id="21" w:name="_Hlk146171320"/>
    </w:p>
    <w:p w14:paraId="1A95C008" w14:textId="1CBC6311" w:rsidR="00B97925" w:rsidRDefault="00B97925" w:rsidP="00FA6A2A">
      <w:pPr>
        <w:spacing w:before="60" w:after="60" w:line="240" w:lineRule="auto"/>
        <w:rPr>
          <w:rFonts w:ascii="Calibri" w:hAnsi="Calibri" w:cs="Calibri"/>
          <w:b/>
          <w:sz w:val="24"/>
          <w:szCs w:val="24"/>
        </w:rPr>
      </w:pPr>
      <w:r>
        <w:rPr>
          <w:rFonts w:ascii="Calibri" w:hAnsi="Calibri" w:cs="Calibri"/>
          <w:b/>
          <w:sz w:val="24"/>
          <w:szCs w:val="24"/>
        </w:rPr>
        <w:br w:type="page"/>
      </w:r>
    </w:p>
    <w:p w14:paraId="3AB0B8A0" w14:textId="68D9D782" w:rsidR="006403A9" w:rsidRPr="00A2429A" w:rsidRDefault="006403A9" w:rsidP="00B97925">
      <w:pPr>
        <w:jc w:val="right"/>
        <w:rPr>
          <w:rFonts w:ascii="Calibri" w:hAnsi="Calibri" w:cs="Calibri"/>
          <w:b/>
          <w:sz w:val="24"/>
          <w:szCs w:val="24"/>
        </w:rPr>
      </w:pPr>
      <w:r w:rsidRPr="00A2429A">
        <w:rPr>
          <w:rFonts w:ascii="Calibri" w:hAnsi="Calibri" w:cs="Calibri"/>
          <w:b/>
          <w:sz w:val="24"/>
          <w:szCs w:val="24"/>
        </w:rPr>
        <w:t xml:space="preserve">Příloha č. </w:t>
      </w:r>
      <w:r w:rsidR="001E6613">
        <w:rPr>
          <w:rFonts w:ascii="Calibri" w:hAnsi="Calibri" w:cs="Calibri"/>
          <w:b/>
          <w:sz w:val="24"/>
          <w:szCs w:val="24"/>
        </w:rPr>
        <w:t>1</w:t>
      </w:r>
    </w:p>
    <w:p w14:paraId="28A7926A" w14:textId="3EFE8E45" w:rsidR="006403A9" w:rsidRPr="00F31777" w:rsidRDefault="006403A9" w:rsidP="006403A9">
      <w:pPr>
        <w:spacing w:after="60" w:line="240" w:lineRule="auto"/>
        <w:jc w:val="center"/>
        <w:rPr>
          <w:rFonts w:cstheme="minorHAnsi"/>
          <w:b/>
          <w:sz w:val="24"/>
        </w:rPr>
      </w:pPr>
      <w:r>
        <w:rPr>
          <w:rFonts w:cstheme="minorHAnsi"/>
          <w:b/>
          <w:sz w:val="24"/>
        </w:rPr>
        <w:t>Informace o kontrolované oblasti</w:t>
      </w:r>
    </w:p>
    <w:p w14:paraId="533C2986" w14:textId="48891307" w:rsidR="006403A9" w:rsidRPr="00384709" w:rsidRDefault="006403A9" w:rsidP="00384709">
      <w:pPr>
        <w:keepNext/>
        <w:spacing w:before="120" w:after="40" w:line="240" w:lineRule="auto"/>
        <w:rPr>
          <w:rFonts w:ascii="Calibri" w:hAnsi="Calibri" w:cs="Calibri"/>
          <w:b/>
          <w:sz w:val="24"/>
          <w:szCs w:val="24"/>
        </w:rPr>
      </w:pPr>
      <w:r w:rsidRPr="00384709">
        <w:rPr>
          <w:rFonts w:ascii="Calibri" w:hAnsi="Calibri" w:cs="Calibri"/>
          <w:b/>
          <w:sz w:val="24"/>
          <w:szCs w:val="24"/>
        </w:rPr>
        <w:t>Tabulka č. 1: Finanční plán NPPCRR dle jednotlivých let (v</w:t>
      </w:r>
      <w:r w:rsidR="0058779B" w:rsidRPr="00384709">
        <w:rPr>
          <w:rFonts w:ascii="Calibri" w:hAnsi="Calibri" w:cs="Calibri"/>
          <w:b/>
          <w:sz w:val="24"/>
          <w:szCs w:val="24"/>
        </w:rPr>
        <w:t xml:space="preserve"> mil.</w:t>
      </w:r>
      <w:r w:rsidRPr="00384709">
        <w:rPr>
          <w:rFonts w:ascii="Calibri" w:hAnsi="Calibri" w:cs="Calibri"/>
          <w:b/>
          <w:sz w:val="24"/>
          <w:szCs w:val="24"/>
        </w:rPr>
        <w:t xml:space="preserve"> Kč)</w:t>
      </w:r>
    </w:p>
    <w:tbl>
      <w:tblPr>
        <w:tblStyle w:val="Mkatabulky"/>
        <w:tblW w:w="9127" w:type="dxa"/>
        <w:jc w:val="center"/>
        <w:tblLook w:val="04A0" w:firstRow="1" w:lastRow="0" w:firstColumn="1" w:lastColumn="0" w:noHBand="0" w:noVBand="1"/>
      </w:tblPr>
      <w:tblGrid>
        <w:gridCol w:w="2381"/>
        <w:gridCol w:w="1020"/>
        <w:gridCol w:w="1191"/>
        <w:gridCol w:w="1191"/>
        <w:gridCol w:w="1247"/>
        <w:gridCol w:w="1247"/>
        <w:gridCol w:w="850"/>
      </w:tblGrid>
      <w:tr w:rsidR="006403A9" w:rsidRPr="00673F9B" w14:paraId="69D44D66" w14:textId="77777777" w:rsidTr="00673F9B">
        <w:trPr>
          <w:trHeight w:val="283"/>
          <w:jc w:val="center"/>
        </w:trPr>
        <w:tc>
          <w:tcPr>
            <w:tcW w:w="2381" w:type="dxa"/>
            <w:vMerge w:val="restart"/>
            <w:shd w:val="clear" w:color="auto" w:fill="E5F1FF"/>
            <w:vAlign w:val="center"/>
          </w:tcPr>
          <w:p w14:paraId="4611E7E6" w14:textId="77777777" w:rsidR="006403A9" w:rsidRPr="00673F9B" w:rsidRDefault="006403A9" w:rsidP="00AB6A4E">
            <w:pPr>
              <w:pStyle w:val="KP-normlnbezodsazen"/>
              <w:keepNext/>
              <w:keepLines/>
              <w:rPr>
                <w:rFonts w:ascii="Calibri" w:hAnsi="Calibri" w:cs="Calibri"/>
                <w:sz w:val="20"/>
                <w:szCs w:val="20"/>
                <w:lang w:eastAsia="cs-CZ"/>
              </w:rPr>
            </w:pPr>
          </w:p>
        </w:tc>
        <w:tc>
          <w:tcPr>
            <w:tcW w:w="1020" w:type="dxa"/>
            <w:shd w:val="clear" w:color="auto" w:fill="E5F1FF"/>
            <w:vAlign w:val="center"/>
            <w:hideMark/>
          </w:tcPr>
          <w:p w14:paraId="37FA43D0" w14:textId="77777777" w:rsidR="006403A9" w:rsidRPr="00673F9B" w:rsidRDefault="006403A9" w:rsidP="00AB6A4E">
            <w:pPr>
              <w:pStyle w:val="KP-normlnbezodsazen"/>
              <w:keepNext/>
              <w:keepLines/>
              <w:jc w:val="center"/>
              <w:rPr>
                <w:rFonts w:ascii="Calibri" w:hAnsi="Calibri" w:cs="Calibri"/>
                <w:b/>
                <w:sz w:val="20"/>
                <w:szCs w:val="20"/>
                <w:lang w:eastAsia="cs-CZ"/>
              </w:rPr>
            </w:pPr>
            <w:r w:rsidRPr="00673F9B">
              <w:rPr>
                <w:rFonts w:ascii="Calibri" w:hAnsi="Calibri" w:cs="Calibri"/>
                <w:b/>
                <w:sz w:val="20"/>
                <w:szCs w:val="20"/>
                <w:lang w:eastAsia="cs-CZ"/>
              </w:rPr>
              <w:t>2016</w:t>
            </w:r>
          </w:p>
        </w:tc>
        <w:tc>
          <w:tcPr>
            <w:tcW w:w="1191" w:type="dxa"/>
            <w:shd w:val="clear" w:color="auto" w:fill="E5F1FF"/>
            <w:vAlign w:val="center"/>
            <w:hideMark/>
          </w:tcPr>
          <w:p w14:paraId="17085390" w14:textId="77777777" w:rsidR="006403A9" w:rsidRPr="00673F9B" w:rsidRDefault="006403A9" w:rsidP="00AB6A4E">
            <w:pPr>
              <w:pStyle w:val="KP-normlnbezodsazen"/>
              <w:keepNext/>
              <w:keepLines/>
              <w:jc w:val="center"/>
              <w:rPr>
                <w:rFonts w:ascii="Calibri" w:hAnsi="Calibri" w:cs="Calibri"/>
                <w:b/>
                <w:sz w:val="20"/>
                <w:szCs w:val="20"/>
                <w:lang w:eastAsia="cs-CZ"/>
              </w:rPr>
            </w:pPr>
            <w:r w:rsidRPr="00673F9B">
              <w:rPr>
                <w:rFonts w:ascii="Calibri" w:hAnsi="Calibri" w:cs="Calibri"/>
                <w:b/>
                <w:sz w:val="20"/>
                <w:szCs w:val="20"/>
                <w:lang w:eastAsia="cs-CZ"/>
              </w:rPr>
              <w:t>2017</w:t>
            </w:r>
          </w:p>
        </w:tc>
        <w:tc>
          <w:tcPr>
            <w:tcW w:w="1191" w:type="dxa"/>
            <w:shd w:val="clear" w:color="auto" w:fill="E5F1FF"/>
            <w:vAlign w:val="center"/>
            <w:hideMark/>
          </w:tcPr>
          <w:p w14:paraId="357A7C5A" w14:textId="77777777" w:rsidR="006403A9" w:rsidRPr="00673F9B" w:rsidRDefault="006403A9" w:rsidP="00AB6A4E">
            <w:pPr>
              <w:pStyle w:val="KP-normlnbezodsazen"/>
              <w:keepNext/>
              <w:keepLines/>
              <w:jc w:val="center"/>
              <w:rPr>
                <w:rFonts w:ascii="Calibri" w:hAnsi="Calibri" w:cs="Calibri"/>
                <w:b/>
                <w:sz w:val="20"/>
                <w:szCs w:val="20"/>
                <w:lang w:eastAsia="cs-CZ"/>
              </w:rPr>
            </w:pPr>
            <w:r w:rsidRPr="00673F9B">
              <w:rPr>
                <w:rFonts w:ascii="Calibri" w:hAnsi="Calibri" w:cs="Calibri"/>
                <w:b/>
                <w:sz w:val="20"/>
                <w:szCs w:val="20"/>
                <w:lang w:eastAsia="cs-CZ"/>
              </w:rPr>
              <w:t>2018</w:t>
            </w:r>
          </w:p>
        </w:tc>
        <w:tc>
          <w:tcPr>
            <w:tcW w:w="1247" w:type="dxa"/>
            <w:shd w:val="clear" w:color="auto" w:fill="E5F1FF"/>
            <w:vAlign w:val="center"/>
            <w:hideMark/>
          </w:tcPr>
          <w:p w14:paraId="370155A6" w14:textId="77777777" w:rsidR="006403A9" w:rsidRPr="00673F9B" w:rsidRDefault="006403A9" w:rsidP="00AB6A4E">
            <w:pPr>
              <w:pStyle w:val="KP-normlnbezodsazen"/>
              <w:keepNext/>
              <w:keepLines/>
              <w:jc w:val="center"/>
              <w:rPr>
                <w:rFonts w:ascii="Calibri" w:hAnsi="Calibri" w:cs="Calibri"/>
                <w:b/>
                <w:sz w:val="20"/>
                <w:szCs w:val="20"/>
                <w:lang w:eastAsia="cs-CZ"/>
              </w:rPr>
            </w:pPr>
            <w:r w:rsidRPr="00673F9B">
              <w:rPr>
                <w:rFonts w:ascii="Calibri" w:hAnsi="Calibri" w:cs="Calibri"/>
                <w:b/>
                <w:sz w:val="20"/>
                <w:szCs w:val="20"/>
                <w:lang w:eastAsia="cs-CZ"/>
              </w:rPr>
              <w:t>2019</w:t>
            </w:r>
          </w:p>
        </w:tc>
        <w:tc>
          <w:tcPr>
            <w:tcW w:w="1247" w:type="dxa"/>
            <w:shd w:val="clear" w:color="auto" w:fill="E5F1FF"/>
            <w:vAlign w:val="center"/>
            <w:hideMark/>
          </w:tcPr>
          <w:p w14:paraId="493F89AF" w14:textId="77777777" w:rsidR="006403A9" w:rsidRPr="00673F9B" w:rsidRDefault="006403A9" w:rsidP="00AB6A4E">
            <w:pPr>
              <w:pStyle w:val="KP-normlnbezodsazen"/>
              <w:keepNext/>
              <w:keepLines/>
              <w:jc w:val="center"/>
              <w:rPr>
                <w:rFonts w:ascii="Calibri" w:hAnsi="Calibri" w:cs="Calibri"/>
                <w:b/>
                <w:sz w:val="20"/>
                <w:szCs w:val="20"/>
                <w:lang w:eastAsia="cs-CZ"/>
              </w:rPr>
            </w:pPr>
            <w:r w:rsidRPr="00673F9B">
              <w:rPr>
                <w:rFonts w:ascii="Calibri" w:hAnsi="Calibri" w:cs="Calibri"/>
                <w:b/>
                <w:sz w:val="20"/>
                <w:szCs w:val="20"/>
                <w:lang w:eastAsia="cs-CZ"/>
              </w:rPr>
              <w:t>2020</w:t>
            </w:r>
          </w:p>
        </w:tc>
        <w:tc>
          <w:tcPr>
            <w:tcW w:w="850" w:type="dxa"/>
            <w:vMerge w:val="restart"/>
            <w:shd w:val="clear" w:color="auto" w:fill="E5F1FF"/>
            <w:vAlign w:val="center"/>
            <w:hideMark/>
          </w:tcPr>
          <w:p w14:paraId="2591EA40" w14:textId="77777777" w:rsidR="006403A9" w:rsidRPr="00673F9B" w:rsidRDefault="006403A9" w:rsidP="00AB6A4E">
            <w:pPr>
              <w:pStyle w:val="KP-normlnbezodsazen"/>
              <w:keepNext/>
              <w:keepLines/>
              <w:jc w:val="center"/>
              <w:rPr>
                <w:rFonts w:ascii="Calibri" w:hAnsi="Calibri" w:cs="Calibri"/>
                <w:sz w:val="20"/>
                <w:szCs w:val="20"/>
                <w:lang w:eastAsia="cs-CZ"/>
              </w:rPr>
            </w:pPr>
            <w:r w:rsidRPr="00673F9B">
              <w:rPr>
                <w:rFonts w:ascii="Calibri" w:hAnsi="Calibri" w:cs="Calibri"/>
                <w:b/>
                <w:sz w:val="20"/>
                <w:szCs w:val="20"/>
                <w:lang w:eastAsia="cs-CZ"/>
              </w:rPr>
              <w:t>Součet</w:t>
            </w:r>
          </w:p>
        </w:tc>
      </w:tr>
      <w:tr w:rsidR="006403A9" w:rsidRPr="00673F9B" w14:paraId="31DAE0F4" w14:textId="77777777" w:rsidTr="00673F9B">
        <w:trPr>
          <w:trHeight w:val="283"/>
          <w:jc w:val="center"/>
        </w:trPr>
        <w:tc>
          <w:tcPr>
            <w:tcW w:w="2381" w:type="dxa"/>
            <w:vMerge/>
            <w:vAlign w:val="center"/>
            <w:hideMark/>
          </w:tcPr>
          <w:p w14:paraId="10AA2C15" w14:textId="77777777" w:rsidR="006403A9" w:rsidRPr="00673F9B" w:rsidRDefault="006403A9" w:rsidP="00AB6A4E">
            <w:pPr>
              <w:rPr>
                <w:rFonts w:ascii="Calibri" w:eastAsia="Times New Roman" w:hAnsi="Calibri" w:cs="Calibri"/>
                <w:sz w:val="20"/>
                <w:szCs w:val="20"/>
                <w:lang w:eastAsia="cs-CZ"/>
              </w:rPr>
            </w:pPr>
          </w:p>
        </w:tc>
        <w:tc>
          <w:tcPr>
            <w:tcW w:w="1020" w:type="dxa"/>
            <w:shd w:val="clear" w:color="auto" w:fill="E5F1FF"/>
            <w:vAlign w:val="center"/>
            <w:hideMark/>
          </w:tcPr>
          <w:p w14:paraId="6B69D5ED" w14:textId="77777777" w:rsidR="006403A9" w:rsidRPr="00673F9B" w:rsidRDefault="006403A9" w:rsidP="00AB6A4E">
            <w:pPr>
              <w:pStyle w:val="KP-normlnbezodsazen"/>
              <w:keepNext/>
              <w:keepLines/>
              <w:jc w:val="center"/>
              <w:rPr>
                <w:rFonts w:ascii="Calibri" w:hAnsi="Calibri" w:cs="Calibri"/>
                <w:b/>
                <w:sz w:val="20"/>
                <w:szCs w:val="20"/>
                <w:lang w:eastAsia="cs-CZ"/>
              </w:rPr>
            </w:pPr>
            <w:r w:rsidRPr="00673F9B">
              <w:rPr>
                <w:rFonts w:ascii="Calibri" w:hAnsi="Calibri" w:cs="Calibri"/>
                <w:b/>
                <w:sz w:val="20"/>
                <w:szCs w:val="20"/>
                <w:lang w:eastAsia="cs-CZ"/>
              </w:rPr>
              <w:t>Přidělená alokace</w:t>
            </w:r>
          </w:p>
        </w:tc>
        <w:tc>
          <w:tcPr>
            <w:tcW w:w="1191" w:type="dxa"/>
            <w:shd w:val="clear" w:color="auto" w:fill="E5F1FF"/>
            <w:vAlign w:val="center"/>
            <w:hideMark/>
          </w:tcPr>
          <w:p w14:paraId="5640DD0F" w14:textId="77777777" w:rsidR="006403A9" w:rsidRPr="00673F9B" w:rsidRDefault="006403A9" w:rsidP="00AB6A4E">
            <w:pPr>
              <w:pStyle w:val="KP-normlnbezodsazen"/>
              <w:keepNext/>
              <w:keepLines/>
              <w:jc w:val="center"/>
              <w:rPr>
                <w:rFonts w:ascii="Calibri" w:hAnsi="Calibri" w:cs="Calibri"/>
                <w:b/>
                <w:sz w:val="20"/>
                <w:szCs w:val="20"/>
                <w:lang w:eastAsia="cs-CZ"/>
              </w:rPr>
            </w:pPr>
            <w:r w:rsidRPr="00673F9B">
              <w:rPr>
                <w:rFonts w:ascii="Calibri" w:hAnsi="Calibri" w:cs="Calibri"/>
                <w:b/>
                <w:sz w:val="20"/>
                <w:szCs w:val="20"/>
                <w:lang w:eastAsia="cs-CZ"/>
              </w:rPr>
              <w:t>Uvedeno ve výhledu</w:t>
            </w:r>
          </w:p>
        </w:tc>
        <w:tc>
          <w:tcPr>
            <w:tcW w:w="1191" w:type="dxa"/>
            <w:shd w:val="clear" w:color="auto" w:fill="E5F1FF"/>
            <w:vAlign w:val="center"/>
            <w:hideMark/>
          </w:tcPr>
          <w:p w14:paraId="116D5AF3" w14:textId="77777777" w:rsidR="006403A9" w:rsidRPr="00673F9B" w:rsidRDefault="006403A9" w:rsidP="00AB6A4E">
            <w:pPr>
              <w:pStyle w:val="KP-normlnbezodsazen"/>
              <w:keepNext/>
              <w:keepLines/>
              <w:jc w:val="center"/>
              <w:rPr>
                <w:rFonts w:ascii="Calibri" w:hAnsi="Calibri" w:cs="Calibri"/>
                <w:b/>
                <w:sz w:val="20"/>
                <w:szCs w:val="20"/>
                <w:lang w:eastAsia="cs-CZ"/>
              </w:rPr>
            </w:pPr>
            <w:r w:rsidRPr="00673F9B">
              <w:rPr>
                <w:rFonts w:ascii="Calibri" w:hAnsi="Calibri" w:cs="Calibri"/>
                <w:b/>
                <w:sz w:val="20"/>
                <w:szCs w:val="20"/>
                <w:lang w:eastAsia="cs-CZ"/>
              </w:rPr>
              <w:t>Uvedeno ve výhledu</w:t>
            </w:r>
          </w:p>
        </w:tc>
        <w:tc>
          <w:tcPr>
            <w:tcW w:w="1247" w:type="dxa"/>
            <w:shd w:val="clear" w:color="auto" w:fill="E5F1FF"/>
            <w:vAlign w:val="center"/>
            <w:hideMark/>
          </w:tcPr>
          <w:p w14:paraId="2B46CF3B" w14:textId="77777777" w:rsidR="006403A9" w:rsidRPr="00673F9B" w:rsidRDefault="006403A9" w:rsidP="00AB6A4E">
            <w:pPr>
              <w:pStyle w:val="KP-normlnbezodsazen"/>
              <w:keepNext/>
              <w:keepLines/>
              <w:jc w:val="center"/>
              <w:rPr>
                <w:rFonts w:ascii="Calibri" w:hAnsi="Calibri" w:cs="Calibri"/>
                <w:b/>
                <w:sz w:val="20"/>
                <w:szCs w:val="20"/>
                <w:lang w:eastAsia="cs-CZ"/>
              </w:rPr>
            </w:pPr>
            <w:r w:rsidRPr="00673F9B">
              <w:rPr>
                <w:rFonts w:ascii="Calibri" w:hAnsi="Calibri" w:cs="Calibri"/>
                <w:b/>
                <w:sz w:val="20"/>
                <w:szCs w:val="20"/>
                <w:lang w:eastAsia="cs-CZ"/>
              </w:rPr>
              <w:t>Bude požadováno</w:t>
            </w:r>
          </w:p>
        </w:tc>
        <w:tc>
          <w:tcPr>
            <w:tcW w:w="1247" w:type="dxa"/>
            <w:shd w:val="clear" w:color="auto" w:fill="E5F1FF"/>
            <w:vAlign w:val="center"/>
            <w:hideMark/>
          </w:tcPr>
          <w:p w14:paraId="5688D1B0" w14:textId="77777777" w:rsidR="006403A9" w:rsidRPr="00673F9B" w:rsidRDefault="006403A9" w:rsidP="00AB6A4E">
            <w:pPr>
              <w:pStyle w:val="KP-normlnbezodsazen"/>
              <w:keepNext/>
              <w:keepLines/>
              <w:jc w:val="center"/>
              <w:rPr>
                <w:rFonts w:ascii="Calibri" w:hAnsi="Calibri" w:cs="Calibri"/>
                <w:b/>
                <w:sz w:val="20"/>
                <w:szCs w:val="20"/>
                <w:lang w:eastAsia="cs-CZ"/>
              </w:rPr>
            </w:pPr>
            <w:r w:rsidRPr="00673F9B">
              <w:rPr>
                <w:rFonts w:ascii="Calibri" w:hAnsi="Calibri" w:cs="Calibri"/>
                <w:b/>
                <w:sz w:val="20"/>
                <w:szCs w:val="20"/>
                <w:lang w:eastAsia="cs-CZ"/>
              </w:rPr>
              <w:t>Bude požadováno</w:t>
            </w:r>
          </w:p>
        </w:tc>
        <w:tc>
          <w:tcPr>
            <w:tcW w:w="850" w:type="dxa"/>
            <w:vMerge/>
            <w:vAlign w:val="center"/>
            <w:hideMark/>
          </w:tcPr>
          <w:p w14:paraId="59E1432C" w14:textId="77777777" w:rsidR="006403A9" w:rsidRPr="00673F9B" w:rsidRDefault="006403A9" w:rsidP="00AB6A4E">
            <w:pPr>
              <w:rPr>
                <w:rFonts w:ascii="Calibri" w:eastAsia="Times New Roman" w:hAnsi="Calibri" w:cs="Calibri"/>
                <w:sz w:val="20"/>
                <w:szCs w:val="20"/>
                <w:lang w:eastAsia="cs-CZ"/>
              </w:rPr>
            </w:pPr>
          </w:p>
        </w:tc>
      </w:tr>
      <w:tr w:rsidR="006403A9" w:rsidRPr="00673F9B" w14:paraId="65492406" w14:textId="77777777" w:rsidTr="00673F9B">
        <w:trPr>
          <w:trHeight w:val="283"/>
          <w:jc w:val="center"/>
        </w:trPr>
        <w:tc>
          <w:tcPr>
            <w:tcW w:w="2381" w:type="dxa"/>
            <w:vAlign w:val="center"/>
            <w:hideMark/>
          </w:tcPr>
          <w:p w14:paraId="34F4AEAF" w14:textId="77777777" w:rsidR="006403A9" w:rsidRPr="00673F9B" w:rsidRDefault="006403A9" w:rsidP="00AB6A4E">
            <w:pPr>
              <w:pStyle w:val="KP-normlnbezodsazen"/>
              <w:keepNext/>
              <w:keepLines/>
              <w:rPr>
                <w:rFonts w:ascii="Calibri" w:hAnsi="Calibri" w:cs="Calibri"/>
                <w:sz w:val="20"/>
                <w:szCs w:val="20"/>
                <w:lang w:eastAsia="cs-CZ"/>
              </w:rPr>
            </w:pPr>
            <w:r w:rsidRPr="00673F9B">
              <w:rPr>
                <w:rFonts w:ascii="Calibri" w:hAnsi="Calibri" w:cs="Calibri"/>
                <w:sz w:val="20"/>
                <w:szCs w:val="20"/>
                <w:lang w:eastAsia="cs-CZ"/>
              </w:rPr>
              <w:t>Státní rozpočet</w:t>
            </w:r>
          </w:p>
        </w:tc>
        <w:tc>
          <w:tcPr>
            <w:tcW w:w="1020" w:type="dxa"/>
            <w:vAlign w:val="center"/>
            <w:hideMark/>
          </w:tcPr>
          <w:p w14:paraId="29DE3256" w14:textId="77777777" w:rsidR="006403A9" w:rsidRPr="00673F9B" w:rsidRDefault="006403A9" w:rsidP="00AB6A4E">
            <w:pPr>
              <w:pStyle w:val="KP-normlnbezodsazen"/>
              <w:keepNext/>
              <w:keepLines/>
              <w:jc w:val="center"/>
              <w:rPr>
                <w:rFonts w:ascii="Calibri" w:hAnsi="Calibri" w:cs="Calibri"/>
                <w:sz w:val="20"/>
                <w:szCs w:val="20"/>
                <w:lang w:eastAsia="cs-CZ"/>
              </w:rPr>
            </w:pPr>
            <w:r w:rsidRPr="00673F9B">
              <w:rPr>
                <w:rFonts w:ascii="Calibri" w:hAnsi="Calibri" w:cs="Calibri"/>
                <w:sz w:val="20"/>
                <w:szCs w:val="20"/>
                <w:lang w:eastAsia="cs-CZ"/>
              </w:rPr>
              <w:t>300</w:t>
            </w:r>
          </w:p>
        </w:tc>
        <w:tc>
          <w:tcPr>
            <w:tcW w:w="1191" w:type="dxa"/>
            <w:vAlign w:val="center"/>
            <w:hideMark/>
          </w:tcPr>
          <w:p w14:paraId="4C3DE103" w14:textId="77777777" w:rsidR="006403A9" w:rsidRPr="00673F9B" w:rsidRDefault="006403A9" w:rsidP="00AB6A4E">
            <w:pPr>
              <w:pStyle w:val="KP-normlnbezodsazen"/>
              <w:keepNext/>
              <w:keepLines/>
              <w:jc w:val="center"/>
              <w:rPr>
                <w:rFonts w:ascii="Calibri" w:hAnsi="Calibri" w:cs="Calibri"/>
                <w:sz w:val="20"/>
                <w:szCs w:val="20"/>
                <w:lang w:eastAsia="cs-CZ"/>
              </w:rPr>
            </w:pPr>
            <w:r w:rsidRPr="00673F9B">
              <w:rPr>
                <w:rFonts w:ascii="Calibri" w:hAnsi="Calibri" w:cs="Calibri"/>
                <w:sz w:val="20"/>
                <w:szCs w:val="20"/>
                <w:lang w:eastAsia="cs-CZ"/>
              </w:rPr>
              <w:t>350</w:t>
            </w:r>
          </w:p>
        </w:tc>
        <w:tc>
          <w:tcPr>
            <w:tcW w:w="1191" w:type="dxa"/>
            <w:vAlign w:val="center"/>
            <w:hideMark/>
          </w:tcPr>
          <w:p w14:paraId="7CEE0CC6" w14:textId="77777777" w:rsidR="006403A9" w:rsidRPr="00673F9B" w:rsidRDefault="006403A9" w:rsidP="00AB6A4E">
            <w:pPr>
              <w:pStyle w:val="KP-normlnbezodsazen"/>
              <w:keepNext/>
              <w:keepLines/>
              <w:jc w:val="center"/>
              <w:rPr>
                <w:rFonts w:ascii="Calibri" w:hAnsi="Calibri" w:cs="Calibri"/>
                <w:sz w:val="20"/>
                <w:szCs w:val="20"/>
                <w:lang w:eastAsia="cs-CZ"/>
              </w:rPr>
            </w:pPr>
            <w:r w:rsidRPr="00673F9B">
              <w:rPr>
                <w:rFonts w:ascii="Calibri" w:hAnsi="Calibri" w:cs="Calibri"/>
                <w:sz w:val="20"/>
                <w:szCs w:val="20"/>
                <w:lang w:eastAsia="cs-CZ"/>
              </w:rPr>
              <w:t>350</w:t>
            </w:r>
          </w:p>
        </w:tc>
        <w:tc>
          <w:tcPr>
            <w:tcW w:w="1247" w:type="dxa"/>
            <w:vAlign w:val="center"/>
            <w:hideMark/>
          </w:tcPr>
          <w:p w14:paraId="536CFC38" w14:textId="77777777" w:rsidR="006403A9" w:rsidRPr="00673F9B" w:rsidRDefault="006403A9" w:rsidP="00AB6A4E">
            <w:pPr>
              <w:pStyle w:val="KP-normlnbezodsazen"/>
              <w:keepNext/>
              <w:keepLines/>
              <w:jc w:val="center"/>
              <w:rPr>
                <w:rFonts w:ascii="Calibri" w:hAnsi="Calibri" w:cs="Calibri"/>
                <w:sz w:val="20"/>
                <w:szCs w:val="20"/>
                <w:lang w:eastAsia="cs-CZ"/>
              </w:rPr>
            </w:pPr>
            <w:r w:rsidRPr="00673F9B">
              <w:rPr>
                <w:rFonts w:ascii="Calibri" w:hAnsi="Calibri" w:cs="Calibri"/>
                <w:sz w:val="20"/>
                <w:szCs w:val="20"/>
                <w:lang w:eastAsia="cs-CZ"/>
              </w:rPr>
              <w:t>350</w:t>
            </w:r>
          </w:p>
        </w:tc>
        <w:tc>
          <w:tcPr>
            <w:tcW w:w="1247" w:type="dxa"/>
            <w:vAlign w:val="center"/>
            <w:hideMark/>
          </w:tcPr>
          <w:p w14:paraId="1714C697" w14:textId="77777777" w:rsidR="006403A9" w:rsidRPr="00673F9B" w:rsidRDefault="006403A9" w:rsidP="00AB6A4E">
            <w:pPr>
              <w:pStyle w:val="KP-normlnbezodsazen"/>
              <w:keepNext/>
              <w:keepLines/>
              <w:jc w:val="center"/>
              <w:rPr>
                <w:rFonts w:ascii="Calibri" w:hAnsi="Calibri" w:cs="Calibri"/>
                <w:sz w:val="20"/>
                <w:szCs w:val="20"/>
                <w:lang w:eastAsia="cs-CZ"/>
              </w:rPr>
            </w:pPr>
            <w:r w:rsidRPr="00673F9B">
              <w:rPr>
                <w:rFonts w:ascii="Calibri" w:hAnsi="Calibri" w:cs="Calibri"/>
                <w:sz w:val="20"/>
                <w:szCs w:val="20"/>
                <w:lang w:eastAsia="cs-CZ"/>
              </w:rPr>
              <w:t>350</w:t>
            </w:r>
          </w:p>
        </w:tc>
        <w:tc>
          <w:tcPr>
            <w:tcW w:w="850" w:type="dxa"/>
            <w:vAlign w:val="center"/>
            <w:hideMark/>
          </w:tcPr>
          <w:p w14:paraId="131344F5" w14:textId="77777777" w:rsidR="006403A9" w:rsidRPr="00673F9B" w:rsidRDefault="006403A9" w:rsidP="00AB6A4E">
            <w:pPr>
              <w:pStyle w:val="KP-normlnbezodsazen"/>
              <w:keepNext/>
              <w:keepLines/>
              <w:jc w:val="center"/>
              <w:rPr>
                <w:rFonts w:ascii="Calibri" w:hAnsi="Calibri" w:cs="Calibri"/>
                <w:sz w:val="20"/>
                <w:szCs w:val="20"/>
                <w:lang w:eastAsia="cs-CZ"/>
              </w:rPr>
            </w:pPr>
            <w:r w:rsidRPr="00673F9B">
              <w:rPr>
                <w:rFonts w:ascii="Calibri" w:hAnsi="Calibri" w:cs="Calibri"/>
                <w:b/>
                <w:sz w:val="20"/>
                <w:szCs w:val="20"/>
                <w:lang w:eastAsia="cs-CZ"/>
              </w:rPr>
              <w:t>1 700</w:t>
            </w:r>
          </w:p>
        </w:tc>
      </w:tr>
      <w:tr w:rsidR="006403A9" w:rsidRPr="00673F9B" w14:paraId="5B5C24D1" w14:textId="77777777" w:rsidTr="00673F9B">
        <w:trPr>
          <w:trHeight w:val="283"/>
          <w:jc w:val="center"/>
        </w:trPr>
        <w:tc>
          <w:tcPr>
            <w:tcW w:w="2381" w:type="dxa"/>
            <w:vAlign w:val="center"/>
            <w:hideMark/>
          </w:tcPr>
          <w:p w14:paraId="41F7DCC9" w14:textId="77777777" w:rsidR="006403A9" w:rsidRPr="00673F9B" w:rsidRDefault="006403A9" w:rsidP="00AB6A4E">
            <w:pPr>
              <w:pStyle w:val="KP-normlnbezodsazen"/>
              <w:keepNext/>
              <w:keepLines/>
              <w:rPr>
                <w:rFonts w:ascii="Calibri" w:hAnsi="Calibri" w:cs="Calibri"/>
                <w:sz w:val="20"/>
                <w:szCs w:val="20"/>
                <w:lang w:eastAsia="cs-CZ"/>
              </w:rPr>
            </w:pPr>
            <w:r w:rsidRPr="00673F9B">
              <w:rPr>
                <w:rFonts w:ascii="Calibri" w:hAnsi="Calibri" w:cs="Calibri"/>
                <w:sz w:val="20"/>
                <w:szCs w:val="20"/>
                <w:lang w:eastAsia="cs-CZ"/>
              </w:rPr>
              <w:t>Spolufinancování žadatelů</w:t>
            </w:r>
          </w:p>
        </w:tc>
        <w:tc>
          <w:tcPr>
            <w:tcW w:w="1020" w:type="dxa"/>
            <w:vAlign w:val="center"/>
            <w:hideMark/>
          </w:tcPr>
          <w:p w14:paraId="5CDDE65B" w14:textId="77777777" w:rsidR="006403A9" w:rsidRPr="00673F9B" w:rsidRDefault="006403A9" w:rsidP="00AB6A4E">
            <w:pPr>
              <w:pStyle w:val="KP-normlnbezodsazen"/>
              <w:keepNext/>
              <w:keepLines/>
              <w:jc w:val="center"/>
              <w:rPr>
                <w:rFonts w:ascii="Calibri" w:hAnsi="Calibri" w:cs="Calibri"/>
                <w:sz w:val="20"/>
                <w:szCs w:val="20"/>
                <w:lang w:eastAsia="cs-CZ"/>
              </w:rPr>
            </w:pPr>
            <w:r w:rsidRPr="00673F9B">
              <w:rPr>
                <w:rFonts w:ascii="Calibri" w:hAnsi="Calibri" w:cs="Calibri"/>
                <w:sz w:val="20"/>
                <w:szCs w:val="20"/>
                <w:lang w:eastAsia="cs-CZ"/>
              </w:rPr>
              <w:t>300</w:t>
            </w:r>
          </w:p>
        </w:tc>
        <w:tc>
          <w:tcPr>
            <w:tcW w:w="1191" w:type="dxa"/>
            <w:vAlign w:val="center"/>
            <w:hideMark/>
          </w:tcPr>
          <w:p w14:paraId="47DB1B02" w14:textId="77777777" w:rsidR="006403A9" w:rsidRPr="00673F9B" w:rsidRDefault="006403A9" w:rsidP="00AB6A4E">
            <w:pPr>
              <w:pStyle w:val="KP-normlnbezodsazen"/>
              <w:keepNext/>
              <w:keepLines/>
              <w:jc w:val="center"/>
              <w:rPr>
                <w:rFonts w:ascii="Calibri" w:hAnsi="Calibri" w:cs="Calibri"/>
                <w:sz w:val="20"/>
                <w:szCs w:val="20"/>
                <w:lang w:eastAsia="cs-CZ"/>
              </w:rPr>
            </w:pPr>
            <w:r w:rsidRPr="00673F9B">
              <w:rPr>
                <w:rFonts w:ascii="Calibri" w:hAnsi="Calibri" w:cs="Calibri"/>
                <w:sz w:val="20"/>
                <w:szCs w:val="20"/>
                <w:lang w:eastAsia="cs-CZ"/>
              </w:rPr>
              <w:t>350</w:t>
            </w:r>
          </w:p>
        </w:tc>
        <w:tc>
          <w:tcPr>
            <w:tcW w:w="1191" w:type="dxa"/>
            <w:vAlign w:val="center"/>
            <w:hideMark/>
          </w:tcPr>
          <w:p w14:paraId="3BA7EF6C" w14:textId="77777777" w:rsidR="006403A9" w:rsidRPr="00673F9B" w:rsidRDefault="006403A9" w:rsidP="00AB6A4E">
            <w:pPr>
              <w:pStyle w:val="KP-normlnbezodsazen"/>
              <w:keepNext/>
              <w:keepLines/>
              <w:jc w:val="center"/>
              <w:rPr>
                <w:rFonts w:ascii="Calibri" w:hAnsi="Calibri" w:cs="Calibri"/>
                <w:sz w:val="20"/>
                <w:szCs w:val="20"/>
                <w:lang w:eastAsia="cs-CZ"/>
              </w:rPr>
            </w:pPr>
            <w:r w:rsidRPr="00673F9B">
              <w:rPr>
                <w:rFonts w:ascii="Calibri" w:hAnsi="Calibri" w:cs="Calibri"/>
                <w:sz w:val="20"/>
                <w:szCs w:val="20"/>
                <w:lang w:eastAsia="cs-CZ"/>
              </w:rPr>
              <w:t>350</w:t>
            </w:r>
          </w:p>
        </w:tc>
        <w:tc>
          <w:tcPr>
            <w:tcW w:w="1247" w:type="dxa"/>
            <w:vAlign w:val="center"/>
            <w:hideMark/>
          </w:tcPr>
          <w:p w14:paraId="3498D7F4" w14:textId="77777777" w:rsidR="006403A9" w:rsidRPr="00673F9B" w:rsidRDefault="006403A9" w:rsidP="00AB6A4E">
            <w:pPr>
              <w:pStyle w:val="KP-normlnbezodsazen"/>
              <w:keepNext/>
              <w:keepLines/>
              <w:jc w:val="center"/>
              <w:rPr>
                <w:rFonts w:ascii="Calibri" w:hAnsi="Calibri" w:cs="Calibri"/>
                <w:sz w:val="20"/>
                <w:szCs w:val="20"/>
                <w:lang w:eastAsia="cs-CZ"/>
              </w:rPr>
            </w:pPr>
            <w:r w:rsidRPr="00673F9B">
              <w:rPr>
                <w:rFonts w:ascii="Calibri" w:hAnsi="Calibri" w:cs="Calibri"/>
                <w:sz w:val="20"/>
                <w:szCs w:val="20"/>
                <w:lang w:eastAsia="cs-CZ"/>
              </w:rPr>
              <w:t>350</w:t>
            </w:r>
          </w:p>
        </w:tc>
        <w:tc>
          <w:tcPr>
            <w:tcW w:w="1247" w:type="dxa"/>
            <w:vAlign w:val="center"/>
            <w:hideMark/>
          </w:tcPr>
          <w:p w14:paraId="66A17DAF" w14:textId="77777777" w:rsidR="006403A9" w:rsidRPr="00673F9B" w:rsidRDefault="006403A9" w:rsidP="00AB6A4E">
            <w:pPr>
              <w:pStyle w:val="KP-normlnbezodsazen"/>
              <w:keepNext/>
              <w:keepLines/>
              <w:jc w:val="center"/>
              <w:rPr>
                <w:rFonts w:ascii="Calibri" w:hAnsi="Calibri" w:cs="Calibri"/>
                <w:sz w:val="20"/>
                <w:szCs w:val="20"/>
                <w:lang w:eastAsia="cs-CZ"/>
              </w:rPr>
            </w:pPr>
            <w:r w:rsidRPr="00673F9B">
              <w:rPr>
                <w:rFonts w:ascii="Calibri" w:hAnsi="Calibri" w:cs="Calibri"/>
                <w:sz w:val="20"/>
                <w:szCs w:val="20"/>
                <w:lang w:eastAsia="cs-CZ"/>
              </w:rPr>
              <w:t>350</w:t>
            </w:r>
          </w:p>
        </w:tc>
        <w:tc>
          <w:tcPr>
            <w:tcW w:w="850" w:type="dxa"/>
            <w:vAlign w:val="center"/>
            <w:hideMark/>
          </w:tcPr>
          <w:p w14:paraId="5C5F9ECE" w14:textId="77777777" w:rsidR="006403A9" w:rsidRPr="00673F9B" w:rsidRDefault="006403A9" w:rsidP="00AB6A4E">
            <w:pPr>
              <w:pStyle w:val="KP-normlnbezodsazen"/>
              <w:keepNext/>
              <w:keepLines/>
              <w:jc w:val="center"/>
              <w:rPr>
                <w:rFonts w:ascii="Calibri" w:hAnsi="Calibri" w:cs="Calibri"/>
                <w:sz w:val="20"/>
                <w:szCs w:val="20"/>
                <w:lang w:eastAsia="cs-CZ"/>
              </w:rPr>
            </w:pPr>
            <w:r w:rsidRPr="00673F9B">
              <w:rPr>
                <w:rFonts w:ascii="Calibri" w:hAnsi="Calibri" w:cs="Calibri"/>
                <w:b/>
                <w:sz w:val="20"/>
                <w:szCs w:val="20"/>
                <w:lang w:eastAsia="cs-CZ"/>
              </w:rPr>
              <w:t>1 700</w:t>
            </w:r>
          </w:p>
        </w:tc>
      </w:tr>
      <w:tr w:rsidR="006403A9" w:rsidRPr="00673F9B" w14:paraId="5028E58E" w14:textId="77777777" w:rsidTr="00673F9B">
        <w:trPr>
          <w:trHeight w:val="283"/>
          <w:jc w:val="center"/>
        </w:trPr>
        <w:tc>
          <w:tcPr>
            <w:tcW w:w="2381" w:type="dxa"/>
            <w:shd w:val="clear" w:color="auto" w:fill="F2C6C9"/>
            <w:vAlign w:val="center"/>
            <w:hideMark/>
          </w:tcPr>
          <w:p w14:paraId="78FD59E9" w14:textId="77777777" w:rsidR="006403A9" w:rsidRPr="00673F9B" w:rsidRDefault="006403A9" w:rsidP="00AB6A4E">
            <w:pPr>
              <w:pStyle w:val="KP-normlnbezodsazen"/>
              <w:keepNext/>
              <w:keepLines/>
              <w:rPr>
                <w:rFonts w:ascii="Calibri" w:hAnsi="Calibri" w:cs="Calibri"/>
                <w:sz w:val="20"/>
                <w:szCs w:val="20"/>
                <w:lang w:eastAsia="cs-CZ"/>
              </w:rPr>
            </w:pPr>
            <w:r w:rsidRPr="00673F9B">
              <w:rPr>
                <w:rFonts w:ascii="Calibri" w:hAnsi="Calibri" w:cs="Calibri"/>
                <w:b/>
                <w:sz w:val="20"/>
                <w:szCs w:val="20"/>
                <w:lang w:eastAsia="cs-CZ"/>
              </w:rPr>
              <w:t>Program celkem</w:t>
            </w:r>
          </w:p>
        </w:tc>
        <w:tc>
          <w:tcPr>
            <w:tcW w:w="1020" w:type="dxa"/>
            <w:shd w:val="clear" w:color="auto" w:fill="F2C6C9"/>
            <w:vAlign w:val="center"/>
            <w:hideMark/>
          </w:tcPr>
          <w:p w14:paraId="2A6F46BE" w14:textId="77777777" w:rsidR="006403A9" w:rsidRPr="00673F9B" w:rsidRDefault="006403A9" w:rsidP="00AB6A4E">
            <w:pPr>
              <w:pStyle w:val="KP-normlnbezodsazen"/>
              <w:keepNext/>
              <w:keepLines/>
              <w:jc w:val="center"/>
              <w:rPr>
                <w:rFonts w:ascii="Calibri" w:hAnsi="Calibri" w:cs="Calibri"/>
                <w:sz w:val="20"/>
                <w:szCs w:val="20"/>
                <w:lang w:eastAsia="cs-CZ"/>
              </w:rPr>
            </w:pPr>
            <w:r w:rsidRPr="00673F9B">
              <w:rPr>
                <w:rFonts w:ascii="Calibri" w:hAnsi="Calibri" w:cs="Calibri"/>
                <w:b/>
                <w:sz w:val="20"/>
                <w:szCs w:val="20"/>
                <w:lang w:eastAsia="cs-CZ"/>
              </w:rPr>
              <w:t>600</w:t>
            </w:r>
          </w:p>
        </w:tc>
        <w:tc>
          <w:tcPr>
            <w:tcW w:w="1191" w:type="dxa"/>
            <w:shd w:val="clear" w:color="auto" w:fill="F2C6C9"/>
            <w:vAlign w:val="center"/>
            <w:hideMark/>
          </w:tcPr>
          <w:p w14:paraId="09F9ADAF" w14:textId="77777777" w:rsidR="006403A9" w:rsidRPr="00673F9B" w:rsidRDefault="006403A9" w:rsidP="00AB6A4E">
            <w:pPr>
              <w:pStyle w:val="KP-normlnbezodsazen"/>
              <w:keepNext/>
              <w:keepLines/>
              <w:jc w:val="center"/>
              <w:rPr>
                <w:rFonts w:ascii="Calibri" w:hAnsi="Calibri" w:cs="Calibri"/>
                <w:sz w:val="20"/>
                <w:szCs w:val="20"/>
                <w:lang w:eastAsia="cs-CZ"/>
              </w:rPr>
            </w:pPr>
            <w:r w:rsidRPr="00673F9B">
              <w:rPr>
                <w:rFonts w:ascii="Calibri" w:hAnsi="Calibri" w:cs="Calibri"/>
                <w:b/>
                <w:sz w:val="20"/>
                <w:szCs w:val="20"/>
                <w:lang w:eastAsia="cs-CZ"/>
              </w:rPr>
              <w:t>700</w:t>
            </w:r>
          </w:p>
        </w:tc>
        <w:tc>
          <w:tcPr>
            <w:tcW w:w="1191" w:type="dxa"/>
            <w:shd w:val="clear" w:color="auto" w:fill="F2C6C9"/>
            <w:vAlign w:val="center"/>
            <w:hideMark/>
          </w:tcPr>
          <w:p w14:paraId="4A88D110" w14:textId="77777777" w:rsidR="006403A9" w:rsidRPr="00673F9B" w:rsidRDefault="006403A9" w:rsidP="00AB6A4E">
            <w:pPr>
              <w:pStyle w:val="KP-normlnbezodsazen"/>
              <w:keepNext/>
              <w:keepLines/>
              <w:jc w:val="center"/>
              <w:rPr>
                <w:rFonts w:ascii="Calibri" w:hAnsi="Calibri" w:cs="Calibri"/>
                <w:sz w:val="20"/>
                <w:szCs w:val="20"/>
                <w:lang w:eastAsia="cs-CZ"/>
              </w:rPr>
            </w:pPr>
            <w:r w:rsidRPr="00673F9B">
              <w:rPr>
                <w:rFonts w:ascii="Calibri" w:hAnsi="Calibri" w:cs="Calibri"/>
                <w:b/>
                <w:sz w:val="20"/>
                <w:szCs w:val="20"/>
                <w:lang w:eastAsia="cs-CZ"/>
              </w:rPr>
              <w:t>700</w:t>
            </w:r>
          </w:p>
        </w:tc>
        <w:tc>
          <w:tcPr>
            <w:tcW w:w="1247" w:type="dxa"/>
            <w:shd w:val="clear" w:color="auto" w:fill="F2C6C9"/>
            <w:vAlign w:val="center"/>
            <w:hideMark/>
          </w:tcPr>
          <w:p w14:paraId="7DC93F61" w14:textId="77777777" w:rsidR="006403A9" w:rsidRPr="00673F9B" w:rsidRDefault="006403A9" w:rsidP="00AB6A4E">
            <w:pPr>
              <w:pStyle w:val="KP-normlnbezodsazen"/>
              <w:keepNext/>
              <w:keepLines/>
              <w:jc w:val="center"/>
              <w:rPr>
                <w:rFonts w:ascii="Calibri" w:hAnsi="Calibri" w:cs="Calibri"/>
                <w:sz w:val="20"/>
                <w:szCs w:val="20"/>
                <w:lang w:eastAsia="cs-CZ"/>
              </w:rPr>
            </w:pPr>
            <w:r w:rsidRPr="00673F9B">
              <w:rPr>
                <w:rFonts w:ascii="Calibri" w:hAnsi="Calibri" w:cs="Calibri"/>
                <w:b/>
                <w:sz w:val="20"/>
                <w:szCs w:val="20"/>
                <w:lang w:eastAsia="cs-CZ"/>
              </w:rPr>
              <w:t>700</w:t>
            </w:r>
          </w:p>
        </w:tc>
        <w:tc>
          <w:tcPr>
            <w:tcW w:w="1247" w:type="dxa"/>
            <w:shd w:val="clear" w:color="auto" w:fill="F2C6C9"/>
            <w:vAlign w:val="center"/>
            <w:hideMark/>
          </w:tcPr>
          <w:p w14:paraId="2C917403" w14:textId="77777777" w:rsidR="006403A9" w:rsidRPr="00673F9B" w:rsidRDefault="006403A9" w:rsidP="00AB6A4E">
            <w:pPr>
              <w:pStyle w:val="KP-normlnbezodsazen"/>
              <w:keepNext/>
              <w:keepLines/>
              <w:jc w:val="center"/>
              <w:rPr>
                <w:rFonts w:ascii="Calibri" w:hAnsi="Calibri" w:cs="Calibri"/>
                <w:sz w:val="20"/>
                <w:szCs w:val="20"/>
                <w:lang w:eastAsia="cs-CZ"/>
              </w:rPr>
            </w:pPr>
            <w:r w:rsidRPr="00673F9B">
              <w:rPr>
                <w:rFonts w:ascii="Calibri" w:hAnsi="Calibri" w:cs="Calibri"/>
                <w:b/>
                <w:sz w:val="20"/>
                <w:szCs w:val="20"/>
                <w:lang w:eastAsia="cs-CZ"/>
              </w:rPr>
              <w:t>700</w:t>
            </w:r>
          </w:p>
        </w:tc>
        <w:tc>
          <w:tcPr>
            <w:tcW w:w="850" w:type="dxa"/>
            <w:shd w:val="clear" w:color="auto" w:fill="F2C6C9"/>
            <w:vAlign w:val="center"/>
            <w:hideMark/>
          </w:tcPr>
          <w:p w14:paraId="631C4FA9" w14:textId="77777777" w:rsidR="006403A9" w:rsidRPr="00673F9B" w:rsidRDefault="006403A9" w:rsidP="00AB6A4E">
            <w:pPr>
              <w:pStyle w:val="KP-normlnbezodsazen"/>
              <w:keepNext/>
              <w:keepLines/>
              <w:jc w:val="center"/>
              <w:rPr>
                <w:rFonts w:ascii="Calibri" w:hAnsi="Calibri" w:cs="Calibri"/>
                <w:sz w:val="20"/>
                <w:szCs w:val="20"/>
                <w:lang w:eastAsia="cs-CZ"/>
              </w:rPr>
            </w:pPr>
            <w:r w:rsidRPr="00673F9B">
              <w:rPr>
                <w:rFonts w:ascii="Calibri" w:hAnsi="Calibri" w:cs="Calibri"/>
                <w:b/>
                <w:sz w:val="20"/>
                <w:szCs w:val="20"/>
                <w:lang w:eastAsia="cs-CZ"/>
              </w:rPr>
              <w:t>3 400</w:t>
            </w:r>
          </w:p>
        </w:tc>
      </w:tr>
    </w:tbl>
    <w:p w14:paraId="4BFB4649" w14:textId="4312FAB2" w:rsidR="006403A9" w:rsidRDefault="006403A9" w:rsidP="00673F9B">
      <w:pPr>
        <w:pStyle w:val="KP-normlnbezodsazen"/>
        <w:spacing w:before="40"/>
        <w:rPr>
          <w:sz w:val="20"/>
          <w:szCs w:val="20"/>
        </w:rPr>
      </w:pPr>
      <w:r w:rsidRPr="00147D31">
        <w:rPr>
          <w:b/>
          <w:sz w:val="20"/>
          <w:szCs w:val="20"/>
        </w:rPr>
        <w:t>Zdroj:</w:t>
      </w:r>
      <w:r>
        <w:rPr>
          <w:sz w:val="20"/>
          <w:szCs w:val="20"/>
        </w:rPr>
        <w:t xml:space="preserve"> </w:t>
      </w:r>
      <w:r w:rsidR="0067216C">
        <w:rPr>
          <w:sz w:val="20"/>
          <w:szCs w:val="20"/>
        </w:rPr>
        <w:t>p</w:t>
      </w:r>
      <w:r>
        <w:rPr>
          <w:sz w:val="20"/>
          <w:szCs w:val="20"/>
        </w:rPr>
        <w:t>rogramový dokument.</w:t>
      </w:r>
    </w:p>
    <w:p w14:paraId="510441E9" w14:textId="709DFF50" w:rsidR="006403A9" w:rsidRPr="00673F9B" w:rsidRDefault="006403A9" w:rsidP="00673F9B">
      <w:pPr>
        <w:keepNext/>
        <w:spacing w:before="240" w:after="40" w:line="240" w:lineRule="auto"/>
        <w:rPr>
          <w:b/>
          <w:sz w:val="24"/>
          <w:szCs w:val="24"/>
        </w:rPr>
      </w:pPr>
      <w:r w:rsidRPr="00673F9B">
        <w:rPr>
          <w:b/>
          <w:sz w:val="24"/>
          <w:szCs w:val="24"/>
        </w:rPr>
        <w:t>Tabulka č. 2: Přehled výzev NPPCRR v kontrolovaném období 2017</w:t>
      </w:r>
      <w:r w:rsidR="00147D31" w:rsidRPr="00673F9B">
        <w:rPr>
          <w:b/>
          <w:sz w:val="24"/>
          <w:szCs w:val="24"/>
        </w:rPr>
        <w:t>–</w:t>
      </w:r>
      <w:r w:rsidRPr="00673F9B">
        <w:rPr>
          <w:b/>
          <w:sz w:val="24"/>
          <w:szCs w:val="24"/>
        </w:rPr>
        <w:t>2022</w:t>
      </w:r>
    </w:p>
    <w:tbl>
      <w:tblPr>
        <w:tblW w:w="90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846"/>
        <w:gridCol w:w="3827"/>
        <w:gridCol w:w="1559"/>
        <w:gridCol w:w="2835"/>
      </w:tblGrid>
      <w:tr w:rsidR="006403A9" w:rsidRPr="00673F9B" w14:paraId="43C02329" w14:textId="77777777" w:rsidTr="007B4BFE">
        <w:trPr>
          <w:trHeight w:val="255"/>
        </w:trPr>
        <w:tc>
          <w:tcPr>
            <w:tcW w:w="846" w:type="dxa"/>
            <w:shd w:val="clear" w:color="auto" w:fill="E5F1FF"/>
            <w:vAlign w:val="center"/>
            <w:hideMark/>
          </w:tcPr>
          <w:p w14:paraId="2B61715F" w14:textId="77777777" w:rsidR="006403A9" w:rsidRPr="00673F9B" w:rsidRDefault="006403A9" w:rsidP="007B4BFE">
            <w:pPr>
              <w:spacing w:after="0" w:line="240" w:lineRule="auto"/>
              <w:jc w:val="center"/>
              <w:rPr>
                <w:rFonts w:ascii="Calibri" w:hAnsi="Calibri" w:cs="Calibri"/>
                <w:b/>
                <w:bCs/>
                <w:color w:val="000000"/>
                <w:sz w:val="20"/>
                <w:szCs w:val="20"/>
                <w:lang w:eastAsia="cs-CZ"/>
              </w:rPr>
            </w:pPr>
            <w:r w:rsidRPr="00673F9B">
              <w:rPr>
                <w:rFonts w:ascii="Calibri" w:hAnsi="Calibri" w:cs="Calibri"/>
                <w:b/>
                <w:bCs/>
                <w:color w:val="000000"/>
                <w:sz w:val="20"/>
                <w:szCs w:val="20"/>
                <w:lang w:eastAsia="cs-CZ"/>
              </w:rPr>
              <w:t xml:space="preserve">Výzva </w:t>
            </w:r>
            <w:r w:rsidRPr="00673F9B">
              <w:rPr>
                <w:rFonts w:ascii="Calibri" w:hAnsi="Calibri" w:cs="Calibri"/>
                <w:b/>
                <w:bCs/>
                <w:color w:val="000000"/>
                <w:sz w:val="20"/>
                <w:szCs w:val="20"/>
                <w:lang w:eastAsia="cs-CZ"/>
              </w:rPr>
              <w:br/>
              <w:t>pro rok</w:t>
            </w:r>
          </w:p>
        </w:tc>
        <w:tc>
          <w:tcPr>
            <w:tcW w:w="3827" w:type="dxa"/>
            <w:shd w:val="clear" w:color="auto" w:fill="E5F1FF"/>
            <w:vAlign w:val="center"/>
            <w:hideMark/>
          </w:tcPr>
          <w:p w14:paraId="5447084D" w14:textId="77777777" w:rsidR="006403A9" w:rsidRPr="00673F9B" w:rsidRDefault="006403A9" w:rsidP="00673F9B">
            <w:pPr>
              <w:spacing w:after="0" w:line="240" w:lineRule="auto"/>
              <w:jc w:val="center"/>
              <w:rPr>
                <w:rFonts w:ascii="Calibri" w:hAnsi="Calibri" w:cs="Calibri"/>
                <w:b/>
                <w:bCs/>
                <w:color w:val="000000"/>
                <w:sz w:val="20"/>
                <w:szCs w:val="20"/>
                <w:lang w:eastAsia="cs-CZ"/>
              </w:rPr>
            </w:pPr>
            <w:r w:rsidRPr="00673F9B">
              <w:rPr>
                <w:rFonts w:ascii="Calibri" w:hAnsi="Calibri" w:cs="Calibri"/>
                <w:b/>
                <w:bCs/>
                <w:color w:val="000000"/>
                <w:sz w:val="20"/>
                <w:szCs w:val="20"/>
                <w:lang w:eastAsia="cs-CZ"/>
              </w:rPr>
              <w:t>Podprogram, který byl součástí výzvy</w:t>
            </w:r>
          </w:p>
        </w:tc>
        <w:tc>
          <w:tcPr>
            <w:tcW w:w="1559" w:type="dxa"/>
            <w:shd w:val="clear" w:color="auto" w:fill="E5F1FF"/>
            <w:vAlign w:val="center"/>
            <w:hideMark/>
          </w:tcPr>
          <w:p w14:paraId="4416540E" w14:textId="77777777" w:rsidR="006403A9" w:rsidRPr="00673F9B" w:rsidRDefault="006403A9" w:rsidP="007B4BFE">
            <w:pPr>
              <w:spacing w:after="0" w:line="240" w:lineRule="auto"/>
              <w:jc w:val="center"/>
              <w:rPr>
                <w:rFonts w:ascii="Calibri" w:hAnsi="Calibri" w:cs="Calibri"/>
                <w:b/>
                <w:bCs/>
                <w:color w:val="000000"/>
                <w:sz w:val="20"/>
                <w:szCs w:val="20"/>
                <w:lang w:eastAsia="cs-CZ"/>
              </w:rPr>
            </w:pPr>
            <w:r w:rsidRPr="00673F9B">
              <w:rPr>
                <w:rFonts w:ascii="Calibri" w:hAnsi="Calibri" w:cs="Calibri"/>
                <w:b/>
                <w:bCs/>
                <w:color w:val="000000"/>
                <w:sz w:val="20"/>
                <w:szCs w:val="20"/>
                <w:lang w:eastAsia="cs-CZ"/>
              </w:rPr>
              <w:t>Celková alokace výzvy v Kč</w:t>
            </w:r>
          </w:p>
        </w:tc>
        <w:tc>
          <w:tcPr>
            <w:tcW w:w="2835" w:type="dxa"/>
            <w:shd w:val="clear" w:color="auto" w:fill="E5F1FF"/>
            <w:vAlign w:val="center"/>
            <w:hideMark/>
          </w:tcPr>
          <w:p w14:paraId="27A36E03" w14:textId="77777777" w:rsidR="006403A9" w:rsidRPr="00673F9B" w:rsidRDefault="006403A9" w:rsidP="00673F9B">
            <w:pPr>
              <w:spacing w:after="0" w:line="240" w:lineRule="auto"/>
              <w:jc w:val="center"/>
              <w:rPr>
                <w:rFonts w:ascii="Calibri" w:hAnsi="Calibri" w:cs="Calibri"/>
                <w:b/>
                <w:bCs/>
                <w:color w:val="000000"/>
                <w:sz w:val="20"/>
                <w:szCs w:val="20"/>
                <w:lang w:eastAsia="cs-CZ"/>
              </w:rPr>
            </w:pPr>
            <w:r w:rsidRPr="00673F9B">
              <w:rPr>
                <w:rFonts w:ascii="Calibri" w:hAnsi="Calibri" w:cs="Calibri"/>
                <w:b/>
                <w:bCs/>
                <w:color w:val="000000"/>
                <w:sz w:val="20"/>
                <w:szCs w:val="20"/>
                <w:lang w:eastAsia="cs-CZ"/>
              </w:rPr>
              <w:t>Platnost výzvy od-do</w:t>
            </w:r>
          </w:p>
        </w:tc>
      </w:tr>
      <w:tr w:rsidR="006403A9" w:rsidRPr="00673F9B" w14:paraId="49E5E302" w14:textId="77777777" w:rsidTr="007B4BFE">
        <w:trPr>
          <w:trHeight w:val="255"/>
        </w:trPr>
        <w:tc>
          <w:tcPr>
            <w:tcW w:w="846" w:type="dxa"/>
            <w:vMerge w:val="restart"/>
            <w:vAlign w:val="center"/>
            <w:hideMark/>
          </w:tcPr>
          <w:p w14:paraId="3D11ACF8" w14:textId="77777777" w:rsidR="006403A9" w:rsidRPr="00673F9B" w:rsidRDefault="006403A9" w:rsidP="007B4BFE">
            <w:pPr>
              <w:spacing w:after="0" w:line="240" w:lineRule="auto"/>
              <w:jc w:val="center"/>
              <w:rPr>
                <w:rFonts w:ascii="Calibri" w:hAnsi="Calibri" w:cs="Calibri"/>
                <w:color w:val="000000"/>
                <w:sz w:val="20"/>
                <w:szCs w:val="20"/>
                <w:lang w:eastAsia="cs-CZ"/>
              </w:rPr>
            </w:pPr>
            <w:r w:rsidRPr="00673F9B">
              <w:rPr>
                <w:rFonts w:ascii="Calibri" w:hAnsi="Calibri" w:cs="Calibri"/>
                <w:color w:val="000000"/>
                <w:sz w:val="20"/>
                <w:szCs w:val="20"/>
                <w:lang w:eastAsia="cs-CZ"/>
              </w:rPr>
              <w:t>2017</w:t>
            </w:r>
          </w:p>
        </w:tc>
        <w:tc>
          <w:tcPr>
            <w:tcW w:w="3827" w:type="dxa"/>
            <w:vAlign w:val="center"/>
            <w:hideMark/>
          </w:tcPr>
          <w:p w14:paraId="6A256E19" w14:textId="77777777" w:rsidR="006403A9" w:rsidRPr="00673F9B" w:rsidRDefault="006403A9" w:rsidP="00673F9B">
            <w:pPr>
              <w:spacing w:after="0" w:line="240" w:lineRule="auto"/>
              <w:rPr>
                <w:rFonts w:ascii="Calibri" w:hAnsi="Calibri" w:cs="Calibri"/>
                <w:color w:val="000000"/>
                <w:sz w:val="20"/>
                <w:szCs w:val="20"/>
                <w:lang w:eastAsia="cs-CZ"/>
              </w:rPr>
            </w:pPr>
            <w:r w:rsidRPr="00673F9B">
              <w:rPr>
                <w:rFonts w:ascii="Calibri" w:hAnsi="Calibri" w:cs="Calibri"/>
                <w:color w:val="000000"/>
                <w:sz w:val="20"/>
                <w:szCs w:val="20"/>
                <w:lang w:eastAsia="cs-CZ"/>
              </w:rPr>
              <w:t xml:space="preserve">Rozvoj základní a doprovodné infrastruktury v cestovním ruchu </w:t>
            </w:r>
          </w:p>
        </w:tc>
        <w:tc>
          <w:tcPr>
            <w:tcW w:w="1559" w:type="dxa"/>
            <w:vAlign w:val="center"/>
            <w:hideMark/>
          </w:tcPr>
          <w:p w14:paraId="38FDA447" w14:textId="77777777" w:rsidR="006403A9" w:rsidRPr="00673F9B" w:rsidRDefault="006403A9" w:rsidP="007B4BFE">
            <w:pPr>
              <w:spacing w:after="0" w:line="240" w:lineRule="auto"/>
              <w:ind w:right="57"/>
              <w:jc w:val="right"/>
              <w:rPr>
                <w:rFonts w:ascii="Calibri" w:hAnsi="Calibri" w:cs="Calibri"/>
                <w:color w:val="000000"/>
                <w:sz w:val="20"/>
                <w:szCs w:val="20"/>
                <w:lang w:eastAsia="cs-CZ"/>
              </w:rPr>
            </w:pPr>
            <w:r w:rsidRPr="00673F9B">
              <w:rPr>
                <w:rFonts w:ascii="Calibri" w:hAnsi="Calibri" w:cs="Calibri"/>
                <w:color w:val="000000"/>
                <w:sz w:val="20"/>
                <w:szCs w:val="20"/>
                <w:lang w:eastAsia="cs-CZ"/>
              </w:rPr>
              <w:t>180 000 000</w:t>
            </w:r>
          </w:p>
        </w:tc>
        <w:tc>
          <w:tcPr>
            <w:tcW w:w="2835" w:type="dxa"/>
            <w:vAlign w:val="center"/>
            <w:hideMark/>
          </w:tcPr>
          <w:p w14:paraId="7594008C" w14:textId="4A285F19" w:rsidR="006403A9" w:rsidRPr="00673F9B" w:rsidRDefault="006403A9" w:rsidP="00673F9B">
            <w:pPr>
              <w:spacing w:after="0" w:line="240" w:lineRule="auto"/>
              <w:jc w:val="center"/>
              <w:rPr>
                <w:rFonts w:ascii="Calibri" w:hAnsi="Calibri" w:cs="Calibri"/>
                <w:color w:val="000000"/>
                <w:sz w:val="20"/>
                <w:szCs w:val="20"/>
                <w:lang w:eastAsia="cs-CZ"/>
              </w:rPr>
            </w:pPr>
            <w:r w:rsidRPr="00673F9B">
              <w:rPr>
                <w:rFonts w:ascii="Calibri" w:hAnsi="Calibri" w:cs="Calibri"/>
                <w:color w:val="000000"/>
                <w:sz w:val="20"/>
                <w:szCs w:val="20"/>
                <w:lang w:eastAsia="cs-CZ"/>
              </w:rPr>
              <w:t xml:space="preserve">01.11.2016 </w:t>
            </w:r>
            <w:r w:rsidR="0067216C">
              <w:rPr>
                <w:rFonts w:ascii="Calibri" w:hAnsi="Calibri" w:cs="Calibri"/>
                <w:color w:val="000000"/>
                <w:sz w:val="20"/>
                <w:szCs w:val="20"/>
                <w:lang w:eastAsia="cs-CZ"/>
              </w:rPr>
              <w:t>−</w:t>
            </w:r>
            <w:r w:rsidRPr="00673F9B">
              <w:rPr>
                <w:rFonts w:ascii="Calibri" w:hAnsi="Calibri" w:cs="Calibri"/>
                <w:color w:val="000000"/>
                <w:sz w:val="20"/>
                <w:szCs w:val="20"/>
                <w:lang w:eastAsia="cs-CZ"/>
              </w:rPr>
              <w:t xml:space="preserve"> 06.01.2017;</w:t>
            </w:r>
            <w:r w:rsidRPr="00673F9B">
              <w:rPr>
                <w:rFonts w:ascii="Calibri" w:hAnsi="Calibri" w:cs="Calibri"/>
                <w:color w:val="000000"/>
                <w:sz w:val="20"/>
                <w:szCs w:val="20"/>
                <w:lang w:eastAsia="cs-CZ"/>
              </w:rPr>
              <w:br/>
              <w:t>prodlouženo do 16.01.2017</w:t>
            </w:r>
          </w:p>
        </w:tc>
      </w:tr>
      <w:tr w:rsidR="006403A9" w:rsidRPr="00673F9B" w14:paraId="258CF80E" w14:textId="77777777" w:rsidTr="007B4BFE">
        <w:trPr>
          <w:trHeight w:val="255"/>
        </w:trPr>
        <w:tc>
          <w:tcPr>
            <w:tcW w:w="846" w:type="dxa"/>
            <w:vMerge/>
            <w:vAlign w:val="center"/>
            <w:hideMark/>
          </w:tcPr>
          <w:p w14:paraId="1342B027" w14:textId="77777777" w:rsidR="006403A9" w:rsidRPr="00673F9B" w:rsidRDefault="006403A9" w:rsidP="007B4BFE">
            <w:pPr>
              <w:spacing w:after="0" w:line="240" w:lineRule="auto"/>
              <w:jc w:val="center"/>
              <w:rPr>
                <w:rFonts w:ascii="Calibri" w:eastAsia="Times New Roman" w:hAnsi="Calibri" w:cs="Calibri"/>
                <w:color w:val="000000"/>
                <w:sz w:val="20"/>
                <w:szCs w:val="20"/>
                <w:lang w:eastAsia="cs-CZ"/>
              </w:rPr>
            </w:pPr>
          </w:p>
        </w:tc>
        <w:tc>
          <w:tcPr>
            <w:tcW w:w="3827" w:type="dxa"/>
            <w:vAlign w:val="center"/>
            <w:hideMark/>
          </w:tcPr>
          <w:p w14:paraId="006C7547" w14:textId="77777777" w:rsidR="006403A9" w:rsidRPr="00673F9B" w:rsidRDefault="006403A9" w:rsidP="00673F9B">
            <w:pPr>
              <w:spacing w:after="0" w:line="240" w:lineRule="auto"/>
              <w:rPr>
                <w:rFonts w:ascii="Calibri" w:hAnsi="Calibri" w:cs="Calibri"/>
                <w:color w:val="000000"/>
                <w:sz w:val="20"/>
                <w:szCs w:val="20"/>
                <w:lang w:eastAsia="cs-CZ"/>
              </w:rPr>
            </w:pPr>
            <w:r w:rsidRPr="00673F9B">
              <w:rPr>
                <w:rFonts w:ascii="Calibri" w:hAnsi="Calibri" w:cs="Calibri"/>
                <w:color w:val="000000"/>
                <w:sz w:val="20"/>
                <w:szCs w:val="20"/>
                <w:lang w:eastAsia="cs-CZ"/>
              </w:rPr>
              <w:t xml:space="preserve">Marketingové aktivity v cestovním ruchu </w:t>
            </w:r>
          </w:p>
        </w:tc>
        <w:tc>
          <w:tcPr>
            <w:tcW w:w="1559" w:type="dxa"/>
            <w:vAlign w:val="center"/>
            <w:hideMark/>
          </w:tcPr>
          <w:p w14:paraId="5BDBE59B" w14:textId="77777777" w:rsidR="006403A9" w:rsidRPr="00673F9B" w:rsidRDefault="006403A9" w:rsidP="007B4BFE">
            <w:pPr>
              <w:spacing w:after="0" w:line="240" w:lineRule="auto"/>
              <w:ind w:right="57"/>
              <w:jc w:val="right"/>
              <w:rPr>
                <w:rFonts w:ascii="Calibri" w:hAnsi="Calibri" w:cs="Calibri"/>
                <w:color w:val="000000"/>
                <w:sz w:val="20"/>
                <w:szCs w:val="20"/>
                <w:lang w:eastAsia="cs-CZ"/>
              </w:rPr>
            </w:pPr>
            <w:r w:rsidRPr="00673F9B">
              <w:rPr>
                <w:rFonts w:ascii="Calibri" w:hAnsi="Calibri" w:cs="Calibri"/>
                <w:color w:val="000000"/>
                <w:sz w:val="20"/>
                <w:szCs w:val="20"/>
                <w:lang w:eastAsia="cs-CZ"/>
              </w:rPr>
              <w:t>120 000 000</w:t>
            </w:r>
          </w:p>
        </w:tc>
        <w:tc>
          <w:tcPr>
            <w:tcW w:w="2835" w:type="dxa"/>
            <w:vAlign w:val="center"/>
            <w:hideMark/>
          </w:tcPr>
          <w:p w14:paraId="1E0449B9" w14:textId="09D51328" w:rsidR="006403A9" w:rsidRPr="00673F9B" w:rsidRDefault="006403A9" w:rsidP="00673F9B">
            <w:pPr>
              <w:spacing w:after="0" w:line="240" w:lineRule="auto"/>
              <w:jc w:val="center"/>
              <w:rPr>
                <w:rFonts w:ascii="Calibri" w:hAnsi="Calibri" w:cs="Calibri"/>
                <w:color w:val="000000"/>
                <w:sz w:val="20"/>
                <w:szCs w:val="20"/>
                <w:lang w:eastAsia="cs-CZ"/>
              </w:rPr>
            </w:pPr>
            <w:r w:rsidRPr="00673F9B">
              <w:rPr>
                <w:rFonts w:ascii="Calibri" w:hAnsi="Calibri" w:cs="Calibri"/>
                <w:color w:val="000000"/>
                <w:sz w:val="20"/>
                <w:szCs w:val="20"/>
                <w:lang w:eastAsia="cs-CZ"/>
              </w:rPr>
              <w:t xml:space="preserve">01.11.2016 </w:t>
            </w:r>
            <w:r w:rsidR="0067216C">
              <w:rPr>
                <w:rFonts w:ascii="Calibri" w:hAnsi="Calibri" w:cs="Calibri"/>
                <w:color w:val="000000"/>
                <w:sz w:val="20"/>
                <w:szCs w:val="20"/>
                <w:lang w:eastAsia="cs-CZ"/>
              </w:rPr>
              <w:t>−</w:t>
            </w:r>
            <w:r w:rsidRPr="00673F9B">
              <w:rPr>
                <w:rFonts w:ascii="Calibri" w:hAnsi="Calibri" w:cs="Calibri"/>
                <w:color w:val="000000"/>
                <w:sz w:val="20"/>
                <w:szCs w:val="20"/>
                <w:lang w:eastAsia="cs-CZ"/>
              </w:rPr>
              <w:t xml:space="preserve"> 06.01.2017;</w:t>
            </w:r>
            <w:r w:rsidRPr="00673F9B">
              <w:rPr>
                <w:rFonts w:ascii="Calibri" w:hAnsi="Calibri" w:cs="Calibri"/>
                <w:color w:val="000000"/>
                <w:sz w:val="20"/>
                <w:szCs w:val="20"/>
                <w:lang w:eastAsia="cs-CZ"/>
              </w:rPr>
              <w:br/>
              <w:t>prodlouženo do 16.01.2017</w:t>
            </w:r>
          </w:p>
        </w:tc>
      </w:tr>
      <w:tr w:rsidR="006403A9" w:rsidRPr="00673F9B" w14:paraId="603A6F10" w14:textId="77777777" w:rsidTr="007B4BFE">
        <w:trPr>
          <w:trHeight w:val="255"/>
        </w:trPr>
        <w:tc>
          <w:tcPr>
            <w:tcW w:w="846" w:type="dxa"/>
            <w:vMerge w:val="restart"/>
            <w:vAlign w:val="center"/>
            <w:hideMark/>
          </w:tcPr>
          <w:p w14:paraId="2C14ED41" w14:textId="77777777" w:rsidR="006403A9" w:rsidRPr="00673F9B" w:rsidRDefault="006403A9" w:rsidP="007B4BFE">
            <w:pPr>
              <w:spacing w:after="0" w:line="240" w:lineRule="auto"/>
              <w:jc w:val="center"/>
              <w:rPr>
                <w:rFonts w:ascii="Calibri" w:hAnsi="Calibri" w:cs="Calibri"/>
                <w:color w:val="000000"/>
                <w:sz w:val="20"/>
                <w:szCs w:val="20"/>
                <w:lang w:eastAsia="cs-CZ"/>
              </w:rPr>
            </w:pPr>
            <w:r w:rsidRPr="00673F9B">
              <w:rPr>
                <w:rFonts w:ascii="Calibri" w:hAnsi="Calibri" w:cs="Calibri"/>
                <w:color w:val="000000"/>
                <w:sz w:val="20"/>
                <w:szCs w:val="20"/>
                <w:lang w:eastAsia="cs-CZ"/>
              </w:rPr>
              <w:t>2018</w:t>
            </w:r>
          </w:p>
        </w:tc>
        <w:tc>
          <w:tcPr>
            <w:tcW w:w="3827" w:type="dxa"/>
            <w:vAlign w:val="center"/>
            <w:hideMark/>
          </w:tcPr>
          <w:p w14:paraId="39DEAAFC" w14:textId="77777777" w:rsidR="006403A9" w:rsidRPr="00673F9B" w:rsidRDefault="006403A9" w:rsidP="00673F9B">
            <w:pPr>
              <w:spacing w:after="0" w:line="240" w:lineRule="auto"/>
              <w:rPr>
                <w:rFonts w:ascii="Calibri" w:hAnsi="Calibri" w:cs="Calibri"/>
                <w:color w:val="000000"/>
                <w:sz w:val="20"/>
                <w:szCs w:val="20"/>
                <w:lang w:eastAsia="cs-CZ"/>
              </w:rPr>
            </w:pPr>
            <w:r w:rsidRPr="00673F9B">
              <w:rPr>
                <w:rFonts w:ascii="Calibri" w:hAnsi="Calibri" w:cs="Calibri"/>
                <w:color w:val="000000"/>
                <w:sz w:val="20"/>
                <w:szCs w:val="20"/>
                <w:lang w:eastAsia="cs-CZ"/>
              </w:rPr>
              <w:t xml:space="preserve">Rozvoj základní a doprovodné infrastruktury v cestovním ruchu </w:t>
            </w:r>
          </w:p>
        </w:tc>
        <w:tc>
          <w:tcPr>
            <w:tcW w:w="1559" w:type="dxa"/>
            <w:vAlign w:val="center"/>
            <w:hideMark/>
          </w:tcPr>
          <w:p w14:paraId="2E524D41" w14:textId="77777777" w:rsidR="006403A9" w:rsidRPr="00673F9B" w:rsidRDefault="006403A9" w:rsidP="007B4BFE">
            <w:pPr>
              <w:spacing w:after="0" w:line="240" w:lineRule="auto"/>
              <w:ind w:right="57"/>
              <w:jc w:val="right"/>
              <w:rPr>
                <w:rFonts w:ascii="Calibri" w:hAnsi="Calibri" w:cs="Calibri"/>
                <w:color w:val="000000"/>
                <w:sz w:val="20"/>
                <w:szCs w:val="20"/>
                <w:lang w:eastAsia="cs-CZ"/>
              </w:rPr>
            </w:pPr>
            <w:r w:rsidRPr="00673F9B">
              <w:rPr>
                <w:rFonts w:ascii="Calibri" w:hAnsi="Calibri" w:cs="Calibri"/>
                <w:color w:val="000000"/>
                <w:sz w:val="20"/>
                <w:szCs w:val="20"/>
                <w:lang w:eastAsia="cs-CZ"/>
              </w:rPr>
              <w:t>150 000 000</w:t>
            </w:r>
          </w:p>
        </w:tc>
        <w:tc>
          <w:tcPr>
            <w:tcW w:w="2835" w:type="dxa"/>
            <w:noWrap/>
            <w:vAlign w:val="center"/>
            <w:hideMark/>
          </w:tcPr>
          <w:p w14:paraId="266A89EF" w14:textId="4E4CAD89" w:rsidR="006403A9" w:rsidRPr="00673F9B" w:rsidRDefault="006403A9" w:rsidP="00673F9B">
            <w:pPr>
              <w:spacing w:after="0" w:line="240" w:lineRule="auto"/>
              <w:jc w:val="center"/>
              <w:rPr>
                <w:rFonts w:ascii="Calibri" w:hAnsi="Calibri" w:cs="Calibri"/>
                <w:color w:val="000000"/>
                <w:sz w:val="20"/>
                <w:szCs w:val="20"/>
                <w:lang w:eastAsia="cs-CZ"/>
              </w:rPr>
            </w:pPr>
            <w:r w:rsidRPr="00673F9B">
              <w:rPr>
                <w:rFonts w:ascii="Calibri" w:hAnsi="Calibri" w:cs="Calibri"/>
                <w:color w:val="000000"/>
                <w:sz w:val="20"/>
                <w:szCs w:val="20"/>
                <w:lang w:eastAsia="cs-CZ"/>
              </w:rPr>
              <w:t xml:space="preserve">20.11.2017 </w:t>
            </w:r>
            <w:r w:rsidR="0067216C">
              <w:rPr>
                <w:rFonts w:ascii="Calibri" w:hAnsi="Calibri" w:cs="Calibri"/>
                <w:color w:val="000000"/>
                <w:sz w:val="20"/>
                <w:szCs w:val="20"/>
                <w:lang w:eastAsia="cs-CZ"/>
              </w:rPr>
              <w:t>−</w:t>
            </w:r>
            <w:r w:rsidRPr="00673F9B">
              <w:rPr>
                <w:rFonts w:ascii="Calibri" w:hAnsi="Calibri" w:cs="Calibri"/>
                <w:color w:val="000000"/>
                <w:sz w:val="20"/>
                <w:szCs w:val="20"/>
                <w:lang w:eastAsia="cs-CZ"/>
              </w:rPr>
              <w:t xml:space="preserve"> 12.01.2018</w:t>
            </w:r>
          </w:p>
        </w:tc>
      </w:tr>
      <w:tr w:rsidR="006403A9" w:rsidRPr="00673F9B" w14:paraId="29D01623" w14:textId="77777777" w:rsidTr="007B4BFE">
        <w:trPr>
          <w:trHeight w:val="255"/>
        </w:trPr>
        <w:tc>
          <w:tcPr>
            <w:tcW w:w="846" w:type="dxa"/>
            <w:vMerge/>
            <w:vAlign w:val="center"/>
            <w:hideMark/>
          </w:tcPr>
          <w:p w14:paraId="3CC39F77" w14:textId="77777777" w:rsidR="006403A9" w:rsidRPr="00673F9B" w:rsidRDefault="006403A9" w:rsidP="007B4BFE">
            <w:pPr>
              <w:spacing w:after="0" w:line="240" w:lineRule="auto"/>
              <w:jc w:val="center"/>
              <w:rPr>
                <w:rFonts w:ascii="Calibri" w:eastAsia="Times New Roman" w:hAnsi="Calibri" w:cs="Calibri"/>
                <w:color w:val="000000"/>
                <w:sz w:val="20"/>
                <w:szCs w:val="20"/>
                <w:lang w:eastAsia="cs-CZ"/>
              </w:rPr>
            </w:pPr>
          </w:p>
        </w:tc>
        <w:tc>
          <w:tcPr>
            <w:tcW w:w="3827" w:type="dxa"/>
            <w:vAlign w:val="center"/>
            <w:hideMark/>
          </w:tcPr>
          <w:p w14:paraId="37C96C3A" w14:textId="77777777" w:rsidR="006403A9" w:rsidRPr="00673F9B" w:rsidRDefault="006403A9" w:rsidP="00673F9B">
            <w:pPr>
              <w:spacing w:after="0" w:line="240" w:lineRule="auto"/>
              <w:rPr>
                <w:rFonts w:ascii="Calibri" w:hAnsi="Calibri" w:cs="Calibri"/>
                <w:color w:val="000000"/>
                <w:sz w:val="20"/>
                <w:szCs w:val="20"/>
                <w:lang w:eastAsia="cs-CZ"/>
              </w:rPr>
            </w:pPr>
            <w:r w:rsidRPr="00673F9B">
              <w:rPr>
                <w:rFonts w:ascii="Calibri" w:hAnsi="Calibri" w:cs="Calibri"/>
                <w:color w:val="000000"/>
                <w:sz w:val="20"/>
                <w:szCs w:val="20"/>
                <w:lang w:eastAsia="cs-CZ"/>
              </w:rPr>
              <w:t xml:space="preserve">Marketingové aktivity v cestovním ruchu </w:t>
            </w:r>
          </w:p>
        </w:tc>
        <w:tc>
          <w:tcPr>
            <w:tcW w:w="1559" w:type="dxa"/>
            <w:vAlign w:val="center"/>
            <w:hideMark/>
          </w:tcPr>
          <w:p w14:paraId="4549B84C" w14:textId="77777777" w:rsidR="006403A9" w:rsidRPr="00673F9B" w:rsidRDefault="006403A9" w:rsidP="007B4BFE">
            <w:pPr>
              <w:spacing w:after="0" w:line="240" w:lineRule="auto"/>
              <w:ind w:right="57"/>
              <w:jc w:val="right"/>
              <w:rPr>
                <w:rFonts w:ascii="Calibri" w:hAnsi="Calibri" w:cs="Calibri"/>
                <w:color w:val="000000"/>
                <w:sz w:val="20"/>
                <w:szCs w:val="20"/>
                <w:lang w:eastAsia="cs-CZ"/>
              </w:rPr>
            </w:pPr>
            <w:r w:rsidRPr="00673F9B">
              <w:rPr>
                <w:rFonts w:ascii="Calibri" w:hAnsi="Calibri" w:cs="Calibri"/>
                <w:color w:val="000000"/>
                <w:sz w:val="20"/>
                <w:szCs w:val="20"/>
                <w:lang w:eastAsia="cs-CZ"/>
              </w:rPr>
              <w:t>100 000 000</w:t>
            </w:r>
          </w:p>
        </w:tc>
        <w:tc>
          <w:tcPr>
            <w:tcW w:w="2835" w:type="dxa"/>
            <w:vAlign w:val="center"/>
            <w:hideMark/>
          </w:tcPr>
          <w:p w14:paraId="38302389" w14:textId="6EAA4FF6" w:rsidR="006403A9" w:rsidRPr="00673F9B" w:rsidRDefault="006403A9" w:rsidP="00673F9B">
            <w:pPr>
              <w:spacing w:after="0" w:line="240" w:lineRule="auto"/>
              <w:jc w:val="center"/>
              <w:rPr>
                <w:rFonts w:ascii="Calibri" w:hAnsi="Calibri" w:cs="Calibri"/>
                <w:color w:val="000000"/>
                <w:sz w:val="20"/>
                <w:szCs w:val="20"/>
                <w:lang w:eastAsia="cs-CZ"/>
              </w:rPr>
            </w:pPr>
            <w:r w:rsidRPr="00673F9B">
              <w:rPr>
                <w:rFonts w:ascii="Calibri" w:hAnsi="Calibri" w:cs="Calibri"/>
                <w:color w:val="000000"/>
                <w:sz w:val="20"/>
                <w:szCs w:val="20"/>
                <w:lang w:eastAsia="cs-CZ"/>
              </w:rPr>
              <w:t xml:space="preserve">25.05.2018 </w:t>
            </w:r>
            <w:r w:rsidR="0067216C">
              <w:rPr>
                <w:rFonts w:ascii="Calibri" w:hAnsi="Calibri" w:cs="Calibri"/>
                <w:color w:val="000000"/>
                <w:sz w:val="20"/>
                <w:szCs w:val="20"/>
                <w:lang w:eastAsia="cs-CZ"/>
              </w:rPr>
              <w:t>−</w:t>
            </w:r>
            <w:r w:rsidRPr="00673F9B">
              <w:rPr>
                <w:rFonts w:ascii="Calibri" w:hAnsi="Calibri" w:cs="Calibri"/>
                <w:color w:val="000000"/>
                <w:sz w:val="20"/>
                <w:szCs w:val="20"/>
                <w:lang w:eastAsia="cs-CZ"/>
              </w:rPr>
              <w:t xml:space="preserve"> 29.6.2018.2018;</w:t>
            </w:r>
            <w:r w:rsidRPr="00673F9B">
              <w:rPr>
                <w:rFonts w:ascii="Calibri" w:hAnsi="Calibri" w:cs="Calibri"/>
                <w:color w:val="000000"/>
                <w:sz w:val="20"/>
                <w:szCs w:val="20"/>
                <w:lang w:eastAsia="cs-CZ"/>
              </w:rPr>
              <w:br/>
              <w:t>prodlouženo do 20.9.2018</w:t>
            </w:r>
          </w:p>
        </w:tc>
      </w:tr>
      <w:tr w:rsidR="006403A9" w:rsidRPr="00673F9B" w14:paraId="65F18D62" w14:textId="77777777" w:rsidTr="007B4BFE">
        <w:trPr>
          <w:trHeight w:val="255"/>
        </w:trPr>
        <w:tc>
          <w:tcPr>
            <w:tcW w:w="846" w:type="dxa"/>
            <w:vMerge w:val="restart"/>
            <w:vAlign w:val="center"/>
            <w:hideMark/>
          </w:tcPr>
          <w:p w14:paraId="2EEE0E9D" w14:textId="77777777" w:rsidR="006403A9" w:rsidRPr="00673F9B" w:rsidRDefault="006403A9" w:rsidP="007B4BFE">
            <w:pPr>
              <w:spacing w:after="0" w:line="240" w:lineRule="auto"/>
              <w:jc w:val="center"/>
              <w:rPr>
                <w:rFonts w:ascii="Calibri" w:hAnsi="Calibri" w:cs="Calibri"/>
                <w:color w:val="000000"/>
                <w:sz w:val="20"/>
                <w:szCs w:val="20"/>
                <w:lang w:eastAsia="cs-CZ"/>
              </w:rPr>
            </w:pPr>
            <w:r w:rsidRPr="00673F9B">
              <w:rPr>
                <w:rFonts w:ascii="Calibri" w:hAnsi="Calibri" w:cs="Calibri"/>
                <w:color w:val="000000"/>
                <w:sz w:val="20"/>
                <w:szCs w:val="20"/>
                <w:lang w:eastAsia="cs-CZ"/>
              </w:rPr>
              <w:t>2019</w:t>
            </w:r>
          </w:p>
        </w:tc>
        <w:tc>
          <w:tcPr>
            <w:tcW w:w="3827" w:type="dxa"/>
            <w:vAlign w:val="center"/>
            <w:hideMark/>
          </w:tcPr>
          <w:p w14:paraId="7DB364F6" w14:textId="77777777" w:rsidR="006403A9" w:rsidRPr="00673F9B" w:rsidRDefault="006403A9" w:rsidP="00673F9B">
            <w:pPr>
              <w:spacing w:after="0" w:line="240" w:lineRule="auto"/>
              <w:rPr>
                <w:rFonts w:ascii="Calibri" w:hAnsi="Calibri" w:cs="Calibri"/>
                <w:color w:val="000000"/>
                <w:sz w:val="20"/>
                <w:szCs w:val="20"/>
                <w:lang w:eastAsia="cs-CZ"/>
              </w:rPr>
            </w:pPr>
            <w:r w:rsidRPr="00673F9B">
              <w:rPr>
                <w:rFonts w:ascii="Calibri" w:hAnsi="Calibri" w:cs="Calibri"/>
                <w:color w:val="000000"/>
                <w:sz w:val="20"/>
                <w:szCs w:val="20"/>
                <w:lang w:eastAsia="cs-CZ"/>
              </w:rPr>
              <w:t xml:space="preserve">Rozvoj základní a doprovodné infrastruktury v cestovním ruchu </w:t>
            </w:r>
          </w:p>
        </w:tc>
        <w:tc>
          <w:tcPr>
            <w:tcW w:w="1559" w:type="dxa"/>
            <w:vAlign w:val="center"/>
            <w:hideMark/>
          </w:tcPr>
          <w:p w14:paraId="66353FF4" w14:textId="77777777" w:rsidR="006403A9" w:rsidRPr="00673F9B" w:rsidRDefault="006403A9" w:rsidP="007B4BFE">
            <w:pPr>
              <w:spacing w:after="0" w:line="240" w:lineRule="auto"/>
              <w:ind w:right="57"/>
              <w:jc w:val="right"/>
              <w:rPr>
                <w:rFonts w:ascii="Calibri" w:hAnsi="Calibri" w:cs="Calibri"/>
                <w:color w:val="000000"/>
                <w:sz w:val="20"/>
                <w:szCs w:val="20"/>
                <w:lang w:eastAsia="cs-CZ"/>
              </w:rPr>
            </w:pPr>
            <w:r w:rsidRPr="00673F9B">
              <w:rPr>
                <w:rFonts w:ascii="Calibri" w:hAnsi="Calibri" w:cs="Calibri"/>
                <w:color w:val="000000"/>
                <w:sz w:val="20"/>
                <w:szCs w:val="20"/>
                <w:lang w:eastAsia="cs-CZ"/>
              </w:rPr>
              <w:t>150 000 000</w:t>
            </w:r>
          </w:p>
        </w:tc>
        <w:tc>
          <w:tcPr>
            <w:tcW w:w="2835" w:type="dxa"/>
            <w:noWrap/>
            <w:vAlign w:val="center"/>
            <w:hideMark/>
          </w:tcPr>
          <w:p w14:paraId="23E366F5" w14:textId="16CA7F7D" w:rsidR="006403A9" w:rsidRPr="00673F9B" w:rsidRDefault="006403A9" w:rsidP="00673F9B">
            <w:pPr>
              <w:spacing w:after="0" w:line="240" w:lineRule="auto"/>
              <w:jc w:val="center"/>
              <w:rPr>
                <w:rFonts w:ascii="Calibri" w:hAnsi="Calibri" w:cs="Calibri"/>
                <w:color w:val="000000"/>
                <w:sz w:val="20"/>
                <w:szCs w:val="20"/>
                <w:lang w:eastAsia="cs-CZ"/>
              </w:rPr>
            </w:pPr>
            <w:r w:rsidRPr="00673F9B">
              <w:rPr>
                <w:rFonts w:ascii="Calibri" w:hAnsi="Calibri" w:cs="Calibri"/>
                <w:color w:val="000000"/>
                <w:sz w:val="20"/>
                <w:szCs w:val="20"/>
                <w:lang w:eastAsia="cs-CZ"/>
              </w:rPr>
              <w:t xml:space="preserve">15.11.2018 </w:t>
            </w:r>
            <w:r w:rsidR="0067216C">
              <w:rPr>
                <w:rFonts w:ascii="Calibri" w:hAnsi="Calibri" w:cs="Calibri"/>
                <w:color w:val="000000"/>
                <w:sz w:val="20"/>
                <w:szCs w:val="20"/>
                <w:lang w:eastAsia="cs-CZ"/>
              </w:rPr>
              <w:t>−</w:t>
            </w:r>
            <w:r w:rsidRPr="00673F9B">
              <w:rPr>
                <w:rFonts w:ascii="Calibri" w:hAnsi="Calibri" w:cs="Calibri"/>
                <w:color w:val="000000"/>
                <w:sz w:val="20"/>
                <w:szCs w:val="20"/>
                <w:lang w:eastAsia="cs-CZ"/>
              </w:rPr>
              <w:t xml:space="preserve"> 15.02.2019</w:t>
            </w:r>
          </w:p>
        </w:tc>
      </w:tr>
      <w:tr w:rsidR="006403A9" w:rsidRPr="00673F9B" w14:paraId="186FBDC7" w14:textId="77777777" w:rsidTr="007B4BFE">
        <w:trPr>
          <w:trHeight w:val="255"/>
        </w:trPr>
        <w:tc>
          <w:tcPr>
            <w:tcW w:w="846" w:type="dxa"/>
            <w:vMerge/>
            <w:vAlign w:val="center"/>
            <w:hideMark/>
          </w:tcPr>
          <w:p w14:paraId="7EC9D445" w14:textId="77777777" w:rsidR="006403A9" w:rsidRPr="00673F9B" w:rsidRDefault="006403A9" w:rsidP="007B4BFE">
            <w:pPr>
              <w:spacing w:after="0" w:line="240" w:lineRule="auto"/>
              <w:jc w:val="center"/>
              <w:rPr>
                <w:rFonts w:ascii="Calibri" w:eastAsia="Times New Roman" w:hAnsi="Calibri" w:cs="Calibri"/>
                <w:color w:val="000000"/>
                <w:sz w:val="20"/>
                <w:szCs w:val="20"/>
                <w:lang w:eastAsia="cs-CZ"/>
              </w:rPr>
            </w:pPr>
          </w:p>
        </w:tc>
        <w:tc>
          <w:tcPr>
            <w:tcW w:w="3827" w:type="dxa"/>
            <w:vAlign w:val="center"/>
            <w:hideMark/>
          </w:tcPr>
          <w:p w14:paraId="1FE15BF2" w14:textId="77777777" w:rsidR="006403A9" w:rsidRPr="00673F9B" w:rsidRDefault="006403A9" w:rsidP="00673F9B">
            <w:pPr>
              <w:spacing w:after="0" w:line="240" w:lineRule="auto"/>
              <w:rPr>
                <w:rFonts w:ascii="Calibri" w:hAnsi="Calibri" w:cs="Calibri"/>
                <w:color w:val="000000"/>
                <w:sz w:val="20"/>
                <w:szCs w:val="20"/>
                <w:lang w:eastAsia="cs-CZ"/>
              </w:rPr>
            </w:pPr>
            <w:r w:rsidRPr="00673F9B">
              <w:rPr>
                <w:rFonts w:ascii="Calibri" w:hAnsi="Calibri" w:cs="Calibri"/>
                <w:color w:val="000000"/>
                <w:sz w:val="20"/>
                <w:szCs w:val="20"/>
                <w:lang w:eastAsia="cs-CZ"/>
              </w:rPr>
              <w:t xml:space="preserve">Marketingové aktivity v cestovním ruchu </w:t>
            </w:r>
          </w:p>
        </w:tc>
        <w:tc>
          <w:tcPr>
            <w:tcW w:w="1559" w:type="dxa"/>
            <w:vAlign w:val="center"/>
            <w:hideMark/>
          </w:tcPr>
          <w:p w14:paraId="23911694" w14:textId="77777777" w:rsidR="006403A9" w:rsidRPr="00673F9B" w:rsidRDefault="006403A9" w:rsidP="007B4BFE">
            <w:pPr>
              <w:spacing w:after="0" w:line="240" w:lineRule="auto"/>
              <w:ind w:right="57"/>
              <w:jc w:val="right"/>
              <w:rPr>
                <w:rFonts w:ascii="Calibri" w:hAnsi="Calibri" w:cs="Calibri"/>
                <w:color w:val="000000"/>
                <w:sz w:val="20"/>
                <w:szCs w:val="20"/>
                <w:lang w:eastAsia="cs-CZ"/>
              </w:rPr>
            </w:pPr>
            <w:r w:rsidRPr="00673F9B">
              <w:rPr>
                <w:rFonts w:ascii="Calibri" w:hAnsi="Calibri" w:cs="Calibri"/>
                <w:color w:val="000000"/>
                <w:sz w:val="20"/>
                <w:szCs w:val="20"/>
                <w:lang w:eastAsia="cs-CZ"/>
              </w:rPr>
              <w:t>100 000 000</w:t>
            </w:r>
          </w:p>
        </w:tc>
        <w:tc>
          <w:tcPr>
            <w:tcW w:w="2835" w:type="dxa"/>
            <w:noWrap/>
            <w:vAlign w:val="center"/>
            <w:hideMark/>
          </w:tcPr>
          <w:p w14:paraId="101BE012" w14:textId="7189A045" w:rsidR="006403A9" w:rsidRPr="00673F9B" w:rsidRDefault="006403A9" w:rsidP="00673F9B">
            <w:pPr>
              <w:spacing w:after="0" w:line="240" w:lineRule="auto"/>
              <w:jc w:val="center"/>
              <w:rPr>
                <w:rFonts w:ascii="Calibri" w:hAnsi="Calibri" w:cs="Calibri"/>
                <w:color w:val="000000"/>
                <w:sz w:val="20"/>
                <w:szCs w:val="20"/>
                <w:lang w:eastAsia="cs-CZ"/>
              </w:rPr>
            </w:pPr>
            <w:r w:rsidRPr="00673F9B">
              <w:rPr>
                <w:rFonts w:ascii="Calibri" w:hAnsi="Calibri" w:cs="Calibri"/>
                <w:color w:val="000000"/>
                <w:sz w:val="20"/>
                <w:szCs w:val="20"/>
                <w:lang w:eastAsia="cs-CZ"/>
              </w:rPr>
              <w:t xml:space="preserve">16.11.2018 </w:t>
            </w:r>
            <w:r w:rsidR="0067216C">
              <w:rPr>
                <w:rFonts w:ascii="Calibri" w:hAnsi="Calibri" w:cs="Calibri"/>
                <w:color w:val="000000"/>
                <w:sz w:val="20"/>
                <w:szCs w:val="20"/>
                <w:lang w:eastAsia="cs-CZ"/>
              </w:rPr>
              <w:t>−</w:t>
            </w:r>
            <w:r w:rsidRPr="00673F9B">
              <w:rPr>
                <w:rFonts w:ascii="Calibri" w:hAnsi="Calibri" w:cs="Calibri"/>
                <w:color w:val="000000"/>
                <w:sz w:val="20"/>
                <w:szCs w:val="20"/>
                <w:lang w:eastAsia="cs-CZ"/>
              </w:rPr>
              <w:t xml:space="preserve"> 15.02.2019</w:t>
            </w:r>
          </w:p>
        </w:tc>
      </w:tr>
      <w:tr w:rsidR="006403A9" w:rsidRPr="00673F9B" w14:paraId="110E36BE" w14:textId="77777777" w:rsidTr="007B4BFE">
        <w:trPr>
          <w:trHeight w:val="255"/>
        </w:trPr>
        <w:tc>
          <w:tcPr>
            <w:tcW w:w="846" w:type="dxa"/>
            <w:vMerge w:val="restart"/>
            <w:vAlign w:val="center"/>
            <w:hideMark/>
          </w:tcPr>
          <w:p w14:paraId="11D0275B" w14:textId="77777777" w:rsidR="006403A9" w:rsidRPr="00673F9B" w:rsidRDefault="006403A9" w:rsidP="007B4BFE">
            <w:pPr>
              <w:spacing w:after="0" w:line="240" w:lineRule="auto"/>
              <w:jc w:val="center"/>
              <w:rPr>
                <w:rFonts w:ascii="Calibri" w:hAnsi="Calibri" w:cs="Calibri"/>
                <w:color w:val="000000"/>
                <w:sz w:val="20"/>
                <w:szCs w:val="20"/>
                <w:lang w:eastAsia="cs-CZ"/>
              </w:rPr>
            </w:pPr>
            <w:r w:rsidRPr="00673F9B">
              <w:rPr>
                <w:rFonts w:ascii="Calibri" w:hAnsi="Calibri" w:cs="Calibri"/>
                <w:color w:val="000000"/>
                <w:sz w:val="20"/>
                <w:szCs w:val="20"/>
                <w:lang w:eastAsia="cs-CZ"/>
              </w:rPr>
              <w:t>2020</w:t>
            </w:r>
          </w:p>
        </w:tc>
        <w:tc>
          <w:tcPr>
            <w:tcW w:w="3827" w:type="dxa"/>
            <w:vAlign w:val="center"/>
            <w:hideMark/>
          </w:tcPr>
          <w:p w14:paraId="79827A0A" w14:textId="77777777" w:rsidR="006403A9" w:rsidRPr="00673F9B" w:rsidRDefault="006403A9" w:rsidP="00673F9B">
            <w:pPr>
              <w:spacing w:after="0" w:line="240" w:lineRule="auto"/>
              <w:rPr>
                <w:rFonts w:ascii="Calibri" w:hAnsi="Calibri" w:cs="Calibri"/>
                <w:color w:val="000000"/>
                <w:sz w:val="20"/>
                <w:szCs w:val="20"/>
                <w:lang w:eastAsia="cs-CZ"/>
              </w:rPr>
            </w:pPr>
            <w:r w:rsidRPr="00673F9B">
              <w:rPr>
                <w:rFonts w:ascii="Calibri" w:hAnsi="Calibri" w:cs="Calibri"/>
                <w:color w:val="000000"/>
                <w:sz w:val="20"/>
                <w:szCs w:val="20"/>
                <w:lang w:eastAsia="cs-CZ"/>
              </w:rPr>
              <w:t xml:space="preserve">Rozvoj základní a doprovodné infrastruktury v cestovním ruchu </w:t>
            </w:r>
          </w:p>
        </w:tc>
        <w:tc>
          <w:tcPr>
            <w:tcW w:w="1559" w:type="dxa"/>
            <w:vAlign w:val="center"/>
            <w:hideMark/>
          </w:tcPr>
          <w:p w14:paraId="1D90C360" w14:textId="77777777" w:rsidR="006403A9" w:rsidRPr="00673F9B" w:rsidRDefault="006403A9" w:rsidP="007B4BFE">
            <w:pPr>
              <w:spacing w:after="0" w:line="240" w:lineRule="auto"/>
              <w:ind w:right="57"/>
              <w:jc w:val="right"/>
              <w:rPr>
                <w:rFonts w:ascii="Calibri" w:hAnsi="Calibri" w:cs="Calibri"/>
                <w:color w:val="000000"/>
                <w:sz w:val="20"/>
                <w:szCs w:val="20"/>
                <w:lang w:eastAsia="cs-CZ"/>
              </w:rPr>
            </w:pPr>
            <w:r w:rsidRPr="00673F9B">
              <w:rPr>
                <w:rFonts w:ascii="Calibri" w:hAnsi="Calibri" w:cs="Calibri"/>
                <w:color w:val="000000"/>
                <w:sz w:val="20"/>
                <w:szCs w:val="20"/>
                <w:lang w:eastAsia="cs-CZ"/>
              </w:rPr>
              <w:t>90 000 000</w:t>
            </w:r>
          </w:p>
        </w:tc>
        <w:tc>
          <w:tcPr>
            <w:tcW w:w="2835" w:type="dxa"/>
            <w:noWrap/>
            <w:vAlign w:val="center"/>
            <w:hideMark/>
          </w:tcPr>
          <w:p w14:paraId="55A40986" w14:textId="47D66A4E" w:rsidR="006403A9" w:rsidRPr="00673F9B" w:rsidRDefault="006403A9" w:rsidP="00673F9B">
            <w:pPr>
              <w:spacing w:after="0" w:line="240" w:lineRule="auto"/>
              <w:jc w:val="center"/>
              <w:rPr>
                <w:rFonts w:ascii="Calibri" w:hAnsi="Calibri" w:cs="Calibri"/>
                <w:color w:val="000000"/>
                <w:sz w:val="20"/>
                <w:szCs w:val="20"/>
                <w:lang w:eastAsia="cs-CZ"/>
              </w:rPr>
            </w:pPr>
            <w:r w:rsidRPr="00673F9B">
              <w:rPr>
                <w:rFonts w:ascii="Calibri" w:hAnsi="Calibri" w:cs="Calibri"/>
                <w:color w:val="000000"/>
                <w:sz w:val="20"/>
                <w:szCs w:val="20"/>
                <w:lang w:eastAsia="cs-CZ"/>
              </w:rPr>
              <w:t xml:space="preserve">05.11.2019 </w:t>
            </w:r>
            <w:r w:rsidR="0067216C">
              <w:rPr>
                <w:rFonts w:ascii="Calibri" w:hAnsi="Calibri" w:cs="Calibri"/>
                <w:color w:val="000000"/>
                <w:sz w:val="20"/>
                <w:szCs w:val="20"/>
                <w:lang w:eastAsia="cs-CZ"/>
              </w:rPr>
              <w:t>−</w:t>
            </w:r>
            <w:r w:rsidRPr="00673F9B">
              <w:rPr>
                <w:rFonts w:ascii="Calibri" w:hAnsi="Calibri" w:cs="Calibri"/>
                <w:color w:val="000000"/>
                <w:sz w:val="20"/>
                <w:szCs w:val="20"/>
                <w:lang w:eastAsia="cs-CZ"/>
              </w:rPr>
              <w:t xml:space="preserve"> 05.02.2020</w:t>
            </w:r>
          </w:p>
        </w:tc>
      </w:tr>
      <w:tr w:rsidR="006403A9" w:rsidRPr="00673F9B" w14:paraId="07EA901D" w14:textId="77777777" w:rsidTr="007B4BFE">
        <w:trPr>
          <w:trHeight w:val="255"/>
        </w:trPr>
        <w:tc>
          <w:tcPr>
            <w:tcW w:w="846" w:type="dxa"/>
            <w:vMerge/>
            <w:vAlign w:val="center"/>
            <w:hideMark/>
          </w:tcPr>
          <w:p w14:paraId="6956E16D" w14:textId="77777777" w:rsidR="006403A9" w:rsidRPr="00673F9B" w:rsidRDefault="006403A9" w:rsidP="007B4BFE">
            <w:pPr>
              <w:spacing w:after="0" w:line="240" w:lineRule="auto"/>
              <w:jc w:val="center"/>
              <w:rPr>
                <w:rFonts w:ascii="Calibri" w:eastAsia="Times New Roman" w:hAnsi="Calibri" w:cs="Calibri"/>
                <w:color w:val="000000"/>
                <w:sz w:val="20"/>
                <w:szCs w:val="20"/>
                <w:lang w:eastAsia="cs-CZ"/>
              </w:rPr>
            </w:pPr>
          </w:p>
        </w:tc>
        <w:tc>
          <w:tcPr>
            <w:tcW w:w="3827" w:type="dxa"/>
            <w:vAlign w:val="center"/>
            <w:hideMark/>
          </w:tcPr>
          <w:p w14:paraId="4512FA99" w14:textId="77777777" w:rsidR="006403A9" w:rsidRPr="00673F9B" w:rsidRDefault="006403A9" w:rsidP="00673F9B">
            <w:pPr>
              <w:spacing w:after="0" w:line="240" w:lineRule="auto"/>
              <w:rPr>
                <w:rFonts w:ascii="Calibri" w:hAnsi="Calibri" w:cs="Calibri"/>
                <w:color w:val="000000"/>
                <w:sz w:val="20"/>
                <w:szCs w:val="20"/>
                <w:lang w:eastAsia="cs-CZ"/>
              </w:rPr>
            </w:pPr>
            <w:r w:rsidRPr="00673F9B">
              <w:rPr>
                <w:rFonts w:ascii="Calibri" w:hAnsi="Calibri" w:cs="Calibri"/>
                <w:color w:val="000000"/>
                <w:sz w:val="20"/>
                <w:szCs w:val="20"/>
                <w:lang w:eastAsia="cs-CZ"/>
              </w:rPr>
              <w:t xml:space="preserve">Marketingové aktivity v cestovním ruchu </w:t>
            </w:r>
          </w:p>
        </w:tc>
        <w:tc>
          <w:tcPr>
            <w:tcW w:w="1559" w:type="dxa"/>
            <w:vAlign w:val="center"/>
            <w:hideMark/>
          </w:tcPr>
          <w:p w14:paraId="04249DEC" w14:textId="77777777" w:rsidR="006403A9" w:rsidRPr="00673F9B" w:rsidRDefault="006403A9" w:rsidP="007B4BFE">
            <w:pPr>
              <w:spacing w:after="0" w:line="240" w:lineRule="auto"/>
              <w:ind w:right="57"/>
              <w:jc w:val="right"/>
              <w:rPr>
                <w:rFonts w:ascii="Calibri" w:hAnsi="Calibri" w:cs="Calibri"/>
                <w:color w:val="000000"/>
                <w:sz w:val="20"/>
                <w:szCs w:val="20"/>
                <w:lang w:eastAsia="cs-CZ"/>
              </w:rPr>
            </w:pPr>
            <w:r w:rsidRPr="00673F9B">
              <w:rPr>
                <w:rFonts w:ascii="Calibri" w:hAnsi="Calibri" w:cs="Calibri"/>
                <w:color w:val="000000"/>
                <w:sz w:val="20"/>
                <w:szCs w:val="20"/>
                <w:lang w:eastAsia="cs-CZ"/>
              </w:rPr>
              <w:t>60 000 000</w:t>
            </w:r>
          </w:p>
        </w:tc>
        <w:tc>
          <w:tcPr>
            <w:tcW w:w="2835" w:type="dxa"/>
            <w:noWrap/>
            <w:vAlign w:val="center"/>
            <w:hideMark/>
          </w:tcPr>
          <w:p w14:paraId="0BCB0E26" w14:textId="07B91A44" w:rsidR="006403A9" w:rsidRPr="00673F9B" w:rsidRDefault="006403A9" w:rsidP="00673F9B">
            <w:pPr>
              <w:spacing w:after="0" w:line="240" w:lineRule="auto"/>
              <w:jc w:val="center"/>
              <w:rPr>
                <w:rFonts w:ascii="Calibri" w:hAnsi="Calibri" w:cs="Calibri"/>
                <w:color w:val="000000"/>
                <w:sz w:val="20"/>
                <w:szCs w:val="20"/>
                <w:lang w:eastAsia="cs-CZ"/>
              </w:rPr>
            </w:pPr>
            <w:r w:rsidRPr="00673F9B">
              <w:rPr>
                <w:rFonts w:ascii="Calibri" w:hAnsi="Calibri" w:cs="Calibri"/>
                <w:color w:val="000000"/>
                <w:sz w:val="20"/>
                <w:szCs w:val="20"/>
                <w:lang w:eastAsia="cs-CZ"/>
              </w:rPr>
              <w:t xml:space="preserve">27.05.2020 </w:t>
            </w:r>
            <w:r w:rsidR="0067216C">
              <w:rPr>
                <w:rFonts w:ascii="Calibri" w:hAnsi="Calibri" w:cs="Calibri"/>
                <w:color w:val="000000"/>
                <w:sz w:val="20"/>
                <w:szCs w:val="20"/>
                <w:lang w:eastAsia="cs-CZ"/>
              </w:rPr>
              <w:t>−</w:t>
            </w:r>
            <w:r w:rsidRPr="00673F9B">
              <w:rPr>
                <w:rFonts w:ascii="Calibri" w:hAnsi="Calibri" w:cs="Calibri"/>
                <w:color w:val="000000"/>
                <w:sz w:val="20"/>
                <w:szCs w:val="20"/>
                <w:lang w:eastAsia="cs-CZ"/>
              </w:rPr>
              <w:t xml:space="preserve"> 30.06.2020</w:t>
            </w:r>
          </w:p>
        </w:tc>
      </w:tr>
      <w:tr w:rsidR="006403A9" w:rsidRPr="00673F9B" w14:paraId="15F59EA8" w14:textId="77777777" w:rsidTr="007B4BFE">
        <w:trPr>
          <w:trHeight w:val="255"/>
        </w:trPr>
        <w:tc>
          <w:tcPr>
            <w:tcW w:w="846" w:type="dxa"/>
            <w:vAlign w:val="center"/>
            <w:hideMark/>
          </w:tcPr>
          <w:p w14:paraId="4CA766E0" w14:textId="77777777" w:rsidR="006403A9" w:rsidRPr="00673F9B" w:rsidRDefault="006403A9" w:rsidP="007B4BFE">
            <w:pPr>
              <w:spacing w:after="0" w:line="240" w:lineRule="auto"/>
              <w:jc w:val="center"/>
              <w:rPr>
                <w:rFonts w:ascii="Calibri" w:hAnsi="Calibri" w:cs="Calibri"/>
                <w:color w:val="000000"/>
                <w:sz w:val="20"/>
                <w:szCs w:val="20"/>
                <w:lang w:eastAsia="cs-CZ"/>
              </w:rPr>
            </w:pPr>
            <w:r w:rsidRPr="00673F9B">
              <w:rPr>
                <w:rFonts w:ascii="Calibri" w:hAnsi="Calibri" w:cs="Calibri"/>
                <w:color w:val="000000"/>
                <w:sz w:val="20"/>
                <w:szCs w:val="20"/>
                <w:lang w:eastAsia="cs-CZ"/>
              </w:rPr>
              <w:t>2021</w:t>
            </w:r>
          </w:p>
        </w:tc>
        <w:tc>
          <w:tcPr>
            <w:tcW w:w="3827" w:type="dxa"/>
            <w:vAlign w:val="center"/>
            <w:hideMark/>
          </w:tcPr>
          <w:p w14:paraId="4D227E02" w14:textId="77777777" w:rsidR="006403A9" w:rsidRPr="00673F9B" w:rsidRDefault="006403A9" w:rsidP="00673F9B">
            <w:pPr>
              <w:spacing w:after="0" w:line="240" w:lineRule="auto"/>
              <w:rPr>
                <w:rFonts w:ascii="Calibri" w:hAnsi="Calibri" w:cs="Calibri"/>
                <w:color w:val="000000"/>
                <w:sz w:val="20"/>
                <w:szCs w:val="20"/>
                <w:lang w:eastAsia="cs-CZ"/>
              </w:rPr>
            </w:pPr>
            <w:r w:rsidRPr="00673F9B">
              <w:rPr>
                <w:rFonts w:ascii="Calibri" w:hAnsi="Calibri" w:cs="Calibri"/>
                <w:color w:val="000000"/>
                <w:sz w:val="20"/>
                <w:szCs w:val="20"/>
                <w:lang w:eastAsia="cs-CZ"/>
              </w:rPr>
              <w:t xml:space="preserve">Marketingové aktivity v cestovním ruchu </w:t>
            </w:r>
          </w:p>
        </w:tc>
        <w:tc>
          <w:tcPr>
            <w:tcW w:w="1559" w:type="dxa"/>
            <w:vAlign w:val="center"/>
            <w:hideMark/>
          </w:tcPr>
          <w:p w14:paraId="3F48FC60" w14:textId="77777777" w:rsidR="006403A9" w:rsidRPr="00673F9B" w:rsidRDefault="006403A9" w:rsidP="007B4BFE">
            <w:pPr>
              <w:spacing w:after="0" w:line="240" w:lineRule="auto"/>
              <w:ind w:right="57"/>
              <w:jc w:val="right"/>
              <w:rPr>
                <w:rFonts w:ascii="Calibri" w:hAnsi="Calibri" w:cs="Calibri"/>
                <w:color w:val="000000"/>
                <w:sz w:val="20"/>
                <w:szCs w:val="20"/>
                <w:lang w:eastAsia="cs-CZ"/>
              </w:rPr>
            </w:pPr>
            <w:r w:rsidRPr="00673F9B">
              <w:rPr>
                <w:rFonts w:ascii="Calibri" w:hAnsi="Calibri" w:cs="Calibri"/>
                <w:color w:val="000000"/>
                <w:sz w:val="20"/>
                <w:szCs w:val="20"/>
                <w:lang w:eastAsia="cs-CZ"/>
              </w:rPr>
              <w:t>60 000 000</w:t>
            </w:r>
          </w:p>
        </w:tc>
        <w:tc>
          <w:tcPr>
            <w:tcW w:w="2835" w:type="dxa"/>
            <w:noWrap/>
            <w:vAlign w:val="center"/>
            <w:hideMark/>
          </w:tcPr>
          <w:p w14:paraId="6E06CD0F" w14:textId="633153B4" w:rsidR="006403A9" w:rsidRPr="00673F9B" w:rsidRDefault="006403A9" w:rsidP="00673F9B">
            <w:pPr>
              <w:spacing w:after="0" w:line="240" w:lineRule="auto"/>
              <w:jc w:val="center"/>
              <w:rPr>
                <w:rFonts w:ascii="Calibri" w:hAnsi="Calibri" w:cs="Calibri"/>
                <w:color w:val="000000"/>
                <w:sz w:val="20"/>
                <w:szCs w:val="20"/>
                <w:lang w:eastAsia="cs-CZ"/>
              </w:rPr>
            </w:pPr>
            <w:r w:rsidRPr="00673F9B">
              <w:rPr>
                <w:rFonts w:ascii="Calibri" w:hAnsi="Calibri" w:cs="Calibri"/>
                <w:color w:val="000000"/>
                <w:sz w:val="20"/>
                <w:szCs w:val="20"/>
                <w:lang w:eastAsia="cs-CZ"/>
              </w:rPr>
              <w:t xml:space="preserve">07.07.2021 </w:t>
            </w:r>
            <w:r w:rsidR="0067216C">
              <w:rPr>
                <w:rFonts w:ascii="Calibri" w:hAnsi="Calibri" w:cs="Calibri"/>
                <w:color w:val="000000"/>
                <w:sz w:val="20"/>
                <w:szCs w:val="20"/>
                <w:lang w:eastAsia="cs-CZ"/>
              </w:rPr>
              <w:t>−</w:t>
            </w:r>
            <w:r w:rsidRPr="00673F9B">
              <w:rPr>
                <w:rFonts w:ascii="Calibri" w:hAnsi="Calibri" w:cs="Calibri"/>
                <w:color w:val="000000"/>
                <w:sz w:val="20"/>
                <w:szCs w:val="20"/>
                <w:lang w:eastAsia="cs-CZ"/>
              </w:rPr>
              <w:t xml:space="preserve"> 17.09.2021</w:t>
            </w:r>
          </w:p>
        </w:tc>
      </w:tr>
      <w:tr w:rsidR="006403A9" w:rsidRPr="00673F9B" w14:paraId="6B57DB13" w14:textId="77777777" w:rsidTr="007B4BFE">
        <w:trPr>
          <w:trHeight w:val="255"/>
        </w:trPr>
        <w:tc>
          <w:tcPr>
            <w:tcW w:w="846" w:type="dxa"/>
            <w:vAlign w:val="center"/>
            <w:hideMark/>
          </w:tcPr>
          <w:p w14:paraId="0AD43D38" w14:textId="77777777" w:rsidR="006403A9" w:rsidRPr="00673F9B" w:rsidRDefault="006403A9" w:rsidP="007B4BFE">
            <w:pPr>
              <w:spacing w:after="0" w:line="240" w:lineRule="auto"/>
              <w:jc w:val="center"/>
              <w:rPr>
                <w:rFonts w:ascii="Calibri" w:hAnsi="Calibri" w:cs="Calibri"/>
                <w:color w:val="000000"/>
                <w:sz w:val="20"/>
                <w:szCs w:val="20"/>
                <w:lang w:eastAsia="cs-CZ"/>
              </w:rPr>
            </w:pPr>
            <w:r w:rsidRPr="00673F9B">
              <w:rPr>
                <w:rFonts w:ascii="Calibri" w:hAnsi="Calibri" w:cs="Calibri"/>
                <w:color w:val="000000"/>
                <w:sz w:val="20"/>
                <w:szCs w:val="20"/>
                <w:lang w:eastAsia="cs-CZ"/>
              </w:rPr>
              <w:t>2022</w:t>
            </w:r>
          </w:p>
        </w:tc>
        <w:tc>
          <w:tcPr>
            <w:tcW w:w="3827" w:type="dxa"/>
            <w:vAlign w:val="center"/>
            <w:hideMark/>
          </w:tcPr>
          <w:p w14:paraId="0B3D4AF0" w14:textId="77777777" w:rsidR="006403A9" w:rsidRPr="00673F9B" w:rsidRDefault="006403A9" w:rsidP="00673F9B">
            <w:pPr>
              <w:spacing w:after="0" w:line="240" w:lineRule="auto"/>
              <w:rPr>
                <w:rFonts w:ascii="Calibri" w:hAnsi="Calibri" w:cs="Calibri"/>
                <w:color w:val="000000"/>
                <w:sz w:val="20"/>
                <w:szCs w:val="20"/>
                <w:lang w:eastAsia="cs-CZ"/>
              </w:rPr>
            </w:pPr>
            <w:r w:rsidRPr="00673F9B">
              <w:rPr>
                <w:rFonts w:ascii="Calibri" w:hAnsi="Calibri" w:cs="Calibri"/>
                <w:color w:val="000000"/>
                <w:sz w:val="20"/>
                <w:szCs w:val="20"/>
                <w:lang w:eastAsia="cs-CZ"/>
              </w:rPr>
              <w:t xml:space="preserve">Rozvoj základní a doprovodné infrastruktury v cestovním ruchu </w:t>
            </w:r>
          </w:p>
        </w:tc>
        <w:tc>
          <w:tcPr>
            <w:tcW w:w="1559" w:type="dxa"/>
            <w:vAlign w:val="center"/>
            <w:hideMark/>
          </w:tcPr>
          <w:p w14:paraId="49709880" w14:textId="77777777" w:rsidR="006403A9" w:rsidRPr="00673F9B" w:rsidRDefault="006403A9" w:rsidP="007B4BFE">
            <w:pPr>
              <w:spacing w:after="0" w:line="240" w:lineRule="auto"/>
              <w:ind w:right="57"/>
              <w:jc w:val="right"/>
              <w:rPr>
                <w:rFonts w:ascii="Calibri" w:hAnsi="Calibri" w:cs="Calibri"/>
                <w:color w:val="000000"/>
                <w:sz w:val="20"/>
                <w:szCs w:val="20"/>
                <w:lang w:eastAsia="cs-CZ"/>
              </w:rPr>
            </w:pPr>
            <w:r w:rsidRPr="00673F9B">
              <w:rPr>
                <w:rFonts w:ascii="Calibri" w:hAnsi="Calibri" w:cs="Calibri"/>
                <w:color w:val="000000"/>
                <w:sz w:val="20"/>
                <w:szCs w:val="20"/>
                <w:lang w:eastAsia="cs-CZ"/>
              </w:rPr>
              <w:t>200 000 000</w:t>
            </w:r>
          </w:p>
        </w:tc>
        <w:tc>
          <w:tcPr>
            <w:tcW w:w="2835" w:type="dxa"/>
            <w:noWrap/>
            <w:vAlign w:val="center"/>
            <w:hideMark/>
          </w:tcPr>
          <w:p w14:paraId="7F9752FE" w14:textId="766518A6" w:rsidR="006403A9" w:rsidRPr="00673F9B" w:rsidRDefault="006403A9" w:rsidP="00673F9B">
            <w:pPr>
              <w:spacing w:after="0" w:line="240" w:lineRule="auto"/>
              <w:jc w:val="center"/>
              <w:rPr>
                <w:rFonts w:ascii="Calibri" w:hAnsi="Calibri" w:cs="Calibri"/>
                <w:color w:val="000000"/>
                <w:sz w:val="20"/>
                <w:szCs w:val="20"/>
                <w:lang w:eastAsia="cs-CZ"/>
              </w:rPr>
            </w:pPr>
            <w:r w:rsidRPr="00673F9B">
              <w:rPr>
                <w:rFonts w:ascii="Calibri" w:hAnsi="Calibri" w:cs="Calibri"/>
                <w:color w:val="000000"/>
                <w:sz w:val="20"/>
                <w:szCs w:val="20"/>
                <w:lang w:eastAsia="cs-CZ"/>
              </w:rPr>
              <w:t xml:space="preserve">01.10.2021 </w:t>
            </w:r>
            <w:r w:rsidR="0067216C">
              <w:rPr>
                <w:rFonts w:ascii="Calibri" w:hAnsi="Calibri" w:cs="Calibri"/>
                <w:color w:val="000000"/>
                <w:sz w:val="20"/>
                <w:szCs w:val="20"/>
                <w:lang w:eastAsia="cs-CZ"/>
              </w:rPr>
              <w:t>−</w:t>
            </w:r>
            <w:r w:rsidRPr="00673F9B">
              <w:rPr>
                <w:rFonts w:ascii="Calibri" w:hAnsi="Calibri" w:cs="Calibri"/>
                <w:color w:val="000000"/>
                <w:sz w:val="20"/>
                <w:szCs w:val="20"/>
                <w:lang w:eastAsia="cs-CZ"/>
              </w:rPr>
              <w:t xml:space="preserve"> 17.12.2021</w:t>
            </w:r>
          </w:p>
        </w:tc>
      </w:tr>
      <w:tr w:rsidR="00876217" w:rsidRPr="00673F9B" w14:paraId="7790E059" w14:textId="77777777" w:rsidTr="007B4BFE">
        <w:trPr>
          <w:trHeight w:val="255"/>
        </w:trPr>
        <w:tc>
          <w:tcPr>
            <w:tcW w:w="4673" w:type="dxa"/>
            <w:gridSpan w:val="2"/>
            <w:shd w:val="clear" w:color="auto" w:fill="F2C6C9"/>
            <w:vAlign w:val="center"/>
          </w:tcPr>
          <w:p w14:paraId="5E81874E" w14:textId="4CBA9CDD" w:rsidR="00876217" w:rsidRPr="00673F9B" w:rsidRDefault="00876217" w:rsidP="007B4BFE">
            <w:pPr>
              <w:pStyle w:val="KP-normlnbezodsazen"/>
              <w:keepNext/>
              <w:keepLines/>
              <w:jc w:val="center"/>
              <w:rPr>
                <w:rFonts w:ascii="Calibri" w:hAnsi="Calibri" w:cs="Calibri"/>
                <w:b/>
                <w:sz w:val="20"/>
                <w:szCs w:val="20"/>
                <w:lang w:eastAsia="cs-CZ"/>
              </w:rPr>
            </w:pPr>
            <w:r w:rsidRPr="00673F9B">
              <w:rPr>
                <w:rFonts w:ascii="Calibri" w:hAnsi="Calibri" w:cs="Calibri"/>
                <w:b/>
                <w:sz w:val="20"/>
                <w:szCs w:val="20"/>
                <w:lang w:eastAsia="cs-CZ"/>
              </w:rPr>
              <w:t>Celková alokace výzvy v Kč</w:t>
            </w:r>
          </w:p>
        </w:tc>
        <w:tc>
          <w:tcPr>
            <w:tcW w:w="1559" w:type="dxa"/>
            <w:shd w:val="clear" w:color="auto" w:fill="F2C6C9"/>
            <w:vAlign w:val="center"/>
          </w:tcPr>
          <w:p w14:paraId="2A30A00B" w14:textId="7F1E1579" w:rsidR="00876217" w:rsidRPr="00673F9B" w:rsidRDefault="00876217" w:rsidP="007B4BFE">
            <w:pPr>
              <w:pStyle w:val="KP-normlnbezodsazen"/>
              <w:keepNext/>
              <w:keepLines/>
              <w:ind w:right="57"/>
              <w:jc w:val="right"/>
              <w:rPr>
                <w:rFonts w:ascii="Calibri" w:hAnsi="Calibri" w:cs="Calibri"/>
                <w:b/>
                <w:sz w:val="20"/>
                <w:szCs w:val="20"/>
                <w:lang w:eastAsia="cs-CZ"/>
              </w:rPr>
            </w:pPr>
            <w:r w:rsidRPr="00673F9B">
              <w:rPr>
                <w:rFonts w:ascii="Calibri" w:hAnsi="Calibri" w:cs="Calibri"/>
                <w:b/>
                <w:sz w:val="20"/>
                <w:szCs w:val="20"/>
                <w:lang w:eastAsia="cs-CZ"/>
              </w:rPr>
              <w:t>1 210 000 000</w:t>
            </w:r>
          </w:p>
        </w:tc>
        <w:tc>
          <w:tcPr>
            <w:tcW w:w="2835" w:type="dxa"/>
            <w:shd w:val="clear" w:color="auto" w:fill="F2C6C9"/>
            <w:noWrap/>
            <w:vAlign w:val="center"/>
          </w:tcPr>
          <w:p w14:paraId="26787E45" w14:textId="77777777" w:rsidR="00876217" w:rsidRPr="00673F9B" w:rsidRDefault="00876217" w:rsidP="00673F9B">
            <w:pPr>
              <w:pStyle w:val="KP-normlnbezodsazen"/>
              <w:keepNext/>
              <w:keepLines/>
              <w:rPr>
                <w:rFonts w:ascii="Calibri" w:hAnsi="Calibri" w:cs="Calibri"/>
                <w:b/>
                <w:sz w:val="20"/>
                <w:szCs w:val="20"/>
                <w:lang w:eastAsia="cs-CZ"/>
              </w:rPr>
            </w:pPr>
          </w:p>
        </w:tc>
      </w:tr>
    </w:tbl>
    <w:p w14:paraId="247C4B09" w14:textId="474C6913" w:rsidR="006403A9" w:rsidRPr="00AA60C6" w:rsidRDefault="006403A9" w:rsidP="007B4BFE">
      <w:pPr>
        <w:pStyle w:val="KP-normlnbezodsazen"/>
        <w:spacing w:before="40"/>
        <w:rPr>
          <w:sz w:val="20"/>
          <w:szCs w:val="20"/>
        </w:rPr>
      </w:pPr>
      <w:r w:rsidRPr="00147D31">
        <w:rPr>
          <w:b/>
          <w:sz w:val="20"/>
          <w:szCs w:val="20"/>
        </w:rPr>
        <w:t>Zdroj:</w:t>
      </w:r>
      <w:r>
        <w:rPr>
          <w:sz w:val="20"/>
          <w:szCs w:val="20"/>
        </w:rPr>
        <w:t xml:space="preserve"> </w:t>
      </w:r>
      <w:r w:rsidR="0067216C">
        <w:rPr>
          <w:sz w:val="20"/>
          <w:szCs w:val="20"/>
        </w:rPr>
        <w:t>d</w:t>
      </w:r>
      <w:r>
        <w:rPr>
          <w:sz w:val="20"/>
          <w:szCs w:val="20"/>
        </w:rPr>
        <w:t>ata MMR,</w:t>
      </w:r>
      <w:r w:rsidRPr="00AA60C6">
        <w:rPr>
          <w:sz w:val="20"/>
          <w:szCs w:val="20"/>
        </w:rPr>
        <w:t xml:space="preserve"> </w:t>
      </w:r>
      <w:r w:rsidR="0067216C">
        <w:rPr>
          <w:sz w:val="20"/>
          <w:szCs w:val="20"/>
        </w:rPr>
        <w:t>vypracoval</w:t>
      </w:r>
      <w:r>
        <w:rPr>
          <w:sz w:val="20"/>
          <w:szCs w:val="20"/>
        </w:rPr>
        <w:t xml:space="preserve"> NKÚ.</w:t>
      </w:r>
    </w:p>
    <w:p w14:paraId="69F999AB" w14:textId="1C88EC43" w:rsidR="006403A9" w:rsidRPr="007B4BFE" w:rsidRDefault="006403A9" w:rsidP="007B4BFE">
      <w:pPr>
        <w:keepNext/>
        <w:spacing w:before="240" w:after="40" w:line="240" w:lineRule="auto"/>
        <w:rPr>
          <w:b/>
          <w:sz w:val="24"/>
          <w:szCs w:val="24"/>
        </w:rPr>
      </w:pPr>
      <w:r w:rsidRPr="007B4BFE">
        <w:rPr>
          <w:b/>
          <w:sz w:val="24"/>
          <w:szCs w:val="24"/>
        </w:rPr>
        <w:t xml:space="preserve">Tabulka č. 3: Přehled dotačních titulů v rámci </w:t>
      </w:r>
      <w:r w:rsidR="00BC27F2" w:rsidRPr="007B4BFE">
        <w:rPr>
          <w:b/>
          <w:sz w:val="24"/>
          <w:szCs w:val="24"/>
        </w:rPr>
        <w:t xml:space="preserve">programů </w:t>
      </w:r>
      <w:r w:rsidRPr="007B4BFE">
        <w:rPr>
          <w:b/>
          <w:sz w:val="24"/>
          <w:szCs w:val="24"/>
        </w:rPr>
        <w:t>COVID</w:t>
      </w:r>
    </w:p>
    <w:tbl>
      <w:tblPr>
        <w:tblW w:w="5000" w:type="pct"/>
        <w:jc w:val="center"/>
        <w:tblLayout w:type="fixed"/>
        <w:tblCellMar>
          <w:left w:w="70" w:type="dxa"/>
          <w:right w:w="70" w:type="dxa"/>
        </w:tblCellMar>
        <w:tblLook w:val="04A0" w:firstRow="1" w:lastRow="0" w:firstColumn="1" w:lastColumn="0" w:noHBand="0" w:noVBand="1"/>
      </w:tblPr>
      <w:tblGrid>
        <w:gridCol w:w="1298"/>
        <w:gridCol w:w="2046"/>
        <w:gridCol w:w="2463"/>
        <w:gridCol w:w="1303"/>
        <w:gridCol w:w="1952"/>
      </w:tblGrid>
      <w:tr w:rsidR="00F947E9" w:rsidRPr="007B4BFE" w14:paraId="46D74A29" w14:textId="2A047F39" w:rsidTr="00F947E9">
        <w:trPr>
          <w:trHeight w:val="255"/>
          <w:jc w:val="center"/>
        </w:trPr>
        <w:tc>
          <w:tcPr>
            <w:tcW w:w="716" w:type="pct"/>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278929DC" w14:textId="77777777" w:rsidR="00467B9E" w:rsidRPr="007B4BFE" w:rsidRDefault="00467B9E" w:rsidP="007B4BFE">
            <w:pPr>
              <w:spacing w:after="0" w:line="240" w:lineRule="auto"/>
              <w:jc w:val="center"/>
              <w:rPr>
                <w:rFonts w:ascii="Calibri" w:hAnsi="Calibri" w:cs="Calibri"/>
                <w:b/>
                <w:color w:val="000000"/>
                <w:sz w:val="20"/>
                <w:szCs w:val="20"/>
                <w:lang w:eastAsia="cs-CZ"/>
              </w:rPr>
            </w:pPr>
            <w:r w:rsidRPr="007B4BFE">
              <w:rPr>
                <w:rFonts w:ascii="Calibri" w:hAnsi="Calibri" w:cs="Calibri"/>
                <w:b/>
                <w:color w:val="000000"/>
                <w:sz w:val="20"/>
                <w:szCs w:val="20"/>
                <w:lang w:eastAsia="cs-CZ"/>
              </w:rPr>
              <w:t>Název programu</w:t>
            </w:r>
          </w:p>
        </w:tc>
        <w:tc>
          <w:tcPr>
            <w:tcW w:w="1129" w:type="pct"/>
            <w:tcBorders>
              <w:top w:val="single" w:sz="4" w:space="0" w:color="auto"/>
              <w:left w:val="nil"/>
              <w:bottom w:val="single" w:sz="4" w:space="0" w:color="auto"/>
              <w:right w:val="single" w:sz="4" w:space="0" w:color="auto"/>
            </w:tcBorders>
            <w:shd w:val="clear" w:color="auto" w:fill="E5F1FF"/>
            <w:noWrap/>
            <w:vAlign w:val="center"/>
            <w:hideMark/>
          </w:tcPr>
          <w:p w14:paraId="5417B69C" w14:textId="77777777" w:rsidR="00467B9E" w:rsidRPr="007B4BFE" w:rsidRDefault="00467B9E" w:rsidP="007B4BFE">
            <w:pPr>
              <w:spacing w:after="0" w:line="240" w:lineRule="auto"/>
              <w:jc w:val="center"/>
              <w:rPr>
                <w:rFonts w:ascii="Calibri" w:hAnsi="Calibri" w:cs="Calibri"/>
                <w:b/>
                <w:color w:val="000000"/>
                <w:sz w:val="20"/>
                <w:szCs w:val="20"/>
                <w:lang w:eastAsia="cs-CZ"/>
              </w:rPr>
            </w:pPr>
            <w:r w:rsidRPr="007B4BFE">
              <w:rPr>
                <w:rFonts w:ascii="Calibri" w:hAnsi="Calibri" w:cs="Calibri"/>
                <w:b/>
                <w:color w:val="000000"/>
                <w:sz w:val="20"/>
                <w:szCs w:val="20"/>
                <w:lang w:eastAsia="cs-CZ"/>
              </w:rPr>
              <w:t>Dotační titul</w:t>
            </w:r>
          </w:p>
        </w:tc>
        <w:tc>
          <w:tcPr>
            <w:tcW w:w="1359" w:type="pct"/>
            <w:tcBorders>
              <w:top w:val="single" w:sz="4" w:space="0" w:color="auto"/>
              <w:left w:val="nil"/>
              <w:bottom w:val="single" w:sz="4" w:space="0" w:color="auto"/>
              <w:right w:val="single" w:sz="4" w:space="0" w:color="auto"/>
            </w:tcBorders>
            <w:shd w:val="clear" w:color="auto" w:fill="E5F1FF"/>
            <w:noWrap/>
            <w:vAlign w:val="center"/>
            <w:hideMark/>
          </w:tcPr>
          <w:p w14:paraId="2CC568C6" w14:textId="77777777" w:rsidR="00467B9E" w:rsidRPr="007B4BFE" w:rsidRDefault="00467B9E" w:rsidP="007B4BFE">
            <w:pPr>
              <w:spacing w:after="0" w:line="240" w:lineRule="auto"/>
              <w:jc w:val="center"/>
              <w:rPr>
                <w:rFonts w:ascii="Calibri" w:hAnsi="Calibri" w:cs="Calibri"/>
                <w:b/>
                <w:color w:val="000000"/>
                <w:sz w:val="20"/>
                <w:szCs w:val="20"/>
                <w:lang w:eastAsia="cs-CZ"/>
              </w:rPr>
            </w:pPr>
            <w:r w:rsidRPr="007B4BFE">
              <w:rPr>
                <w:rFonts w:ascii="Calibri" w:hAnsi="Calibri" w:cs="Calibri"/>
                <w:b/>
                <w:color w:val="000000"/>
                <w:sz w:val="20"/>
                <w:szCs w:val="20"/>
                <w:lang w:eastAsia="cs-CZ"/>
              </w:rPr>
              <w:t>Platnost výzvy</w:t>
            </w:r>
          </w:p>
        </w:tc>
        <w:tc>
          <w:tcPr>
            <w:tcW w:w="719" w:type="pct"/>
            <w:tcBorders>
              <w:top w:val="single" w:sz="4" w:space="0" w:color="auto"/>
              <w:left w:val="nil"/>
              <w:bottom w:val="single" w:sz="4" w:space="0" w:color="auto"/>
              <w:right w:val="single" w:sz="4" w:space="0" w:color="auto"/>
            </w:tcBorders>
            <w:shd w:val="clear" w:color="auto" w:fill="E5F1FF"/>
            <w:noWrap/>
            <w:vAlign w:val="center"/>
            <w:hideMark/>
          </w:tcPr>
          <w:p w14:paraId="418C8501" w14:textId="14ACEAEF" w:rsidR="00467B9E" w:rsidRPr="007B4BFE" w:rsidRDefault="00467B9E" w:rsidP="007B4BFE">
            <w:pPr>
              <w:spacing w:after="0" w:line="240" w:lineRule="auto"/>
              <w:jc w:val="center"/>
              <w:rPr>
                <w:rFonts w:ascii="Calibri" w:hAnsi="Calibri" w:cs="Calibri"/>
                <w:b/>
                <w:color w:val="000000"/>
                <w:sz w:val="20"/>
                <w:szCs w:val="20"/>
                <w:lang w:eastAsia="cs-CZ"/>
              </w:rPr>
            </w:pPr>
            <w:r w:rsidRPr="007B4BFE">
              <w:rPr>
                <w:rFonts w:ascii="Calibri" w:hAnsi="Calibri" w:cs="Calibri"/>
                <w:b/>
                <w:color w:val="000000"/>
                <w:sz w:val="20"/>
                <w:szCs w:val="20"/>
                <w:lang w:eastAsia="cs-CZ"/>
              </w:rPr>
              <w:t>Alokace po změně (v Kč)</w:t>
            </w:r>
          </w:p>
        </w:tc>
        <w:tc>
          <w:tcPr>
            <w:tcW w:w="1077" w:type="pct"/>
            <w:tcBorders>
              <w:top w:val="single" w:sz="4" w:space="0" w:color="auto"/>
              <w:left w:val="nil"/>
              <w:bottom w:val="single" w:sz="4" w:space="0" w:color="auto"/>
              <w:right w:val="single" w:sz="4" w:space="0" w:color="auto"/>
            </w:tcBorders>
            <w:shd w:val="clear" w:color="auto" w:fill="E5F1FF"/>
            <w:vAlign w:val="center"/>
          </w:tcPr>
          <w:p w14:paraId="09916814" w14:textId="2FCF1EE2" w:rsidR="00467B9E" w:rsidRPr="007B4BFE" w:rsidRDefault="00467B9E" w:rsidP="007B4BFE">
            <w:pPr>
              <w:spacing w:after="0" w:line="240" w:lineRule="auto"/>
              <w:jc w:val="center"/>
              <w:rPr>
                <w:rFonts w:ascii="Calibri" w:hAnsi="Calibri" w:cs="Calibri"/>
                <w:b/>
                <w:color w:val="000000"/>
                <w:sz w:val="20"/>
                <w:szCs w:val="20"/>
                <w:lang w:eastAsia="cs-CZ"/>
              </w:rPr>
            </w:pPr>
            <w:r w:rsidRPr="007B4BFE">
              <w:rPr>
                <w:rFonts w:ascii="Calibri" w:hAnsi="Calibri" w:cs="Calibri"/>
                <w:b/>
                <w:color w:val="000000"/>
                <w:sz w:val="20"/>
                <w:szCs w:val="20"/>
                <w:lang w:eastAsia="cs-CZ"/>
              </w:rPr>
              <w:t>% čerpání z celkové alokované částky</w:t>
            </w:r>
          </w:p>
        </w:tc>
      </w:tr>
      <w:tr w:rsidR="00F947E9" w:rsidRPr="007B4BFE" w14:paraId="7739A7CD" w14:textId="171AAC2D" w:rsidTr="00F947E9">
        <w:trPr>
          <w:trHeight w:val="255"/>
          <w:jc w:val="center"/>
        </w:trPr>
        <w:tc>
          <w:tcPr>
            <w:tcW w:w="716" w:type="pct"/>
            <w:vMerge w:val="restart"/>
            <w:tcBorders>
              <w:top w:val="single" w:sz="4" w:space="0" w:color="auto"/>
              <w:left w:val="single" w:sz="4" w:space="0" w:color="auto"/>
              <w:bottom w:val="single" w:sz="4" w:space="0" w:color="auto"/>
              <w:right w:val="single" w:sz="4" w:space="0" w:color="auto"/>
            </w:tcBorders>
            <w:noWrap/>
            <w:vAlign w:val="center"/>
            <w:hideMark/>
          </w:tcPr>
          <w:p w14:paraId="4C44D5B8" w14:textId="77777777" w:rsidR="00467B9E" w:rsidRPr="007B4BFE" w:rsidRDefault="00467B9E" w:rsidP="007B4BFE">
            <w:pPr>
              <w:spacing w:after="0" w:line="240" w:lineRule="auto"/>
              <w:jc w:val="center"/>
              <w:rPr>
                <w:rFonts w:ascii="Calibri" w:hAnsi="Calibri" w:cs="Calibri"/>
                <w:color w:val="000000"/>
                <w:sz w:val="20"/>
                <w:szCs w:val="20"/>
                <w:lang w:eastAsia="cs-CZ"/>
              </w:rPr>
            </w:pPr>
            <w:r w:rsidRPr="007B4BFE">
              <w:rPr>
                <w:rFonts w:ascii="Calibri" w:hAnsi="Calibri" w:cs="Calibri"/>
                <w:color w:val="000000"/>
                <w:sz w:val="20"/>
                <w:szCs w:val="20"/>
                <w:lang w:eastAsia="cs-CZ"/>
              </w:rPr>
              <w:t xml:space="preserve">Podpora cestovního ruchu </w:t>
            </w:r>
          </w:p>
        </w:tc>
        <w:tc>
          <w:tcPr>
            <w:tcW w:w="1129" w:type="pct"/>
            <w:tcBorders>
              <w:top w:val="single" w:sz="4" w:space="0" w:color="auto"/>
              <w:left w:val="single" w:sz="4" w:space="0" w:color="auto"/>
              <w:bottom w:val="single" w:sz="4" w:space="0" w:color="auto"/>
              <w:right w:val="single" w:sz="4" w:space="0" w:color="auto"/>
            </w:tcBorders>
            <w:noWrap/>
            <w:vAlign w:val="center"/>
            <w:hideMark/>
          </w:tcPr>
          <w:p w14:paraId="07C7D0FC" w14:textId="5967E5AD" w:rsidR="00467B9E" w:rsidRPr="007B4BFE" w:rsidRDefault="00467B9E" w:rsidP="007B4BFE">
            <w:pPr>
              <w:spacing w:after="0" w:line="240" w:lineRule="auto"/>
              <w:jc w:val="center"/>
              <w:rPr>
                <w:rFonts w:ascii="Calibri" w:hAnsi="Calibri" w:cs="Calibri"/>
                <w:color w:val="000000"/>
                <w:sz w:val="20"/>
                <w:szCs w:val="20"/>
                <w:lang w:eastAsia="cs-CZ"/>
              </w:rPr>
            </w:pPr>
            <w:r w:rsidRPr="007B4BFE">
              <w:rPr>
                <w:rFonts w:ascii="Calibri" w:hAnsi="Calibri" w:cs="Calibri"/>
                <w:color w:val="000000"/>
                <w:sz w:val="20"/>
                <w:szCs w:val="20"/>
                <w:lang w:eastAsia="cs-CZ"/>
              </w:rPr>
              <w:t>COVID</w:t>
            </w:r>
            <w:r w:rsidR="009B3766">
              <w:rPr>
                <w:rFonts w:ascii="Calibri" w:hAnsi="Calibri" w:cs="Calibri"/>
                <w:color w:val="000000"/>
                <w:sz w:val="20"/>
                <w:szCs w:val="20"/>
                <w:lang w:eastAsia="cs-CZ"/>
              </w:rPr>
              <w:t xml:space="preserve"> − </w:t>
            </w:r>
            <w:r w:rsidRPr="007B4BFE">
              <w:rPr>
                <w:rFonts w:ascii="Calibri" w:hAnsi="Calibri" w:cs="Calibri"/>
                <w:color w:val="000000"/>
                <w:sz w:val="20"/>
                <w:szCs w:val="20"/>
                <w:lang w:eastAsia="cs-CZ"/>
              </w:rPr>
              <w:t xml:space="preserve">Cestovní kanceláře </w:t>
            </w:r>
          </w:p>
        </w:tc>
        <w:tc>
          <w:tcPr>
            <w:tcW w:w="1359" w:type="pct"/>
            <w:tcBorders>
              <w:top w:val="single" w:sz="4" w:space="0" w:color="auto"/>
              <w:left w:val="single" w:sz="4" w:space="0" w:color="auto"/>
              <w:bottom w:val="single" w:sz="4" w:space="0" w:color="auto"/>
              <w:right w:val="single" w:sz="4" w:space="0" w:color="auto"/>
            </w:tcBorders>
            <w:vAlign w:val="center"/>
            <w:hideMark/>
          </w:tcPr>
          <w:p w14:paraId="17A8FE8F" w14:textId="01E30DA5" w:rsidR="00467B9E" w:rsidRPr="007B4BFE" w:rsidRDefault="00467B9E" w:rsidP="007B4BFE">
            <w:pPr>
              <w:spacing w:after="0" w:line="240" w:lineRule="auto"/>
              <w:jc w:val="center"/>
              <w:rPr>
                <w:rFonts w:ascii="Calibri" w:hAnsi="Calibri" w:cs="Calibri"/>
                <w:color w:val="000000"/>
                <w:sz w:val="20"/>
                <w:szCs w:val="20"/>
                <w:lang w:eastAsia="cs-CZ"/>
              </w:rPr>
            </w:pPr>
            <w:r w:rsidRPr="007B4BFE">
              <w:rPr>
                <w:rFonts w:ascii="Calibri" w:hAnsi="Calibri" w:cs="Calibri"/>
                <w:color w:val="000000"/>
                <w:sz w:val="20"/>
                <w:szCs w:val="20"/>
                <w:lang w:eastAsia="cs-CZ"/>
              </w:rPr>
              <w:t xml:space="preserve">2. 11. 2020 </w:t>
            </w:r>
            <w:r w:rsidR="001C220E">
              <w:rPr>
                <w:rFonts w:ascii="Calibri" w:hAnsi="Calibri" w:cs="Calibri"/>
                <w:color w:val="000000"/>
                <w:sz w:val="20"/>
                <w:szCs w:val="20"/>
                <w:lang w:eastAsia="cs-CZ"/>
              </w:rPr>
              <w:t>−</w:t>
            </w:r>
            <w:r w:rsidRPr="007B4BFE">
              <w:rPr>
                <w:rFonts w:ascii="Calibri" w:hAnsi="Calibri" w:cs="Calibri"/>
                <w:color w:val="000000"/>
                <w:sz w:val="20"/>
                <w:szCs w:val="20"/>
                <w:lang w:eastAsia="cs-CZ"/>
              </w:rPr>
              <w:t xml:space="preserve"> 11. 1. 2021, prodlouženo do 29. 1. 2021</w:t>
            </w:r>
          </w:p>
        </w:tc>
        <w:tc>
          <w:tcPr>
            <w:tcW w:w="719" w:type="pct"/>
            <w:tcBorders>
              <w:top w:val="single" w:sz="4" w:space="0" w:color="auto"/>
              <w:left w:val="single" w:sz="4" w:space="0" w:color="auto"/>
              <w:bottom w:val="single" w:sz="4" w:space="0" w:color="auto"/>
              <w:right w:val="single" w:sz="4" w:space="0" w:color="auto"/>
            </w:tcBorders>
            <w:noWrap/>
            <w:vAlign w:val="center"/>
            <w:hideMark/>
          </w:tcPr>
          <w:p w14:paraId="621FC0F0" w14:textId="77777777" w:rsidR="00467B9E" w:rsidRPr="007B4BFE" w:rsidRDefault="00467B9E" w:rsidP="007B4BFE">
            <w:pPr>
              <w:spacing w:after="0" w:line="240" w:lineRule="auto"/>
              <w:jc w:val="right"/>
              <w:rPr>
                <w:rFonts w:ascii="Calibri" w:hAnsi="Calibri" w:cs="Calibri"/>
                <w:color w:val="000000"/>
                <w:sz w:val="20"/>
                <w:szCs w:val="20"/>
                <w:lang w:eastAsia="cs-CZ"/>
              </w:rPr>
            </w:pPr>
            <w:r w:rsidRPr="007B4BFE">
              <w:rPr>
                <w:rFonts w:ascii="Calibri" w:hAnsi="Calibri" w:cs="Calibri"/>
                <w:color w:val="000000"/>
                <w:sz w:val="20"/>
                <w:szCs w:val="20"/>
                <w:lang w:eastAsia="cs-CZ"/>
              </w:rPr>
              <w:t>333 300 000</w:t>
            </w:r>
          </w:p>
        </w:tc>
        <w:tc>
          <w:tcPr>
            <w:tcW w:w="1077" w:type="pct"/>
            <w:tcBorders>
              <w:top w:val="single" w:sz="4" w:space="0" w:color="auto"/>
              <w:left w:val="single" w:sz="4" w:space="0" w:color="auto"/>
              <w:bottom w:val="single" w:sz="4" w:space="0" w:color="auto"/>
              <w:right w:val="single" w:sz="4" w:space="0" w:color="auto"/>
            </w:tcBorders>
            <w:vAlign w:val="center"/>
          </w:tcPr>
          <w:p w14:paraId="754BF503" w14:textId="5EDE5C3B" w:rsidR="00467B9E" w:rsidRPr="007B4BFE" w:rsidRDefault="00BF57C7" w:rsidP="007B4BFE">
            <w:pPr>
              <w:spacing w:after="0" w:line="240" w:lineRule="auto"/>
              <w:jc w:val="center"/>
              <w:rPr>
                <w:rFonts w:ascii="Calibri" w:hAnsi="Calibri" w:cs="Calibri"/>
                <w:color w:val="000000"/>
                <w:sz w:val="20"/>
                <w:szCs w:val="20"/>
                <w:lang w:eastAsia="cs-CZ"/>
              </w:rPr>
            </w:pPr>
            <w:r w:rsidRPr="007B4BFE">
              <w:rPr>
                <w:rFonts w:ascii="Calibri" w:hAnsi="Calibri" w:cs="Calibri"/>
                <w:color w:val="000000"/>
                <w:sz w:val="20"/>
                <w:szCs w:val="20"/>
                <w:lang w:eastAsia="cs-CZ"/>
              </w:rPr>
              <w:t>88,41</w:t>
            </w:r>
          </w:p>
        </w:tc>
      </w:tr>
      <w:tr w:rsidR="00F947E9" w:rsidRPr="007B4BFE" w14:paraId="3C22CF91" w14:textId="18028C01" w:rsidTr="00F947E9">
        <w:trPr>
          <w:trHeight w:val="255"/>
          <w:jc w:val="center"/>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79E763E6" w14:textId="77777777" w:rsidR="00467B9E" w:rsidRPr="007B4BFE" w:rsidRDefault="00467B9E" w:rsidP="007B4BFE">
            <w:pPr>
              <w:spacing w:after="0" w:line="240" w:lineRule="auto"/>
              <w:jc w:val="center"/>
              <w:rPr>
                <w:rFonts w:ascii="Calibri" w:hAnsi="Calibri" w:cs="Calibri"/>
                <w:color w:val="000000"/>
                <w:sz w:val="20"/>
                <w:szCs w:val="20"/>
                <w:lang w:eastAsia="cs-CZ"/>
              </w:rPr>
            </w:pPr>
          </w:p>
        </w:tc>
        <w:tc>
          <w:tcPr>
            <w:tcW w:w="1129" w:type="pct"/>
            <w:tcBorders>
              <w:top w:val="single" w:sz="4" w:space="0" w:color="auto"/>
              <w:left w:val="single" w:sz="4" w:space="0" w:color="auto"/>
              <w:bottom w:val="single" w:sz="4" w:space="0" w:color="auto"/>
              <w:right w:val="single" w:sz="4" w:space="0" w:color="auto"/>
            </w:tcBorders>
            <w:noWrap/>
            <w:vAlign w:val="center"/>
            <w:hideMark/>
          </w:tcPr>
          <w:p w14:paraId="3CF05548" w14:textId="7E8F26B7" w:rsidR="00467B9E" w:rsidRPr="007B4BFE" w:rsidRDefault="00467B9E" w:rsidP="007B4BFE">
            <w:pPr>
              <w:spacing w:after="0" w:line="240" w:lineRule="auto"/>
              <w:jc w:val="center"/>
              <w:rPr>
                <w:rFonts w:ascii="Calibri" w:hAnsi="Calibri" w:cs="Calibri"/>
                <w:color w:val="000000"/>
                <w:sz w:val="20"/>
                <w:szCs w:val="20"/>
                <w:lang w:eastAsia="cs-CZ"/>
              </w:rPr>
            </w:pPr>
            <w:r w:rsidRPr="007B4BFE">
              <w:rPr>
                <w:rFonts w:ascii="Calibri" w:hAnsi="Calibri" w:cs="Calibri"/>
                <w:color w:val="000000"/>
                <w:sz w:val="20"/>
                <w:szCs w:val="20"/>
                <w:lang w:eastAsia="cs-CZ"/>
              </w:rPr>
              <w:t>COVID</w:t>
            </w:r>
            <w:r w:rsidR="00F56E8F">
              <w:rPr>
                <w:rFonts w:ascii="Calibri" w:hAnsi="Calibri" w:cs="Calibri"/>
                <w:color w:val="000000"/>
                <w:sz w:val="20"/>
                <w:szCs w:val="20"/>
                <w:lang w:eastAsia="cs-CZ"/>
              </w:rPr>
              <w:t xml:space="preserve"> − </w:t>
            </w:r>
            <w:r w:rsidRPr="007B4BFE">
              <w:rPr>
                <w:rFonts w:ascii="Calibri" w:hAnsi="Calibri" w:cs="Calibri"/>
                <w:color w:val="000000"/>
                <w:sz w:val="20"/>
                <w:szCs w:val="20"/>
                <w:lang w:eastAsia="cs-CZ"/>
              </w:rPr>
              <w:t xml:space="preserve">Cestovní kanceláře II. </w:t>
            </w:r>
          </w:p>
        </w:tc>
        <w:tc>
          <w:tcPr>
            <w:tcW w:w="1359" w:type="pct"/>
            <w:tcBorders>
              <w:top w:val="single" w:sz="4" w:space="0" w:color="auto"/>
              <w:left w:val="single" w:sz="4" w:space="0" w:color="auto"/>
              <w:bottom w:val="single" w:sz="4" w:space="0" w:color="auto"/>
              <w:right w:val="single" w:sz="4" w:space="0" w:color="auto"/>
            </w:tcBorders>
            <w:noWrap/>
            <w:vAlign w:val="center"/>
            <w:hideMark/>
          </w:tcPr>
          <w:p w14:paraId="6B048631" w14:textId="05215CCB" w:rsidR="00467B9E" w:rsidRPr="007B4BFE" w:rsidRDefault="00467B9E" w:rsidP="007B4BFE">
            <w:pPr>
              <w:spacing w:after="0" w:line="240" w:lineRule="auto"/>
              <w:jc w:val="center"/>
              <w:rPr>
                <w:rFonts w:ascii="Calibri" w:hAnsi="Calibri" w:cs="Calibri"/>
                <w:color w:val="000000"/>
                <w:sz w:val="20"/>
                <w:szCs w:val="20"/>
                <w:lang w:eastAsia="cs-CZ"/>
              </w:rPr>
            </w:pPr>
            <w:r w:rsidRPr="007B4BFE">
              <w:rPr>
                <w:rFonts w:ascii="Calibri" w:hAnsi="Calibri" w:cs="Calibri"/>
                <w:color w:val="000000"/>
                <w:sz w:val="20"/>
                <w:szCs w:val="20"/>
                <w:lang w:eastAsia="cs-CZ"/>
              </w:rPr>
              <w:t>1. 4.</w:t>
            </w:r>
            <w:r w:rsidR="00446324">
              <w:rPr>
                <w:rFonts w:ascii="Calibri" w:hAnsi="Calibri" w:cs="Calibri"/>
                <w:color w:val="000000"/>
                <w:sz w:val="20"/>
                <w:szCs w:val="20"/>
                <w:lang w:eastAsia="cs-CZ"/>
              </w:rPr>
              <w:t xml:space="preserve"> </w:t>
            </w:r>
            <w:r w:rsidRPr="007B4BFE">
              <w:rPr>
                <w:rFonts w:ascii="Calibri" w:hAnsi="Calibri" w:cs="Calibri"/>
                <w:color w:val="000000"/>
                <w:sz w:val="20"/>
                <w:szCs w:val="20"/>
                <w:lang w:eastAsia="cs-CZ"/>
              </w:rPr>
              <w:t>2021</w:t>
            </w:r>
            <w:r w:rsidR="00446324">
              <w:rPr>
                <w:rFonts w:ascii="Calibri" w:hAnsi="Calibri" w:cs="Calibri"/>
                <w:color w:val="000000"/>
                <w:sz w:val="20"/>
                <w:szCs w:val="20"/>
                <w:lang w:eastAsia="cs-CZ"/>
              </w:rPr>
              <w:t xml:space="preserve"> </w:t>
            </w:r>
            <w:r w:rsidRPr="007B4BFE">
              <w:rPr>
                <w:rFonts w:ascii="Calibri" w:hAnsi="Calibri" w:cs="Calibri"/>
                <w:color w:val="000000"/>
                <w:sz w:val="20"/>
                <w:szCs w:val="20"/>
                <w:lang w:eastAsia="cs-CZ"/>
              </w:rPr>
              <w:t>–</w:t>
            </w:r>
            <w:r w:rsidR="00446324">
              <w:rPr>
                <w:rFonts w:ascii="Calibri" w:hAnsi="Calibri" w:cs="Calibri"/>
                <w:color w:val="000000"/>
                <w:sz w:val="20"/>
                <w:szCs w:val="20"/>
                <w:lang w:eastAsia="cs-CZ"/>
              </w:rPr>
              <w:t xml:space="preserve"> </w:t>
            </w:r>
            <w:r w:rsidRPr="007B4BFE">
              <w:rPr>
                <w:rFonts w:ascii="Calibri" w:hAnsi="Calibri" w:cs="Calibri"/>
                <w:color w:val="000000"/>
                <w:sz w:val="20"/>
                <w:szCs w:val="20"/>
                <w:lang w:eastAsia="cs-CZ"/>
              </w:rPr>
              <w:t>7. 5.</w:t>
            </w:r>
            <w:r w:rsidR="00010371">
              <w:rPr>
                <w:rFonts w:ascii="Calibri" w:hAnsi="Calibri" w:cs="Calibri"/>
                <w:color w:val="000000"/>
                <w:sz w:val="20"/>
                <w:szCs w:val="20"/>
                <w:lang w:eastAsia="cs-CZ"/>
              </w:rPr>
              <w:t xml:space="preserve"> </w:t>
            </w:r>
            <w:r w:rsidRPr="007B4BFE">
              <w:rPr>
                <w:rFonts w:ascii="Calibri" w:hAnsi="Calibri" w:cs="Calibri"/>
                <w:color w:val="000000"/>
                <w:sz w:val="20"/>
                <w:szCs w:val="20"/>
                <w:lang w:eastAsia="cs-CZ"/>
              </w:rPr>
              <w:t>2021</w:t>
            </w:r>
          </w:p>
        </w:tc>
        <w:tc>
          <w:tcPr>
            <w:tcW w:w="719" w:type="pct"/>
            <w:tcBorders>
              <w:top w:val="single" w:sz="4" w:space="0" w:color="auto"/>
              <w:left w:val="single" w:sz="4" w:space="0" w:color="auto"/>
              <w:bottom w:val="single" w:sz="4" w:space="0" w:color="auto"/>
              <w:right w:val="single" w:sz="4" w:space="0" w:color="auto"/>
            </w:tcBorders>
            <w:noWrap/>
            <w:vAlign w:val="center"/>
            <w:hideMark/>
          </w:tcPr>
          <w:p w14:paraId="4C38DA7D" w14:textId="77777777" w:rsidR="00467B9E" w:rsidRPr="007B4BFE" w:rsidRDefault="00467B9E" w:rsidP="007B4BFE">
            <w:pPr>
              <w:spacing w:after="0" w:line="240" w:lineRule="auto"/>
              <w:jc w:val="right"/>
              <w:rPr>
                <w:rFonts w:ascii="Calibri" w:hAnsi="Calibri" w:cs="Calibri"/>
                <w:color w:val="000000"/>
                <w:sz w:val="20"/>
                <w:szCs w:val="20"/>
                <w:lang w:eastAsia="cs-CZ"/>
              </w:rPr>
            </w:pPr>
            <w:r w:rsidRPr="007B4BFE">
              <w:rPr>
                <w:rFonts w:ascii="Calibri" w:hAnsi="Calibri" w:cs="Calibri"/>
                <w:color w:val="000000"/>
                <w:sz w:val="20"/>
                <w:szCs w:val="20"/>
                <w:lang w:eastAsia="cs-CZ"/>
              </w:rPr>
              <w:t>75 000 000</w:t>
            </w:r>
          </w:p>
        </w:tc>
        <w:tc>
          <w:tcPr>
            <w:tcW w:w="1077" w:type="pct"/>
            <w:tcBorders>
              <w:top w:val="single" w:sz="4" w:space="0" w:color="auto"/>
              <w:left w:val="single" w:sz="4" w:space="0" w:color="auto"/>
              <w:bottom w:val="single" w:sz="4" w:space="0" w:color="auto"/>
              <w:right w:val="single" w:sz="4" w:space="0" w:color="auto"/>
            </w:tcBorders>
            <w:vAlign w:val="center"/>
          </w:tcPr>
          <w:p w14:paraId="34C1D409" w14:textId="738B0946" w:rsidR="00467B9E" w:rsidRPr="007B4BFE" w:rsidRDefault="009223EB" w:rsidP="007B4BFE">
            <w:pPr>
              <w:spacing w:after="0" w:line="240" w:lineRule="auto"/>
              <w:jc w:val="center"/>
              <w:rPr>
                <w:rFonts w:ascii="Calibri" w:hAnsi="Calibri" w:cs="Calibri"/>
                <w:color w:val="000000"/>
                <w:sz w:val="20"/>
                <w:szCs w:val="20"/>
                <w:lang w:eastAsia="cs-CZ"/>
              </w:rPr>
            </w:pPr>
            <w:r w:rsidRPr="007B4BFE">
              <w:rPr>
                <w:rFonts w:ascii="Calibri" w:hAnsi="Calibri" w:cs="Calibri"/>
                <w:color w:val="000000"/>
                <w:sz w:val="20"/>
                <w:szCs w:val="20"/>
                <w:lang w:eastAsia="cs-CZ"/>
              </w:rPr>
              <w:t>5</w:t>
            </w:r>
            <w:r w:rsidR="009711C4" w:rsidRPr="007B4BFE">
              <w:rPr>
                <w:rFonts w:ascii="Calibri" w:hAnsi="Calibri" w:cs="Calibri"/>
                <w:color w:val="000000"/>
                <w:sz w:val="20"/>
                <w:szCs w:val="20"/>
                <w:lang w:eastAsia="cs-CZ"/>
              </w:rPr>
              <w:t>0,04</w:t>
            </w:r>
          </w:p>
        </w:tc>
      </w:tr>
      <w:tr w:rsidR="00F947E9" w:rsidRPr="007B4BFE" w14:paraId="1DA23889" w14:textId="595D0283" w:rsidTr="00F947E9">
        <w:trPr>
          <w:trHeight w:val="255"/>
          <w:jc w:val="center"/>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1E81C592" w14:textId="77777777" w:rsidR="00467B9E" w:rsidRPr="007B4BFE" w:rsidRDefault="00467B9E" w:rsidP="007B4BFE">
            <w:pPr>
              <w:spacing w:after="0" w:line="240" w:lineRule="auto"/>
              <w:jc w:val="center"/>
              <w:rPr>
                <w:rFonts w:ascii="Calibri" w:hAnsi="Calibri" w:cs="Calibri"/>
                <w:color w:val="000000"/>
                <w:sz w:val="20"/>
                <w:szCs w:val="20"/>
                <w:lang w:eastAsia="cs-CZ"/>
              </w:rPr>
            </w:pPr>
          </w:p>
        </w:tc>
        <w:tc>
          <w:tcPr>
            <w:tcW w:w="1129" w:type="pct"/>
            <w:tcBorders>
              <w:top w:val="single" w:sz="4" w:space="0" w:color="auto"/>
              <w:left w:val="single" w:sz="4" w:space="0" w:color="auto"/>
              <w:bottom w:val="single" w:sz="4" w:space="0" w:color="auto"/>
              <w:right w:val="single" w:sz="4" w:space="0" w:color="auto"/>
            </w:tcBorders>
            <w:noWrap/>
            <w:vAlign w:val="center"/>
            <w:hideMark/>
          </w:tcPr>
          <w:p w14:paraId="738527FC" w14:textId="54CD2807" w:rsidR="00467B9E" w:rsidRPr="007B4BFE" w:rsidRDefault="00467B9E" w:rsidP="007B4BFE">
            <w:pPr>
              <w:spacing w:after="0" w:line="240" w:lineRule="auto"/>
              <w:jc w:val="center"/>
              <w:rPr>
                <w:rFonts w:ascii="Calibri" w:hAnsi="Calibri" w:cs="Calibri"/>
                <w:color w:val="000000"/>
                <w:sz w:val="20"/>
                <w:szCs w:val="20"/>
                <w:lang w:eastAsia="cs-CZ"/>
              </w:rPr>
            </w:pPr>
            <w:r w:rsidRPr="007B4BFE">
              <w:rPr>
                <w:rFonts w:ascii="Calibri" w:hAnsi="Calibri" w:cs="Calibri"/>
                <w:color w:val="000000"/>
                <w:sz w:val="20"/>
                <w:szCs w:val="20"/>
                <w:lang w:eastAsia="cs-CZ"/>
              </w:rPr>
              <w:t>COVID</w:t>
            </w:r>
            <w:r w:rsidR="00F56E8F">
              <w:rPr>
                <w:rFonts w:ascii="Calibri" w:hAnsi="Calibri" w:cs="Calibri"/>
                <w:color w:val="000000"/>
                <w:sz w:val="20"/>
                <w:szCs w:val="20"/>
                <w:lang w:eastAsia="cs-CZ"/>
              </w:rPr>
              <w:t xml:space="preserve"> − </w:t>
            </w:r>
            <w:r w:rsidRPr="007B4BFE">
              <w:rPr>
                <w:rFonts w:ascii="Calibri" w:hAnsi="Calibri" w:cs="Calibri"/>
                <w:color w:val="000000"/>
                <w:sz w:val="20"/>
                <w:szCs w:val="20"/>
                <w:lang w:eastAsia="cs-CZ"/>
              </w:rPr>
              <w:t>Cestovní agentury</w:t>
            </w:r>
          </w:p>
        </w:tc>
        <w:tc>
          <w:tcPr>
            <w:tcW w:w="1359" w:type="pct"/>
            <w:tcBorders>
              <w:top w:val="single" w:sz="4" w:space="0" w:color="auto"/>
              <w:left w:val="single" w:sz="4" w:space="0" w:color="auto"/>
              <w:bottom w:val="single" w:sz="4" w:space="0" w:color="auto"/>
              <w:right w:val="single" w:sz="4" w:space="0" w:color="auto"/>
            </w:tcBorders>
            <w:vAlign w:val="center"/>
            <w:hideMark/>
          </w:tcPr>
          <w:p w14:paraId="565BE65B" w14:textId="5D857486" w:rsidR="00467B9E" w:rsidRPr="007B4BFE" w:rsidRDefault="00467B9E" w:rsidP="007B4BFE">
            <w:pPr>
              <w:spacing w:after="0" w:line="240" w:lineRule="auto"/>
              <w:jc w:val="center"/>
              <w:rPr>
                <w:rFonts w:ascii="Calibri" w:hAnsi="Calibri" w:cs="Calibri"/>
                <w:color w:val="000000"/>
                <w:sz w:val="20"/>
                <w:szCs w:val="20"/>
                <w:lang w:eastAsia="cs-CZ"/>
              </w:rPr>
            </w:pPr>
            <w:r w:rsidRPr="007B4BFE">
              <w:rPr>
                <w:rFonts w:ascii="Calibri" w:hAnsi="Calibri" w:cs="Calibri"/>
                <w:color w:val="000000"/>
                <w:sz w:val="20"/>
                <w:szCs w:val="20"/>
                <w:lang w:eastAsia="cs-CZ"/>
              </w:rPr>
              <w:t xml:space="preserve">2. 11. 2020 </w:t>
            </w:r>
            <w:r w:rsidR="00446324">
              <w:rPr>
                <w:rFonts w:ascii="Calibri" w:hAnsi="Calibri" w:cs="Calibri"/>
                <w:color w:val="000000"/>
                <w:sz w:val="20"/>
                <w:szCs w:val="20"/>
                <w:lang w:eastAsia="cs-CZ"/>
              </w:rPr>
              <w:t>−</w:t>
            </w:r>
            <w:r w:rsidRPr="007B4BFE">
              <w:rPr>
                <w:rFonts w:ascii="Calibri" w:hAnsi="Calibri" w:cs="Calibri"/>
                <w:color w:val="000000"/>
                <w:sz w:val="20"/>
                <w:szCs w:val="20"/>
                <w:lang w:eastAsia="cs-CZ"/>
              </w:rPr>
              <w:t xml:space="preserve"> 11. 1. 2021, prodlouženo do 29. 1. 2021</w:t>
            </w:r>
          </w:p>
        </w:tc>
        <w:tc>
          <w:tcPr>
            <w:tcW w:w="719" w:type="pct"/>
            <w:tcBorders>
              <w:top w:val="single" w:sz="4" w:space="0" w:color="auto"/>
              <w:left w:val="single" w:sz="4" w:space="0" w:color="auto"/>
              <w:bottom w:val="single" w:sz="4" w:space="0" w:color="auto"/>
              <w:right w:val="single" w:sz="4" w:space="0" w:color="auto"/>
            </w:tcBorders>
            <w:noWrap/>
            <w:vAlign w:val="center"/>
            <w:hideMark/>
          </w:tcPr>
          <w:p w14:paraId="25BB4DBE" w14:textId="77777777" w:rsidR="00467B9E" w:rsidRPr="007B4BFE" w:rsidRDefault="00467B9E" w:rsidP="007B4BFE">
            <w:pPr>
              <w:spacing w:after="0" w:line="240" w:lineRule="auto"/>
              <w:jc w:val="right"/>
              <w:rPr>
                <w:rFonts w:ascii="Calibri" w:hAnsi="Calibri" w:cs="Calibri"/>
                <w:color w:val="000000"/>
                <w:sz w:val="20"/>
                <w:szCs w:val="20"/>
                <w:lang w:eastAsia="cs-CZ"/>
              </w:rPr>
            </w:pPr>
            <w:r w:rsidRPr="007B4BFE">
              <w:rPr>
                <w:rFonts w:ascii="Calibri" w:hAnsi="Calibri" w:cs="Calibri"/>
                <w:color w:val="000000"/>
                <w:sz w:val="20"/>
                <w:szCs w:val="20"/>
                <w:lang w:eastAsia="cs-CZ"/>
              </w:rPr>
              <w:t>66 700 000</w:t>
            </w:r>
          </w:p>
        </w:tc>
        <w:tc>
          <w:tcPr>
            <w:tcW w:w="1077" w:type="pct"/>
            <w:tcBorders>
              <w:top w:val="single" w:sz="4" w:space="0" w:color="auto"/>
              <w:left w:val="single" w:sz="4" w:space="0" w:color="auto"/>
              <w:bottom w:val="single" w:sz="4" w:space="0" w:color="auto"/>
              <w:right w:val="single" w:sz="4" w:space="0" w:color="auto"/>
            </w:tcBorders>
            <w:vAlign w:val="center"/>
          </w:tcPr>
          <w:p w14:paraId="60364DEE" w14:textId="625ADB86" w:rsidR="00467B9E" w:rsidRPr="007B4BFE" w:rsidRDefault="00580E36" w:rsidP="007B4BFE">
            <w:pPr>
              <w:spacing w:after="0" w:line="240" w:lineRule="auto"/>
              <w:jc w:val="center"/>
              <w:rPr>
                <w:rFonts w:ascii="Calibri" w:hAnsi="Calibri" w:cs="Calibri"/>
                <w:color w:val="000000"/>
                <w:sz w:val="20"/>
                <w:szCs w:val="20"/>
                <w:lang w:eastAsia="cs-CZ"/>
              </w:rPr>
            </w:pPr>
            <w:r w:rsidRPr="007B4BFE">
              <w:rPr>
                <w:rFonts w:ascii="Calibri" w:hAnsi="Calibri" w:cs="Calibri"/>
                <w:color w:val="000000"/>
                <w:sz w:val="20"/>
                <w:szCs w:val="20"/>
                <w:lang w:eastAsia="cs-CZ"/>
              </w:rPr>
              <w:t>9</w:t>
            </w:r>
            <w:r w:rsidR="00C3015A" w:rsidRPr="007B4BFE">
              <w:rPr>
                <w:rFonts w:ascii="Calibri" w:hAnsi="Calibri" w:cs="Calibri"/>
                <w:color w:val="000000"/>
                <w:sz w:val="20"/>
                <w:szCs w:val="20"/>
                <w:lang w:eastAsia="cs-CZ"/>
              </w:rPr>
              <w:t>3,32</w:t>
            </w:r>
          </w:p>
        </w:tc>
      </w:tr>
      <w:tr w:rsidR="00F947E9" w:rsidRPr="007B4BFE" w14:paraId="6C83A92E" w14:textId="791EA90D" w:rsidTr="00F947E9">
        <w:trPr>
          <w:trHeight w:val="255"/>
          <w:jc w:val="center"/>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735F9052" w14:textId="77777777" w:rsidR="00467B9E" w:rsidRPr="007B4BFE" w:rsidRDefault="00467B9E" w:rsidP="007B4BFE">
            <w:pPr>
              <w:spacing w:after="0" w:line="240" w:lineRule="auto"/>
              <w:jc w:val="center"/>
              <w:rPr>
                <w:rFonts w:ascii="Calibri" w:hAnsi="Calibri" w:cs="Calibri"/>
                <w:color w:val="000000"/>
                <w:sz w:val="20"/>
                <w:szCs w:val="20"/>
                <w:lang w:eastAsia="cs-CZ"/>
              </w:rPr>
            </w:pPr>
          </w:p>
        </w:tc>
        <w:tc>
          <w:tcPr>
            <w:tcW w:w="1129" w:type="pct"/>
            <w:tcBorders>
              <w:top w:val="single" w:sz="4" w:space="0" w:color="auto"/>
              <w:left w:val="single" w:sz="4" w:space="0" w:color="auto"/>
              <w:bottom w:val="single" w:sz="4" w:space="0" w:color="auto"/>
              <w:right w:val="single" w:sz="4" w:space="0" w:color="auto"/>
            </w:tcBorders>
            <w:noWrap/>
            <w:vAlign w:val="center"/>
            <w:hideMark/>
          </w:tcPr>
          <w:p w14:paraId="34308E9A" w14:textId="63D42CAB" w:rsidR="00467B9E" w:rsidRPr="007B4BFE" w:rsidRDefault="00467B9E" w:rsidP="007B4BFE">
            <w:pPr>
              <w:spacing w:after="0" w:line="240" w:lineRule="auto"/>
              <w:jc w:val="center"/>
              <w:rPr>
                <w:rFonts w:ascii="Calibri" w:hAnsi="Calibri" w:cs="Calibri"/>
                <w:color w:val="000000"/>
                <w:sz w:val="20"/>
                <w:szCs w:val="20"/>
                <w:lang w:eastAsia="cs-CZ"/>
              </w:rPr>
            </w:pPr>
            <w:r w:rsidRPr="007B4BFE">
              <w:rPr>
                <w:rFonts w:ascii="Calibri" w:hAnsi="Calibri" w:cs="Calibri"/>
                <w:color w:val="000000"/>
                <w:sz w:val="20"/>
                <w:szCs w:val="20"/>
                <w:lang w:eastAsia="cs-CZ"/>
              </w:rPr>
              <w:t>COVID</w:t>
            </w:r>
            <w:r w:rsidR="00F56E8F">
              <w:rPr>
                <w:rFonts w:ascii="Calibri" w:hAnsi="Calibri" w:cs="Calibri"/>
                <w:color w:val="000000"/>
                <w:sz w:val="20"/>
                <w:szCs w:val="20"/>
                <w:lang w:eastAsia="cs-CZ"/>
              </w:rPr>
              <w:t xml:space="preserve"> − </w:t>
            </w:r>
            <w:r w:rsidRPr="007B4BFE">
              <w:rPr>
                <w:rFonts w:ascii="Calibri" w:hAnsi="Calibri" w:cs="Calibri"/>
                <w:color w:val="000000"/>
                <w:sz w:val="20"/>
                <w:szCs w:val="20"/>
                <w:lang w:eastAsia="cs-CZ"/>
              </w:rPr>
              <w:t>Průvodci v</w:t>
            </w:r>
            <w:r w:rsidR="007B4BFE">
              <w:rPr>
                <w:rFonts w:ascii="Calibri" w:hAnsi="Calibri" w:cs="Calibri"/>
                <w:color w:val="000000"/>
                <w:sz w:val="20"/>
                <w:szCs w:val="20"/>
                <w:lang w:eastAsia="cs-CZ"/>
              </w:rPr>
              <w:t> </w:t>
            </w:r>
            <w:r w:rsidRPr="007B4BFE">
              <w:rPr>
                <w:rFonts w:ascii="Calibri" w:hAnsi="Calibri" w:cs="Calibri"/>
                <w:color w:val="000000"/>
                <w:sz w:val="20"/>
                <w:szCs w:val="20"/>
                <w:lang w:eastAsia="cs-CZ"/>
              </w:rPr>
              <w:t>cestovním ruchu</w:t>
            </w:r>
          </w:p>
        </w:tc>
        <w:tc>
          <w:tcPr>
            <w:tcW w:w="1359" w:type="pct"/>
            <w:tcBorders>
              <w:top w:val="single" w:sz="4" w:space="0" w:color="auto"/>
              <w:left w:val="single" w:sz="4" w:space="0" w:color="auto"/>
              <w:bottom w:val="single" w:sz="4" w:space="0" w:color="auto"/>
              <w:right w:val="single" w:sz="4" w:space="0" w:color="auto"/>
            </w:tcBorders>
            <w:vAlign w:val="center"/>
            <w:hideMark/>
          </w:tcPr>
          <w:p w14:paraId="45DB8AAD" w14:textId="5DC27CDA" w:rsidR="00467B9E" w:rsidRPr="007B4BFE" w:rsidRDefault="00467B9E" w:rsidP="007B4BFE">
            <w:pPr>
              <w:spacing w:after="0" w:line="240" w:lineRule="auto"/>
              <w:jc w:val="center"/>
              <w:rPr>
                <w:rFonts w:ascii="Calibri" w:hAnsi="Calibri" w:cs="Calibri"/>
                <w:color w:val="000000"/>
                <w:sz w:val="20"/>
                <w:szCs w:val="20"/>
                <w:lang w:eastAsia="cs-CZ"/>
              </w:rPr>
            </w:pPr>
            <w:r w:rsidRPr="007B4BFE">
              <w:rPr>
                <w:rFonts w:ascii="Calibri" w:hAnsi="Calibri" w:cs="Calibri"/>
                <w:color w:val="000000"/>
                <w:sz w:val="20"/>
                <w:szCs w:val="20"/>
                <w:lang w:eastAsia="cs-CZ"/>
              </w:rPr>
              <w:t xml:space="preserve">2. 11. 2020 </w:t>
            </w:r>
            <w:r w:rsidR="00446324">
              <w:rPr>
                <w:rFonts w:ascii="Calibri" w:hAnsi="Calibri" w:cs="Calibri"/>
                <w:color w:val="000000"/>
                <w:sz w:val="20"/>
                <w:szCs w:val="20"/>
                <w:lang w:eastAsia="cs-CZ"/>
              </w:rPr>
              <w:t>−</w:t>
            </w:r>
            <w:r w:rsidRPr="007B4BFE">
              <w:rPr>
                <w:rFonts w:ascii="Calibri" w:hAnsi="Calibri" w:cs="Calibri"/>
                <w:color w:val="000000"/>
                <w:sz w:val="20"/>
                <w:szCs w:val="20"/>
                <w:lang w:eastAsia="cs-CZ"/>
              </w:rPr>
              <w:t xml:space="preserve"> 11. 1. 2021, prodlouženo do 29. 1. 2021</w:t>
            </w:r>
          </w:p>
        </w:tc>
        <w:tc>
          <w:tcPr>
            <w:tcW w:w="719" w:type="pct"/>
            <w:tcBorders>
              <w:top w:val="single" w:sz="4" w:space="0" w:color="auto"/>
              <w:left w:val="single" w:sz="4" w:space="0" w:color="auto"/>
              <w:bottom w:val="single" w:sz="4" w:space="0" w:color="auto"/>
              <w:right w:val="single" w:sz="4" w:space="0" w:color="auto"/>
            </w:tcBorders>
            <w:noWrap/>
            <w:vAlign w:val="center"/>
            <w:hideMark/>
          </w:tcPr>
          <w:p w14:paraId="20BF78A2" w14:textId="77777777" w:rsidR="00467B9E" w:rsidRPr="007B4BFE" w:rsidRDefault="00467B9E" w:rsidP="007B4BFE">
            <w:pPr>
              <w:spacing w:after="0" w:line="240" w:lineRule="auto"/>
              <w:jc w:val="right"/>
              <w:rPr>
                <w:rFonts w:ascii="Calibri" w:hAnsi="Calibri" w:cs="Calibri"/>
                <w:color w:val="000000"/>
                <w:sz w:val="20"/>
                <w:szCs w:val="20"/>
                <w:lang w:eastAsia="cs-CZ"/>
              </w:rPr>
            </w:pPr>
            <w:r w:rsidRPr="007B4BFE">
              <w:rPr>
                <w:rFonts w:ascii="Calibri" w:hAnsi="Calibri" w:cs="Calibri"/>
                <w:color w:val="000000"/>
                <w:sz w:val="20"/>
                <w:szCs w:val="20"/>
                <w:lang w:eastAsia="cs-CZ"/>
              </w:rPr>
              <w:t>25 000 000</w:t>
            </w:r>
          </w:p>
        </w:tc>
        <w:tc>
          <w:tcPr>
            <w:tcW w:w="1077" w:type="pct"/>
            <w:tcBorders>
              <w:top w:val="single" w:sz="4" w:space="0" w:color="auto"/>
              <w:left w:val="single" w:sz="4" w:space="0" w:color="auto"/>
              <w:bottom w:val="single" w:sz="4" w:space="0" w:color="auto"/>
              <w:right w:val="single" w:sz="4" w:space="0" w:color="auto"/>
            </w:tcBorders>
            <w:vAlign w:val="center"/>
          </w:tcPr>
          <w:p w14:paraId="2848492A" w14:textId="4F6252CD" w:rsidR="00467B9E" w:rsidRPr="007B4BFE" w:rsidRDefault="009223EB" w:rsidP="007B4BFE">
            <w:pPr>
              <w:spacing w:after="0" w:line="240" w:lineRule="auto"/>
              <w:jc w:val="center"/>
              <w:rPr>
                <w:rFonts w:ascii="Calibri" w:hAnsi="Calibri" w:cs="Calibri"/>
                <w:color w:val="000000"/>
                <w:sz w:val="20"/>
                <w:szCs w:val="20"/>
                <w:lang w:eastAsia="cs-CZ"/>
              </w:rPr>
            </w:pPr>
            <w:r w:rsidRPr="007B4BFE">
              <w:rPr>
                <w:rFonts w:ascii="Calibri" w:hAnsi="Calibri" w:cs="Calibri"/>
                <w:color w:val="000000"/>
                <w:sz w:val="20"/>
                <w:szCs w:val="20"/>
                <w:lang w:eastAsia="cs-CZ"/>
              </w:rPr>
              <w:t>77,</w:t>
            </w:r>
            <w:r w:rsidR="000505BA" w:rsidRPr="007B4BFE">
              <w:rPr>
                <w:rFonts w:ascii="Calibri" w:hAnsi="Calibri" w:cs="Calibri"/>
                <w:color w:val="000000"/>
                <w:sz w:val="20"/>
                <w:szCs w:val="20"/>
                <w:lang w:eastAsia="cs-CZ"/>
              </w:rPr>
              <w:t>44</w:t>
            </w:r>
          </w:p>
        </w:tc>
      </w:tr>
      <w:tr w:rsidR="00F947E9" w:rsidRPr="007B4BFE" w14:paraId="3E8A8B59" w14:textId="77777777" w:rsidTr="00F947E9">
        <w:trPr>
          <w:trHeight w:val="255"/>
          <w:jc w:val="center"/>
        </w:trPr>
        <w:tc>
          <w:tcPr>
            <w:tcW w:w="716" w:type="pct"/>
            <w:vMerge w:val="restart"/>
            <w:tcBorders>
              <w:top w:val="single" w:sz="4" w:space="0" w:color="auto"/>
              <w:left w:val="single" w:sz="4" w:space="0" w:color="auto"/>
              <w:right w:val="single" w:sz="4" w:space="0" w:color="auto"/>
            </w:tcBorders>
            <w:vAlign w:val="center"/>
          </w:tcPr>
          <w:p w14:paraId="0088FC56" w14:textId="093CA425" w:rsidR="00467B9E" w:rsidRPr="007B4BFE" w:rsidRDefault="00467B9E" w:rsidP="007B4BFE">
            <w:pPr>
              <w:spacing w:after="0" w:line="240" w:lineRule="auto"/>
              <w:jc w:val="center"/>
              <w:rPr>
                <w:rFonts w:ascii="Calibri" w:hAnsi="Calibri" w:cs="Calibri"/>
                <w:color w:val="000000"/>
                <w:sz w:val="20"/>
                <w:szCs w:val="20"/>
                <w:lang w:eastAsia="cs-CZ"/>
              </w:rPr>
            </w:pPr>
            <w:r w:rsidRPr="007B4BFE">
              <w:rPr>
                <w:rFonts w:ascii="Calibri" w:hAnsi="Calibri" w:cs="Calibri"/>
                <w:color w:val="000000"/>
                <w:sz w:val="20"/>
                <w:szCs w:val="20"/>
                <w:lang w:eastAsia="cs-CZ"/>
              </w:rPr>
              <w:t>COVID</w:t>
            </w:r>
            <w:r w:rsidR="009B3766">
              <w:rPr>
                <w:rFonts w:ascii="Calibri" w:hAnsi="Calibri" w:cs="Calibri"/>
                <w:color w:val="000000"/>
                <w:sz w:val="20"/>
                <w:szCs w:val="20"/>
                <w:lang w:eastAsia="cs-CZ"/>
              </w:rPr>
              <w:t xml:space="preserve"> − </w:t>
            </w:r>
            <w:r w:rsidRPr="007B4BFE">
              <w:rPr>
                <w:rFonts w:ascii="Calibri" w:hAnsi="Calibri" w:cs="Calibri"/>
                <w:color w:val="000000"/>
                <w:sz w:val="20"/>
                <w:szCs w:val="20"/>
                <w:lang w:eastAsia="cs-CZ"/>
              </w:rPr>
              <w:t>Lázně</w:t>
            </w:r>
          </w:p>
        </w:tc>
        <w:tc>
          <w:tcPr>
            <w:tcW w:w="1129" w:type="pct"/>
            <w:tcBorders>
              <w:top w:val="single" w:sz="4" w:space="0" w:color="auto"/>
              <w:left w:val="single" w:sz="4" w:space="0" w:color="auto"/>
              <w:bottom w:val="single" w:sz="4" w:space="0" w:color="auto"/>
              <w:right w:val="single" w:sz="4" w:space="0" w:color="auto"/>
            </w:tcBorders>
            <w:noWrap/>
            <w:vAlign w:val="center"/>
          </w:tcPr>
          <w:p w14:paraId="22451F93" w14:textId="7671D6F6" w:rsidR="00467B9E" w:rsidRPr="007B4BFE" w:rsidRDefault="00467B9E" w:rsidP="007B4BFE">
            <w:pPr>
              <w:spacing w:after="0" w:line="240" w:lineRule="auto"/>
              <w:jc w:val="center"/>
              <w:rPr>
                <w:rFonts w:ascii="Calibri" w:hAnsi="Calibri" w:cs="Calibri"/>
                <w:color w:val="000000"/>
                <w:sz w:val="20"/>
                <w:szCs w:val="20"/>
                <w:lang w:eastAsia="cs-CZ"/>
              </w:rPr>
            </w:pPr>
            <w:r w:rsidRPr="007B4BFE">
              <w:rPr>
                <w:rFonts w:ascii="Calibri" w:hAnsi="Calibri" w:cs="Calibri"/>
                <w:color w:val="000000"/>
                <w:sz w:val="20"/>
                <w:szCs w:val="20"/>
                <w:lang w:eastAsia="cs-CZ"/>
              </w:rPr>
              <w:t>COVID</w:t>
            </w:r>
            <w:r w:rsidR="00F56E8F">
              <w:rPr>
                <w:rFonts w:ascii="Calibri" w:hAnsi="Calibri" w:cs="Calibri"/>
                <w:color w:val="000000"/>
                <w:sz w:val="20"/>
                <w:szCs w:val="20"/>
                <w:lang w:eastAsia="cs-CZ"/>
              </w:rPr>
              <w:t xml:space="preserve"> − </w:t>
            </w:r>
            <w:r w:rsidRPr="007B4BFE">
              <w:rPr>
                <w:rFonts w:ascii="Calibri" w:hAnsi="Calibri" w:cs="Calibri"/>
                <w:color w:val="000000"/>
                <w:sz w:val="20"/>
                <w:szCs w:val="20"/>
                <w:lang w:eastAsia="cs-CZ"/>
              </w:rPr>
              <w:t>Lázně</w:t>
            </w:r>
          </w:p>
        </w:tc>
        <w:tc>
          <w:tcPr>
            <w:tcW w:w="1359" w:type="pct"/>
            <w:tcBorders>
              <w:top w:val="single" w:sz="4" w:space="0" w:color="auto"/>
              <w:left w:val="single" w:sz="4" w:space="0" w:color="auto"/>
              <w:bottom w:val="single" w:sz="4" w:space="0" w:color="auto"/>
              <w:right w:val="single" w:sz="4" w:space="0" w:color="auto"/>
            </w:tcBorders>
            <w:vAlign w:val="center"/>
          </w:tcPr>
          <w:p w14:paraId="50D903F3" w14:textId="08508C10" w:rsidR="00467B9E" w:rsidRPr="007B4BFE" w:rsidRDefault="00467B9E" w:rsidP="007B4BFE">
            <w:pPr>
              <w:spacing w:after="0" w:line="240" w:lineRule="auto"/>
              <w:jc w:val="center"/>
              <w:rPr>
                <w:rFonts w:ascii="Calibri" w:hAnsi="Calibri" w:cs="Calibri"/>
                <w:color w:val="000000"/>
                <w:sz w:val="20"/>
                <w:szCs w:val="20"/>
                <w:lang w:eastAsia="cs-CZ"/>
              </w:rPr>
            </w:pPr>
            <w:r w:rsidRPr="007B4BFE">
              <w:rPr>
                <w:rFonts w:ascii="Calibri" w:hAnsi="Calibri" w:cs="Calibri"/>
                <w:color w:val="000000"/>
                <w:sz w:val="20"/>
                <w:szCs w:val="20"/>
                <w:lang w:eastAsia="cs-CZ"/>
              </w:rPr>
              <w:t xml:space="preserve">24. 8. 2020 </w:t>
            </w:r>
            <w:r w:rsidR="00446324">
              <w:rPr>
                <w:rFonts w:ascii="Calibri" w:hAnsi="Calibri" w:cs="Calibri"/>
                <w:color w:val="000000"/>
                <w:sz w:val="20"/>
                <w:szCs w:val="20"/>
                <w:lang w:eastAsia="cs-CZ"/>
              </w:rPr>
              <w:t>−</w:t>
            </w:r>
            <w:r w:rsidRPr="007B4BFE">
              <w:rPr>
                <w:rFonts w:ascii="Calibri" w:hAnsi="Calibri" w:cs="Calibri"/>
                <w:color w:val="000000"/>
                <w:sz w:val="20"/>
                <w:szCs w:val="20"/>
                <w:lang w:eastAsia="cs-CZ"/>
              </w:rPr>
              <w:t xml:space="preserve"> 30. 9. 2020</w:t>
            </w:r>
          </w:p>
        </w:tc>
        <w:tc>
          <w:tcPr>
            <w:tcW w:w="719" w:type="pct"/>
            <w:tcBorders>
              <w:top w:val="single" w:sz="4" w:space="0" w:color="auto"/>
              <w:left w:val="single" w:sz="4" w:space="0" w:color="auto"/>
              <w:bottom w:val="single" w:sz="4" w:space="0" w:color="auto"/>
              <w:right w:val="single" w:sz="4" w:space="0" w:color="auto"/>
            </w:tcBorders>
            <w:noWrap/>
            <w:vAlign w:val="center"/>
          </w:tcPr>
          <w:p w14:paraId="3982BCDD" w14:textId="23FFFC8E" w:rsidR="00467B9E" w:rsidRPr="007B4BFE" w:rsidRDefault="00467B9E" w:rsidP="007B4BFE">
            <w:pPr>
              <w:spacing w:after="0" w:line="240" w:lineRule="auto"/>
              <w:jc w:val="right"/>
              <w:rPr>
                <w:rFonts w:ascii="Calibri" w:hAnsi="Calibri" w:cs="Calibri"/>
                <w:color w:val="000000"/>
                <w:sz w:val="20"/>
                <w:szCs w:val="20"/>
                <w:lang w:eastAsia="cs-CZ"/>
              </w:rPr>
            </w:pPr>
            <w:r w:rsidRPr="007B4BFE">
              <w:rPr>
                <w:rFonts w:ascii="Calibri" w:hAnsi="Calibri" w:cs="Calibri"/>
                <w:color w:val="000000"/>
                <w:sz w:val="20"/>
                <w:szCs w:val="20"/>
                <w:lang w:eastAsia="cs-CZ"/>
              </w:rPr>
              <w:t>1 000 000 000</w:t>
            </w:r>
          </w:p>
        </w:tc>
        <w:tc>
          <w:tcPr>
            <w:tcW w:w="1077" w:type="pct"/>
            <w:vMerge w:val="restart"/>
            <w:tcBorders>
              <w:top w:val="single" w:sz="4" w:space="0" w:color="auto"/>
              <w:left w:val="single" w:sz="4" w:space="0" w:color="auto"/>
              <w:right w:val="single" w:sz="4" w:space="0" w:color="auto"/>
            </w:tcBorders>
            <w:vAlign w:val="center"/>
          </w:tcPr>
          <w:p w14:paraId="67944792" w14:textId="5A46DD03" w:rsidR="00467B9E" w:rsidRPr="007B4BFE" w:rsidRDefault="009223EB" w:rsidP="007B4BFE">
            <w:pPr>
              <w:spacing w:after="0" w:line="240" w:lineRule="auto"/>
              <w:jc w:val="center"/>
              <w:rPr>
                <w:rFonts w:ascii="Calibri" w:hAnsi="Calibri" w:cs="Calibri"/>
                <w:color w:val="000000"/>
                <w:sz w:val="20"/>
                <w:szCs w:val="20"/>
                <w:lang w:eastAsia="cs-CZ"/>
              </w:rPr>
            </w:pPr>
            <w:r w:rsidRPr="007B4BFE">
              <w:rPr>
                <w:rFonts w:ascii="Calibri" w:hAnsi="Calibri" w:cs="Calibri"/>
                <w:color w:val="000000"/>
                <w:sz w:val="20"/>
                <w:szCs w:val="20"/>
                <w:lang w:eastAsia="cs-CZ"/>
              </w:rPr>
              <w:t>31,11</w:t>
            </w:r>
          </w:p>
        </w:tc>
      </w:tr>
      <w:tr w:rsidR="00F947E9" w:rsidRPr="007B4BFE" w14:paraId="6D7800E7" w14:textId="77777777" w:rsidTr="00F947E9">
        <w:trPr>
          <w:trHeight w:val="255"/>
          <w:jc w:val="center"/>
        </w:trPr>
        <w:tc>
          <w:tcPr>
            <w:tcW w:w="716" w:type="pct"/>
            <w:vMerge/>
            <w:tcBorders>
              <w:left w:val="single" w:sz="4" w:space="0" w:color="auto"/>
              <w:bottom w:val="single" w:sz="4" w:space="0" w:color="auto"/>
              <w:right w:val="single" w:sz="4" w:space="0" w:color="auto"/>
            </w:tcBorders>
            <w:vAlign w:val="center"/>
          </w:tcPr>
          <w:p w14:paraId="1EE23774" w14:textId="77777777" w:rsidR="00467B9E" w:rsidRPr="007B4BFE" w:rsidRDefault="00467B9E" w:rsidP="007B4BFE">
            <w:pPr>
              <w:spacing w:after="0" w:line="240" w:lineRule="auto"/>
              <w:jc w:val="center"/>
              <w:rPr>
                <w:rFonts w:ascii="Calibri" w:hAnsi="Calibri" w:cs="Calibri"/>
                <w:color w:val="000000"/>
                <w:sz w:val="20"/>
                <w:szCs w:val="20"/>
                <w:lang w:eastAsia="cs-CZ"/>
              </w:rPr>
            </w:pPr>
          </w:p>
        </w:tc>
        <w:tc>
          <w:tcPr>
            <w:tcW w:w="1129" w:type="pct"/>
            <w:tcBorders>
              <w:top w:val="single" w:sz="4" w:space="0" w:color="auto"/>
              <w:left w:val="single" w:sz="4" w:space="0" w:color="auto"/>
              <w:bottom w:val="single" w:sz="4" w:space="0" w:color="auto"/>
              <w:right w:val="single" w:sz="4" w:space="0" w:color="auto"/>
            </w:tcBorders>
            <w:noWrap/>
            <w:vAlign w:val="center"/>
          </w:tcPr>
          <w:p w14:paraId="67762D89" w14:textId="1519FC7C" w:rsidR="00467B9E" w:rsidRPr="007B4BFE" w:rsidRDefault="00467B9E" w:rsidP="007B4BFE">
            <w:pPr>
              <w:spacing w:after="0" w:line="240" w:lineRule="auto"/>
              <w:jc w:val="center"/>
              <w:rPr>
                <w:rFonts w:ascii="Calibri" w:hAnsi="Calibri" w:cs="Calibri"/>
                <w:color w:val="000000"/>
                <w:sz w:val="20"/>
                <w:szCs w:val="20"/>
                <w:lang w:eastAsia="cs-CZ"/>
              </w:rPr>
            </w:pPr>
            <w:r w:rsidRPr="007B4BFE">
              <w:rPr>
                <w:rFonts w:ascii="Calibri" w:hAnsi="Calibri" w:cs="Calibri"/>
                <w:color w:val="000000"/>
                <w:sz w:val="20"/>
                <w:szCs w:val="20"/>
                <w:lang w:eastAsia="cs-CZ"/>
              </w:rPr>
              <w:t>COVID</w:t>
            </w:r>
            <w:r w:rsidR="00010371">
              <w:rPr>
                <w:rFonts w:ascii="Calibri" w:hAnsi="Calibri" w:cs="Calibri"/>
                <w:color w:val="000000"/>
                <w:sz w:val="20"/>
                <w:szCs w:val="20"/>
                <w:lang w:eastAsia="cs-CZ"/>
              </w:rPr>
              <w:t xml:space="preserve"> − </w:t>
            </w:r>
            <w:r w:rsidRPr="007B4BFE">
              <w:rPr>
                <w:rFonts w:ascii="Calibri" w:hAnsi="Calibri" w:cs="Calibri"/>
                <w:color w:val="000000"/>
                <w:sz w:val="20"/>
                <w:szCs w:val="20"/>
                <w:lang w:eastAsia="cs-CZ"/>
              </w:rPr>
              <w:t>Lázně 2021</w:t>
            </w:r>
          </w:p>
        </w:tc>
        <w:tc>
          <w:tcPr>
            <w:tcW w:w="1359" w:type="pct"/>
            <w:tcBorders>
              <w:top w:val="single" w:sz="4" w:space="0" w:color="auto"/>
              <w:left w:val="single" w:sz="4" w:space="0" w:color="auto"/>
              <w:bottom w:val="single" w:sz="4" w:space="0" w:color="auto"/>
              <w:right w:val="single" w:sz="4" w:space="0" w:color="auto"/>
            </w:tcBorders>
            <w:vAlign w:val="center"/>
          </w:tcPr>
          <w:p w14:paraId="3BBDDD27" w14:textId="20F7DD24" w:rsidR="00467B9E" w:rsidRPr="007B4BFE" w:rsidRDefault="00467B9E" w:rsidP="007B4BFE">
            <w:pPr>
              <w:spacing w:after="0" w:line="240" w:lineRule="auto"/>
              <w:jc w:val="center"/>
              <w:rPr>
                <w:rFonts w:ascii="Calibri" w:hAnsi="Calibri" w:cs="Calibri"/>
                <w:color w:val="000000"/>
                <w:sz w:val="20"/>
                <w:szCs w:val="20"/>
                <w:lang w:eastAsia="cs-CZ"/>
              </w:rPr>
            </w:pPr>
            <w:r w:rsidRPr="007B4BFE">
              <w:rPr>
                <w:rFonts w:ascii="Calibri" w:hAnsi="Calibri" w:cs="Calibri"/>
                <w:color w:val="000000"/>
                <w:sz w:val="20"/>
                <w:szCs w:val="20"/>
                <w:lang w:eastAsia="cs-CZ"/>
              </w:rPr>
              <w:t xml:space="preserve">6. 4. 2021 </w:t>
            </w:r>
            <w:r w:rsidR="00446324">
              <w:rPr>
                <w:rFonts w:ascii="Calibri" w:hAnsi="Calibri" w:cs="Calibri"/>
                <w:color w:val="000000"/>
                <w:sz w:val="20"/>
                <w:szCs w:val="20"/>
                <w:lang w:eastAsia="cs-CZ"/>
              </w:rPr>
              <w:t>−</w:t>
            </w:r>
            <w:r w:rsidRPr="007B4BFE">
              <w:rPr>
                <w:rFonts w:ascii="Calibri" w:hAnsi="Calibri" w:cs="Calibri"/>
                <w:color w:val="000000"/>
                <w:sz w:val="20"/>
                <w:szCs w:val="20"/>
                <w:lang w:eastAsia="cs-CZ"/>
              </w:rPr>
              <w:t xml:space="preserve"> 28. 5. 2021</w:t>
            </w:r>
          </w:p>
        </w:tc>
        <w:tc>
          <w:tcPr>
            <w:tcW w:w="719" w:type="pct"/>
            <w:tcBorders>
              <w:top w:val="single" w:sz="4" w:space="0" w:color="auto"/>
              <w:left w:val="single" w:sz="4" w:space="0" w:color="auto"/>
              <w:bottom w:val="single" w:sz="4" w:space="0" w:color="auto"/>
              <w:right w:val="single" w:sz="4" w:space="0" w:color="auto"/>
            </w:tcBorders>
            <w:noWrap/>
            <w:vAlign w:val="center"/>
          </w:tcPr>
          <w:p w14:paraId="2BC1ECF5" w14:textId="08C3D920" w:rsidR="00467B9E" w:rsidRPr="007B4BFE" w:rsidRDefault="00467B9E" w:rsidP="007B4BFE">
            <w:pPr>
              <w:spacing w:after="0" w:line="240" w:lineRule="auto"/>
              <w:jc w:val="right"/>
              <w:rPr>
                <w:rFonts w:ascii="Calibri" w:hAnsi="Calibri" w:cs="Calibri"/>
                <w:color w:val="000000"/>
                <w:sz w:val="20"/>
                <w:szCs w:val="20"/>
                <w:lang w:eastAsia="cs-CZ"/>
              </w:rPr>
            </w:pPr>
            <w:r w:rsidRPr="007B4BFE">
              <w:rPr>
                <w:rFonts w:ascii="Calibri" w:hAnsi="Calibri" w:cs="Calibri"/>
                <w:color w:val="000000"/>
                <w:sz w:val="20"/>
                <w:szCs w:val="20"/>
                <w:lang w:eastAsia="cs-CZ"/>
              </w:rPr>
              <w:t>743 800 000</w:t>
            </w:r>
          </w:p>
        </w:tc>
        <w:tc>
          <w:tcPr>
            <w:tcW w:w="1077" w:type="pct"/>
            <w:vMerge/>
            <w:tcBorders>
              <w:left w:val="single" w:sz="4" w:space="0" w:color="auto"/>
              <w:bottom w:val="single" w:sz="4" w:space="0" w:color="auto"/>
              <w:right w:val="single" w:sz="4" w:space="0" w:color="auto"/>
            </w:tcBorders>
            <w:vAlign w:val="center"/>
          </w:tcPr>
          <w:p w14:paraId="49AC2E46" w14:textId="77777777" w:rsidR="00467B9E" w:rsidRPr="007B4BFE" w:rsidRDefault="00467B9E" w:rsidP="007B4BFE">
            <w:pPr>
              <w:spacing w:after="0" w:line="240" w:lineRule="auto"/>
              <w:jc w:val="center"/>
              <w:rPr>
                <w:rFonts w:ascii="Calibri" w:hAnsi="Calibri" w:cs="Calibri"/>
                <w:color w:val="000000"/>
                <w:sz w:val="20"/>
                <w:szCs w:val="20"/>
                <w:lang w:eastAsia="cs-CZ"/>
              </w:rPr>
            </w:pPr>
          </w:p>
        </w:tc>
      </w:tr>
      <w:tr w:rsidR="00F947E9" w:rsidRPr="007B4BFE" w14:paraId="20AE4E24" w14:textId="77777777" w:rsidTr="00F947E9">
        <w:trPr>
          <w:trHeight w:val="255"/>
          <w:jc w:val="center"/>
        </w:trPr>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3317429D" w14:textId="5FEB7B7A" w:rsidR="00467B9E" w:rsidRPr="007B4BFE" w:rsidRDefault="00BC27F2" w:rsidP="007B4BFE">
            <w:pPr>
              <w:spacing w:after="0" w:line="240" w:lineRule="auto"/>
              <w:jc w:val="center"/>
              <w:rPr>
                <w:rFonts w:ascii="Calibri" w:hAnsi="Calibri" w:cs="Calibri"/>
                <w:color w:val="000000"/>
                <w:sz w:val="20"/>
                <w:szCs w:val="20"/>
                <w:lang w:eastAsia="cs-CZ"/>
              </w:rPr>
            </w:pPr>
            <w:r w:rsidRPr="007B4BFE">
              <w:rPr>
                <w:rFonts w:ascii="Calibri" w:hAnsi="Calibri" w:cs="Calibri"/>
                <w:color w:val="000000"/>
                <w:sz w:val="20"/>
                <w:szCs w:val="20"/>
                <w:lang w:eastAsia="cs-CZ"/>
              </w:rPr>
              <w:t>COVID</w:t>
            </w:r>
            <w:r w:rsidR="009B3766">
              <w:rPr>
                <w:rFonts w:ascii="Calibri" w:hAnsi="Calibri" w:cs="Calibri"/>
                <w:color w:val="000000"/>
                <w:sz w:val="20"/>
                <w:szCs w:val="20"/>
                <w:lang w:eastAsia="cs-CZ"/>
              </w:rPr>
              <w:t xml:space="preserve"> − </w:t>
            </w:r>
            <w:r w:rsidRPr="007B4BFE">
              <w:rPr>
                <w:rFonts w:ascii="Calibri" w:hAnsi="Calibri" w:cs="Calibri"/>
                <w:color w:val="000000"/>
                <w:sz w:val="20"/>
                <w:szCs w:val="20"/>
                <w:lang w:eastAsia="cs-CZ"/>
              </w:rPr>
              <w:t>Ubytování II.</w:t>
            </w:r>
          </w:p>
        </w:tc>
        <w:tc>
          <w:tcPr>
            <w:tcW w:w="11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63564E" w14:textId="290618FF" w:rsidR="00467B9E" w:rsidRPr="007B4BFE" w:rsidRDefault="00BC27F2" w:rsidP="007B4BFE">
            <w:pPr>
              <w:spacing w:after="0" w:line="240" w:lineRule="auto"/>
              <w:jc w:val="center"/>
              <w:rPr>
                <w:rFonts w:ascii="Calibri" w:hAnsi="Calibri" w:cs="Calibri"/>
                <w:color w:val="000000"/>
                <w:sz w:val="20"/>
                <w:szCs w:val="20"/>
                <w:lang w:eastAsia="cs-CZ"/>
              </w:rPr>
            </w:pPr>
            <w:r w:rsidRPr="007B4BFE">
              <w:rPr>
                <w:rFonts w:ascii="Calibri" w:hAnsi="Calibri" w:cs="Calibri"/>
                <w:color w:val="000000"/>
                <w:sz w:val="20"/>
                <w:szCs w:val="20"/>
                <w:lang w:eastAsia="cs-CZ"/>
              </w:rPr>
              <w:t>Záruky cestovním kancelářím</w:t>
            </w:r>
          </w:p>
        </w:tc>
        <w:tc>
          <w:tcPr>
            <w:tcW w:w="1359" w:type="pct"/>
            <w:tcBorders>
              <w:top w:val="single" w:sz="4" w:space="0" w:color="auto"/>
              <w:left w:val="single" w:sz="4" w:space="0" w:color="auto"/>
              <w:bottom w:val="single" w:sz="4" w:space="0" w:color="auto"/>
              <w:right w:val="single" w:sz="4" w:space="0" w:color="auto"/>
            </w:tcBorders>
            <w:vAlign w:val="center"/>
          </w:tcPr>
          <w:p w14:paraId="63F2BCEF" w14:textId="67ECE982" w:rsidR="00467B9E" w:rsidRPr="007B4BFE" w:rsidRDefault="00BC27F2" w:rsidP="007B4BFE">
            <w:pPr>
              <w:spacing w:after="0" w:line="240" w:lineRule="auto"/>
              <w:jc w:val="center"/>
              <w:rPr>
                <w:rFonts w:ascii="Calibri" w:hAnsi="Calibri" w:cs="Calibri"/>
                <w:color w:val="000000"/>
                <w:sz w:val="20"/>
                <w:szCs w:val="20"/>
                <w:lang w:eastAsia="cs-CZ"/>
              </w:rPr>
            </w:pPr>
            <w:r w:rsidRPr="007B4BFE">
              <w:rPr>
                <w:rFonts w:ascii="Calibri" w:hAnsi="Calibri" w:cs="Calibri"/>
                <w:color w:val="000000"/>
                <w:sz w:val="20"/>
                <w:szCs w:val="20"/>
                <w:lang w:eastAsia="cs-CZ"/>
              </w:rPr>
              <w:t xml:space="preserve">3. 1. 2022 </w:t>
            </w:r>
            <w:r w:rsidR="00446324">
              <w:rPr>
                <w:rFonts w:ascii="Calibri" w:hAnsi="Calibri" w:cs="Calibri"/>
                <w:color w:val="000000"/>
                <w:sz w:val="20"/>
                <w:szCs w:val="20"/>
                <w:lang w:eastAsia="cs-CZ"/>
              </w:rPr>
              <w:t>−</w:t>
            </w:r>
            <w:r w:rsidRPr="007B4BFE">
              <w:rPr>
                <w:rFonts w:ascii="Calibri" w:hAnsi="Calibri" w:cs="Calibri"/>
                <w:color w:val="000000"/>
                <w:sz w:val="20"/>
                <w:szCs w:val="20"/>
                <w:lang w:eastAsia="cs-CZ"/>
              </w:rPr>
              <w:t xml:space="preserve"> 30. 6. 2022</w:t>
            </w:r>
          </w:p>
        </w:tc>
        <w:tc>
          <w:tcPr>
            <w:tcW w:w="719" w:type="pct"/>
            <w:tcBorders>
              <w:top w:val="single" w:sz="4" w:space="0" w:color="auto"/>
              <w:left w:val="single" w:sz="4" w:space="0" w:color="auto"/>
              <w:bottom w:val="single" w:sz="4" w:space="0" w:color="auto"/>
              <w:right w:val="single" w:sz="4" w:space="0" w:color="auto"/>
            </w:tcBorders>
            <w:noWrap/>
            <w:vAlign w:val="center"/>
          </w:tcPr>
          <w:p w14:paraId="72470B6A" w14:textId="220EA706" w:rsidR="00467B9E" w:rsidRPr="007B4BFE" w:rsidRDefault="00BC27F2" w:rsidP="007B4BFE">
            <w:pPr>
              <w:spacing w:after="0" w:line="240" w:lineRule="auto"/>
              <w:jc w:val="right"/>
              <w:rPr>
                <w:rFonts w:ascii="Calibri" w:hAnsi="Calibri" w:cs="Calibri"/>
                <w:color w:val="000000"/>
                <w:sz w:val="20"/>
                <w:szCs w:val="20"/>
                <w:lang w:eastAsia="cs-CZ"/>
              </w:rPr>
            </w:pPr>
            <w:r w:rsidRPr="007B4BFE">
              <w:rPr>
                <w:rFonts w:ascii="Calibri" w:hAnsi="Calibri" w:cs="Calibri"/>
                <w:color w:val="000000"/>
                <w:sz w:val="20"/>
                <w:szCs w:val="20"/>
                <w:lang w:eastAsia="cs-CZ"/>
              </w:rPr>
              <w:t>250 000 000</w:t>
            </w:r>
          </w:p>
        </w:tc>
        <w:tc>
          <w:tcPr>
            <w:tcW w:w="1077" w:type="pct"/>
            <w:tcBorders>
              <w:top w:val="single" w:sz="4" w:space="0" w:color="auto"/>
              <w:left w:val="single" w:sz="4" w:space="0" w:color="auto"/>
              <w:bottom w:val="single" w:sz="4" w:space="0" w:color="auto"/>
              <w:right w:val="single" w:sz="4" w:space="0" w:color="auto"/>
            </w:tcBorders>
            <w:vAlign w:val="center"/>
          </w:tcPr>
          <w:p w14:paraId="2A8DE59C" w14:textId="4284AF11" w:rsidR="00467B9E" w:rsidRPr="007B4BFE" w:rsidRDefault="009223EB" w:rsidP="007B4BFE">
            <w:pPr>
              <w:spacing w:after="0" w:line="240" w:lineRule="auto"/>
              <w:jc w:val="center"/>
              <w:rPr>
                <w:rFonts w:ascii="Calibri" w:hAnsi="Calibri" w:cs="Calibri"/>
                <w:color w:val="000000"/>
                <w:sz w:val="20"/>
                <w:szCs w:val="20"/>
                <w:lang w:eastAsia="cs-CZ"/>
              </w:rPr>
            </w:pPr>
            <w:r w:rsidRPr="007B4BFE">
              <w:rPr>
                <w:rFonts w:ascii="Calibri" w:hAnsi="Calibri" w:cs="Calibri"/>
                <w:color w:val="000000"/>
                <w:sz w:val="20"/>
                <w:szCs w:val="20"/>
                <w:lang w:eastAsia="cs-CZ"/>
              </w:rPr>
              <w:t>0,14</w:t>
            </w:r>
          </w:p>
        </w:tc>
      </w:tr>
      <w:tr w:rsidR="0031669B" w:rsidRPr="007B4BFE" w14:paraId="3A4F0E08" w14:textId="77777777" w:rsidTr="00F947E9">
        <w:trPr>
          <w:trHeight w:val="255"/>
          <w:jc w:val="center"/>
        </w:trPr>
        <w:tc>
          <w:tcPr>
            <w:tcW w:w="3204" w:type="pct"/>
            <w:gridSpan w:val="3"/>
            <w:tcBorders>
              <w:top w:val="single" w:sz="4" w:space="0" w:color="auto"/>
              <w:left w:val="single" w:sz="4" w:space="0" w:color="auto"/>
              <w:bottom w:val="single" w:sz="4" w:space="0" w:color="auto"/>
              <w:right w:val="single" w:sz="4" w:space="0" w:color="auto"/>
            </w:tcBorders>
            <w:shd w:val="clear" w:color="auto" w:fill="F2C6C9"/>
            <w:vAlign w:val="center"/>
          </w:tcPr>
          <w:p w14:paraId="3A0ECEEA" w14:textId="2DD2BD13" w:rsidR="0031669B" w:rsidRPr="007B4BFE" w:rsidRDefault="0031669B" w:rsidP="007B4BFE">
            <w:pPr>
              <w:pStyle w:val="KP-normlnbezodsazen"/>
              <w:rPr>
                <w:rFonts w:ascii="Calibri" w:hAnsi="Calibri" w:cs="Calibri"/>
                <w:b/>
                <w:sz w:val="20"/>
                <w:szCs w:val="20"/>
                <w:lang w:eastAsia="cs-CZ"/>
              </w:rPr>
            </w:pPr>
            <w:r w:rsidRPr="007B4BFE">
              <w:rPr>
                <w:rFonts w:ascii="Calibri" w:hAnsi="Calibri" w:cs="Calibri"/>
                <w:b/>
                <w:sz w:val="20"/>
                <w:szCs w:val="20"/>
                <w:lang w:eastAsia="cs-CZ"/>
              </w:rPr>
              <w:t>Alokace po změně (v Kč)</w:t>
            </w:r>
          </w:p>
        </w:tc>
        <w:tc>
          <w:tcPr>
            <w:tcW w:w="719" w:type="pct"/>
            <w:tcBorders>
              <w:top w:val="single" w:sz="4" w:space="0" w:color="auto"/>
              <w:left w:val="single" w:sz="4" w:space="0" w:color="auto"/>
              <w:bottom w:val="single" w:sz="4" w:space="0" w:color="auto"/>
              <w:right w:val="single" w:sz="4" w:space="0" w:color="auto"/>
            </w:tcBorders>
            <w:shd w:val="clear" w:color="auto" w:fill="F2C6C9"/>
            <w:noWrap/>
            <w:vAlign w:val="center"/>
          </w:tcPr>
          <w:p w14:paraId="6524B767" w14:textId="73576B88" w:rsidR="0031669B" w:rsidRPr="007B4BFE" w:rsidRDefault="0031669B" w:rsidP="007B4BFE">
            <w:pPr>
              <w:pStyle w:val="KP-normlnbezodsazen"/>
              <w:keepNext/>
              <w:keepLines/>
              <w:jc w:val="right"/>
              <w:rPr>
                <w:rFonts w:ascii="Calibri" w:hAnsi="Calibri" w:cs="Calibri"/>
                <w:b/>
                <w:sz w:val="20"/>
                <w:szCs w:val="20"/>
                <w:lang w:eastAsia="cs-CZ"/>
              </w:rPr>
            </w:pPr>
            <w:r w:rsidRPr="007B4BFE">
              <w:rPr>
                <w:rFonts w:ascii="Calibri" w:hAnsi="Calibri" w:cs="Calibri"/>
                <w:b/>
                <w:sz w:val="20"/>
                <w:szCs w:val="20"/>
                <w:lang w:eastAsia="cs-CZ"/>
              </w:rPr>
              <w:t>2 493 800 000</w:t>
            </w:r>
          </w:p>
        </w:tc>
        <w:tc>
          <w:tcPr>
            <w:tcW w:w="1077" w:type="pct"/>
            <w:tcBorders>
              <w:top w:val="single" w:sz="4" w:space="0" w:color="auto"/>
              <w:left w:val="single" w:sz="4" w:space="0" w:color="auto"/>
              <w:bottom w:val="single" w:sz="4" w:space="0" w:color="auto"/>
              <w:right w:val="single" w:sz="4" w:space="0" w:color="auto"/>
            </w:tcBorders>
            <w:shd w:val="clear" w:color="auto" w:fill="F2C6C9"/>
            <w:vAlign w:val="center"/>
          </w:tcPr>
          <w:p w14:paraId="4C9CE6CC" w14:textId="77777777" w:rsidR="0031669B" w:rsidRPr="007B4BFE" w:rsidRDefault="0031669B" w:rsidP="007B4BFE">
            <w:pPr>
              <w:pStyle w:val="KP-normlnbezodsazen"/>
              <w:keepNext/>
              <w:keepLines/>
              <w:rPr>
                <w:rFonts w:ascii="Calibri" w:hAnsi="Calibri" w:cs="Calibri"/>
                <w:b/>
                <w:sz w:val="20"/>
                <w:szCs w:val="20"/>
                <w:lang w:eastAsia="cs-CZ"/>
              </w:rPr>
            </w:pPr>
          </w:p>
        </w:tc>
      </w:tr>
    </w:tbl>
    <w:p w14:paraId="11FE2ABF" w14:textId="1F2B7988" w:rsidR="006403A9" w:rsidRDefault="006403A9" w:rsidP="007B4BFE">
      <w:pPr>
        <w:spacing w:before="40" w:after="0" w:line="240" w:lineRule="auto"/>
        <w:rPr>
          <w:rFonts w:eastAsia="Times New Roman" w:cstheme="minorHAnsi"/>
          <w:sz w:val="20"/>
          <w:szCs w:val="20"/>
        </w:rPr>
      </w:pPr>
      <w:r w:rsidRPr="00147D31">
        <w:rPr>
          <w:b/>
          <w:sz w:val="20"/>
          <w:szCs w:val="20"/>
        </w:rPr>
        <w:t>Zdroj:</w:t>
      </w:r>
      <w:r>
        <w:rPr>
          <w:sz w:val="20"/>
          <w:szCs w:val="20"/>
        </w:rPr>
        <w:t xml:space="preserve"> </w:t>
      </w:r>
      <w:r w:rsidR="0067216C">
        <w:rPr>
          <w:sz w:val="20"/>
          <w:szCs w:val="20"/>
        </w:rPr>
        <w:t>d</w:t>
      </w:r>
      <w:r>
        <w:rPr>
          <w:sz w:val="20"/>
          <w:szCs w:val="20"/>
        </w:rPr>
        <w:t xml:space="preserve">ata MMR, </w:t>
      </w:r>
      <w:r w:rsidR="0067216C">
        <w:rPr>
          <w:sz w:val="20"/>
          <w:szCs w:val="20"/>
        </w:rPr>
        <w:t>vypracoval</w:t>
      </w:r>
      <w:r>
        <w:rPr>
          <w:sz w:val="20"/>
          <w:szCs w:val="20"/>
        </w:rPr>
        <w:t xml:space="preserve"> NKÚ. </w:t>
      </w:r>
    </w:p>
    <w:p w14:paraId="6DFFB4E3" w14:textId="130079A6" w:rsidR="006403A9" w:rsidRPr="00F947E9" w:rsidRDefault="006403A9" w:rsidP="00F947E9">
      <w:pPr>
        <w:keepNext/>
        <w:spacing w:before="240" w:after="40" w:line="240" w:lineRule="auto"/>
        <w:rPr>
          <w:b/>
          <w:sz w:val="24"/>
          <w:szCs w:val="24"/>
        </w:rPr>
      </w:pPr>
      <w:r w:rsidRPr="00F947E9">
        <w:rPr>
          <w:b/>
          <w:sz w:val="24"/>
          <w:szCs w:val="24"/>
        </w:rPr>
        <w:t xml:space="preserve">Tabulka č. </w:t>
      </w:r>
      <w:r w:rsidR="002E49F8" w:rsidRPr="00F947E9">
        <w:rPr>
          <w:b/>
          <w:sz w:val="24"/>
          <w:szCs w:val="24"/>
        </w:rPr>
        <w:t>4</w:t>
      </w:r>
      <w:r w:rsidRPr="00F947E9">
        <w:rPr>
          <w:b/>
          <w:sz w:val="24"/>
          <w:szCs w:val="24"/>
        </w:rPr>
        <w:t>: Přehled čerpání z podpůrných programů COVID (v Kč)</w:t>
      </w:r>
    </w:p>
    <w:tbl>
      <w:tblPr>
        <w:tblW w:w="5000" w:type="pct"/>
        <w:tblCellMar>
          <w:left w:w="70" w:type="dxa"/>
          <w:right w:w="70" w:type="dxa"/>
        </w:tblCellMar>
        <w:tblLook w:val="04A0" w:firstRow="1" w:lastRow="0" w:firstColumn="1" w:lastColumn="0" w:noHBand="0" w:noVBand="1"/>
      </w:tblPr>
      <w:tblGrid>
        <w:gridCol w:w="3397"/>
        <w:gridCol w:w="1417"/>
        <w:gridCol w:w="1417"/>
        <w:gridCol w:w="1419"/>
        <w:gridCol w:w="1412"/>
      </w:tblGrid>
      <w:tr w:rsidR="006403A9" w14:paraId="48F2E673" w14:textId="77777777" w:rsidTr="00446324">
        <w:trPr>
          <w:trHeight w:val="255"/>
        </w:trPr>
        <w:tc>
          <w:tcPr>
            <w:tcW w:w="1874" w:type="pct"/>
            <w:vMerge w:val="restart"/>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05CB4BAC" w14:textId="77777777" w:rsidR="006403A9" w:rsidRDefault="006403A9" w:rsidP="00F947E9">
            <w:pPr>
              <w:spacing w:after="0" w:line="240" w:lineRule="auto"/>
              <w:jc w:val="center"/>
              <w:rPr>
                <w:rFonts w:ascii="Calibri" w:hAnsi="Calibri" w:cs="Calibri"/>
                <w:b/>
                <w:bCs/>
                <w:color w:val="000000"/>
                <w:sz w:val="20"/>
                <w:szCs w:val="20"/>
                <w:lang w:eastAsia="cs-CZ"/>
              </w:rPr>
            </w:pPr>
            <w:r>
              <w:rPr>
                <w:rFonts w:ascii="Calibri" w:hAnsi="Calibri" w:cs="Calibri"/>
                <w:b/>
                <w:bCs/>
                <w:color w:val="000000"/>
                <w:sz w:val="20"/>
                <w:szCs w:val="20"/>
                <w:lang w:eastAsia="cs-CZ"/>
              </w:rPr>
              <w:t>Název dotačního titulu</w:t>
            </w:r>
          </w:p>
        </w:tc>
        <w:tc>
          <w:tcPr>
            <w:tcW w:w="3126" w:type="pct"/>
            <w:gridSpan w:val="4"/>
            <w:tcBorders>
              <w:top w:val="single" w:sz="4" w:space="0" w:color="auto"/>
              <w:left w:val="nil"/>
              <w:bottom w:val="single" w:sz="4" w:space="0" w:color="auto"/>
              <w:right w:val="single" w:sz="4" w:space="0" w:color="auto"/>
            </w:tcBorders>
            <w:shd w:val="clear" w:color="auto" w:fill="E5F1FF"/>
            <w:noWrap/>
            <w:vAlign w:val="center"/>
            <w:hideMark/>
          </w:tcPr>
          <w:p w14:paraId="6322CBD7" w14:textId="77777777" w:rsidR="006403A9" w:rsidRDefault="006403A9" w:rsidP="00F947E9">
            <w:pPr>
              <w:spacing w:after="0" w:line="240" w:lineRule="auto"/>
              <w:jc w:val="center"/>
              <w:rPr>
                <w:rFonts w:ascii="Calibri" w:hAnsi="Calibri" w:cs="Calibri"/>
                <w:b/>
                <w:bCs/>
                <w:color w:val="000000"/>
                <w:sz w:val="20"/>
                <w:szCs w:val="20"/>
                <w:lang w:eastAsia="cs-CZ"/>
              </w:rPr>
            </w:pPr>
            <w:r>
              <w:rPr>
                <w:rFonts w:ascii="Calibri" w:hAnsi="Calibri" w:cs="Calibri"/>
                <w:b/>
                <w:bCs/>
                <w:color w:val="000000"/>
                <w:sz w:val="20"/>
                <w:szCs w:val="20"/>
                <w:lang w:eastAsia="cs-CZ"/>
              </w:rPr>
              <w:t>Výdaje</w:t>
            </w:r>
          </w:p>
        </w:tc>
      </w:tr>
      <w:tr w:rsidR="006403A9" w14:paraId="774B7C34" w14:textId="77777777" w:rsidTr="00446324">
        <w:trPr>
          <w:trHeight w:val="255"/>
        </w:trPr>
        <w:tc>
          <w:tcPr>
            <w:tcW w:w="1874" w:type="pct"/>
            <w:vMerge/>
            <w:tcBorders>
              <w:top w:val="single" w:sz="4" w:space="0" w:color="auto"/>
              <w:left w:val="single" w:sz="4" w:space="0" w:color="auto"/>
              <w:bottom w:val="single" w:sz="4" w:space="0" w:color="auto"/>
              <w:right w:val="single" w:sz="4" w:space="0" w:color="auto"/>
            </w:tcBorders>
            <w:vAlign w:val="center"/>
            <w:hideMark/>
          </w:tcPr>
          <w:p w14:paraId="297FA079" w14:textId="77777777" w:rsidR="006403A9" w:rsidRDefault="006403A9" w:rsidP="00F947E9">
            <w:pPr>
              <w:spacing w:after="0" w:line="240" w:lineRule="auto"/>
              <w:jc w:val="center"/>
              <w:rPr>
                <w:rFonts w:ascii="Calibri" w:eastAsia="Times New Roman" w:hAnsi="Calibri" w:cs="Calibri"/>
                <w:b/>
                <w:bCs/>
                <w:color w:val="000000"/>
                <w:sz w:val="20"/>
                <w:szCs w:val="20"/>
                <w:lang w:eastAsia="cs-CZ"/>
              </w:rPr>
            </w:pPr>
          </w:p>
        </w:tc>
        <w:tc>
          <w:tcPr>
            <w:tcW w:w="782" w:type="pct"/>
            <w:tcBorders>
              <w:top w:val="single" w:sz="4" w:space="0" w:color="auto"/>
              <w:left w:val="nil"/>
              <w:bottom w:val="single" w:sz="4" w:space="0" w:color="auto"/>
              <w:right w:val="single" w:sz="4" w:space="0" w:color="auto"/>
            </w:tcBorders>
            <w:shd w:val="clear" w:color="auto" w:fill="E5F1FF"/>
            <w:noWrap/>
            <w:vAlign w:val="center"/>
            <w:hideMark/>
          </w:tcPr>
          <w:p w14:paraId="203BFB81" w14:textId="77777777" w:rsidR="006403A9" w:rsidRDefault="006403A9" w:rsidP="00F947E9">
            <w:pPr>
              <w:spacing w:after="0" w:line="240" w:lineRule="auto"/>
              <w:jc w:val="center"/>
              <w:rPr>
                <w:rFonts w:ascii="Calibri" w:hAnsi="Calibri" w:cs="Calibri"/>
                <w:b/>
                <w:bCs/>
                <w:color w:val="000000"/>
                <w:sz w:val="20"/>
                <w:szCs w:val="20"/>
                <w:lang w:eastAsia="cs-CZ"/>
              </w:rPr>
            </w:pPr>
            <w:r>
              <w:rPr>
                <w:rFonts w:ascii="Calibri" w:hAnsi="Calibri" w:cs="Calibri"/>
                <w:b/>
                <w:bCs/>
                <w:color w:val="000000"/>
                <w:sz w:val="20"/>
                <w:szCs w:val="20"/>
                <w:lang w:eastAsia="cs-CZ"/>
              </w:rPr>
              <w:t>2020</w:t>
            </w:r>
          </w:p>
        </w:tc>
        <w:tc>
          <w:tcPr>
            <w:tcW w:w="782" w:type="pct"/>
            <w:tcBorders>
              <w:top w:val="single" w:sz="4" w:space="0" w:color="auto"/>
              <w:left w:val="nil"/>
              <w:bottom w:val="single" w:sz="4" w:space="0" w:color="auto"/>
              <w:right w:val="single" w:sz="4" w:space="0" w:color="auto"/>
            </w:tcBorders>
            <w:shd w:val="clear" w:color="auto" w:fill="E5F1FF"/>
            <w:noWrap/>
            <w:vAlign w:val="center"/>
            <w:hideMark/>
          </w:tcPr>
          <w:p w14:paraId="382C4A85" w14:textId="77777777" w:rsidR="006403A9" w:rsidRDefault="006403A9" w:rsidP="00F947E9">
            <w:pPr>
              <w:spacing w:after="0" w:line="240" w:lineRule="auto"/>
              <w:jc w:val="center"/>
              <w:rPr>
                <w:rFonts w:ascii="Calibri" w:hAnsi="Calibri" w:cs="Calibri"/>
                <w:b/>
                <w:bCs/>
                <w:color w:val="000000"/>
                <w:sz w:val="20"/>
                <w:szCs w:val="20"/>
                <w:lang w:eastAsia="cs-CZ"/>
              </w:rPr>
            </w:pPr>
            <w:r>
              <w:rPr>
                <w:rFonts w:ascii="Calibri" w:hAnsi="Calibri" w:cs="Calibri"/>
                <w:b/>
                <w:bCs/>
                <w:color w:val="000000"/>
                <w:sz w:val="20"/>
                <w:szCs w:val="20"/>
                <w:lang w:eastAsia="cs-CZ"/>
              </w:rPr>
              <w:t>2021</w:t>
            </w:r>
          </w:p>
        </w:tc>
        <w:tc>
          <w:tcPr>
            <w:tcW w:w="782" w:type="pct"/>
            <w:tcBorders>
              <w:top w:val="single" w:sz="4" w:space="0" w:color="auto"/>
              <w:left w:val="nil"/>
              <w:bottom w:val="single" w:sz="4" w:space="0" w:color="auto"/>
              <w:right w:val="single" w:sz="4" w:space="0" w:color="auto"/>
            </w:tcBorders>
            <w:shd w:val="clear" w:color="auto" w:fill="E5F1FF"/>
            <w:noWrap/>
            <w:vAlign w:val="center"/>
            <w:hideMark/>
          </w:tcPr>
          <w:p w14:paraId="1633B52C" w14:textId="77777777" w:rsidR="006403A9" w:rsidRDefault="006403A9" w:rsidP="00F947E9">
            <w:pPr>
              <w:spacing w:after="0" w:line="240" w:lineRule="auto"/>
              <w:jc w:val="center"/>
              <w:rPr>
                <w:rFonts w:ascii="Calibri" w:hAnsi="Calibri" w:cs="Calibri"/>
                <w:b/>
                <w:bCs/>
                <w:color w:val="000000"/>
                <w:sz w:val="20"/>
                <w:szCs w:val="20"/>
                <w:lang w:eastAsia="cs-CZ"/>
              </w:rPr>
            </w:pPr>
            <w:r>
              <w:rPr>
                <w:rFonts w:ascii="Calibri" w:hAnsi="Calibri" w:cs="Calibri"/>
                <w:b/>
                <w:bCs/>
                <w:color w:val="000000"/>
                <w:sz w:val="20"/>
                <w:szCs w:val="20"/>
                <w:lang w:eastAsia="cs-CZ"/>
              </w:rPr>
              <w:t>2022</w:t>
            </w:r>
          </w:p>
        </w:tc>
        <w:tc>
          <w:tcPr>
            <w:tcW w:w="779" w:type="pct"/>
            <w:tcBorders>
              <w:top w:val="single" w:sz="4" w:space="0" w:color="auto"/>
              <w:left w:val="nil"/>
              <w:bottom w:val="single" w:sz="4" w:space="0" w:color="auto"/>
              <w:right w:val="single" w:sz="4" w:space="0" w:color="auto"/>
            </w:tcBorders>
            <w:shd w:val="clear" w:color="auto" w:fill="E5F1FF"/>
            <w:noWrap/>
            <w:vAlign w:val="center"/>
            <w:hideMark/>
          </w:tcPr>
          <w:p w14:paraId="58BA1F31" w14:textId="77777777" w:rsidR="006403A9" w:rsidRDefault="006403A9" w:rsidP="00F947E9">
            <w:pPr>
              <w:spacing w:after="0" w:line="240" w:lineRule="auto"/>
              <w:jc w:val="center"/>
              <w:rPr>
                <w:rFonts w:ascii="Calibri" w:hAnsi="Calibri" w:cs="Calibri"/>
                <w:b/>
                <w:bCs/>
                <w:color w:val="000000"/>
                <w:sz w:val="20"/>
                <w:szCs w:val="20"/>
                <w:lang w:eastAsia="cs-CZ"/>
              </w:rPr>
            </w:pPr>
            <w:r>
              <w:rPr>
                <w:rFonts w:ascii="Calibri" w:hAnsi="Calibri" w:cs="Calibri"/>
                <w:b/>
                <w:bCs/>
                <w:color w:val="000000"/>
                <w:sz w:val="20"/>
                <w:szCs w:val="20"/>
                <w:lang w:eastAsia="cs-CZ"/>
              </w:rPr>
              <w:t>Celkem</w:t>
            </w:r>
          </w:p>
        </w:tc>
      </w:tr>
      <w:tr w:rsidR="006403A9" w14:paraId="5C882703" w14:textId="77777777" w:rsidTr="00446324">
        <w:trPr>
          <w:trHeight w:val="255"/>
        </w:trPr>
        <w:tc>
          <w:tcPr>
            <w:tcW w:w="1874" w:type="pct"/>
            <w:tcBorders>
              <w:top w:val="nil"/>
              <w:left w:val="single" w:sz="4" w:space="0" w:color="auto"/>
              <w:bottom w:val="single" w:sz="4" w:space="0" w:color="auto"/>
              <w:right w:val="single" w:sz="4" w:space="0" w:color="auto"/>
            </w:tcBorders>
            <w:noWrap/>
            <w:vAlign w:val="bottom"/>
            <w:hideMark/>
          </w:tcPr>
          <w:p w14:paraId="25E8DC31" w14:textId="61E22B4C" w:rsidR="006403A9" w:rsidRDefault="006403A9" w:rsidP="00AB6A4E">
            <w:pPr>
              <w:spacing w:after="0" w:line="240" w:lineRule="auto"/>
              <w:rPr>
                <w:rFonts w:ascii="Calibri" w:hAnsi="Calibri" w:cs="Calibri"/>
                <w:color w:val="000000"/>
                <w:sz w:val="20"/>
                <w:szCs w:val="20"/>
                <w:lang w:eastAsia="cs-CZ"/>
              </w:rPr>
            </w:pPr>
            <w:r>
              <w:rPr>
                <w:rFonts w:ascii="Calibri" w:hAnsi="Calibri" w:cs="Calibri"/>
                <w:color w:val="000000"/>
                <w:sz w:val="20"/>
                <w:szCs w:val="20"/>
                <w:lang w:eastAsia="cs-CZ"/>
              </w:rPr>
              <w:t>COVID</w:t>
            </w:r>
            <w:r w:rsidR="00446324">
              <w:rPr>
                <w:rFonts w:ascii="Calibri" w:hAnsi="Calibri" w:cs="Calibri"/>
                <w:color w:val="000000"/>
                <w:sz w:val="20"/>
                <w:szCs w:val="20"/>
                <w:lang w:eastAsia="cs-CZ"/>
              </w:rPr>
              <w:t xml:space="preserve"> − </w:t>
            </w:r>
            <w:r>
              <w:rPr>
                <w:rFonts w:ascii="Calibri" w:hAnsi="Calibri" w:cs="Calibri"/>
                <w:color w:val="000000"/>
                <w:sz w:val="20"/>
                <w:szCs w:val="20"/>
                <w:lang w:eastAsia="cs-CZ"/>
              </w:rPr>
              <w:t>Cestovní kanceláře</w:t>
            </w:r>
          </w:p>
        </w:tc>
        <w:tc>
          <w:tcPr>
            <w:tcW w:w="782" w:type="pct"/>
            <w:tcBorders>
              <w:top w:val="nil"/>
              <w:left w:val="nil"/>
              <w:bottom w:val="single" w:sz="4" w:space="0" w:color="auto"/>
              <w:right w:val="single" w:sz="4" w:space="0" w:color="auto"/>
            </w:tcBorders>
            <w:noWrap/>
            <w:vAlign w:val="center"/>
            <w:hideMark/>
          </w:tcPr>
          <w:p w14:paraId="7153FCAB" w14:textId="77777777" w:rsidR="006403A9" w:rsidRDefault="006403A9" w:rsidP="00F947E9">
            <w:pPr>
              <w:spacing w:after="0" w:line="240" w:lineRule="auto"/>
              <w:ind w:right="113"/>
              <w:jc w:val="right"/>
              <w:rPr>
                <w:rFonts w:ascii="Calibri" w:hAnsi="Calibri" w:cs="Calibri"/>
                <w:color w:val="000000"/>
                <w:sz w:val="20"/>
                <w:szCs w:val="20"/>
                <w:lang w:eastAsia="cs-CZ"/>
              </w:rPr>
            </w:pPr>
            <w:r>
              <w:rPr>
                <w:rFonts w:ascii="Calibri" w:hAnsi="Calibri" w:cs="Calibri"/>
                <w:color w:val="000000"/>
                <w:sz w:val="20"/>
                <w:szCs w:val="20"/>
                <w:lang w:eastAsia="cs-CZ"/>
              </w:rPr>
              <w:t>102 207 420</w:t>
            </w:r>
          </w:p>
        </w:tc>
        <w:tc>
          <w:tcPr>
            <w:tcW w:w="782" w:type="pct"/>
            <w:tcBorders>
              <w:top w:val="nil"/>
              <w:left w:val="nil"/>
              <w:bottom w:val="single" w:sz="4" w:space="0" w:color="auto"/>
              <w:right w:val="single" w:sz="4" w:space="0" w:color="auto"/>
            </w:tcBorders>
            <w:noWrap/>
            <w:vAlign w:val="center"/>
            <w:hideMark/>
          </w:tcPr>
          <w:p w14:paraId="3E112727" w14:textId="77777777" w:rsidR="006403A9" w:rsidRDefault="006403A9" w:rsidP="00F947E9">
            <w:pPr>
              <w:spacing w:after="0" w:line="240" w:lineRule="auto"/>
              <w:ind w:right="113"/>
              <w:jc w:val="right"/>
              <w:rPr>
                <w:rFonts w:ascii="Calibri" w:hAnsi="Calibri" w:cs="Calibri"/>
                <w:color w:val="000000"/>
                <w:sz w:val="20"/>
                <w:szCs w:val="20"/>
                <w:lang w:eastAsia="cs-CZ"/>
              </w:rPr>
            </w:pPr>
            <w:r>
              <w:rPr>
                <w:rFonts w:ascii="Calibri" w:hAnsi="Calibri" w:cs="Calibri"/>
                <w:color w:val="000000"/>
                <w:sz w:val="20"/>
                <w:szCs w:val="20"/>
                <w:lang w:eastAsia="cs-CZ"/>
              </w:rPr>
              <w:t>192 475 330</w:t>
            </w:r>
          </w:p>
        </w:tc>
        <w:tc>
          <w:tcPr>
            <w:tcW w:w="782" w:type="pct"/>
            <w:tcBorders>
              <w:top w:val="nil"/>
              <w:left w:val="nil"/>
              <w:bottom w:val="single" w:sz="4" w:space="0" w:color="auto"/>
              <w:right w:val="single" w:sz="4" w:space="0" w:color="auto"/>
            </w:tcBorders>
            <w:noWrap/>
            <w:vAlign w:val="center"/>
            <w:hideMark/>
          </w:tcPr>
          <w:p w14:paraId="3317E6E6" w14:textId="77777777" w:rsidR="006403A9" w:rsidRDefault="006403A9" w:rsidP="00F947E9">
            <w:pPr>
              <w:spacing w:after="0" w:line="240" w:lineRule="auto"/>
              <w:ind w:right="113"/>
              <w:jc w:val="right"/>
              <w:rPr>
                <w:rFonts w:ascii="Calibri" w:hAnsi="Calibri" w:cs="Calibri"/>
                <w:color w:val="000000"/>
                <w:sz w:val="20"/>
                <w:szCs w:val="20"/>
                <w:lang w:eastAsia="cs-CZ"/>
              </w:rPr>
            </w:pPr>
            <w:r>
              <w:rPr>
                <w:rFonts w:ascii="Calibri" w:hAnsi="Calibri" w:cs="Calibri"/>
                <w:color w:val="000000"/>
                <w:sz w:val="20"/>
                <w:szCs w:val="20"/>
                <w:lang w:eastAsia="cs-CZ"/>
              </w:rPr>
              <w:t>-</w:t>
            </w:r>
          </w:p>
        </w:tc>
        <w:tc>
          <w:tcPr>
            <w:tcW w:w="779" w:type="pct"/>
            <w:tcBorders>
              <w:top w:val="nil"/>
              <w:left w:val="nil"/>
              <w:bottom w:val="single" w:sz="4" w:space="0" w:color="auto"/>
              <w:right w:val="single" w:sz="4" w:space="0" w:color="auto"/>
            </w:tcBorders>
            <w:noWrap/>
            <w:vAlign w:val="center"/>
            <w:hideMark/>
          </w:tcPr>
          <w:p w14:paraId="3701D654" w14:textId="77777777" w:rsidR="006403A9" w:rsidRDefault="006403A9" w:rsidP="00F947E9">
            <w:pPr>
              <w:spacing w:after="0" w:line="240" w:lineRule="auto"/>
              <w:ind w:right="113"/>
              <w:jc w:val="right"/>
              <w:rPr>
                <w:rFonts w:ascii="Calibri" w:hAnsi="Calibri" w:cs="Calibri"/>
                <w:color w:val="000000"/>
                <w:sz w:val="20"/>
                <w:szCs w:val="20"/>
                <w:lang w:eastAsia="cs-CZ"/>
              </w:rPr>
            </w:pPr>
            <w:r>
              <w:rPr>
                <w:rFonts w:ascii="Calibri" w:hAnsi="Calibri" w:cs="Calibri"/>
                <w:color w:val="000000"/>
                <w:sz w:val="20"/>
                <w:szCs w:val="20"/>
                <w:lang w:eastAsia="cs-CZ"/>
              </w:rPr>
              <w:t>294 682 750</w:t>
            </w:r>
          </w:p>
        </w:tc>
      </w:tr>
      <w:tr w:rsidR="006403A9" w14:paraId="596B4046" w14:textId="77777777" w:rsidTr="00446324">
        <w:trPr>
          <w:trHeight w:val="255"/>
        </w:trPr>
        <w:tc>
          <w:tcPr>
            <w:tcW w:w="1874" w:type="pct"/>
            <w:tcBorders>
              <w:top w:val="nil"/>
              <w:left w:val="single" w:sz="4" w:space="0" w:color="auto"/>
              <w:bottom w:val="single" w:sz="4" w:space="0" w:color="auto"/>
              <w:right w:val="single" w:sz="4" w:space="0" w:color="auto"/>
            </w:tcBorders>
            <w:noWrap/>
            <w:vAlign w:val="bottom"/>
            <w:hideMark/>
          </w:tcPr>
          <w:p w14:paraId="6E4D7767" w14:textId="3CA3FB18" w:rsidR="006403A9" w:rsidRDefault="006403A9" w:rsidP="00AB6A4E">
            <w:pPr>
              <w:spacing w:after="0" w:line="240" w:lineRule="auto"/>
              <w:rPr>
                <w:rFonts w:ascii="Calibri" w:hAnsi="Calibri" w:cs="Calibri"/>
                <w:color w:val="000000"/>
                <w:sz w:val="20"/>
                <w:szCs w:val="20"/>
                <w:lang w:eastAsia="cs-CZ"/>
              </w:rPr>
            </w:pPr>
            <w:r>
              <w:rPr>
                <w:rFonts w:ascii="Calibri" w:hAnsi="Calibri" w:cs="Calibri"/>
                <w:color w:val="000000"/>
                <w:sz w:val="20"/>
                <w:szCs w:val="20"/>
                <w:lang w:eastAsia="cs-CZ"/>
              </w:rPr>
              <w:t>COVID</w:t>
            </w:r>
            <w:r w:rsidR="00446324">
              <w:rPr>
                <w:rFonts w:ascii="Calibri" w:hAnsi="Calibri" w:cs="Calibri"/>
                <w:color w:val="000000"/>
                <w:sz w:val="20"/>
                <w:szCs w:val="20"/>
                <w:lang w:eastAsia="cs-CZ"/>
              </w:rPr>
              <w:t xml:space="preserve"> − </w:t>
            </w:r>
            <w:r>
              <w:rPr>
                <w:rFonts w:ascii="Calibri" w:hAnsi="Calibri" w:cs="Calibri"/>
                <w:color w:val="000000"/>
                <w:sz w:val="20"/>
                <w:szCs w:val="20"/>
                <w:lang w:eastAsia="cs-CZ"/>
              </w:rPr>
              <w:t>Cestovní agentury</w:t>
            </w:r>
          </w:p>
        </w:tc>
        <w:tc>
          <w:tcPr>
            <w:tcW w:w="782" w:type="pct"/>
            <w:tcBorders>
              <w:top w:val="nil"/>
              <w:left w:val="nil"/>
              <w:bottom w:val="single" w:sz="4" w:space="0" w:color="auto"/>
              <w:right w:val="single" w:sz="4" w:space="0" w:color="auto"/>
            </w:tcBorders>
            <w:noWrap/>
            <w:vAlign w:val="center"/>
            <w:hideMark/>
          </w:tcPr>
          <w:p w14:paraId="2CEA980A" w14:textId="77777777" w:rsidR="006403A9" w:rsidRDefault="006403A9" w:rsidP="00F947E9">
            <w:pPr>
              <w:spacing w:after="0" w:line="240" w:lineRule="auto"/>
              <w:ind w:right="113"/>
              <w:jc w:val="right"/>
              <w:rPr>
                <w:rFonts w:ascii="Calibri" w:hAnsi="Calibri" w:cs="Calibri"/>
                <w:color w:val="000000"/>
                <w:sz w:val="20"/>
                <w:szCs w:val="20"/>
                <w:lang w:eastAsia="cs-CZ"/>
              </w:rPr>
            </w:pPr>
            <w:r>
              <w:rPr>
                <w:rFonts w:ascii="Calibri" w:hAnsi="Calibri" w:cs="Calibri"/>
                <w:color w:val="000000"/>
                <w:sz w:val="20"/>
                <w:szCs w:val="20"/>
                <w:lang w:eastAsia="cs-CZ"/>
              </w:rPr>
              <w:t>6 073 500</w:t>
            </w:r>
          </w:p>
        </w:tc>
        <w:tc>
          <w:tcPr>
            <w:tcW w:w="782" w:type="pct"/>
            <w:tcBorders>
              <w:top w:val="nil"/>
              <w:left w:val="nil"/>
              <w:bottom w:val="single" w:sz="4" w:space="0" w:color="auto"/>
              <w:right w:val="single" w:sz="4" w:space="0" w:color="auto"/>
            </w:tcBorders>
            <w:noWrap/>
            <w:vAlign w:val="center"/>
            <w:hideMark/>
          </w:tcPr>
          <w:p w14:paraId="3ED78795" w14:textId="77777777" w:rsidR="006403A9" w:rsidRDefault="006403A9" w:rsidP="00F947E9">
            <w:pPr>
              <w:spacing w:after="0" w:line="240" w:lineRule="auto"/>
              <w:ind w:right="113"/>
              <w:jc w:val="right"/>
              <w:rPr>
                <w:rFonts w:ascii="Calibri" w:hAnsi="Calibri" w:cs="Calibri"/>
                <w:color w:val="000000"/>
                <w:sz w:val="20"/>
                <w:szCs w:val="20"/>
                <w:lang w:eastAsia="cs-CZ"/>
              </w:rPr>
            </w:pPr>
            <w:r>
              <w:rPr>
                <w:rFonts w:ascii="Calibri" w:hAnsi="Calibri" w:cs="Calibri"/>
                <w:color w:val="000000"/>
                <w:sz w:val="20"/>
                <w:szCs w:val="20"/>
                <w:lang w:eastAsia="cs-CZ"/>
              </w:rPr>
              <w:t>56 173 760</w:t>
            </w:r>
          </w:p>
        </w:tc>
        <w:tc>
          <w:tcPr>
            <w:tcW w:w="782" w:type="pct"/>
            <w:tcBorders>
              <w:top w:val="nil"/>
              <w:left w:val="nil"/>
              <w:bottom w:val="single" w:sz="4" w:space="0" w:color="auto"/>
              <w:right w:val="single" w:sz="4" w:space="0" w:color="auto"/>
            </w:tcBorders>
            <w:noWrap/>
            <w:vAlign w:val="center"/>
            <w:hideMark/>
          </w:tcPr>
          <w:p w14:paraId="6D7931B3" w14:textId="77777777" w:rsidR="006403A9" w:rsidRDefault="006403A9" w:rsidP="00F947E9">
            <w:pPr>
              <w:spacing w:after="0" w:line="240" w:lineRule="auto"/>
              <w:ind w:right="113"/>
              <w:jc w:val="right"/>
              <w:rPr>
                <w:rFonts w:ascii="Calibri" w:hAnsi="Calibri" w:cs="Calibri"/>
                <w:color w:val="000000"/>
                <w:sz w:val="20"/>
                <w:szCs w:val="20"/>
                <w:lang w:eastAsia="cs-CZ"/>
              </w:rPr>
            </w:pPr>
            <w:r>
              <w:rPr>
                <w:rFonts w:ascii="Calibri" w:hAnsi="Calibri" w:cs="Calibri"/>
                <w:color w:val="000000"/>
                <w:sz w:val="20"/>
                <w:szCs w:val="20"/>
                <w:lang w:eastAsia="cs-CZ"/>
              </w:rPr>
              <w:t>-</w:t>
            </w:r>
          </w:p>
        </w:tc>
        <w:tc>
          <w:tcPr>
            <w:tcW w:w="779" w:type="pct"/>
            <w:tcBorders>
              <w:top w:val="nil"/>
              <w:left w:val="nil"/>
              <w:bottom w:val="single" w:sz="4" w:space="0" w:color="auto"/>
              <w:right w:val="single" w:sz="4" w:space="0" w:color="auto"/>
            </w:tcBorders>
            <w:noWrap/>
            <w:vAlign w:val="center"/>
            <w:hideMark/>
          </w:tcPr>
          <w:p w14:paraId="5D74804F" w14:textId="77777777" w:rsidR="006403A9" w:rsidRDefault="006403A9" w:rsidP="00F947E9">
            <w:pPr>
              <w:spacing w:after="0" w:line="240" w:lineRule="auto"/>
              <w:ind w:right="113"/>
              <w:jc w:val="right"/>
              <w:rPr>
                <w:rFonts w:ascii="Calibri" w:hAnsi="Calibri" w:cs="Calibri"/>
                <w:color w:val="000000"/>
                <w:sz w:val="20"/>
                <w:szCs w:val="20"/>
                <w:lang w:eastAsia="cs-CZ"/>
              </w:rPr>
            </w:pPr>
            <w:r>
              <w:rPr>
                <w:rFonts w:ascii="Calibri" w:hAnsi="Calibri" w:cs="Calibri"/>
                <w:color w:val="000000"/>
                <w:sz w:val="20"/>
                <w:szCs w:val="20"/>
                <w:lang w:eastAsia="cs-CZ"/>
              </w:rPr>
              <w:t>62 247 260</w:t>
            </w:r>
          </w:p>
        </w:tc>
      </w:tr>
      <w:tr w:rsidR="006403A9" w14:paraId="561AC0E7" w14:textId="77777777" w:rsidTr="00446324">
        <w:trPr>
          <w:trHeight w:val="255"/>
        </w:trPr>
        <w:tc>
          <w:tcPr>
            <w:tcW w:w="1874" w:type="pct"/>
            <w:tcBorders>
              <w:top w:val="nil"/>
              <w:left w:val="single" w:sz="4" w:space="0" w:color="auto"/>
              <w:bottom w:val="single" w:sz="4" w:space="0" w:color="auto"/>
              <w:right w:val="single" w:sz="4" w:space="0" w:color="auto"/>
            </w:tcBorders>
            <w:noWrap/>
            <w:vAlign w:val="bottom"/>
            <w:hideMark/>
          </w:tcPr>
          <w:p w14:paraId="028D94A6" w14:textId="79E4A48D" w:rsidR="006403A9" w:rsidRDefault="006403A9" w:rsidP="00AB6A4E">
            <w:pPr>
              <w:spacing w:after="0" w:line="240" w:lineRule="auto"/>
              <w:rPr>
                <w:rFonts w:ascii="Calibri" w:hAnsi="Calibri" w:cs="Calibri"/>
                <w:color w:val="000000"/>
                <w:sz w:val="20"/>
                <w:szCs w:val="20"/>
                <w:lang w:eastAsia="cs-CZ"/>
              </w:rPr>
            </w:pPr>
            <w:r>
              <w:rPr>
                <w:rFonts w:ascii="Calibri" w:hAnsi="Calibri" w:cs="Calibri"/>
                <w:color w:val="000000"/>
                <w:sz w:val="20"/>
                <w:szCs w:val="20"/>
                <w:lang w:eastAsia="cs-CZ"/>
              </w:rPr>
              <w:t>COVID</w:t>
            </w:r>
            <w:r w:rsidR="00446324">
              <w:rPr>
                <w:rFonts w:ascii="Calibri" w:hAnsi="Calibri" w:cs="Calibri"/>
                <w:color w:val="000000"/>
                <w:sz w:val="20"/>
                <w:szCs w:val="20"/>
                <w:lang w:eastAsia="cs-CZ"/>
              </w:rPr>
              <w:t xml:space="preserve"> − </w:t>
            </w:r>
            <w:r>
              <w:rPr>
                <w:rFonts w:ascii="Calibri" w:hAnsi="Calibri" w:cs="Calibri"/>
                <w:color w:val="000000"/>
                <w:sz w:val="20"/>
                <w:szCs w:val="20"/>
                <w:lang w:eastAsia="cs-CZ"/>
              </w:rPr>
              <w:t>Průvodci</w:t>
            </w:r>
            <w:r w:rsidR="00F56E8F">
              <w:rPr>
                <w:rFonts w:ascii="Calibri" w:hAnsi="Calibri" w:cs="Calibri"/>
                <w:color w:val="000000"/>
                <w:sz w:val="20"/>
                <w:szCs w:val="20"/>
                <w:lang w:eastAsia="cs-CZ"/>
              </w:rPr>
              <w:t xml:space="preserve"> v cestovním ruchu</w:t>
            </w:r>
          </w:p>
        </w:tc>
        <w:tc>
          <w:tcPr>
            <w:tcW w:w="782" w:type="pct"/>
            <w:tcBorders>
              <w:top w:val="nil"/>
              <w:left w:val="nil"/>
              <w:bottom w:val="single" w:sz="4" w:space="0" w:color="auto"/>
              <w:right w:val="single" w:sz="4" w:space="0" w:color="auto"/>
            </w:tcBorders>
            <w:noWrap/>
            <w:vAlign w:val="center"/>
            <w:hideMark/>
          </w:tcPr>
          <w:p w14:paraId="0C8C6845" w14:textId="77777777" w:rsidR="006403A9" w:rsidRDefault="006403A9" w:rsidP="00F947E9">
            <w:pPr>
              <w:spacing w:after="0" w:line="240" w:lineRule="auto"/>
              <w:ind w:right="113"/>
              <w:jc w:val="right"/>
              <w:rPr>
                <w:rFonts w:ascii="Calibri" w:hAnsi="Calibri" w:cs="Calibri"/>
                <w:color w:val="000000"/>
                <w:sz w:val="20"/>
                <w:szCs w:val="20"/>
                <w:lang w:eastAsia="cs-CZ"/>
              </w:rPr>
            </w:pPr>
            <w:r>
              <w:rPr>
                <w:rFonts w:ascii="Calibri" w:hAnsi="Calibri" w:cs="Calibri"/>
                <w:color w:val="000000"/>
                <w:sz w:val="20"/>
                <w:szCs w:val="20"/>
                <w:lang w:eastAsia="cs-CZ"/>
              </w:rPr>
              <w:t>50 000</w:t>
            </w:r>
          </w:p>
        </w:tc>
        <w:tc>
          <w:tcPr>
            <w:tcW w:w="782" w:type="pct"/>
            <w:tcBorders>
              <w:top w:val="nil"/>
              <w:left w:val="nil"/>
              <w:bottom w:val="single" w:sz="4" w:space="0" w:color="auto"/>
              <w:right w:val="single" w:sz="4" w:space="0" w:color="auto"/>
            </w:tcBorders>
            <w:noWrap/>
            <w:vAlign w:val="center"/>
            <w:hideMark/>
          </w:tcPr>
          <w:p w14:paraId="0188C8E2" w14:textId="77777777" w:rsidR="006403A9" w:rsidRDefault="006403A9" w:rsidP="00F947E9">
            <w:pPr>
              <w:spacing w:after="0" w:line="240" w:lineRule="auto"/>
              <w:ind w:right="113"/>
              <w:jc w:val="right"/>
              <w:rPr>
                <w:rFonts w:ascii="Calibri" w:hAnsi="Calibri" w:cs="Calibri"/>
                <w:color w:val="000000"/>
                <w:sz w:val="20"/>
                <w:szCs w:val="20"/>
                <w:lang w:eastAsia="cs-CZ"/>
              </w:rPr>
            </w:pPr>
            <w:r>
              <w:rPr>
                <w:rFonts w:ascii="Calibri" w:hAnsi="Calibri" w:cs="Calibri"/>
                <w:color w:val="000000"/>
                <w:sz w:val="20"/>
                <w:szCs w:val="20"/>
                <w:lang w:eastAsia="cs-CZ"/>
              </w:rPr>
              <w:t>19 270 000</w:t>
            </w:r>
          </w:p>
        </w:tc>
        <w:tc>
          <w:tcPr>
            <w:tcW w:w="782" w:type="pct"/>
            <w:tcBorders>
              <w:top w:val="nil"/>
              <w:left w:val="nil"/>
              <w:bottom w:val="single" w:sz="4" w:space="0" w:color="auto"/>
              <w:right w:val="single" w:sz="4" w:space="0" w:color="auto"/>
            </w:tcBorders>
            <w:noWrap/>
            <w:vAlign w:val="center"/>
            <w:hideMark/>
          </w:tcPr>
          <w:p w14:paraId="778F37D7" w14:textId="77777777" w:rsidR="006403A9" w:rsidRDefault="006403A9" w:rsidP="00F947E9">
            <w:pPr>
              <w:spacing w:after="0" w:line="240" w:lineRule="auto"/>
              <w:ind w:right="113"/>
              <w:jc w:val="right"/>
              <w:rPr>
                <w:rFonts w:ascii="Calibri" w:hAnsi="Calibri" w:cs="Calibri"/>
                <w:color w:val="000000"/>
                <w:sz w:val="20"/>
                <w:szCs w:val="20"/>
                <w:lang w:eastAsia="cs-CZ"/>
              </w:rPr>
            </w:pPr>
            <w:r>
              <w:rPr>
                <w:rFonts w:ascii="Calibri" w:hAnsi="Calibri" w:cs="Calibri"/>
                <w:color w:val="000000"/>
                <w:sz w:val="20"/>
                <w:szCs w:val="20"/>
                <w:lang w:eastAsia="cs-CZ"/>
              </w:rPr>
              <w:t>40 000</w:t>
            </w:r>
          </w:p>
        </w:tc>
        <w:tc>
          <w:tcPr>
            <w:tcW w:w="779" w:type="pct"/>
            <w:tcBorders>
              <w:top w:val="nil"/>
              <w:left w:val="nil"/>
              <w:bottom w:val="single" w:sz="4" w:space="0" w:color="auto"/>
              <w:right w:val="single" w:sz="4" w:space="0" w:color="auto"/>
            </w:tcBorders>
            <w:noWrap/>
            <w:vAlign w:val="center"/>
            <w:hideMark/>
          </w:tcPr>
          <w:p w14:paraId="4C5E3B6E" w14:textId="77777777" w:rsidR="006403A9" w:rsidRDefault="006403A9" w:rsidP="00F947E9">
            <w:pPr>
              <w:spacing w:after="0" w:line="240" w:lineRule="auto"/>
              <w:ind w:right="113"/>
              <w:jc w:val="right"/>
              <w:rPr>
                <w:rFonts w:ascii="Calibri" w:hAnsi="Calibri" w:cs="Calibri"/>
                <w:color w:val="000000"/>
                <w:sz w:val="20"/>
                <w:szCs w:val="20"/>
                <w:lang w:eastAsia="cs-CZ"/>
              </w:rPr>
            </w:pPr>
            <w:r>
              <w:rPr>
                <w:rFonts w:ascii="Calibri" w:hAnsi="Calibri" w:cs="Calibri"/>
                <w:color w:val="000000"/>
                <w:sz w:val="20"/>
                <w:szCs w:val="20"/>
                <w:lang w:eastAsia="cs-CZ"/>
              </w:rPr>
              <w:t>19 360 000</w:t>
            </w:r>
          </w:p>
        </w:tc>
      </w:tr>
      <w:tr w:rsidR="006403A9" w14:paraId="6EA0C83B" w14:textId="77777777" w:rsidTr="00446324">
        <w:trPr>
          <w:trHeight w:val="255"/>
        </w:trPr>
        <w:tc>
          <w:tcPr>
            <w:tcW w:w="1874" w:type="pct"/>
            <w:tcBorders>
              <w:top w:val="nil"/>
              <w:left w:val="single" w:sz="4" w:space="0" w:color="auto"/>
              <w:bottom w:val="single" w:sz="4" w:space="0" w:color="auto"/>
              <w:right w:val="single" w:sz="4" w:space="0" w:color="auto"/>
            </w:tcBorders>
            <w:noWrap/>
            <w:vAlign w:val="bottom"/>
            <w:hideMark/>
          </w:tcPr>
          <w:p w14:paraId="5B6744DE" w14:textId="5389B772" w:rsidR="006403A9" w:rsidRDefault="006403A9" w:rsidP="00AB6A4E">
            <w:pPr>
              <w:spacing w:after="0" w:line="240" w:lineRule="auto"/>
              <w:rPr>
                <w:rFonts w:ascii="Calibri" w:hAnsi="Calibri" w:cs="Calibri"/>
                <w:color w:val="000000"/>
                <w:sz w:val="20"/>
                <w:szCs w:val="20"/>
                <w:lang w:eastAsia="cs-CZ"/>
              </w:rPr>
            </w:pPr>
            <w:r>
              <w:rPr>
                <w:rFonts w:ascii="Calibri" w:hAnsi="Calibri" w:cs="Calibri"/>
                <w:color w:val="000000"/>
                <w:sz w:val="20"/>
                <w:szCs w:val="20"/>
                <w:lang w:eastAsia="cs-CZ"/>
              </w:rPr>
              <w:t>COVID</w:t>
            </w:r>
            <w:r w:rsidR="00446324">
              <w:rPr>
                <w:rFonts w:ascii="Calibri" w:hAnsi="Calibri" w:cs="Calibri"/>
                <w:color w:val="000000"/>
                <w:sz w:val="20"/>
                <w:szCs w:val="20"/>
                <w:lang w:eastAsia="cs-CZ"/>
              </w:rPr>
              <w:t xml:space="preserve"> − </w:t>
            </w:r>
            <w:r>
              <w:rPr>
                <w:rFonts w:ascii="Calibri" w:hAnsi="Calibri" w:cs="Calibri"/>
                <w:color w:val="000000"/>
                <w:sz w:val="20"/>
                <w:szCs w:val="20"/>
                <w:lang w:eastAsia="cs-CZ"/>
              </w:rPr>
              <w:t>Cestovní kanceláře II.</w:t>
            </w:r>
          </w:p>
        </w:tc>
        <w:tc>
          <w:tcPr>
            <w:tcW w:w="782" w:type="pct"/>
            <w:tcBorders>
              <w:top w:val="nil"/>
              <w:left w:val="nil"/>
              <w:bottom w:val="single" w:sz="4" w:space="0" w:color="auto"/>
              <w:right w:val="single" w:sz="4" w:space="0" w:color="auto"/>
            </w:tcBorders>
            <w:noWrap/>
            <w:vAlign w:val="center"/>
            <w:hideMark/>
          </w:tcPr>
          <w:p w14:paraId="23C9E885" w14:textId="77777777" w:rsidR="006403A9" w:rsidRDefault="006403A9" w:rsidP="00F947E9">
            <w:pPr>
              <w:spacing w:after="0" w:line="240" w:lineRule="auto"/>
              <w:ind w:right="113"/>
              <w:jc w:val="right"/>
              <w:rPr>
                <w:rFonts w:ascii="Calibri" w:hAnsi="Calibri" w:cs="Calibri"/>
                <w:color w:val="000000"/>
                <w:sz w:val="20"/>
                <w:szCs w:val="20"/>
                <w:lang w:eastAsia="cs-CZ"/>
              </w:rPr>
            </w:pPr>
            <w:r>
              <w:rPr>
                <w:rFonts w:ascii="Calibri" w:hAnsi="Calibri" w:cs="Calibri"/>
                <w:color w:val="000000"/>
                <w:sz w:val="20"/>
                <w:szCs w:val="20"/>
                <w:lang w:eastAsia="cs-CZ"/>
              </w:rPr>
              <w:t>-</w:t>
            </w:r>
          </w:p>
        </w:tc>
        <w:tc>
          <w:tcPr>
            <w:tcW w:w="782" w:type="pct"/>
            <w:tcBorders>
              <w:top w:val="nil"/>
              <w:left w:val="nil"/>
              <w:bottom w:val="single" w:sz="4" w:space="0" w:color="auto"/>
              <w:right w:val="single" w:sz="4" w:space="0" w:color="auto"/>
            </w:tcBorders>
            <w:noWrap/>
            <w:vAlign w:val="center"/>
            <w:hideMark/>
          </w:tcPr>
          <w:p w14:paraId="13E9F110" w14:textId="77777777" w:rsidR="006403A9" w:rsidRDefault="006403A9" w:rsidP="00F947E9">
            <w:pPr>
              <w:spacing w:after="0" w:line="240" w:lineRule="auto"/>
              <w:ind w:right="113"/>
              <w:jc w:val="right"/>
              <w:rPr>
                <w:rFonts w:ascii="Calibri" w:hAnsi="Calibri" w:cs="Calibri"/>
                <w:color w:val="000000"/>
                <w:sz w:val="20"/>
                <w:szCs w:val="20"/>
                <w:lang w:eastAsia="cs-CZ"/>
              </w:rPr>
            </w:pPr>
            <w:r>
              <w:rPr>
                <w:rFonts w:ascii="Calibri" w:hAnsi="Calibri" w:cs="Calibri"/>
                <w:color w:val="000000"/>
                <w:sz w:val="20"/>
                <w:szCs w:val="20"/>
                <w:lang w:eastAsia="cs-CZ"/>
              </w:rPr>
              <w:t>37 529 380</w:t>
            </w:r>
          </w:p>
        </w:tc>
        <w:tc>
          <w:tcPr>
            <w:tcW w:w="782" w:type="pct"/>
            <w:tcBorders>
              <w:top w:val="nil"/>
              <w:left w:val="nil"/>
              <w:bottom w:val="single" w:sz="4" w:space="0" w:color="auto"/>
              <w:right w:val="single" w:sz="4" w:space="0" w:color="auto"/>
            </w:tcBorders>
            <w:noWrap/>
            <w:vAlign w:val="center"/>
            <w:hideMark/>
          </w:tcPr>
          <w:p w14:paraId="10D1B5E0" w14:textId="77777777" w:rsidR="006403A9" w:rsidRDefault="006403A9" w:rsidP="00F947E9">
            <w:pPr>
              <w:spacing w:after="0" w:line="240" w:lineRule="auto"/>
              <w:ind w:right="113"/>
              <w:jc w:val="right"/>
              <w:rPr>
                <w:rFonts w:ascii="Calibri" w:hAnsi="Calibri" w:cs="Calibri"/>
                <w:color w:val="000000"/>
                <w:sz w:val="20"/>
                <w:szCs w:val="20"/>
                <w:lang w:eastAsia="cs-CZ"/>
              </w:rPr>
            </w:pPr>
            <w:r>
              <w:rPr>
                <w:rFonts w:ascii="Calibri" w:hAnsi="Calibri" w:cs="Calibri"/>
                <w:color w:val="000000"/>
                <w:sz w:val="20"/>
                <w:szCs w:val="20"/>
                <w:lang w:eastAsia="cs-CZ"/>
              </w:rPr>
              <w:t>-</w:t>
            </w:r>
          </w:p>
        </w:tc>
        <w:tc>
          <w:tcPr>
            <w:tcW w:w="779" w:type="pct"/>
            <w:tcBorders>
              <w:top w:val="nil"/>
              <w:left w:val="nil"/>
              <w:bottom w:val="single" w:sz="4" w:space="0" w:color="auto"/>
              <w:right w:val="single" w:sz="4" w:space="0" w:color="auto"/>
            </w:tcBorders>
            <w:noWrap/>
            <w:vAlign w:val="center"/>
            <w:hideMark/>
          </w:tcPr>
          <w:p w14:paraId="583B1BA7" w14:textId="77777777" w:rsidR="006403A9" w:rsidRDefault="006403A9" w:rsidP="00F947E9">
            <w:pPr>
              <w:spacing w:after="0" w:line="240" w:lineRule="auto"/>
              <w:ind w:right="113"/>
              <w:jc w:val="right"/>
              <w:rPr>
                <w:rFonts w:ascii="Calibri" w:hAnsi="Calibri" w:cs="Calibri"/>
                <w:color w:val="000000"/>
                <w:sz w:val="20"/>
                <w:szCs w:val="20"/>
                <w:lang w:eastAsia="cs-CZ"/>
              </w:rPr>
            </w:pPr>
            <w:r>
              <w:rPr>
                <w:rFonts w:ascii="Calibri" w:hAnsi="Calibri" w:cs="Calibri"/>
                <w:color w:val="000000"/>
                <w:sz w:val="20"/>
                <w:szCs w:val="20"/>
                <w:lang w:eastAsia="cs-CZ"/>
              </w:rPr>
              <w:t>37 529 380</w:t>
            </w:r>
          </w:p>
        </w:tc>
      </w:tr>
      <w:tr w:rsidR="006403A9" w14:paraId="53F452B1" w14:textId="77777777" w:rsidTr="00446324">
        <w:trPr>
          <w:trHeight w:val="255"/>
        </w:trPr>
        <w:tc>
          <w:tcPr>
            <w:tcW w:w="1874" w:type="pct"/>
            <w:tcBorders>
              <w:top w:val="nil"/>
              <w:left w:val="single" w:sz="4" w:space="0" w:color="auto"/>
              <w:bottom w:val="single" w:sz="4" w:space="0" w:color="auto"/>
              <w:right w:val="single" w:sz="4" w:space="0" w:color="auto"/>
            </w:tcBorders>
            <w:noWrap/>
            <w:vAlign w:val="bottom"/>
            <w:hideMark/>
          </w:tcPr>
          <w:p w14:paraId="292E7539" w14:textId="77777777" w:rsidR="006403A9" w:rsidRDefault="006403A9" w:rsidP="00AB6A4E">
            <w:pPr>
              <w:spacing w:after="0" w:line="240" w:lineRule="auto"/>
              <w:rPr>
                <w:rFonts w:ascii="Calibri" w:hAnsi="Calibri" w:cs="Calibri"/>
                <w:color w:val="000000"/>
                <w:sz w:val="20"/>
                <w:szCs w:val="20"/>
                <w:lang w:eastAsia="cs-CZ"/>
              </w:rPr>
            </w:pPr>
            <w:proofErr w:type="spellStart"/>
            <w:r>
              <w:rPr>
                <w:rFonts w:ascii="Calibri" w:hAnsi="Calibri" w:cs="Calibri"/>
                <w:color w:val="000000"/>
                <w:sz w:val="20"/>
                <w:szCs w:val="20"/>
                <w:lang w:eastAsia="cs-CZ"/>
              </w:rPr>
              <w:t>Subtitul</w:t>
            </w:r>
            <w:proofErr w:type="spellEnd"/>
            <w:r>
              <w:rPr>
                <w:rFonts w:ascii="Calibri" w:hAnsi="Calibri" w:cs="Calibri"/>
                <w:color w:val="000000"/>
                <w:sz w:val="20"/>
                <w:szCs w:val="20"/>
                <w:lang w:eastAsia="cs-CZ"/>
              </w:rPr>
              <w:t xml:space="preserve"> Záruky CK</w:t>
            </w:r>
          </w:p>
        </w:tc>
        <w:tc>
          <w:tcPr>
            <w:tcW w:w="782" w:type="pct"/>
            <w:tcBorders>
              <w:top w:val="nil"/>
              <w:left w:val="nil"/>
              <w:bottom w:val="single" w:sz="4" w:space="0" w:color="auto"/>
              <w:right w:val="single" w:sz="4" w:space="0" w:color="auto"/>
            </w:tcBorders>
            <w:noWrap/>
            <w:vAlign w:val="center"/>
            <w:hideMark/>
          </w:tcPr>
          <w:p w14:paraId="7653D3DC" w14:textId="77777777" w:rsidR="006403A9" w:rsidRDefault="006403A9" w:rsidP="00F947E9">
            <w:pPr>
              <w:spacing w:after="0" w:line="240" w:lineRule="auto"/>
              <w:ind w:right="113"/>
              <w:jc w:val="right"/>
              <w:rPr>
                <w:rFonts w:ascii="Calibri" w:hAnsi="Calibri" w:cs="Calibri"/>
                <w:color w:val="000000"/>
                <w:sz w:val="20"/>
                <w:szCs w:val="20"/>
                <w:lang w:eastAsia="cs-CZ"/>
              </w:rPr>
            </w:pPr>
            <w:r>
              <w:rPr>
                <w:rFonts w:ascii="Calibri" w:hAnsi="Calibri" w:cs="Calibri"/>
                <w:color w:val="000000"/>
                <w:sz w:val="20"/>
                <w:szCs w:val="20"/>
                <w:lang w:eastAsia="cs-CZ"/>
              </w:rPr>
              <w:t>-</w:t>
            </w:r>
          </w:p>
        </w:tc>
        <w:tc>
          <w:tcPr>
            <w:tcW w:w="782" w:type="pct"/>
            <w:tcBorders>
              <w:top w:val="nil"/>
              <w:left w:val="nil"/>
              <w:bottom w:val="single" w:sz="4" w:space="0" w:color="auto"/>
              <w:right w:val="single" w:sz="4" w:space="0" w:color="auto"/>
            </w:tcBorders>
            <w:noWrap/>
            <w:vAlign w:val="center"/>
            <w:hideMark/>
          </w:tcPr>
          <w:p w14:paraId="08F39C0E" w14:textId="77777777" w:rsidR="006403A9" w:rsidRDefault="006403A9" w:rsidP="00F947E9">
            <w:pPr>
              <w:spacing w:after="0" w:line="240" w:lineRule="auto"/>
              <w:ind w:right="113"/>
              <w:jc w:val="right"/>
              <w:rPr>
                <w:rFonts w:ascii="Calibri" w:hAnsi="Calibri" w:cs="Calibri"/>
                <w:color w:val="000000"/>
                <w:sz w:val="20"/>
                <w:szCs w:val="20"/>
                <w:lang w:eastAsia="cs-CZ"/>
              </w:rPr>
            </w:pPr>
            <w:r>
              <w:rPr>
                <w:rFonts w:ascii="Calibri" w:hAnsi="Calibri" w:cs="Calibri"/>
                <w:color w:val="000000"/>
                <w:sz w:val="20"/>
                <w:szCs w:val="20"/>
                <w:lang w:eastAsia="cs-CZ"/>
              </w:rPr>
              <w:t>-</w:t>
            </w:r>
          </w:p>
        </w:tc>
        <w:tc>
          <w:tcPr>
            <w:tcW w:w="782" w:type="pct"/>
            <w:tcBorders>
              <w:top w:val="nil"/>
              <w:left w:val="nil"/>
              <w:bottom w:val="single" w:sz="4" w:space="0" w:color="auto"/>
              <w:right w:val="single" w:sz="4" w:space="0" w:color="auto"/>
            </w:tcBorders>
            <w:noWrap/>
            <w:vAlign w:val="center"/>
            <w:hideMark/>
          </w:tcPr>
          <w:p w14:paraId="04B685C1" w14:textId="77777777" w:rsidR="006403A9" w:rsidRDefault="006403A9" w:rsidP="00F947E9">
            <w:pPr>
              <w:spacing w:after="0" w:line="240" w:lineRule="auto"/>
              <w:ind w:right="113"/>
              <w:jc w:val="right"/>
              <w:rPr>
                <w:rFonts w:ascii="Calibri" w:hAnsi="Calibri" w:cs="Calibri"/>
                <w:color w:val="000000"/>
                <w:sz w:val="20"/>
                <w:szCs w:val="20"/>
                <w:lang w:eastAsia="cs-CZ"/>
              </w:rPr>
            </w:pPr>
            <w:r>
              <w:rPr>
                <w:rFonts w:ascii="Calibri" w:hAnsi="Calibri" w:cs="Calibri"/>
                <w:color w:val="000000"/>
                <w:sz w:val="20"/>
                <w:szCs w:val="20"/>
                <w:lang w:eastAsia="cs-CZ"/>
              </w:rPr>
              <w:t>337 500</w:t>
            </w:r>
          </w:p>
        </w:tc>
        <w:tc>
          <w:tcPr>
            <w:tcW w:w="779" w:type="pct"/>
            <w:tcBorders>
              <w:top w:val="nil"/>
              <w:left w:val="nil"/>
              <w:bottom w:val="single" w:sz="4" w:space="0" w:color="auto"/>
              <w:right w:val="single" w:sz="4" w:space="0" w:color="auto"/>
            </w:tcBorders>
            <w:noWrap/>
            <w:vAlign w:val="center"/>
            <w:hideMark/>
          </w:tcPr>
          <w:p w14:paraId="6935E739" w14:textId="77777777" w:rsidR="006403A9" w:rsidRDefault="006403A9" w:rsidP="00F947E9">
            <w:pPr>
              <w:spacing w:after="0" w:line="240" w:lineRule="auto"/>
              <w:ind w:right="113"/>
              <w:jc w:val="right"/>
              <w:rPr>
                <w:rFonts w:ascii="Calibri" w:hAnsi="Calibri" w:cs="Calibri"/>
                <w:color w:val="000000"/>
                <w:sz w:val="20"/>
                <w:szCs w:val="20"/>
                <w:lang w:eastAsia="cs-CZ"/>
              </w:rPr>
            </w:pPr>
            <w:r>
              <w:rPr>
                <w:rFonts w:ascii="Calibri" w:hAnsi="Calibri" w:cs="Calibri"/>
                <w:color w:val="000000"/>
                <w:sz w:val="20"/>
                <w:szCs w:val="20"/>
                <w:lang w:eastAsia="cs-CZ"/>
              </w:rPr>
              <w:t>337 500</w:t>
            </w:r>
          </w:p>
        </w:tc>
      </w:tr>
      <w:tr w:rsidR="006403A9" w14:paraId="74742A68" w14:textId="77777777" w:rsidTr="00446324">
        <w:trPr>
          <w:trHeight w:val="255"/>
        </w:trPr>
        <w:tc>
          <w:tcPr>
            <w:tcW w:w="1874" w:type="pct"/>
            <w:tcBorders>
              <w:top w:val="nil"/>
              <w:left w:val="single" w:sz="4" w:space="0" w:color="auto"/>
              <w:bottom w:val="single" w:sz="4" w:space="0" w:color="auto"/>
              <w:right w:val="single" w:sz="4" w:space="0" w:color="auto"/>
            </w:tcBorders>
            <w:noWrap/>
            <w:vAlign w:val="bottom"/>
            <w:hideMark/>
          </w:tcPr>
          <w:p w14:paraId="5F153A19" w14:textId="654F84ED" w:rsidR="006403A9" w:rsidRDefault="006403A9" w:rsidP="00AB6A4E">
            <w:pPr>
              <w:spacing w:after="0" w:line="240" w:lineRule="auto"/>
              <w:rPr>
                <w:rFonts w:ascii="Calibri" w:hAnsi="Calibri" w:cs="Calibri"/>
                <w:color w:val="000000"/>
                <w:sz w:val="20"/>
                <w:szCs w:val="20"/>
                <w:lang w:eastAsia="cs-CZ"/>
              </w:rPr>
            </w:pPr>
            <w:r>
              <w:rPr>
                <w:rFonts w:ascii="Calibri" w:hAnsi="Calibri" w:cs="Calibri"/>
                <w:color w:val="000000"/>
                <w:sz w:val="20"/>
                <w:szCs w:val="20"/>
                <w:lang w:eastAsia="cs-CZ"/>
              </w:rPr>
              <w:t>COVID</w:t>
            </w:r>
            <w:r w:rsidR="00446324">
              <w:rPr>
                <w:rFonts w:ascii="Calibri" w:hAnsi="Calibri" w:cs="Calibri"/>
                <w:color w:val="000000"/>
                <w:sz w:val="20"/>
                <w:szCs w:val="20"/>
                <w:lang w:eastAsia="cs-CZ"/>
              </w:rPr>
              <w:t xml:space="preserve"> − </w:t>
            </w:r>
            <w:r>
              <w:rPr>
                <w:rFonts w:ascii="Calibri" w:hAnsi="Calibri" w:cs="Calibri"/>
                <w:color w:val="000000"/>
                <w:sz w:val="20"/>
                <w:szCs w:val="20"/>
                <w:lang w:eastAsia="cs-CZ"/>
              </w:rPr>
              <w:t>Lázně, COVID</w:t>
            </w:r>
            <w:r w:rsidR="00446324">
              <w:rPr>
                <w:rFonts w:ascii="Calibri" w:hAnsi="Calibri" w:cs="Calibri"/>
                <w:color w:val="000000"/>
                <w:sz w:val="20"/>
                <w:szCs w:val="20"/>
                <w:lang w:eastAsia="cs-CZ"/>
              </w:rPr>
              <w:t xml:space="preserve"> </w:t>
            </w:r>
            <w:r>
              <w:rPr>
                <w:rFonts w:ascii="Calibri" w:hAnsi="Calibri" w:cs="Calibri"/>
                <w:color w:val="000000"/>
                <w:sz w:val="20"/>
                <w:szCs w:val="20"/>
                <w:lang w:eastAsia="cs-CZ"/>
              </w:rPr>
              <w:t>-</w:t>
            </w:r>
            <w:r w:rsidR="00446324">
              <w:rPr>
                <w:rFonts w:ascii="Calibri" w:hAnsi="Calibri" w:cs="Calibri"/>
                <w:color w:val="000000"/>
                <w:sz w:val="20"/>
                <w:szCs w:val="20"/>
                <w:lang w:eastAsia="cs-CZ"/>
              </w:rPr>
              <w:t xml:space="preserve">− </w:t>
            </w:r>
            <w:r>
              <w:rPr>
                <w:rFonts w:ascii="Calibri" w:hAnsi="Calibri" w:cs="Calibri"/>
                <w:color w:val="000000"/>
                <w:sz w:val="20"/>
                <w:szCs w:val="20"/>
                <w:lang w:eastAsia="cs-CZ"/>
              </w:rPr>
              <w:t>Lázně 2021</w:t>
            </w:r>
          </w:p>
        </w:tc>
        <w:tc>
          <w:tcPr>
            <w:tcW w:w="782" w:type="pct"/>
            <w:tcBorders>
              <w:top w:val="nil"/>
              <w:left w:val="nil"/>
              <w:bottom w:val="single" w:sz="4" w:space="0" w:color="auto"/>
              <w:right w:val="single" w:sz="4" w:space="0" w:color="auto"/>
            </w:tcBorders>
            <w:noWrap/>
            <w:vAlign w:val="center"/>
            <w:hideMark/>
          </w:tcPr>
          <w:p w14:paraId="4C62BD34" w14:textId="77777777" w:rsidR="006403A9" w:rsidRDefault="006403A9" w:rsidP="00F947E9">
            <w:pPr>
              <w:spacing w:after="0" w:line="240" w:lineRule="auto"/>
              <w:ind w:right="113"/>
              <w:jc w:val="right"/>
              <w:rPr>
                <w:rFonts w:ascii="Calibri" w:hAnsi="Calibri" w:cs="Calibri"/>
                <w:color w:val="000000"/>
                <w:sz w:val="20"/>
                <w:szCs w:val="20"/>
                <w:lang w:eastAsia="cs-CZ"/>
              </w:rPr>
            </w:pPr>
            <w:r>
              <w:rPr>
                <w:rFonts w:ascii="Calibri" w:hAnsi="Calibri" w:cs="Calibri"/>
                <w:color w:val="000000"/>
                <w:sz w:val="20"/>
                <w:szCs w:val="20"/>
                <w:lang w:eastAsia="cs-CZ"/>
              </w:rPr>
              <w:t>113 240 000</w:t>
            </w:r>
          </w:p>
        </w:tc>
        <w:tc>
          <w:tcPr>
            <w:tcW w:w="782" w:type="pct"/>
            <w:tcBorders>
              <w:top w:val="nil"/>
              <w:left w:val="nil"/>
              <w:bottom w:val="single" w:sz="4" w:space="0" w:color="auto"/>
              <w:right w:val="single" w:sz="4" w:space="0" w:color="auto"/>
            </w:tcBorders>
            <w:noWrap/>
            <w:vAlign w:val="center"/>
            <w:hideMark/>
          </w:tcPr>
          <w:p w14:paraId="030151DB" w14:textId="77777777" w:rsidR="006403A9" w:rsidRDefault="006403A9" w:rsidP="00F947E9">
            <w:pPr>
              <w:spacing w:after="0" w:line="240" w:lineRule="auto"/>
              <w:ind w:right="113"/>
              <w:jc w:val="right"/>
              <w:rPr>
                <w:rFonts w:ascii="Calibri" w:hAnsi="Calibri" w:cs="Calibri"/>
                <w:color w:val="000000"/>
                <w:sz w:val="20"/>
                <w:szCs w:val="20"/>
                <w:lang w:eastAsia="cs-CZ"/>
              </w:rPr>
            </w:pPr>
            <w:r>
              <w:rPr>
                <w:rFonts w:ascii="Calibri" w:hAnsi="Calibri" w:cs="Calibri"/>
                <w:color w:val="000000"/>
                <w:sz w:val="20"/>
                <w:szCs w:val="20"/>
                <w:lang w:eastAsia="cs-CZ"/>
              </w:rPr>
              <w:t>305 628 000</w:t>
            </w:r>
          </w:p>
        </w:tc>
        <w:tc>
          <w:tcPr>
            <w:tcW w:w="782" w:type="pct"/>
            <w:tcBorders>
              <w:top w:val="nil"/>
              <w:left w:val="nil"/>
              <w:bottom w:val="single" w:sz="4" w:space="0" w:color="auto"/>
              <w:right w:val="single" w:sz="4" w:space="0" w:color="auto"/>
            </w:tcBorders>
            <w:noWrap/>
            <w:vAlign w:val="center"/>
            <w:hideMark/>
          </w:tcPr>
          <w:p w14:paraId="64ADE97E" w14:textId="77777777" w:rsidR="006403A9" w:rsidRDefault="006403A9" w:rsidP="00F947E9">
            <w:pPr>
              <w:spacing w:after="0" w:line="240" w:lineRule="auto"/>
              <w:ind w:right="113"/>
              <w:jc w:val="right"/>
              <w:rPr>
                <w:rFonts w:ascii="Calibri" w:hAnsi="Calibri" w:cs="Calibri"/>
                <w:color w:val="000000"/>
                <w:sz w:val="20"/>
                <w:szCs w:val="20"/>
                <w:lang w:eastAsia="cs-CZ"/>
              </w:rPr>
            </w:pPr>
            <w:r>
              <w:rPr>
                <w:rFonts w:ascii="Calibri" w:hAnsi="Calibri" w:cs="Calibri"/>
                <w:color w:val="000000"/>
                <w:sz w:val="20"/>
                <w:szCs w:val="20"/>
                <w:lang w:eastAsia="cs-CZ"/>
              </w:rPr>
              <w:t>123 548 000</w:t>
            </w:r>
          </w:p>
        </w:tc>
        <w:tc>
          <w:tcPr>
            <w:tcW w:w="779" w:type="pct"/>
            <w:tcBorders>
              <w:top w:val="nil"/>
              <w:left w:val="nil"/>
              <w:bottom w:val="single" w:sz="4" w:space="0" w:color="auto"/>
              <w:right w:val="single" w:sz="4" w:space="0" w:color="auto"/>
            </w:tcBorders>
            <w:noWrap/>
            <w:vAlign w:val="center"/>
            <w:hideMark/>
          </w:tcPr>
          <w:p w14:paraId="7EE363AF" w14:textId="77777777" w:rsidR="006403A9" w:rsidRDefault="006403A9" w:rsidP="00F947E9">
            <w:pPr>
              <w:spacing w:after="0" w:line="240" w:lineRule="auto"/>
              <w:ind w:right="113"/>
              <w:jc w:val="right"/>
              <w:rPr>
                <w:rFonts w:ascii="Calibri" w:hAnsi="Calibri" w:cs="Calibri"/>
                <w:color w:val="000000"/>
                <w:sz w:val="20"/>
                <w:szCs w:val="20"/>
                <w:lang w:eastAsia="cs-CZ"/>
              </w:rPr>
            </w:pPr>
            <w:r>
              <w:rPr>
                <w:rFonts w:ascii="Calibri" w:hAnsi="Calibri" w:cs="Calibri"/>
                <w:color w:val="000000"/>
                <w:sz w:val="20"/>
                <w:szCs w:val="20"/>
                <w:lang w:eastAsia="cs-CZ"/>
              </w:rPr>
              <w:t>542 416 000</w:t>
            </w:r>
          </w:p>
        </w:tc>
      </w:tr>
      <w:tr w:rsidR="00F947E9" w14:paraId="7BBD4CED" w14:textId="77777777" w:rsidTr="00446324">
        <w:trPr>
          <w:trHeight w:val="255"/>
        </w:trPr>
        <w:tc>
          <w:tcPr>
            <w:tcW w:w="4221" w:type="pct"/>
            <w:gridSpan w:val="4"/>
            <w:tcBorders>
              <w:top w:val="nil"/>
              <w:left w:val="single" w:sz="4" w:space="0" w:color="auto"/>
              <w:bottom w:val="single" w:sz="4" w:space="0" w:color="auto"/>
              <w:right w:val="single" w:sz="4" w:space="0" w:color="auto"/>
            </w:tcBorders>
            <w:shd w:val="clear" w:color="auto" w:fill="F2C6C9"/>
            <w:noWrap/>
            <w:vAlign w:val="center"/>
          </w:tcPr>
          <w:p w14:paraId="4EA5CE23" w14:textId="1016C0F6" w:rsidR="00F947E9" w:rsidRDefault="00F947E9" w:rsidP="00F947E9">
            <w:pPr>
              <w:spacing w:after="0" w:line="240" w:lineRule="auto"/>
              <w:ind w:right="113"/>
              <w:rPr>
                <w:rFonts w:ascii="Calibri" w:hAnsi="Calibri" w:cs="Calibri"/>
                <w:color w:val="000000"/>
                <w:sz w:val="20"/>
                <w:szCs w:val="20"/>
                <w:lang w:eastAsia="cs-CZ"/>
              </w:rPr>
            </w:pPr>
            <w:r w:rsidRPr="00AA64FE">
              <w:rPr>
                <w:b/>
                <w:sz w:val="20"/>
                <w:szCs w:val="20"/>
                <w:lang w:eastAsia="cs-CZ"/>
              </w:rPr>
              <w:t>Výdaje celkem</w:t>
            </w:r>
          </w:p>
        </w:tc>
        <w:tc>
          <w:tcPr>
            <w:tcW w:w="779" w:type="pct"/>
            <w:tcBorders>
              <w:top w:val="nil"/>
              <w:left w:val="nil"/>
              <w:bottom w:val="single" w:sz="4" w:space="0" w:color="auto"/>
              <w:right w:val="single" w:sz="4" w:space="0" w:color="auto"/>
            </w:tcBorders>
            <w:shd w:val="clear" w:color="auto" w:fill="F2C6C9"/>
            <w:noWrap/>
            <w:vAlign w:val="center"/>
          </w:tcPr>
          <w:p w14:paraId="49E1EFE7" w14:textId="6786B8AE" w:rsidR="00F947E9" w:rsidRDefault="00F947E9" w:rsidP="00F947E9">
            <w:pPr>
              <w:spacing w:after="0" w:line="240" w:lineRule="auto"/>
              <w:ind w:right="113"/>
              <w:jc w:val="right"/>
              <w:rPr>
                <w:rFonts w:ascii="Calibri" w:hAnsi="Calibri" w:cs="Calibri"/>
                <w:color w:val="000000"/>
                <w:sz w:val="20"/>
                <w:szCs w:val="20"/>
                <w:lang w:eastAsia="cs-CZ"/>
              </w:rPr>
            </w:pPr>
            <w:r>
              <w:rPr>
                <w:b/>
                <w:sz w:val="20"/>
                <w:szCs w:val="20"/>
                <w:lang w:eastAsia="cs-CZ"/>
              </w:rPr>
              <w:t>956 572 890</w:t>
            </w:r>
          </w:p>
        </w:tc>
      </w:tr>
    </w:tbl>
    <w:p w14:paraId="278BBF1C" w14:textId="680B37FC" w:rsidR="006403A9" w:rsidRDefault="006403A9" w:rsidP="00060682">
      <w:pPr>
        <w:tabs>
          <w:tab w:val="left" w:pos="2512"/>
        </w:tabs>
        <w:spacing w:before="40" w:after="120" w:line="240" w:lineRule="auto"/>
        <w:rPr>
          <w:rFonts w:eastAsia="Times New Roman" w:cstheme="minorHAnsi"/>
          <w:sz w:val="20"/>
          <w:szCs w:val="20"/>
        </w:rPr>
      </w:pPr>
      <w:r w:rsidRPr="00147D31">
        <w:rPr>
          <w:b/>
          <w:sz w:val="20"/>
          <w:szCs w:val="20"/>
        </w:rPr>
        <w:t>Zdroj:</w:t>
      </w:r>
      <w:r>
        <w:rPr>
          <w:sz w:val="20"/>
          <w:szCs w:val="20"/>
        </w:rPr>
        <w:t xml:space="preserve"> </w:t>
      </w:r>
      <w:r w:rsidR="00F56E8F">
        <w:rPr>
          <w:sz w:val="20"/>
          <w:szCs w:val="20"/>
        </w:rPr>
        <w:t>vypracoval</w:t>
      </w:r>
      <w:r>
        <w:rPr>
          <w:sz w:val="20"/>
          <w:szCs w:val="20"/>
        </w:rPr>
        <w:t xml:space="preserve"> NKÚ dle </w:t>
      </w:r>
      <w:r w:rsidR="00F56E8F">
        <w:rPr>
          <w:sz w:val="20"/>
          <w:szCs w:val="20"/>
        </w:rPr>
        <w:t>z</w:t>
      </w:r>
      <w:r>
        <w:rPr>
          <w:sz w:val="20"/>
          <w:szCs w:val="20"/>
        </w:rPr>
        <w:t>ávěrečných účtů MMR za roky 2020</w:t>
      </w:r>
      <w:r w:rsidR="00147D31">
        <w:rPr>
          <w:sz w:val="20"/>
          <w:szCs w:val="20"/>
        </w:rPr>
        <w:t>–</w:t>
      </w:r>
      <w:r>
        <w:rPr>
          <w:sz w:val="20"/>
          <w:szCs w:val="20"/>
        </w:rPr>
        <w:t>2022.</w:t>
      </w:r>
    </w:p>
    <w:bookmarkEnd w:id="21"/>
    <w:p w14:paraId="4C12E036" w14:textId="4D4FDC82" w:rsidR="00E937FD" w:rsidRPr="00E84013" w:rsidRDefault="00E937FD" w:rsidP="00F947E9">
      <w:pPr>
        <w:spacing w:before="240" w:after="120" w:line="240" w:lineRule="auto"/>
        <w:jc w:val="both"/>
        <w:rPr>
          <w:sz w:val="24"/>
          <w:szCs w:val="24"/>
        </w:rPr>
      </w:pPr>
      <w:r w:rsidRPr="00235F0C">
        <w:rPr>
          <w:sz w:val="24"/>
          <w:szCs w:val="24"/>
        </w:rPr>
        <w:t xml:space="preserve">K 21. 7. 2023 bylo přijato v pěti výzvách podprogramu </w:t>
      </w:r>
      <w:r w:rsidRPr="006252C2">
        <w:rPr>
          <w:sz w:val="24"/>
          <w:szCs w:val="24"/>
        </w:rPr>
        <w:t>Rozvoj</w:t>
      </w:r>
      <w:r w:rsidRPr="00235F0C">
        <w:rPr>
          <w:sz w:val="24"/>
          <w:szCs w:val="24"/>
        </w:rPr>
        <w:t xml:space="preserve"> celkem 490 žádostí o dotaci v celkové výši 765,9 mil. Kč. MMR vydalo 289 </w:t>
      </w:r>
      <w:r w:rsidR="00F56E8F">
        <w:rPr>
          <w:sz w:val="24"/>
          <w:szCs w:val="24"/>
        </w:rPr>
        <w:t>r</w:t>
      </w:r>
      <w:r w:rsidRPr="00235F0C">
        <w:rPr>
          <w:sz w:val="24"/>
          <w:szCs w:val="24"/>
        </w:rPr>
        <w:t>ozhodnutí</w:t>
      </w:r>
      <w:r>
        <w:rPr>
          <w:sz w:val="24"/>
          <w:szCs w:val="24"/>
        </w:rPr>
        <w:t xml:space="preserve"> o poskytnutí dotace </w:t>
      </w:r>
      <w:r w:rsidR="00F56E8F">
        <w:rPr>
          <w:sz w:val="24"/>
          <w:szCs w:val="24"/>
        </w:rPr>
        <w:t>v celkové</w:t>
      </w:r>
      <w:r>
        <w:rPr>
          <w:sz w:val="24"/>
          <w:szCs w:val="24"/>
        </w:rPr>
        <w:t xml:space="preserve"> výši 420,8</w:t>
      </w:r>
      <w:r w:rsidR="00F947E9">
        <w:rPr>
          <w:sz w:val="24"/>
          <w:szCs w:val="24"/>
        </w:rPr>
        <w:t> </w:t>
      </w:r>
      <w:r>
        <w:rPr>
          <w:sz w:val="24"/>
          <w:szCs w:val="24"/>
        </w:rPr>
        <w:t>mil.</w:t>
      </w:r>
      <w:r w:rsidR="00F947E9">
        <w:rPr>
          <w:sz w:val="24"/>
          <w:szCs w:val="24"/>
        </w:rPr>
        <w:t> </w:t>
      </w:r>
      <w:r>
        <w:rPr>
          <w:sz w:val="24"/>
          <w:szCs w:val="24"/>
        </w:rPr>
        <w:t xml:space="preserve">Kč. </w:t>
      </w:r>
      <w:r w:rsidRPr="0097027A">
        <w:rPr>
          <w:sz w:val="24"/>
          <w:szCs w:val="24"/>
        </w:rPr>
        <w:t>K</w:t>
      </w:r>
      <w:r>
        <w:rPr>
          <w:sz w:val="24"/>
          <w:szCs w:val="24"/>
        </w:rPr>
        <w:t> témuž datu</w:t>
      </w:r>
      <w:r w:rsidRPr="0097027A">
        <w:rPr>
          <w:sz w:val="24"/>
          <w:szCs w:val="24"/>
        </w:rPr>
        <w:t xml:space="preserve"> bylo proplaceno celkem </w:t>
      </w:r>
      <w:r>
        <w:rPr>
          <w:sz w:val="24"/>
          <w:szCs w:val="24"/>
        </w:rPr>
        <w:t>265</w:t>
      </w:r>
      <w:r w:rsidRPr="0097027A">
        <w:rPr>
          <w:sz w:val="24"/>
          <w:szCs w:val="24"/>
        </w:rPr>
        <w:t xml:space="preserve"> žádostí o platbu </w:t>
      </w:r>
      <w:r w:rsidR="00F56E8F">
        <w:rPr>
          <w:sz w:val="24"/>
          <w:szCs w:val="24"/>
        </w:rPr>
        <w:t>v celkové</w:t>
      </w:r>
      <w:r w:rsidR="00F947E9">
        <w:rPr>
          <w:sz w:val="24"/>
          <w:szCs w:val="24"/>
        </w:rPr>
        <w:t xml:space="preserve"> </w:t>
      </w:r>
      <w:r w:rsidRPr="0097027A">
        <w:rPr>
          <w:sz w:val="24"/>
          <w:szCs w:val="24"/>
        </w:rPr>
        <w:t xml:space="preserve">výši </w:t>
      </w:r>
      <w:r w:rsidRPr="00E84013">
        <w:rPr>
          <w:sz w:val="24"/>
          <w:szCs w:val="24"/>
        </w:rPr>
        <w:t>348,9</w:t>
      </w:r>
      <w:r w:rsidR="00F56E8F">
        <w:rPr>
          <w:sz w:val="24"/>
          <w:szCs w:val="24"/>
        </w:rPr>
        <w:t> </w:t>
      </w:r>
      <w:r w:rsidRPr="00E84013">
        <w:rPr>
          <w:sz w:val="24"/>
          <w:szCs w:val="24"/>
        </w:rPr>
        <w:t>mil.</w:t>
      </w:r>
      <w:r w:rsidR="00F56E8F">
        <w:rPr>
          <w:sz w:val="24"/>
          <w:szCs w:val="24"/>
        </w:rPr>
        <w:t> </w:t>
      </w:r>
      <w:r w:rsidRPr="00E84013">
        <w:rPr>
          <w:sz w:val="24"/>
          <w:szCs w:val="24"/>
        </w:rPr>
        <w:t>Kč</w:t>
      </w:r>
      <w:r>
        <w:rPr>
          <w:sz w:val="24"/>
          <w:szCs w:val="24"/>
        </w:rPr>
        <w:t>.</w:t>
      </w:r>
    </w:p>
    <w:p w14:paraId="0B30477F" w14:textId="15793582" w:rsidR="00E937FD" w:rsidRDefault="00E937FD" w:rsidP="00F947E9">
      <w:pPr>
        <w:spacing w:before="120" w:after="120" w:line="240" w:lineRule="auto"/>
        <w:jc w:val="both"/>
        <w:rPr>
          <w:sz w:val="24"/>
          <w:szCs w:val="24"/>
        </w:rPr>
      </w:pPr>
      <w:r w:rsidRPr="00E84013">
        <w:rPr>
          <w:sz w:val="24"/>
          <w:szCs w:val="24"/>
        </w:rPr>
        <w:t>K 21.</w:t>
      </w:r>
      <w:r w:rsidR="00F947E9">
        <w:rPr>
          <w:sz w:val="24"/>
          <w:szCs w:val="24"/>
        </w:rPr>
        <w:t> </w:t>
      </w:r>
      <w:r w:rsidRPr="00E84013">
        <w:rPr>
          <w:sz w:val="24"/>
          <w:szCs w:val="24"/>
        </w:rPr>
        <w:t>7.</w:t>
      </w:r>
      <w:r w:rsidR="00F947E9">
        <w:rPr>
          <w:sz w:val="24"/>
          <w:szCs w:val="24"/>
        </w:rPr>
        <w:t> </w:t>
      </w:r>
      <w:r w:rsidRPr="00E84013">
        <w:rPr>
          <w:sz w:val="24"/>
          <w:szCs w:val="24"/>
        </w:rPr>
        <w:t xml:space="preserve">2023 bylo přijato v pěti výzvách podprogramu </w:t>
      </w:r>
      <w:r w:rsidRPr="006252C2">
        <w:rPr>
          <w:sz w:val="24"/>
          <w:szCs w:val="24"/>
        </w:rPr>
        <w:t>Marketing</w:t>
      </w:r>
      <w:r w:rsidRPr="00E84013">
        <w:rPr>
          <w:sz w:val="24"/>
          <w:szCs w:val="24"/>
        </w:rPr>
        <w:t xml:space="preserve"> celkem </w:t>
      </w:r>
      <w:r>
        <w:rPr>
          <w:sz w:val="24"/>
          <w:szCs w:val="24"/>
        </w:rPr>
        <w:t>153</w:t>
      </w:r>
      <w:r w:rsidRPr="00E84013">
        <w:rPr>
          <w:sz w:val="24"/>
          <w:szCs w:val="24"/>
        </w:rPr>
        <w:t xml:space="preserve"> žádostí o dotaci v celkové výši 157,5</w:t>
      </w:r>
      <w:r w:rsidR="00F947E9">
        <w:rPr>
          <w:sz w:val="24"/>
          <w:szCs w:val="24"/>
        </w:rPr>
        <w:t> </w:t>
      </w:r>
      <w:r w:rsidRPr="00E84013">
        <w:rPr>
          <w:sz w:val="24"/>
          <w:szCs w:val="24"/>
        </w:rPr>
        <w:t>mil.</w:t>
      </w:r>
      <w:r w:rsidR="00F947E9">
        <w:rPr>
          <w:sz w:val="24"/>
          <w:szCs w:val="24"/>
        </w:rPr>
        <w:t> </w:t>
      </w:r>
      <w:r w:rsidRPr="00E84013">
        <w:rPr>
          <w:sz w:val="24"/>
          <w:szCs w:val="24"/>
        </w:rPr>
        <w:t xml:space="preserve">Kč. </w:t>
      </w:r>
      <w:r>
        <w:rPr>
          <w:sz w:val="24"/>
          <w:szCs w:val="24"/>
        </w:rPr>
        <w:t xml:space="preserve">MMR vydalo 111 </w:t>
      </w:r>
      <w:r w:rsidR="00F56E8F">
        <w:rPr>
          <w:sz w:val="24"/>
          <w:szCs w:val="24"/>
        </w:rPr>
        <w:t>r</w:t>
      </w:r>
      <w:r>
        <w:rPr>
          <w:sz w:val="24"/>
          <w:szCs w:val="24"/>
        </w:rPr>
        <w:t xml:space="preserve">ozhodnutí o poskytnutí dotace </w:t>
      </w:r>
      <w:r w:rsidR="00F56E8F">
        <w:rPr>
          <w:sz w:val="24"/>
          <w:szCs w:val="24"/>
        </w:rPr>
        <w:t>v celkové</w:t>
      </w:r>
      <w:r>
        <w:rPr>
          <w:sz w:val="24"/>
          <w:szCs w:val="24"/>
        </w:rPr>
        <w:t xml:space="preserve"> výši 82,5</w:t>
      </w:r>
      <w:r w:rsidR="00F947E9">
        <w:rPr>
          <w:sz w:val="24"/>
          <w:szCs w:val="24"/>
        </w:rPr>
        <w:t> </w:t>
      </w:r>
      <w:r>
        <w:rPr>
          <w:sz w:val="24"/>
          <w:szCs w:val="24"/>
        </w:rPr>
        <w:t>mil.</w:t>
      </w:r>
      <w:r w:rsidR="00F947E9">
        <w:rPr>
          <w:sz w:val="24"/>
          <w:szCs w:val="24"/>
        </w:rPr>
        <w:t> </w:t>
      </w:r>
      <w:r>
        <w:rPr>
          <w:sz w:val="24"/>
          <w:szCs w:val="24"/>
        </w:rPr>
        <w:t xml:space="preserve">Kč. </w:t>
      </w:r>
      <w:r w:rsidRPr="00E84013">
        <w:rPr>
          <w:sz w:val="24"/>
          <w:szCs w:val="24"/>
        </w:rPr>
        <w:t>K té</w:t>
      </w:r>
      <w:r>
        <w:rPr>
          <w:sz w:val="24"/>
          <w:szCs w:val="24"/>
        </w:rPr>
        <w:t>mu</w:t>
      </w:r>
      <w:r w:rsidRPr="00E84013">
        <w:rPr>
          <w:sz w:val="24"/>
          <w:szCs w:val="24"/>
        </w:rPr>
        <w:t xml:space="preserve">ž datu bylo proplaceno 110 žádostí o platbu </w:t>
      </w:r>
      <w:r w:rsidR="00F56E8F">
        <w:rPr>
          <w:sz w:val="24"/>
          <w:szCs w:val="24"/>
        </w:rPr>
        <w:t>v celkové</w:t>
      </w:r>
      <w:r w:rsidR="00060682">
        <w:rPr>
          <w:sz w:val="24"/>
          <w:szCs w:val="24"/>
        </w:rPr>
        <w:t xml:space="preserve"> </w:t>
      </w:r>
      <w:r w:rsidRPr="00E84013">
        <w:rPr>
          <w:sz w:val="24"/>
          <w:szCs w:val="24"/>
        </w:rPr>
        <w:t>výši 82,3</w:t>
      </w:r>
      <w:r w:rsidR="00F56E8F">
        <w:rPr>
          <w:sz w:val="24"/>
          <w:szCs w:val="24"/>
        </w:rPr>
        <w:t> </w:t>
      </w:r>
      <w:r w:rsidRPr="00E84013">
        <w:rPr>
          <w:sz w:val="24"/>
          <w:szCs w:val="24"/>
        </w:rPr>
        <w:t>mil.</w:t>
      </w:r>
      <w:r w:rsidR="00F56E8F">
        <w:rPr>
          <w:sz w:val="24"/>
          <w:szCs w:val="24"/>
        </w:rPr>
        <w:t> </w:t>
      </w:r>
      <w:r w:rsidRPr="00E84013">
        <w:rPr>
          <w:sz w:val="24"/>
          <w:szCs w:val="24"/>
        </w:rPr>
        <w:t>Kč</w:t>
      </w:r>
      <w:r>
        <w:rPr>
          <w:sz w:val="24"/>
          <w:szCs w:val="24"/>
        </w:rPr>
        <w:t>.</w:t>
      </w:r>
    </w:p>
    <w:p w14:paraId="3387E2FF" w14:textId="77777777" w:rsidR="00E2694C" w:rsidRDefault="00E2694C" w:rsidP="00E937FD">
      <w:pPr>
        <w:spacing w:before="120" w:after="120"/>
        <w:jc w:val="both"/>
        <w:rPr>
          <w:sz w:val="24"/>
          <w:szCs w:val="24"/>
        </w:rPr>
      </w:pPr>
    </w:p>
    <w:p w14:paraId="39922DE9" w14:textId="77777777" w:rsidR="006403A9" w:rsidRDefault="006403A9" w:rsidP="00E2694C">
      <w:pPr>
        <w:jc w:val="both"/>
        <w:rPr>
          <w:rFonts w:ascii="Calibri" w:hAnsi="Calibri" w:cs="Calibri"/>
          <w:b/>
          <w:sz w:val="24"/>
          <w:szCs w:val="24"/>
        </w:rPr>
      </w:pPr>
      <w:r>
        <w:rPr>
          <w:rFonts w:ascii="Calibri" w:hAnsi="Calibri" w:cs="Calibri"/>
          <w:b/>
          <w:sz w:val="24"/>
          <w:szCs w:val="24"/>
        </w:rPr>
        <w:br w:type="page"/>
      </w:r>
    </w:p>
    <w:p w14:paraId="4CD82224" w14:textId="53422190" w:rsidR="00F31777" w:rsidRPr="00A2429A" w:rsidRDefault="00F31777" w:rsidP="00060682">
      <w:pPr>
        <w:spacing w:after="120" w:line="240" w:lineRule="auto"/>
        <w:jc w:val="right"/>
        <w:rPr>
          <w:rFonts w:ascii="Calibri" w:hAnsi="Calibri" w:cs="Calibri"/>
          <w:b/>
          <w:sz w:val="24"/>
          <w:szCs w:val="24"/>
        </w:rPr>
      </w:pPr>
      <w:r w:rsidRPr="00A2429A">
        <w:rPr>
          <w:rFonts w:ascii="Calibri" w:hAnsi="Calibri" w:cs="Calibri"/>
          <w:b/>
          <w:sz w:val="24"/>
          <w:szCs w:val="24"/>
        </w:rPr>
        <w:t xml:space="preserve">Příloha č. </w:t>
      </w:r>
      <w:r w:rsidR="001E6613">
        <w:rPr>
          <w:rFonts w:ascii="Calibri" w:hAnsi="Calibri" w:cs="Calibri"/>
          <w:b/>
          <w:sz w:val="24"/>
          <w:szCs w:val="24"/>
        </w:rPr>
        <w:t>2</w:t>
      </w:r>
    </w:p>
    <w:p w14:paraId="1AA2A163" w14:textId="70FE716B" w:rsidR="009E3A50" w:rsidRPr="00F31777" w:rsidRDefault="009E3A50" w:rsidP="00060682">
      <w:pPr>
        <w:spacing w:after="40" w:line="240" w:lineRule="auto"/>
        <w:jc w:val="center"/>
        <w:rPr>
          <w:rFonts w:cstheme="minorHAnsi"/>
          <w:b/>
          <w:sz w:val="24"/>
        </w:rPr>
      </w:pPr>
      <w:bookmarkStart w:id="22" w:name="_Hlk142466492"/>
      <w:r w:rsidRPr="00F31777">
        <w:rPr>
          <w:rFonts w:cstheme="minorHAnsi"/>
          <w:b/>
          <w:sz w:val="24"/>
        </w:rPr>
        <w:t xml:space="preserve">Přehled kontrolovaných projektů </w:t>
      </w:r>
      <w:r w:rsidR="001A0C1D">
        <w:rPr>
          <w:rFonts w:cstheme="minorHAnsi"/>
          <w:b/>
          <w:sz w:val="24"/>
        </w:rPr>
        <w:t>NPPCRR</w:t>
      </w:r>
      <w:r w:rsidRPr="00F31777">
        <w:rPr>
          <w:rFonts w:cstheme="minorHAnsi"/>
          <w:b/>
          <w:sz w:val="24"/>
        </w:rPr>
        <w:t xml:space="preserve"> a hodnocení jejich účelnosti a </w:t>
      </w:r>
      <w:r w:rsidR="001A0C1D">
        <w:rPr>
          <w:rFonts w:cstheme="minorHAnsi"/>
          <w:b/>
          <w:sz w:val="24"/>
        </w:rPr>
        <w:t>hospodárnosti</w:t>
      </w:r>
    </w:p>
    <w:tbl>
      <w:tblPr>
        <w:tblW w:w="5002"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70" w:type="dxa"/>
          <w:right w:w="70" w:type="dxa"/>
        </w:tblCellMar>
        <w:tblLook w:val="04A0" w:firstRow="1" w:lastRow="0" w:firstColumn="1" w:lastColumn="0" w:noHBand="0" w:noVBand="1"/>
      </w:tblPr>
      <w:tblGrid>
        <w:gridCol w:w="561"/>
        <w:gridCol w:w="3831"/>
        <w:gridCol w:w="1556"/>
        <w:gridCol w:w="1137"/>
        <w:gridCol w:w="849"/>
        <w:gridCol w:w="1136"/>
      </w:tblGrid>
      <w:tr w:rsidR="009E3A50" w:rsidRPr="00407531" w14:paraId="5A9A76C5" w14:textId="77777777" w:rsidTr="00FE6ADF">
        <w:trPr>
          <w:trHeight w:val="227"/>
          <w:jc w:val="center"/>
        </w:trPr>
        <w:tc>
          <w:tcPr>
            <w:tcW w:w="2421" w:type="pct"/>
            <w:gridSpan w:val="2"/>
            <w:shd w:val="clear" w:color="auto" w:fill="E5F1FF"/>
            <w:tcMar>
              <w:left w:w="17" w:type="dxa"/>
              <w:right w:w="17" w:type="dxa"/>
            </w:tcMar>
            <w:vAlign w:val="center"/>
          </w:tcPr>
          <w:p w14:paraId="6C16126D" w14:textId="77777777" w:rsidR="009E3A50" w:rsidRPr="00407531" w:rsidRDefault="009E3A50" w:rsidP="0053735C">
            <w:pPr>
              <w:spacing w:after="0" w:line="240" w:lineRule="auto"/>
              <w:jc w:val="center"/>
              <w:rPr>
                <w:rFonts w:eastAsia="Times New Roman" w:cstheme="minorHAnsi"/>
                <w:b/>
                <w:bCs/>
                <w:color w:val="000000"/>
                <w:sz w:val="18"/>
                <w:szCs w:val="18"/>
                <w:lang w:eastAsia="cs-CZ"/>
              </w:rPr>
            </w:pPr>
            <w:r w:rsidRPr="00407531">
              <w:rPr>
                <w:rFonts w:eastAsia="Times New Roman" w:cstheme="minorHAnsi"/>
                <w:b/>
                <w:bCs/>
                <w:color w:val="000000"/>
                <w:sz w:val="18"/>
                <w:szCs w:val="18"/>
                <w:lang w:eastAsia="cs-CZ"/>
              </w:rPr>
              <w:t>Projekt</w:t>
            </w:r>
          </w:p>
        </w:tc>
        <w:tc>
          <w:tcPr>
            <w:tcW w:w="858" w:type="pct"/>
            <w:vMerge w:val="restart"/>
            <w:shd w:val="clear" w:color="auto" w:fill="E5F1FF"/>
            <w:tcMar>
              <w:left w:w="17" w:type="dxa"/>
              <w:right w:w="17" w:type="dxa"/>
            </w:tcMar>
            <w:vAlign w:val="center"/>
            <w:hideMark/>
          </w:tcPr>
          <w:p w14:paraId="25CDDA08" w14:textId="77777777" w:rsidR="009E3A50" w:rsidRPr="00407531" w:rsidRDefault="009E3A50" w:rsidP="0053735C">
            <w:pPr>
              <w:spacing w:after="0" w:line="240" w:lineRule="auto"/>
              <w:jc w:val="center"/>
              <w:rPr>
                <w:rFonts w:eastAsia="Times New Roman" w:cstheme="minorHAnsi"/>
                <w:bCs/>
                <w:color w:val="000000"/>
                <w:sz w:val="18"/>
                <w:szCs w:val="18"/>
                <w:lang w:eastAsia="cs-CZ"/>
              </w:rPr>
            </w:pPr>
            <w:r w:rsidRPr="00407531">
              <w:rPr>
                <w:rFonts w:eastAsia="Times New Roman" w:cstheme="minorHAnsi"/>
                <w:b/>
                <w:bCs/>
                <w:color w:val="000000"/>
                <w:sz w:val="18"/>
                <w:szCs w:val="18"/>
                <w:lang w:eastAsia="cs-CZ"/>
              </w:rPr>
              <w:t>Kontrolovaný příjemce podpory</w:t>
            </w:r>
          </w:p>
        </w:tc>
        <w:tc>
          <w:tcPr>
            <w:tcW w:w="626" w:type="pct"/>
            <w:vMerge w:val="restart"/>
            <w:shd w:val="clear" w:color="auto" w:fill="E5F1FF"/>
            <w:tcMar>
              <w:left w:w="17" w:type="dxa"/>
              <w:right w:w="17" w:type="dxa"/>
            </w:tcMar>
            <w:vAlign w:val="center"/>
          </w:tcPr>
          <w:p w14:paraId="65323740" w14:textId="556E1488" w:rsidR="009E3A50" w:rsidRPr="00407531" w:rsidRDefault="00672A12" w:rsidP="0053735C">
            <w:pPr>
              <w:spacing w:after="0" w:line="240" w:lineRule="auto"/>
              <w:jc w:val="center"/>
              <w:rPr>
                <w:rFonts w:eastAsia="Times New Roman" w:cstheme="minorHAnsi"/>
                <w:b/>
                <w:bCs/>
                <w:color w:val="000000"/>
                <w:sz w:val="18"/>
                <w:szCs w:val="18"/>
                <w:lang w:eastAsia="cs-CZ"/>
              </w:rPr>
            </w:pPr>
            <w:r w:rsidRPr="00407531">
              <w:rPr>
                <w:rFonts w:eastAsia="Times New Roman" w:cstheme="minorHAnsi"/>
                <w:b/>
                <w:bCs/>
                <w:color w:val="000000"/>
                <w:sz w:val="18"/>
                <w:szCs w:val="18"/>
                <w:lang w:eastAsia="cs-CZ"/>
              </w:rPr>
              <w:t>Poskytnutá dotace</w:t>
            </w:r>
            <w:r w:rsidR="009E3A50" w:rsidRPr="00407531">
              <w:rPr>
                <w:rFonts w:eastAsia="Times New Roman" w:cstheme="minorHAnsi"/>
                <w:b/>
                <w:bCs/>
                <w:color w:val="000000"/>
                <w:sz w:val="18"/>
                <w:szCs w:val="18"/>
                <w:lang w:eastAsia="cs-CZ"/>
              </w:rPr>
              <w:t xml:space="preserve"> (v Kč)</w:t>
            </w:r>
          </w:p>
        </w:tc>
        <w:tc>
          <w:tcPr>
            <w:tcW w:w="1094" w:type="pct"/>
            <w:gridSpan w:val="2"/>
            <w:shd w:val="clear" w:color="auto" w:fill="E5F1FF"/>
            <w:tcMar>
              <w:left w:w="17" w:type="dxa"/>
              <w:right w:w="17" w:type="dxa"/>
            </w:tcMar>
            <w:vAlign w:val="center"/>
            <w:hideMark/>
          </w:tcPr>
          <w:p w14:paraId="527E83FE" w14:textId="77777777" w:rsidR="009E3A50" w:rsidRPr="00407531" w:rsidRDefault="009E3A50" w:rsidP="0053735C">
            <w:pPr>
              <w:spacing w:after="0" w:line="240" w:lineRule="auto"/>
              <w:jc w:val="center"/>
              <w:rPr>
                <w:rFonts w:eastAsia="Times New Roman" w:cstheme="minorHAnsi"/>
                <w:b/>
                <w:bCs/>
                <w:color w:val="000000"/>
                <w:sz w:val="18"/>
                <w:szCs w:val="18"/>
                <w:lang w:eastAsia="cs-CZ"/>
              </w:rPr>
            </w:pPr>
            <w:r w:rsidRPr="00407531">
              <w:rPr>
                <w:rFonts w:eastAsia="Times New Roman" w:cstheme="minorHAnsi"/>
                <w:b/>
                <w:bCs/>
                <w:color w:val="000000"/>
                <w:sz w:val="18"/>
                <w:szCs w:val="18"/>
                <w:lang w:eastAsia="cs-CZ"/>
              </w:rPr>
              <w:t>Hodnocení</w:t>
            </w:r>
          </w:p>
        </w:tc>
      </w:tr>
      <w:tr w:rsidR="009E3A50" w:rsidRPr="00407531" w14:paraId="3D6EA7F8" w14:textId="77777777" w:rsidTr="00FE6ADF">
        <w:trPr>
          <w:trHeight w:val="227"/>
          <w:jc w:val="center"/>
        </w:trPr>
        <w:tc>
          <w:tcPr>
            <w:tcW w:w="309" w:type="pct"/>
            <w:shd w:val="clear" w:color="auto" w:fill="E5F1FF"/>
            <w:tcMar>
              <w:left w:w="17" w:type="dxa"/>
              <w:right w:w="17" w:type="dxa"/>
            </w:tcMar>
            <w:vAlign w:val="center"/>
            <w:hideMark/>
          </w:tcPr>
          <w:p w14:paraId="72CB590D" w14:textId="77777777" w:rsidR="009E3A50" w:rsidRPr="00407531" w:rsidRDefault="009E3A50" w:rsidP="0053735C">
            <w:pPr>
              <w:spacing w:after="0" w:line="240" w:lineRule="auto"/>
              <w:jc w:val="center"/>
              <w:rPr>
                <w:rFonts w:eastAsia="Times New Roman" w:cstheme="minorHAnsi"/>
                <w:b/>
                <w:bCs/>
                <w:color w:val="000000"/>
                <w:sz w:val="18"/>
                <w:szCs w:val="18"/>
                <w:lang w:eastAsia="cs-CZ"/>
              </w:rPr>
            </w:pPr>
            <w:r w:rsidRPr="00407531">
              <w:rPr>
                <w:rFonts w:eastAsia="Times New Roman" w:cstheme="minorHAnsi"/>
                <w:b/>
                <w:bCs/>
                <w:color w:val="000000"/>
                <w:sz w:val="18"/>
                <w:szCs w:val="18"/>
                <w:lang w:eastAsia="cs-CZ"/>
              </w:rPr>
              <w:t>Zkr.</w:t>
            </w:r>
          </w:p>
        </w:tc>
        <w:tc>
          <w:tcPr>
            <w:tcW w:w="2112" w:type="pct"/>
            <w:shd w:val="clear" w:color="auto" w:fill="E5F1FF"/>
            <w:tcMar>
              <w:left w:w="17" w:type="dxa"/>
              <w:right w:w="17" w:type="dxa"/>
            </w:tcMar>
            <w:vAlign w:val="center"/>
            <w:hideMark/>
          </w:tcPr>
          <w:p w14:paraId="7E2440BA" w14:textId="77777777" w:rsidR="009E3A50" w:rsidRPr="00407531" w:rsidRDefault="009E3A50" w:rsidP="0053735C">
            <w:pPr>
              <w:spacing w:after="0" w:line="240" w:lineRule="auto"/>
              <w:jc w:val="center"/>
              <w:rPr>
                <w:rFonts w:eastAsia="Times New Roman" w:cstheme="minorHAnsi"/>
                <w:b/>
                <w:bCs/>
                <w:color w:val="000000"/>
                <w:sz w:val="18"/>
                <w:szCs w:val="18"/>
                <w:lang w:eastAsia="cs-CZ"/>
              </w:rPr>
            </w:pPr>
            <w:r w:rsidRPr="00407531">
              <w:rPr>
                <w:rFonts w:eastAsia="Times New Roman" w:cstheme="minorHAnsi"/>
                <w:b/>
                <w:bCs/>
                <w:color w:val="000000"/>
                <w:sz w:val="18"/>
                <w:szCs w:val="18"/>
                <w:lang w:eastAsia="cs-CZ"/>
              </w:rPr>
              <w:t>Číslo a název</w:t>
            </w:r>
          </w:p>
        </w:tc>
        <w:tc>
          <w:tcPr>
            <w:tcW w:w="858" w:type="pct"/>
            <w:vMerge/>
            <w:shd w:val="clear" w:color="auto" w:fill="E5F1FF"/>
            <w:tcMar>
              <w:left w:w="17" w:type="dxa"/>
              <w:right w:w="17" w:type="dxa"/>
            </w:tcMar>
            <w:vAlign w:val="center"/>
            <w:hideMark/>
          </w:tcPr>
          <w:p w14:paraId="4FD42D42" w14:textId="77777777" w:rsidR="009E3A50" w:rsidRPr="00407531" w:rsidRDefault="009E3A50" w:rsidP="0053735C">
            <w:pPr>
              <w:spacing w:after="0" w:line="240" w:lineRule="auto"/>
              <w:jc w:val="center"/>
              <w:rPr>
                <w:rFonts w:eastAsia="Times New Roman" w:cstheme="minorHAnsi"/>
                <w:bCs/>
                <w:color w:val="000000"/>
                <w:sz w:val="18"/>
                <w:szCs w:val="18"/>
                <w:lang w:eastAsia="cs-CZ"/>
              </w:rPr>
            </w:pPr>
          </w:p>
        </w:tc>
        <w:tc>
          <w:tcPr>
            <w:tcW w:w="626" w:type="pct"/>
            <w:vMerge/>
            <w:shd w:val="clear" w:color="auto" w:fill="E5F1FF"/>
            <w:tcMar>
              <w:left w:w="17" w:type="dxa"/>
              <w:right w:w="17" w:type="dxa"/>
            </w:tcMar>
            <w:vAlign w:val="center"/>
          </w:tcPr>
          <w:p w14:paraId="19D92967" w14:textId="77777777" w:rsidR="009E3A50" w:rsidRPr="00407531" w:rsidRDefault="009E3A50" w:rsidP="0053735C">
            <w:pPr>
              <w:spacing w:after="0" w:line="240" w:lineRule="auto"/>
              <w:jc w:val="center"/>
              <w:rPr>
                <w:rFonts w:eastAsia="Times New Roman" w:cstheme="minorHAnsi"/>
                <w:b/>
                <w:bCs/>
                <w:color w:val="000000"/>
                <w:sz w:val="18"/>
                <w:szCs w:val="18"/>
                <w:lang w:eastAsia="cs-CZ"/>
              </w:rPr>
            </w:pPr>
          </w:p>
        </w:tc>
        <w:tc>
          <w:tcPr>
            <w:tcW w:w="468" w:type="pct"/>
            <w:shd w:val="clear" w:color="auto" w:fill="E5F1FF"/>
            <w:tcMar>
              <w:left w:w="17" w:type="dxa"/>
              <w:right w:w="17" w:type="dxa"/>
            </w:tcMar>
            <w:vAlign w:val="center"/>
            <w:hideMark/>
          </w:tcPr>
          <w:p w14:paraId="3B160187" w14:textId="77777777" w:rsidR="009E3A50" w:rsidRPr="00407531" w:rsidRDefault="009E3A50" w:rsidP="0053735C">
            <w:pPr>
              <w:spacing w:after="0" w:line="240" w:lineRule="auto"/>
              <w:jc w:val="center"/>
              <w:rPr>
                <w:rFonts w:eastAsia="Times New Roman" w:cstheme="minorHAnsi"/>
                <w:b/>
                <w:bCs/>
                <w:color w:val="000000"/>
                <w:sz w:val="18"/>
                <w:szCs w:val="18"/>
                <w:lang w:eastAsia="cs-CZ"/>
              </w:rPr>
            </w:pPr>
            <w:r w:rsidRPr="00407531">
              <w:rPr>
                <w:rFonts w:eastAsia="Times New Roman" w:cstheme="minorHAnsi"/>
                <w:b/>
                <w:bCs/>
                <w:color w:val="000000"/>
                <w:sz w:val="18"/>
                <w:szCs w:val="18"/>
                <w:lang w:eastAsia="cs-CZ"/>
              </w:rPr>
              <w:t>Účelnost</w:t>
            </w:r>
          </w:p>
        </w:tc>
        <w:tc>
          <w:tcPr>
            <w:tcW w:w="626" w:type="pct"/>
            <w:shd w:val="clear" w:color="auto" w:fill="E5F1FF"/>
            <w:tcMar>
              <w:left w:w="17" w:type="dxa"/>
              <w:right w:w="17" w:type="dxa"/>
            </w:tcMar>
            <w:vAlign w:val="center"/>
            <w:hideMark/>
          </w:tcPr>
          <w:p w14:paraId="564558DB" w14:textId="4D8C5290" w:rsidR="009E3A50" w:rsidRPr="00407531" w:rsidRDefault="001A0C1D" w:rsidP="0053735C">
            <w:pPr>
              <w:spacing w:after="0" w:line="240" w:lineRule="auto"/>
              <w:jc w:val="center"/>
              <w:rPr>
                <w:rFonts w:eastAsia="Times New Roman" w:cstheme="minorHAnsi"/>
                <w:b/>
                <w:bCs/>
                <w:color w:val="000000"/>
                <w:sz w:val="18"/>
                <w:szCs w:val="18"/>
                <w:lang w:eastAsia="cs-CZ"/>
              </w:rPr>
            </w:pPr>
            <w:r w:rsidRPr="00407531">
              <w:rPr>
                <w:rFonts w:eastAsia="Times New Roman" w:cstheme="minorHAnsi"/>
                <w:b/>
                <w:bCs/>
                <w:color w:val="000000"/>
                <w:sz w:val="18"/>
                <w:szCs w:val="18"/>
                <w:lang w:eastAsia="cs-CZ"/>
              </w:rPr>
              <w:t>Hospodárnost</w:t>
            </w:r>
          </w:p>
        </w:tc>
      </w:tr>
      <w:tr w:rsidR="009E3A50" w:rsidRPr="00407531" w14:paraId="67B730C2" w14:textId="77777777" w:rsidTr="00FE6ADF">
        <w:trPr>
          <w:trHeight w:val="304"/>
          <w:jc w:val="center"/>
        </w:trPr>
        <w:tc>
          <w:tcPr>
            <w:tcW w:w="309" w:type="pct"/>
            <w:tcMar>
              <w:left w:w="17" w:type="dxa"/>
              <w:right w:w="17" w:type="dxa"/>
            </w:tcMar>
            <w:vAlign w:val="center"/>
          </w:tcPr>
          <w:p w14:paraId="592EA9D6" w14:textId="46C81428" w:rsidR="009E3A50" w:rsidRPr="00407531" w:rsidRDefault="003A42EF" w:rsidP="0053735C">
            <w:pPr>
              <w:spacing w:after="0" w:line="240" w:lineRule="auto"/>
              <w:jc w:val="center"/>
              <w:rPr>
                <w:rFonts w:eastAsia="Times New Roman" w:cstheme="minorHAnsi"/>
                <w:color w:val="000000"/>
                <w:sz w:val="18"/>
                <w:szCs w:val="18"/>
                <w:lang w:eastAsia="cs-CZ"/>
              </w:rPr>
            </w:pPr>
            <w:bookmarkStart w:id="23" w:name="_Hlk144271017"/>
            <w:r w:rsidRPr="00407531">
              <w:rPr>
                <w:rFonts w:eastAsia="Times New Roman" w:cstheme="minorHAnsi"/>
                <w:color w:val="000000"/>
                <w:sz w:val="18"/>
                <w:szCs w:val="18"/>
                <w:lang w:eastAsia="cs-CZ"/>
              </w:rPr>
              <w:t>2006</w:t>
            </w:r>
          </w:p>
        </w:tc>
        <w:tc>
          <w:tcPr>
            <w:tcW w:w="2112" w:type="pct"/>
            <w:tcMar>
              <w:left w:w="17" w:type="dxa"/>
              <w:right w:w="17" w:type="dxa"/>
            </w:tcMar>
            <w:vAlign w:val="center"/>
          </w:tcPr>
          <w:p w14:paraId="373F38F6" w14:textId="4BECE10C" w:rsidR="009E3A50" w:rsidRPr="00407531" w:rsidRDefault="004E24A0"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117D721002006</w:t>
            </w:r>
            <w:r w:rsidRPr="00407531">
              <w:rPr>
                <w:rFonts w:eastAsia="Times New Roman" w:cstheme="minorHAnsi"/>
                <w:color w:val="000000"/>
                <w:sz w:val="18"/>
                <w:szCs w:val="18"/>
                <w:lang w:eastAsia="cs-CZ"/>
              </w:rPr>
              <w:br/>
              <w:t>Dětské hřiště u Konopišťského parku</w:t>
            </w:r>
          </w:p>
        </w:tc>
        <w:tc>
          <w:tcPr>
            <w:tcW w:w="858" w:type="pct"/>
            <w:tcMar>
              <w:left w:w="17" w:type="dxa"/>
              <w:right w:w="17" w:type="dxa"/>
            </w:tcMar>
            <w:vAlign w:val="center"/>
          </w:tcPr>
          <w:p w14:paraId="0F79108F" w14:textId="783D11BD" w:rsidR="009E3A50" w:rsidRPr="00407531" w:rsidRDefault="004E24A0"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Quo Invest s.r.o.</w:t>
            </w:r>
          </w:p>
        </w:tc>
        <w:tc>
          <w:tcPr>
            <w:tcW w:w="626" w:type="pct"/>
            <w:tcMar>
              <w:left w:w="17" w:type="dxa"/>
              <w:right w:w="17" w:type="dxa"/>
            </w:tcMar>
            <w:vAlign w:val="center"/>
          </w:tcPr>
          <w:p w14:paraId="327CF399" w14:textId="6B80DE30" w:rsidR="009E3A50" w:rsidRPr="00407531" w:rsidRDefault="00CA4F2E" w:rsidP="0053735C">
            <w:pPr>
              <w:spacing w:after="0" w:line="240" w:lineRule="auto"/>
              <w:jc w:val="center"/>
              <w:rPr>
                <w:rFonts w:eastAsia="Times New Roman" w:cstheme="minorHAnsi"/>
                <w:color w:val="000000"/>
                <w:sz w:val="18"/>
                <w:szCs w:val="18"/>
                <w:lang w:eastAsia="cs-CZ"/>
              </w:rPr>
            </w:pPr>
            <w:r w:rsidRPr="00407531">
              <w:rPr>
                <w:rFonts w:cstheme="minorHAnsi"/>
                <w:sz w:val="18"/>
                <w:szCs w:val="18"/>
              </w:rPr>
              <w:t>837 727,00</w:t>
            </w:r>
          </w:p>
        </w:tc>
        <w:tc>
          <w:tcPr>
            <w:tcW w:w="468" w:type="pct"/>
            <w:shd w:val="clear" w:color="auto" w:fill="FFFF00"/>
            <w:tcMar>
              <w:left w:w="17" w:type="dxa"/>
              <w:right w:w="17" w:type="dxa"/>
            </w:tcMar>
            <w:vAlign w:val="center"/>
          </w:tcPr>
          <w:p w14:paraId="7E9A1084" w14:textId="176199E4" w:rsidR="009E3A50" w:rsidRPr="00407531" w:rsidRDefault="0053043D" w:rsidP="0053735C">
            <w:pPr>
              <w:spacing w:after="0" w:line="240" w:lineRule="auto"/>
              <w:jc w:val="center"/>
              <w:rPr>
                <w:rFonts w:eastAsia="Times New Roman" w:cstheme="minorHAnsi"/>
                <w:b/>
                <w:color w:val="000000"/>
                <w:sz w:val="18"/>
                <w:szCs w:val="18"/>
                <w:lang w:eastAsia="cs-CZ"/>
              </w:rPr>
            </w:pPr>
            <w:r w:rsidRPr="00407531">
              <w:rPr>
                <w:rFonts w:eastAsia="Times New Roman" w:cstheme="minorHAnsi"/>
                <w:b/>
                <w:color w:val="000000"/>
                <w:sz w:val="18"/>
                <w:szCs w:val="18"/>
                <w:lang w:eastAsia="cs-CZ"/>
              </w:rPr>
              <w:t>3</w:t>
            </w:r>
          </w:p>
        </w:tc>
        <w:tc>
          <w:tcPr>
            <w:tcW w:w="626" w:type="pct"/>
            <w:shd w:val="clear" w:color="auto" w:fill="C9C9C9" w:themeFill="accent3" w:themeFillTint="99"/>
            <w:tcMar>
              <w:left w:w="17" w:type="dxa"/>
              <w:right w:w="17" w:type="dxa"/>
            </w:tcMar>
            <w:vAlign w:val="center"/>
          </w:tcPr>
          <w:p w14:paraId="77789348" w14:textId="35A080BD" w:rsidR="009E3A50" w:rsidRPr="00407531" w:rsidRDefault="0053043D" w:rsidP="0053735C">
            <w:pPr>
              <w:spacing w:after="0" w:line="240" w:lineRule="auto"/>
              <w:jc w:val="center"/>
              <w:rPr>
                <w:rFonts w:eastAsia="Times New Roman" w:cstheme="minorHAnsi"/>
                <w:b/>
                <w:color w:val="000000"/>
                <w:sz w:val="18"/>
                <w:szCs w:val="18"/>
                <w:lang w:eastAsia="cs-CZ"/>
              </w:rPr>
            </w:pPr>
            <w:r w:rsidRPr="00407531">
              <w:rPr>
                <w:rFonts w:eastAsia="Times New Roman" w:cstheme="minorHAnsi"/>
                <w:b/>
                <w:color w:val="000000"/>
                <w:sz w:val="18"/>
                <w:szCs w:val="18"/>
                <w:lang w:eastAsia="cs-CZ"/>
              </w:rPr>
              <w:t>X</w:t>
            </w:r>
          </w:p>
        </w:tc>
      </w:tr>
      <w:tr w:rsidR="008532DE" w:rsidRPr="00407531" w14:paraId="1FD773A4" w14:textId="77777777" w:rsidTr="00FE6ADF">
        <w:trPr>
          <w:trHeight w:val="227"/>
          <w:jc w:val="center"/>
        </w:trPr>
        <w:tc>
          <w:tcPr>
            <w:tcW w:w="309" w:type="pct"/>
            <w:tcMar>
              <w:left w:w="17" w:type="dxa"/>
              <w:right w:w="17" w:type="dxa"/>
            </w:tcMar>
            <w:vAlign w:val="center"/>
          </w:tcPr>
          <w:p w14:paraId="79D66933" w14:textId="51F2BDAD" w:rsidR="008532DE" w:rsidRPr="00407531" w:rsidRDefault="008532DE"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0041</w:t>
            </w:r>
          </w:p>
        </w:tc>
        <w:tc>
          <w:tcPr>
            <w:tcW w:w="2112" w:type="pct"/>
            <w:tcMar>
              <w:left w:w="17" w:type="dxa"/>
              <w:right w:w="17" w:type="dxa"/>
            </w:tcMar>
            <w:vAlign w:val="center"/>
          </w:tcPr>
          <w:p w14:paraId="4E08FAD1" w14:textId="520A9EEE" w:rsidR="008532DE" w:rsidRPr="00407531" w:rsidRDefault="008532DE"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117D721000041</w:t>
            </w:r>
            <w:r w:rsidR="00747867" w:rsidRPr="00407531">
              <w:rPr>
                <w:rFonts w:eastAsia="Times New Roman" w:cstheme="minorHAnsi"/>
                <w:color w:val="000000"/>
                <w:sz w:val="18"/>
                <w:szCs w:val="18"/>
                <w:lang w:eastAsia="cs-CZ"/>
              </w:rPr>
              <w:t xml:space="preserve"> </w:t>
            </w:r>
            <w:r w:rsidR="00747867" w:rsidRPr="00407531">
              <w:rPr>
                <w:rFonts w:eastAsia="Times New Roman" w:cstheme="minorHAnsi"/>
                <w:color w:val="000000"/>
                <w:sz w:val="18"/>
                <w:szCs w:val="18"/>
                <w:lang w:eastAsia="cs-CZ"/>
              </w:rPr>
              <w:br/>
              <w:t>Výstavba sportovně rekreační zóny Luční ul., Sedlčany</w:t>
            </w:r>
          </w:p>
        </w:tc>
        <w:tc>
          <w:tcPr>
            <w:tcW w:w="858" w:type="pct"/>
            <w:tcMar>
              <w:left w:w="17" w:type="dxa"/>
              <w:right w:w="17" w:type="dxa"/>
            </w:tcMar>
            <w:vAlign w:val="center"/>
          </w:tcPr>
          <w:p w14:paraId="498AF3CD" w14:textId="1886BB6C" w:rsidR="008532DE" w:rsidRPr="00407531" w:rsidRDefault="00CE040F"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MĚSTO SEDLČANY</w:t>
            </w:r>
          </w:p>
        </w:tc>
        <w:tc>
          <w:tcPr>
            <w:tcW w:w="626" w:type="pct"/>
            <w:tcMar>
              <w:left w:w="17" w:type="dxa"/>
              <w:right w:w="17" w:type="dxa"/>
            </w:tcMar>
            <w:vAlign w:val="center"/>
          </w:tcPr>
          <w:p w14:paraId="72B7CB13" w14:textId="22921E28" w:rsidR="008532DE" w:rsidRPr="00407531" w:rsidRDefault="00696C5F" w:rsidP="0053735C">
            <w:pPr>
              <w:spacing w:after="0" w:line="240" w:lineRule="auto"/>
              <w:jc w:val="center"/>
              <w:rPr>
                <w:rFonts w:eastAsia="Times New Roman" w:cstheme="minorHAnsi"/>
                <w:color w:val="000000"/>
                <w:sz w:val="18"/>
                <w:szCs w:val="18"/>
                <w:lang w:eastAsia="cs-CZ"/>
              </w:rPr>
            </w:pPr>
            <w:r w:rsidRPr="00407531">
              <w:rPr>
                <w:rFonts w:cstheme="minorHAnsi"/>
                <w:sz w:val="18"/>
                <w:szCs w:val="18"/>
              </w:rPr>
              <w:t>2 143 124,00</w:t>
            </w:r>
          </w:p>
        </w:tc>
        <w:tc>
          <w:tcPr>
            <w:tcW w:w="468" w:type="pct"/>
            <w:shd w:val="clear" w:color="auto" w:fill="FFFF00"/>
            <w:tcMar>
              <w:left w:w="17" w:type="dxa"/>
              <w:right w:w="17" w:type="dxa"/>
            </w:tcMar>
            <w:vAlign w:val="center"/>
          </w:tcPr>
          <w:p w14:paraId="0FF67C4F" w14:textId="7EB89742" w:rsidR="008532DE" w:rsidRPr="00407531" w:rsidRDefault="008532DE" w:rsidP="0053735C">
            <w:pPr>
              <w:spacing w:after="0" w:line="240" w:lineRule="auto"/>
              <w:jc w:val="center"/>
              <w:rPr>
                <w:rFonts w:eastAsia="Times New Roman" w:cstheme="minorHAnsi"/>
                <w:b/>
                <w:color w:val="000000"/>
                <w:sz w:val="18"/>
                <w:szCs w:val="18"/>
                <w:lang w:eastAsia="cs-CZ"/>
              </w:rPr>
            </w:pPr>
            <w:r w:rsidRPr="00407531">
              <w:rPr>
                <w:rFonts w:eastAsia="Times New Roman" w:cstheme="minorHAnsi"/>
                <w:b/>
                <w:color w:val="000000"/>
                <w:sz w:val="18"/>
                <w:szCs w:val="18"/>
                <w:lang w:eastAsia="cs-CZ"/>
              </w:rPr>
              <w:t>3</w:t>
            </w:r>
          </w:p>
        </w:tc>
        <w:tc>
          <w:tcPr>
            <w:tcW w:w="626" w:type="pct"/>
            <w:shd w:val="clear" w:color="auto" w:fill="538135" w:themeFill="accent6" w:themeFillShade="BF"/>
            <w:tcMar>
              <w:left w:w="17" w:type="dxa"/>
              <w:right w:w="17" w:type="dxa"/>
            </w:tcMar>
            <w:vAlign w:val="center"/>
          </w:tcPr>
          <w:p w14:paraId="7E0BA575" w14:textId="0A8FB930" w:rsidR="008532DE" w:rsidRPr="00407531" w:rsidRDefault="008532DE" w:rsidP="0053735C">
            <w:pPr>
              <w:spacing w:after="0" w:line="240" w:lineRule="auto"/>
              <w:jc w:val="center"/>
              <w:rPr>
                <w:rFonts w:eastAsia="Times New Roman" w:cstheme="minorHAnsi"/>
                <w:b/>
                <w:color w:val="000000"/>
                <w:sz w:val="18"/>
                <w:szCs w:val="18"/>
                <w:lang w:eastAsia="cs-CZ"/>
              </w:rPr>
            </w:pPr>
            <w:r w:rsidRPr="00407531">
              <w:rPr>
                <w:rFonts w:eastAsia="Times New Roman" w:cstheme="minorHAnsi"/>
                <w:b/>
                <w:color w:val="000000"/>
                <w:sz w:val="18"/>
                <w:szCs w:val="18"/>
                <w:lang w:eastAsia="cs-CZ"/>
              </w:rPr>
              <w:t>1</w:t>
            </w:r>
          </w:p>
        </w:tc>
      </w:tr>
      <w:tr w:rsidR="00292850" w:rsidRPr="00407531" w14:paraId="0184D4DB" w14:textId="77777777" w:rsidTr="00FE6ADF">
        <w:trPr>
          <w:trHeight w:val="274"/>
          <w:jc w:val="center"/>
        </w:trPr>
        <w:tc>
          <w:tcPr>
            <w:tcW w:w="309" w:type="pct"/>
            <w:tcMar>
              <w:left w:w="17" w:type="dxa"/>
              <w:right w:w="17" w:type="dxa"/>
            </w:tcMar>
            <w:vAlign w:val="center"/>
          </w:tcPr>
          <w:p w14:paraId="1E5B4306" w14:textId="46E40E5C" w:rsidR="00292850" w:rsidRPr="00407531" w:rsidRDefault="00292850"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0004</w:t>
            </w:r>
          </w:p>
        </w:tc>
        <w:tc>
          <w:tcPr>
            <w:tcW w:w="2112" w:type="pct"/>
            <w:tcMar>
              <w:left w:w="17" w:type="dxa"/>
              <w:right w:w="17" w:type="dxa"/>
            </w:tcMar>
            <w:vAlign w:val="center"/>
          </w:tcPr>
          <w:p w14:paraId="2E26F201" w14:textId="20A87ABC" w:rsidR="00292850" w:rsidRPr="00407531" w:rsidRDefault="00292850"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 xml:space="preserve">117D721000004 </w:t>
            </w:r>
            <w:r w:rsidRPr="00407531">
              <w:rPr>
                <w:rFonts w:eastAsia="Times New Roman" w:cstheme="minorHAnsi"/>
                <w:color w:val="000000"/>
                <w:sz w:val="18"/>
                <w:szCs w:val="18"/>
                <w:lang w:eastAsia="cs-CZ"/>
              </w:rPr>
              <w:br/>
              <w:t xml:space="preserve">Muzeum </w:t>
            </w:r>
            <w:proofErr w:type="spellStart"/>
            <w:r w:rsidRPr="00407531">
              <w:rPr>
                <w:rFonts w:eastAsia="Times New Roman" w:cstheme="minorHAnsi"/>
                <w:color w:val="000000"/>
                <w:sz w:val="18"/>
                <w:szCs w:val="18"/>
                <w:lang w:eastAsia="cs-CZ"/>
              </w:rPr>
              <w:t>Chotouň</w:t>
            </w:r>
            <w:proofErr w:type="spellEnd"/>
            <w:r w:rsidRPr="00407531">
              <w:rPr>
                <w:rFonts w:eastAsia="Times New Roman" w:cstheme="minorHAnsi"/>
                <w:color w:val="000000"/>
                <w:sz w:val="18"/>
                <w:szCs w:val="18"/>
                <w:lang w:eastAsia="cs-CZ"/>
              </w:rPr>
              <w:t xml:space="preserve"> – nová výstavní hala IV</w:t>
            </w:r>
          </w:p>
        </w:tc>
        <w:tc>
          <w:tcPr>
            <w:tcW w:w="858" w:type="pct"/>
            <w:tcMar>
              <w:left w:w="17" w:type="dxa"/>
              <w:right w:w="17" w:type="dxa"/>
            </w:tcMar>
            <w:vAlign w:val="center"/>
          </w:tcPr>
          <w:p w14:paraId="271EEC61" w14:textId="1536C4AB" w:rsidR="00292850" w:rsidRPr="00407531" w:rsidRDefault="00292850"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 xml:space="preserve">Pavel </w:t>
            </w:r>
            <w:proofErr w:type="spellStart"/>
            <w:r w:rsidRPr="00407531">
              <w:rPr>
                <w:rFonts w:eastAsia="Times New Roman" w:cstheme="minorHAnsi"/>
                <w:color w:val="000000"/>
                <w:sz w:val="18"/>
                <w:szCs w:val="18"/>
                <w:lang w:eastAsia="cs-CZ"/>
              </w:rPr>
              <w:t>Víša</w:t>
            </w:r>
            <w:proofErr w:type="spellEnd"/>
          </w:p>
        </w:tc>
        <w:tc>
          <w:tcPr>
            <w:tcW w:w="626" w:type="pct"/>
            <w:tcMar>
              <w:left w:w="17" w:type="dxa"/>
              <w:right w:w="17" w:type="dxa"/>
            </w:tcMar>
            <w:vAlign w:val="center"/>
          </w:tcPr>
          <w:p w14:paraId="685EFACF" w14:textId="180149D6" w:rsidR="00292850" w:rsidRPr="00407531" w:rsidRDefault="00916A55" w:rsidP="0053735C">
            <w:pPr>
              <w:spacing w:after="0" w:line="240" w:lineRule="auto"/>
              <w:jc w:val="center"/>
              <w:rPr>
                <w:rFonts w:eastAsia="Times New Roman" w:cstheme="minorHAnsi"/>
                <w:color w:val="000000"/>
                <w:sz w:val="18"/>
                <w:szCs w:val="18"/>
                <w:lang w:eastAsia="cs-CZ"/>
              </w:rPr>
            </w:pPr>
            <w:r w:rsidRPr="00407531">
              <w:rPr>
                <w:rFonts w:cstheme="minorHAnsi"/>
                <w:sz w:val="18"/>
                <w:szCs w:val="18"/>
              </w:rPr>
              <w:t>645 290,00</w:t>
            </w:r>
          </w:p>
        </w:tc>
        <w:tc>
          <w:tcPr>
            <w:tcW w:w="468" w:type="pct"/>
            <w:shd w:val="clear" w:color="auto" w:fill="538135" w:themeFill="accent6" w:themeFillShade="BF"/>
            <w:tcMar>
              <w:left w:w="17" w:type="dxa"/>
              <w:right w:w="17" w:type="dxa"/>
            </w:tcMar>
            <w:vAlign w:val="center"/>
          </w:tcPr>
          <w:p w14:paraId="1EC8D289" w14:textId="4D09900C" w:rsidR="00292850" w:rsidRPr="00407531" w:rsidRDefault="00292850" w:rsidP="0053735C">
            <w:pPr>
              <w:spacing w:after="0" w:line="240" w:lineRule="auto"/>
              <w:jc w:val="center"/>
              <w:rPr>
                <w:rFonts w:eastAsia="Times New Roman" w:cstheme="minorHAnsi"/>
                <w:b/>
                <w:color w:val="000000"/>
                <w:sz w:val="18"/>
                <w:szCs w:val="18"/>
                <w:lang w:eastAsia="cs-CZ"/>
              </w:rPr>
            </w:pPr>
            <w:r w:rsidRPr="00407531">
              <w:rPr>
                <w:rFonts w:eastAsia="Times New Roman" w:cstheme="minorHAnsi"/>
                <w:b/>
                <w:color w:val="000000"/>
                <w:sz w:val="18"/>
                <w:szCs w:val="18"/>
                <w:lang w:eastAsia="cs-CZ"/>
              </w:rPr>
              <w:t>1</w:t>
            </w:r>
          </w:p>
        </w:tc>
        <w:tc>
          <w:tcPr>
            <w:tcW w:w="626" w:type="pct"/>
            <w:shd w:val="clear" w:color="auto" w:fill="538135" w:themeFill="accent6" w:themeFillShade="BF"/>
            <w:tcMar>
              <w:left w:w="17" w:type="dxa"/>
              <w:right w:w="17" w:type="dxa"/>
            </w:tcMar>
            <w:vAlign w:val="center"/>
          </w:tcPr>
          <w:p w14:paraId="19418480" w14:textId="19CB3DF5" w:rsidR="00292850" w:rsidRPr="00407531" w:rsidRDefault="00292850" w:rsidP="0053735C">
            <w:pPr>
              <w:spacing w:after="0" w:line="240" w:lineRule="auto"/>
              <w:jc w:val="center"/>
              <w:rPr>
                <w:rFonts w:eastAsia="Times New Roman" w:cstheme="minorHAnsi"/>
                <w:b/>
                <w:color w:val="000000"/>
                <w:sz w:val="18"/>
                <w:szCs w:val="18"/>
                <w:lang w:eastAsia="cs-CZ"/>
              </w:rPr>
            </w:pPr>
            <w:r w:rsidRPr="00407531">
              <w:rPr>
                <w:rFonts w:eastAsia="Times New Roman" w:cstheme="minorHAnsi"/>
                <w:b/>
                <w:color w:val="000000"/>
                <w:sz w:val="18"/>
                <w:szCs w:val="18"/>
                <w:lang w:eastAsia="cs-CZ"/>
              </w:rPr>
              <w:t>1</w:t>
            </w:r>
          </w:p>
        </w:tc>
      </w:tr>
      <w:tr w:rsidR="00AF5C3B" w:rsidRPr="00407531" w14:paraId="06CFBBC2" w14:textId="77777777" w:rsidTr="00FE6ADF">
        <w:trPr>
          <w:trHeight w:val="251"/>
          <w:jc w:val="center"/>
        </w:trPr>
        <w:tc>
          <w:tcPr>
            <w:tcW w:w="309" w:type="pct"/>
            <w:tcMar>
              <w:left w:w="17" w:type="dxa"/>
              <w:right w:w="17" w:type="dxa"/>
            </w:tcMar>
            <w:vAlign w:val="center"/>
          </w:tcPr>
          <w:p w14:paraId="2C04D4DD" w14:textId="193A8D9F" w:rsidR="00AF5C3B" w:rsidRPr="00407531" w:rsidRDefault="00AF5C3B"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9038</w:t>
            </w:r>
          </w:p>
        </w:tc>
        <w:tc>
          <w:tcPr>
            <w:tcW w:w="2112" w:type="pct"/>
            <w:tcMar>
              <w:left w:w="17" w:type="dxa"/>
              <w:right w:w="17" w:type="dxa"/>
            </w:tcMar>
            <w:vAlign w:val="center"/>
          </w:tcPr>
          <w:p w14:paraId="5066FB39" w14:textId="5DA580D0" w:rsidR="00AF5C3B" w:rsidRPr="00407531" w:rsidRDefault="00AF5C3B"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117D721009038</w:t>
            </w:r>
            <w:r w:rsidRPr="00407531">
              <w:rPr>
                <w:rFonts w:eastAsia="Times New Roman" w:cstheme="minorHAnsi"/>
                <w:color w:val="000000"/>
                <w:sz w:val="18"/>
                <w:szCs w:val="18"/>
                <w:lang w:eastAsia="cs-CZ"/>
              </w:rPr>
              <w:br/>
              <w:t>Expozice českého sklářství a bižuterie – II. etapa</w:t>
            </w:r>
          </w:p>
        </w:tc>
        <w:tc>
          <w:tcPr>
            <w:tcW w:w="858" w:type="pct"/>
            <w:tcMar>
              <w:left w:w="17" w:type="dxa"/>
              <w:right w:w="17" w:type="dxa"/>
            </w:tcMar>
            <w:vAlign w:val="center"/>
          </w:tcPr>
          <w:p w14:paraId="19C0AADA" w14:textId="096F34B4" w:rsidR="00AF5C3B" w:rsidRPr="00407531" w:rsidRDefault="00AF5C3B"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 xml:space="preserve">G &amp; B </w:t>
            </w:r>
            <w:proofErr w:type="spellStart"/>
            <w:r w:rsidRPr="00407531">
              <w:rPr>
                <w:rFonts w:eastAsia="Times New Roman" w:cstheme="minorHAnsi"/>
                <w:color w:val="000000"/>
                <w:sz w:val="18"/>
                <w:szCs w:val="18"/>
                <w:lang w:eastAsia="cs-CZ"/>
              </w:rPr>
              <w:t>beads</w:t>
            </w:r>
            <w:proofErr w:type="spellEnd"/>
            <w:r w:rsidRPr="00407531">
              <w:rPr>
                <w:rFonts w:eastAsia="Times New Roman" w:cstheme="minorHAnsi"/>
                <w:color w:val="000000"/>
                <w:sz w:val="18"/>
                <w:szCs w:val="18"/>
                <w:lang w:eastAsia="cs-CZ"/>
              </w:rPr>
              <w:t>, s.r.o.</w:t>
            </w:r>
          </w:p>
        </w:tc>
        <w:tc>
          <w:tcPr>
            <w:tcW w:w="626" w:type="pct"/>
            <w:tcMar>
              <w:left w:w="17" w:type="dxa"/>
              <w:right w:w="17" w:type="dxa"/>
            </w:tcMar>
            <w:vAlign w:val="center"/>
          </w:tcPr>
          <w:p w14:paraId="0F672B50" w14:textId="4AFE3AD7" w:rsidR="00AF5C3B" w:rsidRPr="00407531" w:rsidRDefault="00916A55" w:rsidP="0053735C">
            <w:pPr>
              <w:spacing w:after="0" w:line="240" w:lineRule="auto"/>
              <w:jc w:val="center"/>
              <w:rPr>
                <w:rFonts w:eastAsia="Times New Roman" w:cstheme="minorHAnsi"/>
                <w:color w:val="000000"/>
                <w:sz w:val="18"/>
                <w:szCs w:val="18"/>
                <w:lang w:eastAsia="cs-CZ"/>
              </w:rPr>
            </w:pPr>
            <w:r w:rsidRPr="00407531">
              <w:rPr>
                <w:rFonts w:cstheme="minorHAnsi"/>
                <w:sz w:val="18"/>
                <w:szCs w:val="18"/>
              </w:rPr>
              <w:t>2 962 696,00</w:t>
            </w:r>
          </w:p>
        </w:tc>
        <w:tc>
          <w:tcPr>
            <w:tcW w:w="468" w:type="pct"/>
            <w:shd w:val="clear" w:color="auto" w:fill="A8D08D" w:themeFill="accent6" w:themeFillTint="99"/>
            <w:tcMar>
              <w:left w:w="17" w:type="dxa"/>
              <w:right w:w="17" w:type="dxa"/>
            </w:tcMar>
            <w:vAlign w:val="center"/>
          </w:tcPr>
          <w:p w14:paraId="03F565CC" w14:textId="7657C57B" w:rsidR="00AF5C3B" w:rsidRPr="00407531" w:rsidRDefault="00AF5C3B" w:rsidP="0053735C">
            <w:pPr>
              <w:spacing w:after="0" w:line="240" w:lineRule="auto"/>
              <w:jc w:val="center"/>
              <w:rPr>
                <w:rFonts w:eastAsia="Times New Roman" w:cstheme="minorHAnsi"/>
                <w:b/>
                <w:color w:val="000000"/>
                <w:sz w:val="18"/>
                <w:szCs w:val="18"/>
                <w:lang w:eastAsia="cs-CZ"/>
              </w:rPr>
            </w:pPr>
            <w:r w:rsidRPr="00407531">
              <w:rPr>
                <w:rFonts w:eastAsia="Times New Roman" w:cstheme="minorHAnsi"/>
                <w:b/>
                <w:color w:val="000000"/>
                <w:sz w:val="18"/>
                <w:szCs w:val="18"/>
                <w:lang w:eastAsia="cs-CZ"/>
              </w:rPr>
              <w:t>2</w:t>
            </w:r>
          </w:p>
        </w:tc>
        <w:tc>
          <w:tcPr>
            <w:tcW w:w="626" w:type="pct"/>
            <w:shd w:val="clear" w:color="auto" w:fill="A8D08D" w:themeFill="accent6" w:themeFillTint="99"/>
            <w:tcMar>
              <w:left w:w="17" w:type="dxa"/>
              <w:right w:w="17" w:type="dxa"/>
            </w:tcMar>
            <w:vAlign w:val="center"/>
          </w:tcPr>
          <w:p w14:paraId="784EEC64" w14:textId="203FECC8" w:rsidR="00AF5C3B" w:rsidRPr="00407531" w:rsidRDefault="00AF5C3B" w:rsidP="0053735C">
            <w:pPr>
              <w:spacing w:after="0" w:line="240" w:lineRule="auto"/>
              <w:jc w:val="center"/>
              <w:rPr>
                <w:rFonts w:eastAsia="Times New Roman" w:cstheme="minorHAnsi"/>
                <w:b/>
                <w:color w:val="000000"/>
                <w:sz w:val="18"/>
                <w:szCs w:val="18"/>
                <w:lang w:eastAsia="cs-CZ"/>
              </w:rPr>
            </w:pPr>
            <w:r w:rsidRPr="00407531">
              <w:rPr>
                <w:rFonts w:eastAsia="Times New Roman" w:cstheme="minorHAnsi"/>
                <w:b/>
                <w:color w:val="000000"/>
                <w:sz w:val="18"/>
                <w:szCs w:val="18"/>
                <w:lang w:eastAsia="cs-CZ"/>
              </w:rPr>
              <w:t>2</w:t>
            </w:r>
          </w:p>
        </w:tc>
      </w:tr>
      <w:tr w:rsidR="00B43812" w:rsidRPr="00407531" w14:paraId="774CA22F" w14:textId="77777777" w:rsidTr="00FE6ADF">
        <w:trPr>
          <w:trHeight w:val="227"/>
          <w:jc w:val="center"/>
        </w:trPr>
        <w:tc>
          <w:tcPr>
            <w:tcW w:w="309" w:type="pct"/>
            <w:tcMar>
              <w:left w:w="17" w:type="dxa"/>
              <w:right w:w="17" w:type="dxa"/>
            </w:tcMar>
            <w:vAlign w:val="center"/>
          </w:tcPr>
          <w:p w14:paraId="2CB1B3C4" w14:textId="07DD733A" w:rsidR="00B43812" w:rsidRPr="00407531" w:rsidRDefault="00B43812"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0009</w:t>
            </w:r>
          </w:p>
        </w:tc>
        <w:tc>
          <w:tcPr>
            <w:tcW w:w="2112" w:type="pct"/>
            <w:tcMar>
              <w:left w:w="17" w:type="dxa"/>
              <w:right w:w="17" w:type="dxa"/>
            </w:tcMar>
            <w:vAlign w:val="center"/>
          </w:tcPr>
          <w:p w14:paraId="384A333B" w14:textId="6AE54494" w:rsidR="00B43812" w:rsidRPr="00407531" w:rsidRDefault="00B43812"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117D721000009</w:t>
            </w:r>
            <w:r w:rsidRPr="00407531">
              <w:rPr>
                <w:rFonts w:eastAsia="Times New Roman" w:cstheme="minorHAnsi"/>
                <w:color w:val="000000"/>
                <w:sz w:val="18"/>
                <w:szCs w:val="18"/>
                <w:lang w:eastAsia="cs-CZ"/>
              </w:rPr>
              <w:br/>
              <w:t>Expozice českého sklářství a bižuterie – III. etapa</w:t>
            </w:r>
          </w:p>
        </w:tc>
        <w:tc>
          <w:tcPr>
            <w:tcW w:w="858" w:type="pct"/>
            <w:tcMar>
              <w:left w:w="17" w:type="dxa"/>
              <w:right w:w="17" w:type="dxa"/>
            </w:tcMar>
            <w:vAlign w:val="center"/>
          </w:tcPr>
          <w:p w14:paraId="119C2DC9" w14:textId="2F398532" w:rsidR="00B43812" w:rsidRPr="00407531" w:rsidRDefault="00B43812"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 xml:space="preserve">G &amp; B </w:t>
            </w:r>
            <w:proofErr w:type="spellStart"/>
            <w:r w:rsidRPr="00407531">
              <w:rPr>
                <w:rFonts w:eastAsia="Times New Roman" w:cstheme="minorHAnsi"/>
                <w:color w:val="000000"/>
                <w:sz w:val="18"/>
                <w:szCs w:val="18"/>
                <w:lang w:eastAsia="cs-CZ"/>
              </w:rPr>
              <w:t>beads</w:t>
            </w:r>
            <w:proofErr w:type="spellEnd"/>
            <w:r w:rsidRPr="00407531">
              <w:rPr>
                <w:rFonts w:eastAsia="Times New Roman" w:cstheme="minorHAnsi"/>
                <w:color w:val="000000"/>
                <w:sz w:val="18"/>
                <w:szCs w:val="18"/>
                <w:lang w:eastAsia="cs-CZ"/>
              </w:rPr>
              <w:t>, s.r.o.</w:t>
            </w:r>
          </w:p>
        </w:tc>
        <w:tc>
          <w:tcPr>
            <w:tcW w:w="626" w:type="pct"/>
            <w:tcMar>
              <w:left w:w="17" w:type="dxa"/>
              <w:right w:w="17" w:type="dxa"/>
            </w:tcMar>
            <w:vAlign w:val="center"/>
          </w:tcPr>
          <w:p w14:paraId="2F953935" w14:textId="1322225F" w:rsidR="00B43812" w:rsidRPr="00407531" w:rsidRDefault="00916A55" w:rsidP="0053735C">
            <w:pPr>
              <w:spacing w:after="0" w:line="240" w:lineRule="auto"/>
              <w:jc w:val="center"/>
              <w:rPr>
                <w:rFonts w:eastAsia="Times New Roman" w:cstheme="minorHAnsi"/>
                <w:color w:val="000000"/>
                <w:sz w:val="18"/>
                <w:szCs w:val="18"/>
                <w:lang w:eastAsia="cs-CZ"/>
              </w:rPr>
            </w:pPr>
            <w:r w:rsidRPr="00407531">
              <w:rPr>
                <w:rFonts w:cstheme="minorHAnsi"/>
                <w:sz w:val="18"/>
                <w:szCs w:val="18"/>
              </w:rPr>
              <w:t>3 043 733,00</w:t>
            </w:r>
          </w:p>
        </w:tc>
        <w:tc>
          <w:tcPr>
            <w:tcW w:w="468" w:type="pct"/>
            <w:shd w:val="clear" w:color="auto" w:fill="A8D08D" w:themeFill="accent6" w:themeFillTint="99"/>
            <w:tcMar>
              <w:left w:w="17" w:type="dxa"/>
              <w:right w:w="17" w:type="dxa"/>
            </w:tcMar>
            <w:vAlign w:val="center"/>
          </w:tcPr>
          <w:p w14:paraId="0AC08125" w14:textId="4CB7AC39" w:rsidR="00B43812" w:rsidRPr="00407531" w:rsidRDefault="00B43812" w:rsidP="0053735C">
            <w:pPr>
              <w:spacing w:after="0" w:line="240" w:lineRule="auto"/>
              <w:jc w:val="center"/>
              <w:rPr>
                <w:rFonts w:eastAsia="Times New Roman" w:cstheme="minorHAnsi"/>
                <w:b/>
                <w:color w:val="000000"/>
                <w:sz w:val="18"/>
                <w:szCs w:val="18"/>
                <w:lang w:eastAsia="cs-CZ"/>
              </w:rPr>
            </w:pPr>
            <w:r w:rsidRPr="00407531">
              <w:rPr>
                <w:rFonts w:eastAsia="Times New Roman" w:cstheme="minorHAnsi"/>
                <w:b/>
                <w:color w:val="000000"/>
                <w:sz w:val="18"/>
                <w:szCs w:val="18"/>
                <w:lang w:eastAsia="cs-CZ"/>
              </w:rPr>
              <w:t>2</w:t>
            </w:r>
          </w:p>
        </w:tc>
        <w:tc>
          <w:tcPr>
            <w:tcW w:w="626" w:type="pct"/>
            <w:shd w:val="clear" w:color="auto" w:fill="A8D08D" w:themeFill="accent6" w:themeFillTint="99"/>
            <w:tcMar>
              <w:left w:w="17" w:type="dxa"/>
              <w:right w:w="17" w:type="dxa"/>
            </w:tcMar>
            <w:vAlign w:val="center"/>
          </w:tcPr>
          <w:p w14:paraId="16272895" w14:textId="3D56F779" w:rsidR="00B43812" w:rsidRPr="00407531" w:rsidRDefault="00B43812" w:rsidP="0053735C">
            <w:pPr>
              <w:spacing w:after="0" w:line="240" w:lineRule="auto"/>
              <w:jc w:val="center"/>
              <w:rPr>
                <w:rFonts w:eastAsia="Times New Roman" w:cstheme="minorHAnsi"/>
                <w:b/>
                <w:color w:val="000000"/>
                <w:sz w:val="18"/>
                <w:szCs w:val="18"/>
                <w:lang w:eastAsia="cs-CZ"/>
              </w:rPr>
            </w:pPr>
            <w:r w:rsidRPr="00407531">
              <w:rPr>
                <w:rFonts w:eastAsia="Times New Roman" w:cstheme="minorHAnsi"/>
                <w:b/>
                <w:color w:val="000000"/>
                <w:sz w:val="18"/>
                <w:szCs w:val="18"/>
                <w:lang w:eastAsia="cs-CZ"/>
              </w:rPr>
              <w:t>2</w:t>
            </w:r>
          </w:p>
        </w:tc>
      </w:tr>
      <w:tr w:rsidR="00891DC7" w:rsidRPr="00407531" w14:paraId="13627253" w14:textId="77777777" w:rsidTr="00FE6ADF">
        <w:trPr>
          <w:trHeight w:val="207"/>
          <w:jc w:val="center"/>
        </w:trPr>
        <w:tc>
          <w:tcPr>
            <w:tcW w:w="309" w:type="pct"/>
            <w:tcMar>
              <w:left w:w="17" w:type="dxa"/>
              <w:right w:w="17" w:type="dxa"/>
            </w:tcMar>
            <w:vAlign w:val="center"/>
          </w:tcPr>
          <w:p w14:paraId="0F137687" w14:textId="5EB4999A" w:rsidR="00891DC7" w:rsidRPr="00407531" w:rsidRDefault="00891DC7"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9072</w:t>
            </w:r>
          </w:p>
        </w:tc>
        <w:tc>
          <w:tcPr>
            <w:tcW w:w="2112" w:type="pct"/>
            <w:tcMar>
              <w:left w:w="17" w:type="dxa"/>
              <w:right w:w="17" w:type="dxa"/>
            </w:tcMar>
            <w:vAlign w:val="center"/>
          </w:tcPr>
          <w:p w14:paraId="78B6CC5E" w14:textId="7D50E8D5" w:rsidR="00891DC7" w:rsidRPr="00407531" w:rsidRDefault="00891DC7"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 xml:space="preserve">117D721009072 </w:t>
            </w:r>
            <w:r w:rsidRPr="00407531">
              <w:rPr>
                <w:rFonts w:eastAsia="Times New Roman" w:cstheme="minorHAnsi"/>
                <w:color w:val="000000"/>
                <w:sz w:val="18"/>
                <w:szCs w:val="18"/>
                <w:lang w:eastAsia="cs-CZ"/>
              </w:rPr>
              <w:br/>
              <w:t>Modernizace pohonu ozubnicové lokomotivy T426.003 pro turistické vlaky</w:t>
            </w:r>
          </w:p>
        </w:tc>
        <w:tc>
          <w:tcPr>
            <w:tcW w:w="858" w:type="pct"/>
            <w:tcMar>
              <w:left w:w="17" w:type="dxa"/>
              <w:right w:w="17" w:type="dxa"/>
            </w:tcMar>
            <w:vAlign w:val="center"/>
          </w:tcPr>
          <w:p w14:paraId="17CB1C40" w14:textId="232101F0" w:rsidR="00891DC7" w:rsidRPr="00407531" w:rsidRDefault="00891DC7"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Železniční společnost Tanvald o.p.s.</w:t>
            </w:r>
          </w:p>
        </w:tc>
        <w:tc>
          <w:tcPr>
            <w:tcW w:w="626" w:type="pct"/>
            <w:tcMar>
              <w:left w:w="17" w:type="dxa"/>
              <w:right w:w="17" w:type="dxa"/>
            </w:tcMar>
            <w:vAlign w:val="center"/>
          </w:tcPr>
          <w:p w14:paraId="66077E84" w14:textId="5AF4B21C" w:rsidR="00891DC7" w:rsidRPr="00407531" w:rsidRDefault="0091506A" w:rsidP="0053735C">
            <w:pPr>
              <w:spacing w:after="0" w:line="240" w:lineRule="auto"/>
              <w:jc w:val="center"/>
              <w:rPr>
                <w:rFonts w:eastAsia="Times New Roman" w:cstheme="minorHAnsi"/>
                <w:color w:val="000000"/>
                <w:sz w:val="18"/>
                <w:szCs w:val="18"/>
                <w:lang w:eastAsia="cs-CZ"/>
              </w:rPr>
            </w:pPr>
            <w:r w:rsidRPr="00407531">
              <w:rPr>
                <w:rFonts w:cstheme="minorHAnsi"/>
                <w:sz w:val="18"/>
                <w:szCs w:val="18"/>
              </w:rPr>
              <w:t>1 914 585,00</w:t>
            </w:r>
          </w:p>
        </w:tc>
        <w:tc>
          <w:tcPr>
            <w:tcW w:w="468" w:type="pct"/>
            <w:shd w:val="clear" w:color="auto" w:fill="A8D08D" w:themeFill="accent6" w:themeFillTint="99"/>
            <w:tcMar>
              <w:left w:w="17" w:type="dxa"/>
              <w:right w:w="17" w:type="dxa"/>
            </w:tcMar>
            <w:vAlign w:val="center"/>
          </w:tcPr>
          <w:p w14:paraId="488D81CB" w14:textId="497A937B" w:rsidR="00891DC7" w:rsidRPr="00407531" w:rsidRDefault="00891DC7" w:rsidP="0053735C">
            <w:pPr>
              <w:spacing w:after="0" w:line="240" w:lineRule="auto"/>
              <w:jc w:val="center"/>
              <w:rPr>
                <w:rFonts w:eastAsia="Times New Roman" w:cstheme="minorHAnsi"/>
                <w:b/>
                <w:color w:val="000000"/>
                <w:sz w:val="18"/>
                <w:szCs w:val="18"/>
                <w:lang w:eastAsia="cs-CZ"/>
              </w:rPr>
            </w:pPr>
            <w:r w:rsidRPr="00407531">
              <w:rPr>
                <w:rFonts w:eastAsia="Times New Roman" w:cstheme="minorHAnsi"/>
                <w:b/>
                <w:color w:val="000000"/>
                <w:sz w:val="18"/>
                <w:szCs w:val="18"/>
                <w:lang w:eastAsia="cs-CZ"/>
              </w:rPr>
              <w:t>2</w:t>
            </w:r>
          </w:p>
        </w:tc>
        <w:tc>
          <w:tcPr>
            <w:tcW w:w="626" w:type="pct"/>
            <w:shd w:val="clear" w:color="auto" w:fill="A8D08D" w:themeFill="accent6" w:themeFillTint="99"/>
            <w:tcMar>
              <w:left w:w="17" w:type="dxa"/>
              <w:right w:w="17" w:type="dxa"/>
            </w:tcMar>
            <w:vAlign w:val="center"/>
          </w:tcPr>
          <w:p w14:paraId="77B91B8A" w14:textId="7E78B7D6" w:rsidR="00891DC7" w:rsidRPr="00407531" w:rsidRDefault="00891DC7" w:rsidP="0053735C">
            <w:pPr>
              <w:spacing w:after="0" w:line="240" w:lineRule="auto"/>
              <w:jc w:val="center"/>
              <w:rPr>
                <w:rFonts w:eastAsia="Times New Roman" w:cstheme="minorHAnsi"/>
                <w:b/>
                <w:color w:val="000000"/>
                <w:sz w:val="18"/>
                <w:szCs w:val="18"/>
                <w:lang w:eastAsia="cs-CZ"/>
              </w:rPr>
            </w:pPr>
            <w:r w:rsidRPr="00407531">
              <w:rPr>
                <w:rFonts w:eastAsia="Times New Roman" w:cstheme="minorHAnsi"/>
                <w:b/>
                <w:color w:val="000000"/>
                <w:sz w:val="18"/>
                <w:szCs w:val="18"/>
                <w:lang w:eastAsia="cs-CZ"/>
              </w:rPr>
              <w:t>2</w:t>
            </w:r>
          </w:p>
        </w:tc>
      </w:tr>
      <w:tr w:rsidR="00005330" w:rsidRPr="00407531" w14:paraId="5EE6AB8D" w14:textId="77777777" w:rsidTr="00FE6ADF">
        <w:trPr>
          <w:trHeight w:val="103"/>
          <w:jc w:val="center"/>
        </w:trPr>
        <w:tc>
          <w:tcPr>
            <w:tcW w:w="309" w:type="pct"/>
            <w:tcMar>
              <w:left w:w="17" w:type="dxa"/>
              <w:right w:w="17" w:type="dxa"/>
            </w:tcMar>
            <w:vAlign w:val="center"/>
          </w:tcPr>
          <w:p w14:paraId="277C110E" w14:textId="5CF57B4B" w:rsidR="00005330" w:rsidRPr="00407531" w:rsidRDefault="00005330"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9035</w:t>
            </w:r>
          </w:p>
        </w:tc>
        <w:tc>
          <w:tcPr>
            <w:tcW w:w="2112" w:type="pct"/>
            <w:tcMar>
              <w:left w:w="17" w:type="dxa"/>
              <w:right w:w="17" w:type="dxa"/>
            </w:tcMar>
            <w:vAlign w:val="center"/>
          </w:tcPr>
          <w:p w14:paraId="6A0E777E" w14:textId="0B4A6E2E" w:rsidR="00005330" w:rsidRPr="00407531" w:rsidRDefault="00005330"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 xml:space="preserve">117D721009035 </w:t>
            </w:r>
            <w:r w:rsidRPr="00407531">
              <w:rPr>
                <w:rFonts w:eastAsia="Times New Roman" w:cstheme="minorHAnsi"/>
                <w:color w:val="000000"/>
                <w:sz w:val="18"/>
                <w:szCs w:val="18"/>
                <w:lang w:eastAsia="cs-CZ"/>
              </w:rPr>
              <w:br/>
              <w:t>Odstranění sezónnosti v Roudnici nad Labem jako atraktivním centru Podřipska po celý rok</w:t>
            </w:r>
          </w:p>
        </w:tc>
        <w:tc>
          <w:tcPr>
            <w:tcW w:w="858" w:type="pct"/>
            <w:tcMar>
              <w:left w:w="17" w:type="dxa"/>
              <w:right w:w="17" w:type="dxa"/>
            </w:tcMar>
            <w:vAlign w:val="center"/>
          </w:tcPr>
          <w:p w14:paraId="480AF9FC" w14:textId="34A77D79" w:rsidR="00005330" w:rsidRPr="00407531" w:rsidRDefault="00005330"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Říp, o.p.s.</w:t>
            </w:r>
          </w:p>
        </w:tc>
        <w:tc>
          <w:tcPr>
            <w:tcW w:w="626" w:type="pct"/>
            <w:tcMar>
              <w:left w:w="17" w:type="dxa"/>
              <w:right w:w="17" w:type="dxa"/>
            </w:tcMar>
            <w:vAlign w:val="center"/>
          </w:tcPr>
          <w:p w14:paraId="682510E3" w14:textId="5242C941" w:rsidR="00005330" w:rsidRPr="00407531" w:rsidRDefault="0091506A" w:rsidP="0053735C">
            <w:pPr>
              <w:spacing w:after="0" w:line="240" w:lineRule="auto"/>
              <w:jc w:val="center"/>
              <w:rPr>
                <w:rFonts w:eastAsia="Times New Roman" w:cstheme="minorHAnsi"/>
                <w:color w:val="000000"/>
                <w:sz w:val="18"/>
                <w:szCs w:val="18"/>
                <w:lang w:eastAsia="cs-CZ"/>
              </w:rPr>
            </w:pPr>
            <w:r w:rsidRPr="00407531">
              <w:rPr>
                <w:rFonts w:cstheme="minorHAnsi"/>
                <w:sz w:val="18"/>
                <w:szCs w:val="18"/>
              </w:rPr>
              <w:t>1 992 320,00</w:t>
            </w:r>
            <w:r w:rsidR="00B8560F" w:rsidRPr="00407531">
              <w:rPr>
                <w:rFonts w:cstheme="minorHAnsi"/>
                <w:sz w:val="18"/>
                <w:szCs w:val="18"/>
              </w:rPr>
              <w:t xml:space="preserve"> </w:t>
            </w:r>
          </w:p>
        </w:tc>
        <w:tc>
          <w:tcPr>
            <w:tcW w:w="468" w:type="pct"/>
            <w:shd w:val="clear" w:color="auto" w:fill="FF0000"/>
            <w:tcMar>
              <w:left w:w="17" w:type="dxa"/>
              <w:right w:w="17" w:type="dxa"/>
            </w:tcMar>
            <w:vAlign w:val="center"/>
          </w:tcPr>
          <w:p w14:paraId="7105B438" w14:textId="6F277989" w:rsidR="00005330" w:rsidRPr="00407531" w:rsidRDefault="00CC769E" w:rsidP="0053735C">
            <w:pPr>
              <w:spacing w:after="0" w:line="240" w:lineRule="auto"/>
              <w:jc w:val="center"/>
              <w:rPr>
                <w:rFonts w:eastAsia="Times New Roman" w:cstheme="minorHAnsi"/>
                <w:b/>
                <w:color w:val="000000"/>
                <w:sz w:val="18"/>
                <w:szCs w:val="18"/>
                <w:lang w:eastAsia="cs-CZ"/>
              </w:rPr>
            </w:pPr>
            <w:r w:rsidRPr="00407531">
              <w:rPr>
                <w:rFonts w:eastAsia="Times New Roman" w:cstheme="minorHAnsi"/>
                <w:b/>
                <w:color w:val="000000"/>
                <w:sz w:val="18"/>
                <w:szCs w:val="18"/>
                <w:lang w:eastAsia="cs-CZ"/>
              </w:rPr>
              <w:t>4</w:t>
            </w:r>
          </w:p>
        </w:tc>
        <w:tc>
          <w:tcPr>
            <w:tcW w:w="626" w:type="pct"/>
            <w:shd w:val="clear" w:color="auto" w:fill="FF0000"/>
            <w:tcMar>
              <w:left w:w="17" w:type="dxa"/>
              <w:right w:w="17" w:type="dxa"/>
            </w:tcMar>
            <w:vAlign w:val="center"/>
          </w:tcPr>
          <w:p w14:paraId="02DFCDCC" w14:textId="586E7195" w:rsidR="00005330" w:rsidRPr="00407531" w:rsidRDefault="00CC769E" w:rsidP="0053735C">
            <w:pPr>
              <w:spacing w:after="0" w:line="240" w:lineRule="auto"/>
              <w:jc w:val="center"/>
              <w:rPr>
                <w:rFonts w:eastAsia="Times New Roman" w:cstheme="minorHAnsi"/>
                <w:b/>
                <w:color w:val="000000"/>
                <w:sz w:val="18"/>
                <w:szCs w:val="18"/>
                <w:lang w:eastAsia="cs-CZ"/>
              </w:rPr>
            </w:pPr>
            <w:r w:rsidRPr="00407531">
              <w:rPr>
                <w:rFonts w:eastAsia="Times New Roman" w:cstheme="minorHAnsi"/>
                <w:b/>
                <w:color w:val="000000"/>
                <w:sz w:val="18"/>
                <w:szCs w:val="18"/>
                <w:lang w:eastAsia="cs-CZ"/>
              </w:rPr>
              <w:t>4</w:t>
            </w:r>
          </w:p>
        </w:tc>
      </w:tr>
      <w:tr w:rsidR="00E54689" w:rsidRPr="00407531" w14:paraId="75B81368" w14:textId="77777777" w:rsidTr="00FE6ADF">
        <w:trPr>
          <w:trHeight w:val="227"/>
          <w:jc w:val="center"/>
        </w:trPr>
        <w:tc>
          <w:tcPr>
            <w:tcW w:w="309" w:type="pct"/>
            <w:tcMar>
              <w:left w:w="17" w:type="dxa"/>
              <w:right w:w="17" w:type="dxa"/>
            </w:tcMar>
            <w:vAlign w:val="center"/>
          </w:tcPr>
          <w:p w14:paraId="3638AD31" w14:textId="06A33EE3" w:rsidR="00E54689" w:rsidRPr="00407531" w:rsidRDefault="00A267F6"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0011</w:t>
            </w:r>
          </w:p>
        </w:tc>
        <w:tc>
          <w:tcPr>
            <w:tcW w:w="2112" w:type="pct"/>
            <w:tcMar>
              <w:left w:w="17" w:type="dxa"/>
              <w:right w:w="17" w:type="dxa"/>
            </w:tcMar>
            <w:vAlign w:val="center"/>
          </w:tcPr>
          <w:p w14:paraId="37590492" w14:textId="075BA50E" w:rsidR="00E54689" w:rsidRPr="00407531" w:rsidRDefault="00E54689"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117D721000011</w:t>
            </w:r>
            <w:r w:rsidRPr="00407531">
              <w:rPr>
                <w:rFonts w:eastAsia="Times New Roman" w:cstheme="minorHAnsi"/>
                <w:color w:val="000000"/>
                <w:sz w:val="18"/>
                <w:szCs w:val="18"/>
                <w:lang w:eastAsia="cs-CZ"/>
              </w:rPr>
              <w:br/>
              <w:t>Turistické nádraží Kamenický Šenov</w:t>
            </w:r>
          </w:p>
        </w:tc>
        <w:tc>
          <w:tcPr>
            <w:tcW w:w="858" w:type="pct"/>
            <w:tcMar>
              <w:left w:w="17" w:type="dxa"/>
              <w:right w:w="17" w:type="dxa"/>
            </w:tcMar>
            <w:vAlign w:val="center"/>
          </w:tcPr>
          <w:p w14:paraId="6D1131B9" w14:textId="158569EA" w:rsidR="00E54689" w:rsidRPr="00407531" w:rsidRDefault="00E54689"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KŽC Doprava, s.r.o.</w:t>
            </w:r>
          </w:p>
        </w:tc>
        <w:tc>
          <w:tcPr>
            <w:tcW w:w="626" w:type="pct"/>
            <w:tcMar>
              <w:left w:w="17" w:type="dxa"/>
              <w:right w:w="17" w:type="dxa"/>
            </w:tcMar>
            <w:vAlign w:val="center"/>
          </w:tcPr>
          <w:p w14:paraId="47AD7A7F" w14:textId="50C42F7D" w:rsidR="00E54689" w:rsidRPr="00407531" w:rsidRDefault="001C2A3E" w:rsidP="0053735C">
            <w:pPr>
              <w:spacing w:after="0" w:line="240" w:lineRule="auto"/>
              <w:jc w:val="center"/>
              <w:rPr>
                <w:rFonts w:eastAsia="Times New Roman" w:cstheme="minorHAnsi"/>
                <w:color w:val="000000"/>
                <w:sz w:val="18"/>
                <w:szCs w:val="18"/>
                <w:lang w:eastAsia="cs-CZ"/>
              </w:rPr>
            </w:pPr>
            <w:r w:rsidRPr="00407531">
              <w:rPr>
                <w:rFonts w:cstheme="minorHAnsi"/>
                <w:sz w:val="18"/>
                <w:szCs w:val="18"/>
              </w:rPr>
              <w:t>334 425,00</w:t>
            </w:r>
          </w:p>
        </w:tc>
        <w:tc>
          <w:tcPr>
            <w:tcW w:w="468" w:type="pct"/>
            <w:shd w:val="clear" w:color="auto" w:fill="A8D08D" w:themeFill="accent6" w:themeFillTint="99"/>
            <w:tcMar>
              <w:left w:w="17" w:type="dxa"/>
              <w:right w:w="17" w:type="dxa"/>
            </w:tcMar>
            <w:vAlign w:val="center"/>
          </w:tcPr>
          <w:p w14:paraId="65413061" w14:textId="3FB04EBA" w:rsidR="00E54689" w:rsidRPr="00407531" w:rsidRDefault="00A267F6" w:rsidP="0053735C">
            <w:pPr>
              <w:spacing w:after="0" w:line="240" w:lineRule="auto"/>
              <w:jc w:val="center"/>
              <w:rPr>
                <w:rFonts w:eastAsia="Times New Roman" w:cstheme="minorHAnsi"/>
                <w:b/>
                <w:color w:val="000000"/>
                <w:sz w:val="18"/>
                <w:szCs w:val="18"/>
                <w:lang w:eastAsia="cs-CZ"/>
              </w:rPr>
            </w:pPr>
            <w:r w:rsidRPr="00407531">
              <w:rPr>
                <w:rFonts w:eastAsia="Times New Roman" w:cstheme="minorHAnsi"/>
                <w:b/>
                <w:color w:val="000000"/>
                <w:sz w:val="18"/>
                <w:szCs w:val="18"/>
                <w:lang w:eastAsia="cs-CZ"/>
              </w:rPr>
              <w:t>2</w:t>
            </w:r>
          </w:p>
        </w:tc>
        <w:tc>
          <w:tcPr>
            <w:tcW w:w="626" w:type="pct"/>
            <w:shd w:val="clear" w:color="auto" w:fill="538135" w:themeFill="accent6" w:themeFillShade="BF"/>
            <w:tcMar>
              <w:left w:w="17" w:type="dxa"/>
              <w:right w:w="17" w:type="dxa"/>
            </w:tcMar>
            <w:vAlign w:val="center"/>
          </w:tcPr>
          <w:p w14:paraId="10E9D5B4" w14:textId="69C8FB40" w:rsidR="00E54689" w:rsidRPr="00407531" w:rsidRDefault="00A267F6" w:rsidP="0053735C">
            <w:pPr>
              <w:spacing w:after="0" w:line="240" w:lineRule="auto"/>
              <w:jc w:val="center"/>
              <w:rPr>
                <w:rFonts w:eastAsia="Times New Roman" w:cstheme="minorHAnsi"/>
                <w:b/>
                <w:color w:val="000000"/>
                <w:sz w:val="18"/>
                <w:szCs w:val="18"/>
                <w:lang w:eastAsia="cs-CZ"/>
              </w:rPr>
            </w:pPr>
            <w:r w:rsidRPr="00407531">
              <w:rPr>
                <w:rFonts w:eastAsia="Times New Roman" w:cstheme="minorHAnsi"/>
                <w:b/>
                <w:color w:val="000000"/>
                <w:sz w:val="18"/>
                <w:szCs w:val="18"/>
                <w:lang w:eastAsia="cs-CZ"/>
              </w:rPr>
              <w:t>1</w:t>
            </w:r>
          </w:p>
        </w:tc>
      </w:tr>
      <w:tr w:rsidR="005800A9" w:rsidRPr="00407531" w14:paraId="73845775" w14:textId="77777777" w:rsidTr="00FE6ADF">
        <w:trPr>
          <w:trHeight w:val="227"/>
          <w:jc w:val="center"/>
        </w:trPr>
        <w:tc>
          <w:tcPr>
            <w:tcW w:w="309" w:type="pct"/>
            <w:tcMar>
              <w:left w:w="17" w:type="dxa"/>
              <w:right w:w="17" w:type="dxa"/>
            </w:tcMar>
            <w:vAlign w:val="center"/>
          </w:tcPr>
          <w:p w14:paraId="40D574C6" w14:textId="7266FF1B" w:rsidR="005800A9" w:rsidRPr="00407531" w:rsidRDefault="005800A9"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0076</w:t>
            </w:r>
          </w:p>
        </w:tc>
        <w:tc>
          <w:tcPr>
            <w:tcW w:w="2112" w:type="pct"/>
            <w:tcMar>
              <w:left w:w="17" w:type="dxa"/>
              <w:right w:w="17" w:type="dxa"/>
            </w:tcMar>
            <w:vAlign w:val="center"/>
          </w:tcPr>
          <w:p w14:paraId="57EDB24F" w14:textId="5F23CF5D" w:rsidR="005800A9" w:rsidRPr="00407531" w:rsidRDefault="005800A9"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 xml:space="preserve">117D721000076 </w:t>
            </w:r>
            <w:r w:rsidRPr="00407531">
              <w:rPr>
                <w:rFonts w:eastAsia="Times New Roman" w:cstheme="minorHAnsi"/>
                <w:color w:val="000000"/>
                <w:sz w:val="18"/>
                <w:szCs w:val="18"/>
                <w:lang w:eastAsia="cs-CZ"/>
              </w:rPr>
              <w:br/>
              <w:t>Říční sauna Třpyt</w:t>
            </w:r>
          </w:p>
        </w:tc>
        <w:tc>
          <w:tcPr>
            <w:tcW w:w="858" w:type="pct"/>
            <w:tcMar>
              <w:left w:w="17" w:type="dxa"/>
              <w:right w:w="17" w:type="dxa"/>
            </w:tcMar>
            <w:vAlign w:val="center"/>
          </w:tcPr>
          <w:p w14:paraId="54DE6D7F" w14:textId="487985A9" w:rsidR="005800A9" w:rsidRPr="00407531" w:rsidRDefault="00E725F4"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 xml:space="preserve">Sauna Třpyt, </w:t>
            </w:r>
            <w:proofErr w:type="spellStart"/>
            <w:r w:rsidRPr="00407531">
              <w:rPr>
                <w:rFonts w:eastAsia="Times New Roman" w:cstheme="minorHAnsi"/>
                <w:color w:val="000000"/>
                <w:sz w:val="18"/>
                <w:szCs w:val="18"/>
                <w:lang w:eastAsia="cs-CZ"/>
              </w:rPr>
              <w:t>z.s</w:t>
            </w:r>
            <w:proofErr w:type="spellEnd"/>
            <w:r w:rsidRPr="00407531">
              <w:rPr>
                <w:rFonts w:eastAsia="Times New Roman" w:cstheme="minorHAnsi"/>
                <w:color w:val="000000"/>
                <w:sz w:val="18"/>
                <w:szCs w:val="18"/>
                <w:lang w:eastAsia="cs-CZ"/>
              </w:rPr>
              <w:t>.</w:t>
            </w:r>
          </w:p>
        </w:tc>
        <w:tc>
          <w:tcPr>
            <w:tcW w:w="626" w:type="pct"/>
            <w:tcMar>
              <w:left w:w="17" w:type="dxa"/>
              <w:right w:w="17" w:type="dxa"/>
            </w:tcMar>
            <w:vAlign w:val="center"/>
          </w:tcPr>
          <w:p w14:paraId="741B7115" w14:textId="0A5393DC" w:rsidR="005800A9" w:rsidRPr="00407531" w:rsidRDefault="001C2A3E" w:rsidP="0053735C">
            <w:pPr>
              <w:spacing w:after="0" w:line="240" w:lineRule="auto"/>
              <w:jc w:val="center"/>
              <w:rPr>
                <w:rFonts w:eastAsia="Times New Roman" w:cstheme="minorHAnsi"/>
                <w:color w:val="000000"/>
                <w:sz w:val="18"/>
                <w:szCs w:val="18"/>
                <w:lang w:eastAsia="cs-CZ"/>
              </w:rPr>
            </w:pPr>
            <w:r w:rsidRPr="00407531">
              <w:rPr>
                <w:rFonts w:cstheme="minorHAnsi"/>
                <w:color w:val="000000" w:themeColor="text1"/>
                <w:sz w:val="18"/>
                <w:szCs w:val="18"/>
              </w:rPr>
              <w:t>1 155 954,00</w:t>
            </w:r>
          </w:p>
        </w:tc>
        <w:tc>
          <w:tcPr>
            <w:tcW w:w="468" w:type="pct"/>
            <w:shd w:val="clear" w:color="auto" w:fill="FF0000"/>
            <w:tcMar>
              <w:left w:w="17" w:type="dxa"/>
              <w:right w:w="17" w:type="dxa"/>
            </w:tcMar>
            <w:vAlign w:val="center"/>
          </w:tcPr>
          <w:p w14:paraId="5BCE2B90" w14:textId="7E1F7FBD" w:rsidR="005800A9" w:rsidRPr="00407531" w:rsidRDefault="00E725F4" w:rsidP="0053735C">
            <w:pPr>
              <w:spacing w:after="0" w:line="240" w:lineRule="auto"/>
              <w:jc w:val="center"/>
              <w:rPr>
                <w:rFonts w:eastAsia="Times New Roman" w:cstheme="minorHAnsi"/>
                <w:b/>
                <w:color w:val="000000"/>
                <w:sz w:val="18"/>
                <w:szCs w:val="18"/>
                <w:lang w:eastAsia="cs-CZ"/>
              </w:rPr>
            </w:pPr>
            <w:r w:rsidRPr="00407531">
              <w:rPr>
                <w:rFonts w:eastAsia="Times New Roman" w:cstheme="minorHAnsi"/>
                <w:b/>
                <w:color w:val="000000"/>
                <w:sz w:val="18"/>
                <w:szCs w:val="18"/>
                <w:lang w:eastAsia="cs-CZ"/>
              </w:rPr>
              <w:t>4</w:t>
            </w:r>
          </w:p>
        </w:tc>
        <w:tc>
          <w:tcPr>
            <w:tcW w:w="626" w:type="pct"/>
            <w:shd w:val="clear" w:color="auto" w:fill="A6A6A6" w:themeFill="background1" w:themeFillShade="A6"/>
            <w:tcMar>
              <w:left w:w="17" w:type="dxa"/>
              <w:right w:w="17" w:type="dxa"/>
            </w:tcMar>
            <w:vAlign w:val="center"/>
          </w:tcPr>
          <w:p w14:paraId="0F6A13C0" w14:textId="197473C4" w:rsidR="005800A9" w:rsidRPr="00407531" w:rsidRDefault="00E725F4" w:rsidP="0053735C">
            <w:pPr>
              <w:spacing w:after="0" w:line="240" w:lineRule="auto"/>
              <w:jc w:val="center"/>
              <w:rPr>
                <w:rFonts w:eastAsia="Times New Roman" w:cstheme="minorHAnsi"/>
                <w:b/>
                <w:color w:val="000000"/>
                <w:sz w:val="18"/>
                <w:szCs w:val="18"/>
                <w:lang w:eastAsia="cs-CZ"/>
              </w:rPr>
            </w:pPr>
            <w:r w:rsidRPr="00407531">
              <w:rPr>
                <w:rFonts w:eastAsia="Times New Roman" w:cstheme="minorHAnsi"/>
                <w:b/>
                <w:color w:val="000000"/>
                <w:sz w:val="18"/>
                <w:szCs w:val="18"/>
                <w:lang w:eastAsia="cs-CZ"/>
              </w:rPr>
              <w:t>X</w:t>
            </w:r>
          </w:p>
        </w:tc>
      </w:tr>
      <w:tr w:rsidR="00292850" w:rsidRPr="00407531" w14:paraId="179672E9" w14:textId="77777777" w:rsidTr="00FE6ADF">
        <w:trPr>
          <w:trHeight w:val="112"/>
          <w:jc w:val="center"/>
        </w:trPr>
        <w:tc>
          <w:tcPr>
            <w:tcW w:w="309" w:type="pct"/>
            <w:tcMar>
              <w:left w:w="17" w:type="dxa"/>
              <w:right w:w="17" w:type="dxa"/>
            </w:tcMar>
            <w:vAlign w:val="center"/>
          </w:tcPr>
          <w:p w14:paraId="6C5728E7" w14:textId="41645AAB" w:rsidR="00292850" w:rsidRPr="00407531" w:rsidRDefault="00292850"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9003</w:t>
            </w:r>
          </w:p>
        </w:tc>
        <w:tc>
          <w:tcPr>
            <w:tcW w:w="2112" w:type="pct"/>
            <w:tcMar>
              <w:left w:w="17" w:type="dxa"/>
              <w:right w:w="17" w:type="dxa"/>
            </w:tcMar>
            <w:vAlign w:val="center"/>
          </w:tcPr>
          <w:p w14:paraId="66C9163C" w14:textId="72D34EA7" w:rsidR="00292850" w:rsidRPr="00407531" w:rsidRDefault="00292850"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117D721009003</w:t>
            </w:r>
            <w:r w:rsidRPr="00407531">
              <w:rPr>
                <w:rFonts w:eastAsia="Times New Roman" w:cstheme="minorHAnsi"/>
                <w:color w:val="000000"/>
                <w:sz w:val="18"/>
                <w:szCs w:val="18"/>
                <w:lang w:eastAsia="cs-CZ"/>
              </w:rPr>
              <w:br/>
              <w:t>Rekonstrukce osobní lodi DALLAS (ex. MOSKVA)</w:t>
            </w:r>
          </w:p>
        </w:tc>
        <w:tc>
          <w:tcPr>
            <w:tcW w:w="858" w:type="pct"/>
            <w:tcMar>
              <w:left w:w="17" w:type="dxa"/>
              <w:right w:w="17" w:type="dxa"/>
            </w:tcMar>
            <w:vAlign w:val="center"/>
          </w:tcPr>
          <w:p w14:paraId="4B66E06D" w14:textId="41F72FC8" w:rsidR="00292850" w:rsidRPr="00407531" w:rsidRDefault="00292850"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Dopravní podnik města Brna, a.s.</w:t>
            </w:r>
          </w:p>
        </w:tc>
        <w:tc>
          <w:tcPr>
            <w:tcW w:w="626" w:type="pct"/>
            <w:tcMar>
              <w:left w:w="17" w:type="dxa"/>
              <w:right w:w="17" w:type="dxa"/>
            </w:tcMar>
            <w:vAlign w:val="center"/>
          </w:tcPr>
          <w:p w14:paraId="44BC8D44" w14:textId="7900A3AC" w:rsidR="00292850" w:rsidRPr="00407531" w:rsidRDefault="001C2A3E" w:rsidP="0053735C">
            <w:pPr>
              <w:spacing w:after="0" w:line="240" w:lineRule="auto"/>
              <w:jc w:val="center"/>
              <w:rPr>
                <w:rFonts w:eastAsia="Times New Roman" w:cstheme="minorHAnsi"/>
                <w:color w:val="000000"/>
                <w:sz w:val="18"/>
                <w:szCs w:val="18"/>
                <w:lang w:eastAsia="cs-CZ"/>
              </w:rPr>
            </w:pPr>
            <w:r w:rsidRPr="00407531">
              <w:rPr>
                <w:rFonts w:cstheme="minorHAnsi"/>
                <w:color w:val="000000" w:themeColor="text1"/>
                <w:sz w:val="18"/>
                <w:szCs w:val="18"/>
              </w:rPr>
              <w:t>5 000 000,00</w:t>
            </w:r>
          </w:p>
        </w:tc>
        <w:tc>
          <w:tcPr>
            <w:tcW w:w="468" w:type="pct"/>
            <w:shd w:val="clear" w:color="auto" w:fill="538135" w:themeFill="accent6" w:themeFillShade="BF"/>
            <w:tcMar>
              <w:left w:w="17" w:type="dxa"/>
              <w:right w:w="17" w:type="dxa"/>
            </w:tcMar>
            <w:vAlign w:val="center"/>
          </w:tcPr>
          <w:p w14:paraId="1084311D" w14:textId="4377AAA4" w:rsidR="00292850" w:rsidRPr="00407531" w:rsidRDefault="00292850" w:rsidP="0053735C">
            <w:pPr>
              <w:spacing w:after="0" w:line="240" w:lineRule="auto"/>
              <w:jc w:val="center"/>
              <w:rPr>
                <w:rFonts w:eastAsia="Times New Roman" w:cstheme="minorHAnsi"/>
                <w:b/>
                <w:color w:val="000000"/>
                <w:sz w:val="18"/>
                <w:szCs w:val="18"/>
                <w:lang w:eastAsia="cs-CZ"/>
              </w:rPr>
            </w:pPr>
            <w:r w:rsidRPr="00407531">
              <w:rPr>
                <w:rFonts w:eastAsia="Times New Roman" w:cstheme="minorHAnsi"/>
                <w:b/>
                <w:color w:val="000000"/>
                <w:sz w:val="18"/>
                <w:szCs w:val="18"/>
                <w:lang w:eastAsia="cs-CZ"/>
              </w:rPr>
              <w:t>1</w:t>
            </w:r>
          </w:p>
        </w:tc>
        <w:tc>
          <w:tcPr>
            <w:tcW w:w="626" w:type="pct"/>
            <w:shd w:val="clear" w:color="auto" w:fill="538135" w:themeFill="accent6" w:themeFillShade="BF"/>
            <w:tcMar>
              <w:left w:w="17" w:type="dxa"/>
              <w:right w:w="17" w:type="dxa"/>
            </w:tcMar>
            <w:vAlign w:val="center"/>
          </w:tcPr>
          <w:p w14:paraId="3A5CDCFC" w14:textId="60DA4119" w:rsidR="00292850" w:rsidRPr="00407531" w:rsidRDefault="00292850" w:rsidP="0053735C">
            <w:pPr>
              <w:spacing w:after="0" w:line="240" w:lineRule="auto"/>
              <w:jc w:val="center"/>
              <w:rPr>
                <w:rFonts w:eastAsia="Times New Roman" w:cstheme="minorHAnsi"/>
                <w:b/>
                <w:color w:val="000000"/>
                <w:sz w:val="18"/>
                <w:szCs w:val="18"/>
                <w:lang w:eastAsia="cs-CZ"/>
              </w:rPr>
            </w:pPr>
            <w:r w:rsidRPr="00407531">
              <w:rPr>
                <w:rFonts w:eastAsia="Times New Roman" w:cstheme="minorHAnsi"/>
                <w:b/>
                <w:color w:val="000000"/>
                <w:sz w:val="18"/>
                <w:szCs w:val="18"/>
                <w:lang w:eastAsia="cs-CZ"/>
              </w:rPr>
              <w:t>1</w:t>
            </w:r>
          </w:p>
        </w:tc>
      </w:tr>
      <w:tr w:rsidR="00870028" w:rsidRPr="00407531" w14:paraId="47B7B2B7" w14:textId="77777777" w:rsidTr="00FE6ADF">
        <w:trPr>
          <w:trHeight w:val="227"/>
          <w:jc w:val="center"/>
        </w:trPr>
        <w:tc>
          <w:tcPr>
            <w:tcW w:w="309" w:type="pct"/>
            <w:tcMar>
              <w:left w:w="17" w:type="dxa"/>
              <w:right w:w="17" w:type="dxa"/>
            </w:tcMar>
            <w:vAlign w:val="center"/>
          </w:tcPr>
          <w:p w14:paraId="7AF5F275" w14:textId="620767D3" w:rsidR="00870028" w:rsidRPr="00407531" w:rsidRDefault="00870028"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0025</w:t>
            </w:r>
          </w:p>
        </w:tc>
        <w:tc>
          <w:tcPr>
            <w:tcW w:w="2112" w:type="pct"/>
            <w:tcMar>
              <w:left w:w="17" w:type="dxa"/>
              <w:right w:w="17" w:type="dxa"/>
            </w:tcMar>
            <w:vAlign w:val="center"/>
          </w:tcPr>
          <w:p w14:paraId="48636E96" w14:textId="2B6332D0" w:rsidR="00870028" w:rsidRPr="00407531" w:rsidRDefault="00870028"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117D721000025</w:t>
            </w:r>
            <w:r w:rsidRPr="00407531">
              <w:rPr>
                <w:rFonts w:eastAsia="Times New Roman" w:cstheme="minorHAnsi"/>
                <w:color w:val="000000"/>
                <w:sz w:val="18"/>
                <w:szCs w:val="18"/>
                <w:lang w:eastAsia="cs-CZ"/>
              </w:rPr>
              <w:br/>
              <w:t>Areál lesních her nad Lázněmi sv. Markéty v Prachaticích, III. etapa</w:t>
            </w:r>
          </w:p>
        </w:tc>
        <w:tc>
          <w:tcPr>
            <w:tcW w:w="858" w:type="pct"/>
            <w:tcMar>
              <w:left w:w="17" w:type="dxa"/>
              <w:right w:w="17" w:type="dxa"/>
            </w:tcMar>
            <w:vAlign w:val="center"/>
          </w:tcPr>
          <w:p w14:paraId="2996428A" w14:textId="6CEF0CA5" w:rsidR="00870028" w:rsidRPr="00407531" w:rsidRDefault="00870028"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MĚSTO PRACHATICE</w:t>
            </w:r>
          </w:p>
        </w:tc>
        <w:tc>
          <w:tcPr>
            <w:tcW w:w="626" w:type="pct"/>
            <w:tcMar>
              <w:left w:w="17" w:type="dxa"/>
              <w:right w:w="17" w:type="dxa"/>
            </w:tcMar>
            <w:vAlign w:val="center"/>
          </w:tcPr>
          <w:p w14:paraId="04837E01" w14:textId="7065EDEA" w:rsidR="00870028" w:rsidRPr="00407531" w:rsidRDefault="001C2A3E" w:rsidP="0053735C">
            <w:pPr>
              <w:spacing w:after="0" w:line="240" w:lineRule="auto"/>
              <w:jc w:val="center"/>
              <w:rPr>
                <w:rFonts w:eastAsia="Times New Roman" w:cstheme="minorHAnsi"/>
                <w:color w:val="000000"/>
                <w:sz w:val="18"/>
                <w:szCs w:val="18"/>
                <w:lang w:eastAsia="cs-CZ"/>
              </w:rPr>
            </w:pPr>
            <w:r w:rsidRPr="00407531">
              <w:rPr>
                <w:rFonts w:cstheme="minorHAnsi"/>
                <w:sz w:val="18"/>
                <w:szCs w:val="18"/>
              </w:rPr>
              <w:t>962 180,00</w:t>
            </w:r>
          </w:p>
        </w:tc>
        <w:tc>
          <w:tcPr>
            <w:tcW w:w="468" w:type="pct"/>
            <w:shd w:val="clear" w:color="auto" w:fill="A8D08D" w:themeFill="accent6" w:themeFillTint="99"/>
            <w:tcMar>
              <w:left w:w="17" w:type="dxa"/>
              <w:right w:w="17" w:type="dxa"/>
            </w:tcMar>
            <w:vAlign w:val="center"/>
          </w:tcPr>
          <w:p w14:paraId="4385A5FC" w14:textId="1D9F3F40" w:rsidR="00870028" w:rsidRPr="00407531" w:rsidRDefault="00870028" w:rsidP="0053735C">
            <w:pPr>
              <w:spacing w:after="0" w:line="240" w:lineRule="auto"/>
              <w:jc w:val="center"/>
              <w:rPr>
                <w:rFonts w:eastAsia="Times New Roman" w:cstheme="minorHAnsi"/>
                <w:b/>
                <w:color w:val="000000"/>
                <w:sz w:val="18"/>
                <w:szCs w:val="18"/>
                <w:lang w:eastAsia="cs-CZ"/>
              </w:rPr>
            </w:pPr>
            <w:r w:rsidRPr="00407531">
              <w:rPr>
                <w:rFonts w:eastAsia="Times New Roman" w:cstheme="minorHAnsi"/>
                <w:b/>
                <w:color w:val="000000"/>
                <w:sz w:val="18"/>
                <w:szCs w:val="18"/>
                <w:lang w:eastAsia="cs-CZ"/>
              </w:rPr>
              <w:t>2</w:t>
            </w:r>
          </w:p>
        </w:tc>
        <w:tc>
          <w:tcPr>
            <w:tcW w:w="626" w:type="pct"/>
            <w:shd w:val="clear" w:color="auto" w:fill="538135" w:themeFill="accent6" w:themeFillShade="BF"/>
            <w:tcMar>
              <w:left w:w="17" w:type="dxa"/>
              <w:right w:w="17" w:type="dxa"/>
            </w:tcMar>
            <w:vAlign w:val="center"/>
          </w:tcPr>
          <w:p w14:paraId="793D822B" w14:textId="014A45B5" w:rsidR="00870028" w:rsidRPr="00407531" w:rsidRDefault="00870028" w:rsidP="0053735C">
            <w:pPr>
              <w:spacing w:after="0" w:line="240" w:lineRule="auto"/>
              <w:jc w:val="center"/>
              <w:rPr>
                <w:rFonts w:eastAsia="Times New Roman" w:cstheme="minorHAnsi"/>
                <w:b/>
                <w:color w:val="000000"/>
                <w:sz w:val="18"/>
                <w:szCs w:val="18"/>
                <w:lang w:eastAsia="cs-CZ"/>
              </w:rPr>
            </w:pPr>
            <w:r w:rsidRPr="00407531">
              <w:rPr>
                <w:rFonts w:eastAsia="Times New Roman" w:cstheme="minorHAnsi"/>
                <w:b/>
                <w:color w:val="000000"/>
                <w:sz w:val="18"/>
                <w:szCs w:val="18"/>
                <w:lang w:eastAsia="cs-CZ"/>
              </w:rPr>
              <w:t>1</w:t>
            </w:r>
          </w:p>
        </w:tc>
      </w:tr>
      <w:tr w:rsidR="00A35934" w:rsidRPr="00407531" w14:paraId="11612A7A" w14:textId="77777777" w:rsidTr="00FE6ADF">
        <w:trPr>
          <w:trHeight w:val="61"/>
          <w:jc w:val="center"/>
        </w:trPr>
        <w:tc>
          <w:tcPr>
            <w:tcW w:w="309" w:type="pct"/>
            <w:tcMar>
              <w:left w:w="17" w:type="dxa"/>
              <w:right w:w="17" w:type="dxa"/>
            </w:tcMar>
            <w:vAlign w:val="center"/>
          </w:tcPr>
          <w:p w14:paraId="4B7E6F29" w14:textId="69BAC762" w:rsidR="00A35934" w:rsidRPr="00407531" w:rsidRDefault="00A35934"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9029</w:t>
            </w:r>
          </w:p>
        </w:tc>
        <w:tc>
          <w:tcPr>
            <w:tcW w:w="2112" w:type="pct"/>
            <w:tcMar>
              <w:left w:w="17" w:type="dxa"/>
              <w:right w:w="17" w:type="dxa"/>
            </w:tcMar>
            <w:vAlign w:val="center"/>
          </w:tcPr>
          <w:p w14:paraId="4C7B4AFD" w14:textId="2F0C41F9" w:rsidR="00A35934" w:rsidRPr="00407531" w:rsidRDefault="00A35934"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 xml:space="preserve">117D721009029 </w:t>
            </w:r>
            <w:r w:rsidRPr="00407531">
              <w:rPr>
                <w:rFonts w:eastAsia="Times New Roman" w:cstheme="minorHAnsi"/>
                <w:color w:val="000000"/>
                <w:sz w:val="18"/>
                <w:szCs w:val="18"/>
                <w:lang w:eastAsia="cs-CZ"/>
              </w:rPr>
              <w:br/>
              <w:t>Vybudování zázemí pro vodní turistiku v obci Val</w:t>
            </w:r>
          </w:p>
        </w:tc>
        <w:tc>
          <w:tcPr>
            <w:tcW w:w="858" w:type="pct"/>
            <w:tcMar>
              <w:left w:w="17" w:type="dxa"/>
              <w:right w:w="17" w:type="dxa"/>
            </w:tcMar>
            <w:vAlign w:val="center"/>
          </w:tcPr>
          <w:p w14:paraId="30F8B69C" w14:textId="72CBF9BD" w:rsidR="00A35934" w:rsidRPr="00407531" w:rsidRDefault="00A35934"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OBEC VAL</w:t>
            </w:r>
          </w:p>
        </w:tc>
        <w:tc>
          <w:tcPr>
            <w:tcW w:w="626" w:type="pct"/>
            <w:tcMar>
              <w:left w:w="17" w:type="dxa"/>
              <w:right w:w="17" w:type="dxa"/>
            </w:tcMar>
            <w:vAlign w:val="center"/>
          </w:tcPr>
          <w:p w14:paraId="50824B53" w14:textId="62A2130C" w:rsidR="00A35934" w:rsidRPr="00407531" w:rsidRDefault="007929CF" w:rsidP="0053735C">
            <w:pPr>
              <w:spacing w:after="0" w:line="240" w:lineRule="auto"/>
              <w:jc w:val="center"/>
              <w:rPr>
                <w:rFonts w:eastAsia="Times New Roman" w:cstheme="minorHAnsi"/>
                <w:color w:val="000000"/>
                <w:sz w:val="18"/>
                <w:szCs w:val="18"/>
                <w:lang w:eastAsia="cs-CZ"/>
              </w:rPr>
            </w:pPr>
            <w:r w:rsidRPr="00407531">
              <w:rPr>
                <w:rFonts w:cstheme="minorHAnsi"/>
                <w:sz w:val="18"/>
                <w:szCs w:val="18"/>
              </w:rPr>
              <w:t>2 648 972,00</w:t>
            </w:r>
          </w:p>
        </w:tc>
        <w:tc>
          <w:tcPr>
            <w:tcW w:w="468" w:type="pct"/>
            <w:shd w:val="clear" w:color="auto" w:fill="A8D08D" w:themeFill="accent6" w:themeFillTint="99"/>
            <w:tcMar>
              <w:left w:w="17" w:type="dxa"/>
              <w:right w:w="17" w:type="dxa"/>
            </w:tcMar>
            <w:vAlign w:val="center"/>
          </w:tcPr>
          <w:p w14:paraId="31908206" w14:textId="349B3253" w:rsidR="00A35934" w:rsidRPr="00407531" w:rsidRDefault="00A35934" w:rsidP="0053735C">
            <w:pPr>
              <w:spacing w:after="0" w:line="240" w:lineRule="auto"/>
              <w:jc w:val="center"/>
              <w:rPr>
                <w:rFonts w:eastAsia="Times New Roman" w:cstheme="minorHAnsi"/>
                <w:b/>
                <w:color w:val="000000"/>
                <w:sz w:val="18"/>
                <w:szCs w:val="18"/>
                <w:lang w:eastAsia="cs-CZ"/>
              </w:rPr>
            </w:pPr>
            <w:r w:rsidRPr="00407531">
              <w:rPr>
                <w:rFonts w:eastAsia="Times New Roman" w:cstheme="minorHAnsi"/>
                <w:b/>
                <w:color w:val="000000"/>
                <w:sz w:val="18"/>
                <w:szCs w:val="18"/>
                <w:lang w:eastAsia="cs-CZ"/>
              </w:rPr>
              <w:t>2</w:t>
            </w:r>
          </w:p>
        </w:tc>
        <w:tc>
          <w:tcPr>
            <w:tcW w:w="626" w:type="pct"/>
            <w:shd w:val="clear" w:color="auto" w:fill="538135" w:themeFill="accent6" w:themeFillShade="BF"/>
            <w:tcMar>
              <w:left w:w="17" w:type="dxa"/>
              <w:right w:w="17" w:type="dxa"/>
            </w:tcMar>
            <w:vAlign w:val="center"/>
          </w:tcPr>
          <w:p w14:paraId="0FD8F5FA" w14:textId="40E66827" w:rsidR="00A35934" w:rsidRPr="00407531" w:rsidRDefault="00A35934" w:rsidP="0053735C">
            <w:pPr>
              <w:spacing w:after="0" w:line="240" w:lineRule="auto"/>
              <w:jc w:val="center"/>
              <w:rPr>
                <w:rFonts w:eastAsia="Times New Roman" w:cstheme="minorHAnsi"/>
                <w:b/>
                <w:color w:val="000000"/>
                <w:sz w:val="18"/>
                <w:szCs w:val="18"/>
                <w:lang w:eastAsia="cs-CZ"/>
              </w:rPr>
            </w:pPr>
            <w:r w:rsidRPr="00407531">
              <w:rPr>
                <w:rFonts w:eastAsia="Times New Roman" w:cstheme="minorHAnsi"/>
                <w:b/>
                <w:color w:val="000000"/>
                <w:sz w:val="18"/>
                <w:szCs w:val="18"/>
                <w:lang w:eastAsia="cs-CZ"/>
              </w:rPr>
              <w:t>1</w:t>
            </w:r>
          </w:p>
        </w:tc>
      </w:tr>
      <w:tr w:rsidR="00A35934" w:rsidRPr="00407531" w14:paraId="10BE21F1" w14:textId="77777777" w:rsidTr="00FE6ADF">
        <w:trPr>
          <w:trHeight w:val="227"/>
          <w:jc w:val="center"/>
        </w:trPr>
        <w:tc>
          <w:tcPr>
            <w:tcW w:w="2421" w:type="pct"/>
            <w:gridSpan w:val="2"/>
            <w:shd w:val="clear" w:color="auto" w:fill="F2C6C9"/>
            <w:tcMar>
              <w:left w:w="17" w:type="dxa"/>
              <w:right w:w="17" w:type="dxa"/>
            </w:tcMar>
            <w:vAlign w:val="center"/>
          </w:tcPr>
          <w:p w14:paraId="20D04F6F" w14:textId="4F3623D1" w:rsidR="00A35934" w:rsidRPr="00407531" w:rsidRDefault="00A35934" w:rsidP="0053735C">
            <w:pPr>
              <w:spacing w:after="0" w:line="240" w:lineRule="auto"/>
              <w:rPr>
                <w:rFonts w:eastAsia="Times New Roman" w:cstheme="minorHAnsi"/>
                <w:color w:val="000000"/>
                <w:sz w:val="18"/>
                <w:szCs w:val="18"/>
                <w:lang w:eastAsia="cs-CZ"/>
              </w:rPr>
            </w:pPr>
            <w:r w:rsidRPr="00407531">
              <w:rPr>
                <w:rFonts w:eastAsia="Times New Roman" w:cstheme="minorHAnsi"/>
                <w:b/>
                <w:color w:val="000000"/>
                <w:sz w:val="18"/>
                <w:szCs w:val="18"/>
                <w:lang w:eastAsia="cs-CZ"/>
              </w:rPr>
              <w:t>Celkem Rozvoj</w:t>
            </w:r>
          </w:p>
        </w:tc>
        <w:tc>
          <w:tcPr>
            <w:tcW w:w="1485" w:type="pct"/>
            <w:gridSpan w:val="2"/>
            <w:shd w:val="clear" w:color="auto" w:fill="F2C6C9"/>
            <w:tcMar>
              <w:left w:w="17" w:type="dxa"/>
              <w:right w:w="17" w:type="dxa"/>
            </w:tcMar>
            <w:vAlign w:val="center"/>
          </w:tcPr>
          <w:p w14:paraId="4F04AA20" w14:textId="447D64CC" w:rsidR="00A35934" w:rsidRPr="00407531" w:rsidRDefault="00933060" w:rsidP="00933060">
            <w:pPr>
              <w:spacing w:after="0" w:line="240" w:lineRule="auto"/>
              <w:jc w:val="right"/>
              <w:rPr>
                <w:rFonts w:cstheme="minorHAnsi"/>
                <w:b/>
                <w:color w:val="000000"/>
                <w:sz w:val="18"/>
                <w:szCs w:val="18"/>
              </w:rPr>
            </w:pPr>
            <w:r w:rsidRPr="00407531">
              <w:rPr>
                <w:rFonts w:cstheme="minorHAnsi"/>
                <w:b/>
                <w:sz w:val="18"/>
                <w:szCs w:val="18"/>
              </w:rPr>
              <w:t>23 641 006,00 Kč</w:t>
            </w:r>
          </w:p>
        </w:tc>
        <w:tc>
          <w:tcPr>
            <w:tcW w:w="468" w:type="pct"/>
            <w:shd w:val="clear" w:color="auto" w:fill="F2C6C9"/>
            <w:tcMar>
              <w:left w:w="17" w:type="dxa"/>
              <w:right w:w="17" w:type="dxa"/>
            </w:tcMar>
            <w:vAlign w:val="center"/>
          </w:tcPr>
          <w:p w14:paraId="00FF740E" w14:textId="1B477E6D" w:rsidR="00A35934" w:rsidRPr="00407531" w:rsidRDefault="00A35934" w:rsidP="0053735C">
            <w:pPr>
              <w:spacing w:after="0" w:line="240" w:lineRule="auto"/>
              <w:jc w:val="center"/>
              <w:rPr>
                <w:rFonts w:eastAsia="Times New Roman" w:cstheme="minorHAnsi"/>
                <w:b/>
                <w:color w:val="000000"/>
                <w:sz w:val="18"/>
                <w:szCs w:val="18"/>
                <w:lang w:eastAsia="cs-CZ"/>
              </w:rPr>
            </w:pPr>
          </w:p>
        </w:tc>
        <w:tc>
          <w:tcPr>
            <w:tcW w:w="626" w:type="pct"/>
            <w:shd w:val="clear" w:color="auto" w:fill="F2C6C9"/>
            <w:tcMar>
              <w:left w:w="17" w:type="dxa"/>
              <w:right w:w="17" w:type="dxa"/>
            </w:tcMar>
            <w:vAlign w:val="center"/>
          </w:tcPr>
          <w:p w14:paraId="6313FC2C" w14:textId="3464D4E1" w:rsidR="00A35934" w:rsidRPr="00407531" w:rsidRDefault="00A35934" w:rsidP="0053735C">
            <w:pPr>
              <w:spacing w:after="0" w:line="240" w:lineRule="auto"/>
              <w:jc w:val="center"/>
              <w:rPr>
                <w:rFonts w:eastAsia="Times New Roman" w:cstheme="minorHAnsi"/>
                <w:b/>
                <w:color w:val="000000"/>
                <w:sz w:val="18"/>
                <w:szCs w:val="18"/>
                <w:lang w:eastAsia="cs-CZ"/>
              </w:rPr>
            </w:pPr>
          </w:p>
        </w:tc>
      </w:tr>
      <w:tr w:rsidR="00A35934" w:rsidRPr="00407531" w14:paraId="4A5371E9" w14:textId="77777777" w:rsidTr="00FE6ADF">
        <w:trPr>
          <w:trHeight w:val="227"/>
          <w:jc w:val="center"/>
        </w:trPr>
        <w:tc>
          <w:tcPr>
            <w:tcW w:w="309" w:type="pct"/>
            <w:tcMar>
              <w:left w:w="17" w:type="dxa"/>
              <w:right w:w="17" w:type="dxa"/>
            </w:tcMar>
            <w:vAlign w:val="center"/>
          </w:tcPr>
          <w:p w14:paraId="6928E673" w14:textId="7615EDF4" w:rsidR="00A35934" w:rsidRPr="00407531" w:rsidRDefault="00A35934"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M32</w:t>
            </w:r>
          </w:p>
        </w:tc>
        <w:tc>
          <w:tcPr>
            <w:tcW w:w="2112" w:type="pct"/>
            <w:tcMar>
              <w:left w:w="17" w:type="dxa"/>
              <w:right w:w="17" w:type="dxa"/>
            </w:tcMar>
            <w:vAlign w:val="center"/>
          </w:tcPr>
          <w:p w14:paraId="4EDD53BA" w14:textId="1329FB77" w:rsidR="00A35934" w:rsidRPr="00407531" w:rsidRDefault="00A35934"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 xml:space="preserve">117D722001M32 </w:t>
            </w:r>
            <w:r w:rsidRPr="00407531">
              <w:rPr>
                <w:rFonts w:eastAsia="Times New Roman" w:cstheme="minorHAnsi"/>
                <w:color w:val="000000"/>
                <w:sz w:val="18"/>
                <w:szCs w:val="18"/>
                <w:lang w:eastAsia="cs-CZ"/>
              </w:rPr>
              <w:br/>
              <w:t>Turistická oblast Posázaví – marketing 2021</w:t>
            </w:r>
          </w:p>
        </w:tc>
        <w:tc>
          <w:tcPr>
            <w:tcW w:w="858" w:type="pct"/>
            <w:tcMar>
              <w:left w:w="17" w:type="dxa"/>
              <w:right w:w="17" w:type="dxa"/>
            </w:tcMar>
            <w:vAlign w:val="center"/>
          </w:tcPr>
          <w:p w14:paraId="1BE1DBD7" w14:textId="15A1AE84" w:rsidR="00A35934" w:rsidRPr="00407531" w:rsidRDefault="00A35934"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Posázaví o.p.s.</w:t>
            </w:r>
          </w:p>
        </w:tc>
        <w:tc>
          <w:tcPr>
            <w:tcW w:w="626" w:type="pct"/>
            <w:tcMar>
              <w:left w:w="17" w:type="dxa"/>
              <w:right w:w="17" w:type="dxa"/>
            </w:tcMar>
            <w:vAlign w:val="center"/>
          </w:tcPr>
          <w:p w14:paraId="42BB95B5" w14:textId="0BE5DFEF" w:rsidR="00A35934" w:rsidRPr="00407531" w:rsidRDefault="007929CF" w:rsidP="0053735C">
            <w:pPr>
              <w:spacing w:after="0" w:line="240" w:lineRule="auto"/>
              <w:jc w:val="center"/>
              <w:rPr>
                <w:rFonts w:eastAsia="Times New Roman" w:cstheme="minorHAnsi"/>
                <w:color w:val="000000"/>
                <w:sz w:val="18"/>
                <w:szCs w:val="18"/>
                <w:lang w:eastAsia="cs-CZ"/>
              </w:rPr>
            </w:pPr>
            <w:r w:rsidRPr="00407531">
              <w:rPr>
                <w:rFonts w:cstheme="minorHAnsi"/>
                <w:sz w:val="18"/>
                <w:szCs w:val="18"/>
              </w:rPr>
              <w:t>1 258 750,00</w:t>
            </w:r>
          </w:p>
        </w:tc>
        <w:tc>
          <w:tcPr>
            <w:tcW w:w="468" w:type="pct"/>
            <w:shd w:val="clear" w:color="auto" w:fill="538135" w:themeFill="accent6" w:themeFillShade="BF"/>
            <w:tcMar>
              <w:left w:w="17" w:type="dxa"/>
              <w:right w:w="17" w:type="dxa"/>
            </w:tcMar>
            <w:vAlign w:val="center"/>
          </w:tcPr>
          <w:p w14:paraId="316B08FC" w14:textId="41E5013B" w:rsidR="00A35934" w:rsidRPr="00407531" w:rsidRDefault="00A35934" w:rsidP="0053735C">
            <w:pPr>
              <w:spacing w:after="0" w:line="240" w:lineRule="auto"/>
              <w:jc w:val="center"/>
              <w:rPr>
                <w:rFonts w:eastAsia="Times New Roman" w:cstheme="minorHAnsi"/>
                <w:b/>
                <w:color w:val="000000"/>
                <w:sz w:val="18"/>
                <w:szCs w:val="18"/>
                <w:lang w:eastAsia="cs-CZ"/>
              </w:rPr>
            </w:pPr>
            <w:r w:rsidRPr="00407531">
              <w:rPr>
                <w:rFonts w:eastAsia="Times New Roman" w:cstheme="minorHAnsi"/>
                <w:b/>
                <w:color w:val="000000"/>
                <w:sz w:val="18"/>
                <w:szCs w:val="18"/>
                <w:lang w:eastAsia="cs-CZ"/>
              </w:rPr>
              <w:t>1</w:t>
            </w:r>
          </w:p>
        </w:tc>
        <w:tc>
          <w:tcPr>
            <w:tcW w:w="626" w:type="pct"/>
            <w:shd w:val="clear" w:color="auto" w:fill="538135" w:themeFill="accent6" w:themeFillShade="BF"/>
            <w:tcMar>
              <w:left w:w="17" w:type="dxa"/>
              <w:right w:w="17" w:type="dxa"/>
            </w:tcMar>
            <w:vAlign w:val="center"/>
          </w:tcPr>
          <w:p w14:paraId="72448948" w14:textId="096D0E6D" w:rsidR="00A35934" w:rsidRPr="00407531" w:rsidRDefault="00A35934" w:rsidP="0053735C">
            <w:pPr>
              <w:spacing w:after="0" w:line="240" w:lineRule="auto"/>
              <w:jc w:val="center"/>
              <w:rPr>
                <w:rFonts w:eastAsia="Times New Roman" w:cstheme="minorHAnsi"/>
                <w:b/>
                <w:color w:val="000000"/>
                <w:sz w:val="18"/>
                <w:szCs w:val="18"/>
                <w:lang w:eastAsia="cs-CZ"/>
              </w:rPr>
            </w:pPr>
            <w:r w:rsidRPr="00407531">
              <w:rPr>
                <w:rFonts w:eastAsia="Times New Roman" w:cstheme="minorHAnsi"/>
                <w:b/>
                <w:color w:val="000000"/>
                <w:sz w:val="18"/>
                <w:szCs w:val="18"/>
                <w:lang w:eastAsia="cs-CZ"/>
              </w:rPr>
              <w:t>1</w:t>
            </w:r>
          </w:p>
        </w:tc>
      </w:tr>
      <w:tr w:rsidR="00A35934" w:rsidRPr="00407531" w14:paraId="14F61EDE" w14:textId="77777777" w:rsidTr="00FE6ADF">
        <w:trPr>
          <w:trHeight w:val="227"/>
          <w:jc w:val="center"/>
        </w:trPr>
        <w:tc>
          <w:tcPr>
            <w:tcW w:w="309" w:type="pct"/>
            <w:tcMar>
              <w:left w:w="17" w:type="dxa"/>
              <w:right w:w="17" w:type="dxa"/>
            </w:tcMar>
            <w:vAlign w:val="center"/>
          </w:tcPr>
          <w:p w14:paraId="20BAB470" w14:textId="67279B8D" w:rsidR="00A35934" w:rsidRPr="00407531" w:rsidRDefault="00A35934"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M03</w:t>
            </w:r>
          </w:p>
        </w:tc>
        <w:tc>
          <w:tcPr>
            <w:tcW w:w="2112" w:type="pct"/>
            <w:tcMar>
              <w:left w:w="17" w:type="dxa"/>
              <w:right w:w="17" w:type="dxa"/>
            </w:tcMar>
            <w:vAlign w:val="center"/>
          </w:tcPr>
          <w:p w14:paraId="35A8EF00" w14:textId="2ECCC67C" w:rsidR="00A35934" w:rsidRPr="00407531" w:rsidRDefault="00A35934"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117D722009M03</w:t>
            </w:r>
            <w:r w:rsidRPr="00407531">
              <w:rPr>
                <w:rFonts w:eastAsia="Times New Roman" w:cstheme="minorHAnsi"/>
                <w:color w:val="000000"/>
                <w:sz w:val="18"/>
                <w:szCs w:val="18"/>
                <w:lang w:eastAsia="cs-CZ"/>
              </w:rPr>
              <w:br/>
              <w:t>Marketingová podpora poskytovatelů služeb cestovního ruchu na významných vodních cestách v</w:t>
            </w:r>
            <w:r w:rsidR="00EC22FD">
              <w:rPr>
                <w:rFonts w:eastAsia="Times New Roman" w:cstheme="minorHAnsi"/>
                <w:color w:val="000000"/>
                <w:sz w:val="18"/>
                <w:szCs w:val="18"/>
                <w:lang w:eastAsia="cs-CZ"/>
              </w:rPr>
              <w:t> </w:t>
            </w:r>
            <w:r w:rsidRPr="00407531">
              <w:rPr>
                <w:rFonts w:eastAsia="Times New Roman" w:cstheme="minorHAnsi"/>
                <w:color w:val="000000"/>
                <w:sz w:val="18"/>
                <w:szCs w:val="18"/>
                <w:lang w:eastAsia="cs-CZ"/>
              </w:rPr>
              <w:t>Ústeckém a Středočeském kraji</w:t>
            </w:r>
          </w:p>
        </w:tc>
        <w:tc>
          <w:tcPr>
            <w:tcW w:w="858" w:type="pct"/>
            <w:tcMar>
              <w:left w:w="17" w:type="dxa"/>
              <w:right w:w="17" w:type="dxa"/>
            </w:tcMar>
            <w:vAlign w:val="center"/>
          </w:tcPr>
          <w:p w14:paraId="2CE5A353" w14:textId="34544C1B" w:rsidR="00A35934" w:rsidRPr="00407531" w:rsidRDefault="00A35934"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Destinační agentura České středohoří, o.p.s.</w:t>
            </w:r>
          </w:p>
        </w:tc>
        <w:tc>
          <w:tcPr>
            <w:tcW w:w="626" w:type="pct"/>
            <w:tcMar>
              <w:left w:w="17" w:type="dxa"/>
              <w:right w:w="17" w:type="dxa"/>
            </w:tcMar>
            <w:vAlign w:val="center"/>
          </w:tcPr>
          <w:p w14:paraId="00B77635" w14:textId="371C571B" w:rsidR="00A35934" w:rsidRPr="00407531" w:rsidRDefault="007929CF" w:rsidP="0053735C">
            <w:pPr>
              <w:spacing w:after="0" w:line="240" w:lineRule="auto"/>
              <w:jc w:val="center"/>
              <w:rPr>
                <w:rFonts w:eastAsia="Times New Roman" w:cstheme="minorHAnsi"/>
                <w:color w:val="000000"/>
                <w:sz w:val="18"/>
                <w:szCs w:val="18"/>
                <w:lang w:eastAsia="cs-CZ"/>
              </w:rPr>
            </w:pPr>
            <w:r w:rsidRPr="00407531">
              <w:rPr>
                <w:rFonts w:cstheme="minorHAnsi"/>
                <w:sz w:val="18"/>
                <w:szCs w:val="18"/>
              </w:rPr>
              <w:t>1 577 591,95</w:t>
            </w:r>
          </w:p>
        </w:tc>
        <w:tc>
          <w:tcPr>
            <w:tcW w:w="468" w:type="pct"/>
            <w:shd w:val="clear" w:color="auto" w:fill="FF0000"/>
            <w:tcMar>
              <w:left w:w="17" w:type="dxa"/>
              <w:right w:w="17" w:type="dxa"/>
            </w:tcMar>
            <w:vAlign w:val="center"/>
          </w:tcPr>
          <w:p w14:paraId="193E7492" w14:textId="398A3C33" w:rsidR="00A35934" w:rsidRPr="00407531" w:rsidRDefault="00A35934" w:rsidP="0053735C">
            <w:pPr>
              <w:spacing w:after="0" w:line="240" w:lineRule="auto"/>
              <w:jc w:val="center"/>
              <w:rPr>
                <w:rFonts w:eastAsia="Times New Roman" w:cstheme="minorHAnsi"/>
                <w:b/>
                <w:color w:val="000000"/>
                <w:sz w:val="18"/>
                <w:szCs w:val="18"/>
                <w:lang w:eastAsia="cs-CZ"/>
              </w:rPr>
            </w:pPr>
            <w:r w:rsidRPr="00407531">
              <w:rPr>
                <w:rFonts w:eastAsia="Times New Roman" w:cstheme="minorHAnsi"/>
                <w:b/>
                <w:color w:val="000000"/>
                <w:sz w:val="18"/>
                <w:szCs w:val="18"/>
                <w:lang w:eastAsia="cs-CZ"/>
              </w:rPr>
              <w:t>4</w:t>
            </w:r>
          </w:p>
        </w:tc>
        <w:tc>
          <w:tcPr>
            <w:tcW w:w="626" w:type="pct"/>
            <w:shd w:val="clear" w:color="auto" w:fill="FF0000"/>
            <w:tcMar>
              <w:left w:w="17" w:type="dxa"/>
              <w:right w:w="17" w:type="dxa"/>
            </w:tcMar>
            <w:vAlign w:val="center"/>
          </w:tcPr>
          <w:p w14:paraId="0C0ACA0D" w14:textId="07345430" w:rsidR="00A35934" w:rsidRPr="00407531" w:rsidRDefault="00A35934" w:rsidP="0053735C">
            <w:pPr>
              <w:spacing w:after="0" w:line="240" w:lineRule="auto"/>
              <w:jc w:val="center"/>
              <w:rPr>
                <w:rFonts w:eastAsia="Times New Roman" w:cstheme="minorHAnsi"/>
                <w:b/>
                <w:color w:val="000000"/>
                <w:sz w:val="18"/>
                <w:szCs w:val="18"/>
                <w:lang w:eastAsia="cs-CZ"/>
              </w:rPr>
            </w:pPr>
            <w:r w:rsidRPr="00407531">
              <w:rPr>
                <w:rFonts w:eastAsia="Times New Roman" w:cstheme="minorHAnsi"/>
                <w:b/>
                <w:color w:val="000000"/>
                <w:sz w:val="18"/>
                <w:szCs w:val="18"/>
                <w:lang w:eastAsia="cs-CZ"/>
              </w:rPr>
              <w:t>4</w:t>
            </w:r>
          </w:p>
        </w:tc>
      </w:tr>
      <w:tr w:rsidR="00A35934" w:rsidRPr="00407531" w14:paraId="4F510823" w14:textId="77777777" w:rsidTr="00FE6ADF">
        <w:trPr>
          <w:trHeight w:val="227"/>
          <w:jc w:val="center"/>
        </w:trPr>
        <w:tc>
          <w:tcPr>
            <w:tcW w:w="309" w:type="pct"/>
            <w:tcMar>
              <w:left w:w="17" w:type="dxa"/>
              <w:right w:w="17" w:type="dxa"/>
            </w:tcMar>
            <w:vAlign w:val="center"/>
          </w:tcPr>
          <w:p w14:paraId="6A390CB6" w14:textId="01F560E8" w:rsidR="00A35934" w:rsidRPr="00407531" w:rsidRDefault="00A35934"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M28</w:t>
            </w:r>
          </w:p>
        </w:tc>
        <w:tc>
          <w:tcPr>
            <w:tcW w:w="2112" w:type="pct"/>
            <w:tcMar>
              <w:left w:w="17" w:type="dxa"/>
              <w:right w:w="17" w:type="dxa"/>
            </w:tcMar>
            <w:vAlign w:val="center"/>
          </w:tcPr>
          <w:p w14:paraId="29A98A1F" w14:textId="37A64561" w:rsidR="00A35934" w:rsidRPr="00407531" w:rsidRDefault="00A35934"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117D722001M28</w:t>
            </w:r>
            <w:r w:rsidRPr="00407531">
              <w:rPr>
                <w:rFonts w:eastAsia="Times New Roman" w:cstheme="minorHAnsi"/>
                <w:color w:val="000000"/>
                <w:sz w:val="18"/>
                <w:szCs w:val="18"/>
                <w:lang w:eastAsia="cs-CZ"/>
              </w:rPr>
              <w:br/>
              <w:t>Propagace významných turistických produktů destinace České středohoří</w:t>
            </w:r>
          </w:p>
        </w:tc>
        <w:tc>
          <w:tcPr>
            <w:tcW w:w="858" w:type="pct"/>
            <w:tcMar>
              <w:left w:w="17" w:type="dxa"/>
              <w:right w:w="17" w:type="dxa"/>
            </w:tcMar>
            <w:vAlign w:val="center"/>
          </w:tcPr>
          <w:p w14:paraId="68247F3B" w14:textId="148D0DCF" w:rsidR="00A35934" w:rsidRPr="00407531" w:rsidRDefault="00A35934"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Destinační agentura České středohoří, o.p.s.</w:t>
            </w:r>
          </w:p>
        </w:tc>
        <w:tc>
          <w:tcPr>
            <w:tcW w:w="626" w:type="pct"/>
            <w:tcMar>
              <w:left w:w="17" w:type="dxa"/>
              <w:right w:w="17" w:type="dxa"/>
            </w:tcMar>
            <w:vAlign w:val="center"/>
          </w:tcPr>
          <w:p w14:paraId="5B31EE92" w14:textId="26A3BE7B" w:rsidR="00A35934" w:rsidRPr="00407531" w:rsidRDefault="007929CF" w:rsidP="0053735C">
            <w:pPr>
              <w:spacing w:after="0" w:line="240" w:lineRule="auto"/>
              <w:jc w:val="center"/>
              <w:rPr>
                <w:rFonts w:eastAsia="Times New Roman" w:cstheme="minorHAnsi"/>
                <w:color w:val="000000"/>
                <w:sz w:val="18"/>
                <w:szCs w:val="18"/>
                <w:lang w:eastAsia="cs-CZ"/>
              </w:rPr>
            </w:pPr>
            <w:r w:rsidRPr="00407531">
              <w:rPr>
                <w:rFonts w:cstheme="minorHAnsi"/>
                <w:sz w:val="18"/>
                <w:szCs w:val="18"/>
              </w:rPr>
              <w:t>799 550,00</w:t>
            </w:r>
          </w:p>
        </w:tc>
        <w:tc>
          <w:tcPr>
            <w:tcW w:w="468" w:type="pct"/>
            <w:shd w:val="clear" w:color="auto" w:fill="FFFF00"/>
            <w:tcMar>
              <w:left w:w="17" w:type="dxa"/>
              <w:right w:w="17" w:type="dxa"/>
            </w:tcMar>
            <w:vAlign w:val="center"/>
          </w:tcPr>
          <w:p w14:paraId="259A45B6" w14:textId="5416AD0D" w:rsidR="00A35934" w:rsidRPr="00407531" w:rsidRDefault="00A35934" w:rsidP="0053735C">
            <w:pPr>
              <w:spacing w:after="0" w:line="240" w:lineRule="auto"/>
              <w:jc w:val="center"/>
              <w:rPr>
                <w:rFonts w:eastAsia="Times New Roman" w:cstheme="minorHAnsi"/>
                <w:b/>
                <w:color w:val="000000"/>
                <w:sz w:val="18"/>
                <w:szCs w:val="18"/>
                <w:lang w:eastAsia="cs-CZ"/>
              </w:rPr>
            </w:pPr>
            <w:r w:rsidRPr="00407531">
              <w:rPr>
                <w:rFonts w:eastAsia="Times New Roman" w:cstheme="minorHAnsi"/>
                <w:b/>
                <w:color w:val="000000"/>
                <w:sz w:val="18"/>
                <w:szCs w:val="18"/>
                <w:lang w:eastAsia="cs-CZ"/>
              </w:rPr>
              <w:t>3</w:t>
            </w:r>
          </w:p>
        </w:tc>
        <w:tc>
          <w:tcPr>
            <w:tcW w:w="626" w:type="pct"/>
            <w:shd w:val="clear" w:color="auto" w:fill="FF0000"/>
            <w:tcMar>
              <w:left w:w="17" w:type="dxa"/>
              <w:right w:w="17" w:type="dxa"/>
            </w:tcMar>
            <w:vAlign w:val="center"/>
          </w:tcPr>
          <w:p w14:paraId="2A711576" w14:textId="04F9BB5F" w:rsidR="00A35934" w:rsidRPr="00407531" w:rsidRDefault="00A35934" w:rsidP="0053735C">
            <w:pPr>
              <w:spacing w:after="0" w:line="240" w:lineRule="auto"/>
              <w:jc w:val="center"/>
              <w:rPr>
                <w:rFonts w:eastAsia="Times New Roman" w:cstheme="minorHAnsi"/>
                <w:b/>
                <w:color w:val="000000"/>
                <w:sz w:val="18"/>
                <w:szCs w:val="18"/>
                <w:lang w:eastAsia="cs-CZ"/>
              </w:rPr>
            </w:pPr>
            <w:r w:rsidRPr="00407531">
              <w:rPr>
                <w:rFonts w:eastAsia="Times New Roman" w:cstheme="minorHAnsi"/>
                <w:b/>
                <w:color w:val="000000"/>
                <w:sz w:val="18"/>
                <w:szCs w:val="18"/>
                <w:lang w:eastAsia="cs-CZ"/>
              </w:rPr>
              <w:t>4</w:t>
            </w:r>
          </w:p>
        </w:tc>
      </w:tr>
      <w:tr w:rsidR="00A35934" w:rsidRPr="00407531" w14:paraId="59D1FBC7" w14:textId="77777777" w:rsidTr="00FE6ADF">
        <w:trPr>
          <w:trHeight w:val="227"/>
          <w:jc w:val="center"/>
        </w:trPr>
        <w:tc>
          <w:tcPr>
            <w:tcW w:w="309" w:type="pct"/>
            <w:tcMar>
              <w:left w:w="17" w:type="dxa"/>
              <w:right w:w="17" w:type="dxa"/>
            </w:tcMar>
            <w:vAlign w:val="center"/>
          </w:tcPr>
          <w:p w14:paraId="7A254EF4" w14:textId="2EEF761D" w:rsidR="00A35934" w:rsidRPr="00407531" w:rsidRDefault="00A35934"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M05</w:t>
            </w:r>
          </w:p>
        </w:tc>
        <w:tc>
          <w:tcPr>
            <w:tcW w:w="2112" w:type="pct"/>
            <w:tcMar>
              <w:left w:w="17" w:type="dxa"/>
              <w:right w:w="17" w:type="dxa"/>
            </w:tcMar>
            <w:vAlign w:val="center"/>
          </w:tcPr>
          <w:p w14:paraId="058654E2" w14:textId="77777777" w:rsidR="00A35934" w:rsidRPr="00407531" w:rsidRDefault="00A35934"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117D722000M05</w:t>
            </w:r>
          </w:p>
          <w:p w14:paraId="0452E520" w14:textId="44AA1BBE" w:rsidR="00A35934" w:rsidRPr="00407531" w:rsidRDefault="00A35934"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Posílení marketingových aktivit a rozvoj partnerství v</w:t>
            </w:r>
            <w:r w:rsidR="00EC22FD">
              <w:rPr>
                <w:rFonts w:eastAsia="Times New Roman" w:cstheme="minorHAnsi"/>
                <w:color w:val="000000"/>
                <w:sz w:val="18"/>
                <w:szCs w:val="18"/>
                <w:lang w:eastAsia="cs-CZ"/>
              </w:rPr>
              <w:t> </w:t>
            </w:r>
            <w:r w:rsidRPr="00407531">
              <w:rPr>
                <w:rFonts w:eastAsia="Times New Roman" w:cstheme="minorHAnsi"/>
                <w:color w:val="000000"/>
                <w:sz w:val="18"/>
                <w:szCs w:val="18"/>
                <w:lang w:eastAsia="cs-CZ"/>
              </w:rPr>
              <w:t>regionu jižní Morava</w:t>
            </w:r>
          </w:p>
        </w:tc>
        <w:tc>
          <w:tcPr>
            <w:tcW w:w="858" w:type="pct"/>
            <w:tcMar>
              <w:left w:w="17" w:type="dxa"/>
              <w:right w:w="17" w:type="dxa"/>
            </w:tcMar>
            <w:vAlign w:val="center"/>
          </w:tcPr>
          <w:p w14:paraId="7B2CA11D" w14:textId="57634583" w:rsidR="00A35934" w:rsidRPr="00407531" w:rsidRDefault="00A35934"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 xml:space="preserve">Centrála cestovního ruchu – Jižní Morava, </w:t>
            </w:r>
            <w:proofErr w:type="spellStart"/>
            <w:r w:rsidRPr="00407531">
              <w:rPr>
                <w:rFonts w:eastAsia="Times New Roman" w:cstheme="minorHAnsi"/>
                <w:color w:val="000000"/>
                <w:sz w:val="18"/>
                <w:szCs w:val="18"/>
                <w:lang w:eastAsia="cs-CZ"/>
              </w:rPr>
              <w:t>z.s.p.o</w:t>
            </w:r>
            <w:proofErr w:type="spellEnd"/>
            <w:r w:rsidRPr="00407531">
              <w:rPr>
                <w:rFonts w:eastAsia="Times New Roman" w:cstheme="minorHAnsi"/>
                <w:color w:val="000000"/>
                <w:sz w:val="18"/>
                <w:szCs w:val="18"/>
                <w:lang w:eastAsia="cs-CZ"/>
              </w:rPr>
              <w:t>.</w:t>
            </w:r>
          </w:p>
        </w:tc>
        <w:tc>
          <w:tcPr>
            <w:tcW w:w="626" w:type="pct"/>
            <w:tcMar>
              <w:left w:w="17" w:type="dxa"/>
              <w:right w:w="17" w:type="dxa"/>
            </w:tcMar>
            <w:vAlign w:val="center"/>
          </w:tcPr>
          <w:p w14:paraId="7A2DC0FB" w14:textId="551F3EFB" w:rsidR="00A35934" w:rsidRPr="00407531" w:rsidRDefault="007929CF" w:rsidP="0053735C">
            <w:pPr>
              <w:spacing w:after="0" w:line="240" w:lineRule="auto"/>
              <w:jc w:val="center"/>
              <w:rPr>
                <w:rFonts w:eastAsia="Times New Roman" w:cstheme="minorHAnsi"/>
                <w:color w:val="000000"/>
                <w:sz w:val="18"/>
                <w:szCs w:val="18"/>
                <w:lang w:eastAsia="cs-CZ"/>
              </w:rPr>
            </w:pPr>
            <w:r w:rsidRPr="00407531">
              <w:rPr>
                <w:rFonts w:cstheme="minorHAnsi"/>
                <w:sz w:val="18"/>
                <w:szCs w:val="18"/>
              </w:rPr>
              <w:t>590 445,00</w:t>
            </w:r>
          </w:p>
        </w:tc>
        <w:tc>
          <w:tcPr>
            <w:tcW w:w="468" w:type="pct"/>
            <w:shd w:val="clear" w:color="auto" w:fill="A8D08D" w:themeFill="accent6" w:themeFillTint="99"/>
            <w:tcMar>
              <w:left w:w="17" w:type="dxa"/>
              <w:right w:w="17" w:type="dxa"/>
            </w:tcMar>
            <w:vAlign w:val="center"/>
          </w:tcPr>
          <w:p w14:paraId="4851494E" w14:textId="684B0E17" w:rsidR="00A35934" w:rsidRPr="00407531" w:rsidRDefault="00A35934" w:rsidP="0053735C">
            <w:pPr>
              <w:spacing w:after="0" w:line="240" w:lineRule="auto"/>
              <w:jc w:val="center"/>
              <w:rPr>
                <w:rFonts w:eastAsia="Times New Roman" w:cstheme="minorHAnsi"/>
                <w:b/>
                <w:color w:val="000000"/>
                <w:sz w:val="18"/>
                <w:szCs w:val="18"/>
                <w:lang w:eastAsia="cs-CZ"/>
              </w:rPr>
            </w:pPr>
            <w:r w:rsidRPr="00407531">
              <w:rPr>
                <w:rFonts w:eastAsia="Times New Roman" w:cstheme="minorHAnsi"/>
                <w:b/>
                <w:color w:val="000000"/>
                <w:sz w:val="18"/>
                <w:szCs w:val="18"/>
                <w:lang w:eastAsia="cs-CZ"/>
              </w:rPr>
              <w:t>2</w:t>
            </w:r>
          </w:p>
        </w:tc>
        <w:tc>
          <w:tcPr>
            <w:tcW w:w="626" w:type="pct"/>
            <w:shd w:val="clear" w:color="auto" w:fill="538135" w:themeFill="accent6" w:themeFillShade="BF"/>
            <w:tcMar>
              <w:left w:w="17" w:type="dxa"/>
              <w:right w:w="17" w:type="dxa"/>
            </w:tcMar>
            <w:vAlign w:val="center"/>
          </w:tcPr>
          <w:p w14:paraId="7176135E" w14:textId="22688244" w:rsidR="00A35934" w:rsidRPr="00407531" w:rsidRDefault="00A35934" w:rsidP="0053735C">
            <w:pPr>
              <w:spacing w:after="0" w:line="240" w:lineRule="auto"/>
              <w:jc w:val="center"/>
              <w:rPr>
                <w:rFonts w:eastAsia="Times New Roman" w:cstheme="minorHAnsi"/>
                <w:b/>
                <w:color w:val="000000"/>
                <w:sz w:val="18"/>
                <w:szCs w:val="18"/>
                <w:lang w:eastAsia="cs-CZ"/>
              </w:rPr>
            </w:pPr>
            <w:r w:rsidRPr="00407531">
              <w:rPr>
                <w:rFonts w:eastAsia="Times New Roman" w:cstheme="minorHAnsi"/>
                <w:b/>
                <w:color w:val="000000"/>
                <w:sz w:val="18"/>
                <w:szCs w:val="18"/>
                <w:lang w:eastAsia="cs-CZ"/>
              </w:rPr>
              <w:t>1</w:t>
            </w:r>
          </w:p>
        </w:tc>
      </w:tr>
      <w:tr w:rsidR="00A35934" w:rsidRPr="00407531" w14:paraId="1692AD10" w14:textId="77777777" w:rsidTr="00FE6ADF">
        <w:trPr>
          <w:trHeight w:val="227"/>
          <w:jc w:val="center"/>
        </w:trPr>
        <w:tc>
          <w:tcPr>
            <w:tcW w:w="309" w:type="pct"/>
            <w:tcMar>
              <w:left w:w="17" w:type="dxa"/>
              <w:right w:w="17" w:type="dxa"/>
            </w:tcMar>
            <w:vAlign w:val="center"/>
          </w:tcPr>
          <w:p w14:paraId="31E1BFE3" w14:textId="44801F27" w:rsidR="00A35934" w:rsidRPr="00407531" w:rsidRDefault="00A35934"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M08</w:t>
            </w:r>
          </w:p>
        </w:tc>
        <w:tc>
          <w:tcPr>
            <w:tcW w:w="2112" w:type="pct"/>
            <w:tcMar>
              <w:left w:w="17" w:type="dxa"/>
              <w:right w:w="17" w:type="dxa"/>
            </w:tcMar>
            <w:vAlign w:val="center"/>
          </w:tcPr>
          <w:p w14:paraId="3C8B30AC" w14:textId="468584FE" w:rsidR="00A35934" w:rsidRPr="00407531" w:rsidRDefault="00A35934"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117D722001M08</w:t>
            </w:r>
            <w:r w:rsidRPr="00407531">
              <w:rPr>
                <w:rFonts w:eastAsia="Times New Roman" w:cstheme="minorHAnsi"/>
                <w:color w:val="000000"/>
                <w:sz w:val="18"/>
                <w:szCs w:val="18"/>
                <w:lang w:eastAsia="cs-CZ"/>
              </w:rPr>
              <w:br/>
              <w:t>Posílení marketingových aktivit a rozvoj nabídky destinace Jižní Morava</w:t>
            </w:r>
          </w:p>
        </w:tc>
        <w:tc>
          <w:tcPr>
            <w:tcW w:w="858" w:type="pct"/>
            <w:tcMar>
              <w:left w:w="17" w:type="dxa"/>
              <w:right w:w="17" w:type="dxa"/>
            </w:tcMar>
            <w:vAlign w:val="center"/>
          </w:tcPr>
          <w:p w14:paraId="42D6FBB8" w14:textId="77A96638" w:rsidR="00A35934" w:rsidRPr="00407531" w:rsidRDefault="00A35934"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 xml:space="preserve">Centrála cestovního ruchu – Jižní Morava, </w:t>
            </w:r>
            <w:proofErr w:type="spellStart"/>
            <w:r w:rsidRPr="00407531">
              <w:rPr>
                <w:rFonts w:eastAsia="Times New Roman" w:cstheme="minorHAnsi"/>
                <w:color w:val="000000"/>
                <w:sz w:val="18"/>
                <w:szCs w:val="18"/>
                <w:lang w:eastAsia="cs-CZ"/>
              </w:rPr>
              <w:t>z.s.p.o</w:t>
            </w:r>
            <w:proofErr w:type="spellEnd"/>
            <w:r w:rsidRPr="00407531">
              <w:rPr>
                <w:rFonts w:eastAsia="Times New Roman" w:cstheme="minorHAnsi"/>
                <w:color w:val="000000"/>
                <w:sz w:val="18"/>
                <w:szCs w:val="18"/>
                <w:lang w:eastAsia="cs-CZ"/>
              </w:rPr>
              <w:t>.</w:t>
            </w:r>
          </w:p>
        </w:tc>
        <w:tc>
          <w:tcPr>
            <w:tcW w:w="626" w:type="pct"/>
            <w:tcMar>
              <w:left w:w="17" w:type="dxa"/>
              <w:right w:w="17" w:type="dxa"/>
            </w:tcMar>
            <w:vAlign w:val="center"/>
          </w:tcPr>
          <w:p w14:paraId="4C839563" w14:textId="65E4DB34" w:rsidR="00A35934" w:rsidRPr="00407531" w:rsidRDefault="007929CF" w:rsidP="0053735C">
            <w:pPr>
              <w:spacing w:after="0" w:line="240" w:lineRule="auto"/>
              <w:jc w:val="center"/>
              <w:rPr>
                <w:rFonts w:eastAsia="Times New Roman" w:cstheme="minorHAnsi"/>
                <w:color w:val="000000"/>
                <w:sz w:val="18"/>
                <w:szCs w:val="18"/>
                <w:lang w:eastAsia="cs-CZ"/>
              </w:rPr>
            </w:pPr>
            <w:r w:rsidRPr="00407531">
              <w:rPr>
                <w:rFonts w:cstheme="minorHAnsi"/>
                <w:sz w:val="18"/>
                <w:szCs w:val="18"/>
              </w:rPr>
              <w:t>1 462 344,00</w:t>
            </w:r>
          </w:p>
        </w:tc>
        <w:tc>
          <w:tcPr>
            <w:tcW w:w="468" w:type="pct"/>
            <w:shd w:val="clear" w:color="auto" w:fill="A8D08D" w:themeFill="accent6" w:themeFillTint="99"/>
            <w:tcMar>
              <w:left w:w="17" w:type="dxa"/>
              <w:right w:w="17" w:type="dxa"/>
            </w:tcMar>
            <w:vAlign w:val="center"/>
          </w:tcPr>
          <w:p w14:paraId="6F06E51B" w14:textId="22951B76" w:rsidR="00A35934" w:rsidRPr="00407531" w:rsidRDefault="00A35934" w:rsidP="0053735C">
            <w:pPr>
              <w:spacing w:after="0" w:line="240" w:lineRule="auto"/>
              <w:jc w:val="center"/>
              <w:rPr>
                <w:rFonts w:eastAsia="Times New Roman" w:cstheme="minorHAnsi"/>
                <w:b/>
                <w:color w:val="000000"/>
                <w:sz w:val="18"/>
                <w:szCs w:val="18"/>
                <w:lang w:eastAsia="cs-CZ"/>
              </w:rPr>
            </w:pPr>
            <w:r w:rsidRPr="00407531">
              <w:rPr>
                <w:rFonts w:eastAsia="Times New Roman" w:cstheme="minorHAnsi"/>
                <w:b/>
                <w:color w:val="000000"/>
                <w:sz w:val="18"/>
                <w:szCs w:val="18"/>
                <w:lang w:eastAsia="cs-CZ"/>
              </w:rPr>
              <w:t>2</w:t>
            </w:r>
          </w:p>
        </w:tc>
        <w:tc>
          <w:tcPr>
            <w:tcW w:w="626" w:type="pct"/>
            <w:shd w:val="clear" w:color="auto" w:fill="538135" w:themeFill="accent6" w:themeFillShade="BF"/>
            <w:tcMar>
              <w:left w:w="17" w:type="dxa"/>
              <w:right w:w="17" w:type="dxa"/>
            </w:tcMar>
            <w:vAlign w:val="center"/>
          </w:tcPr>
          <w:p w14:paraId="76903D75" w14:textId="5398A8EB" w:rsidR="00A35934" w:rsidRPr="00407531" w:rsidRDefault="00A35934" w:rsidP="0053735C">
            <w:pPr>
              <w:spacing w:after="0" w:line="240" w:lineRule="auto"/>
              <w:jc w:val="center"/>
              <w:rPr>
                <w:rFonts w:eastAsia="Times New Roman" w:cstheme="minorHAnsi"/>
                <w:b/>
                <w:color w:val="000000"/>
                <w:sz w:val="18"/>
                <w:szCs w:val="18"/>
                <w:lang w:eastAsia="cs-CZ"/>
              </w:rPr>
            </w:pPr>
            <w:r w:rsidRPr="00407531">
              <w:rPr>
                <w:rFonts w:eastAsia="Times New Roman" w:cstheme="minorHAnsi"/>
                <w:b/>
                <w:color w:val="000000"/>
                <w:sz w:val="18"/>
                <w:szCs w:val="18"/>
                <w:lang w:eastAsia="cs-CZ"/>
              </w:rPr>
              <w:t>1</w:t>
            </w:r>
          </w:p>
        </w:tc>
      </w:tr>
      <w:tr w:rsidR="00D92475" w:rsidRPr="00407531" w14:paraId="6A91E294" w14:textId="77777777" w:rsidTr="00FE6ADF">
        <w:trPr>
          <w:trHeight w:val="227"/>
          <w:jc w:val="center"/>
        </w:trPr>
        <w:tc>
          <w:tcPr>
            <w:tcW w:w="309" w:type="pct"/>
            <w:tcMar>
              <w:left w:w="17" w:type="dxa"/>
              <w:right w:w="17" w:type="dxa"/>
            </w:tcMar>
            <w:vAlign w:val="center"/>
          </w:tcPr>
          <w:p w14:paraId="7E45E111" w14:textId="094B7CD8" w:rsidR="00D92475" w:rsidRPr="00407531" w:rsidRDefault="00D92475"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M21</w:t>
            </w:r>
          </w:p>
        </w:tc>
        <w:tc>
          <w:tcPr>
            <w:tcW w:w="2112" w:type="pct"/>
            <w:tcMar>
              <w:left w:w="17" w:type="dxa"/>
              <w:right w:w="17" w:type="dxa"/>
            </w:tcMar>
            <w:vAlign w:val="center"/>
          </w:tcPr>
          <w:p w14:paraId="57089CA4" w14:textId="75BF8A35" w:rsidR="00D92475" w:rsidRPr="00407531" w:rsidRDefault="00D92475"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117D722009M21</w:t>
            </w:r>
            <w:r w:rsidRPr="00407531">
              <w:rPr>
                <w:rFonts w:eastAsia="Times New Roman" w:cstheme="minorHAnsi"/>
                <w:color w:val="000000"/>
                <w:sz w:val="18"/>
                <w:szCs w:val="18"/>
                <w:lang w:eastAsia="cs-CZ"/>
              </w:rPr>
              <w:br/>
              <w:t>Marketingové aktivity Jihočeské centrály cestovního ruchu</w:t>
            </w:r>
          </w:p>
        </w:tc>
        <w:tc>
          <w:tcPr>
            <w:tcW w:w="858" w:type="pct"/>
            <w:tcMar>
              <w:left w:w="17" w:type="dxa"/>
              <w:right w:w="17" w:type="dxa"/>
            </w:tcMar>
            <w:vAlign w:val="center"/>
          </w:tcPr>
          <w:p w14:paraId="006E1CF1" w14:textId="3311D6BD" w:rsidR="00D92475" w:rsidRPr="00407531" w:rsidRDefault="00D92475"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Jihočeská centrála cestovního ruchu</w:t>
            </w:r>
          </w:p>
        </w:tc>
        <w:tc>
          <w:tcPr>
            <w:tcW w:w="626" w:type="pct"/>
            <w:tcMar>
              <w:left w:w="17" w:type="dxa"/>
              <w:right w:w="17" w:type="dxa"/>
            </w:tcMar>
            <w:vAlign w:val="center"/>
          </w:tcPr>
          <w:p w14:paraId="1B590978" w14:textId="38B7EB3B" w:rsidR="00D92475" w:rsidRPr="00407531" w:rsidRDefault="002F1A42" w:rsidP="0053735C">
            <w:pPr>
              <w:spacing w:after="0" w:line="240" w:lineRule="auto"/>
              <w:jc w:val="center"/>
              <w:rPr>
                <w:rFonts w:eastAsia="Times New Roman" w:cstheme="minorHAnsi"/>
                <w:color w:val="000000"/>
                <w:sz w:val="18"/>
                <w:szCs w:val="18"/>
                <w:lang w:eastAsia="cs-CZ"/>
              </w:rPr>
            </w:pPr>
            <w:r w:rsidRPr="00407531">
              <w:rPr>
                <w:rFonts w:cstheme="minorHAnsi"/>
                <w:sz w:val="18"/>
                <w:szCs w:val="18"/>
              </w:rPr>
              <w:t>1 459 777,00</w:t>
            </w:r>
          </w:p>
        </w:tc>
        <w:tc>
          <w:tcPr>
            <w:tcW w:w="468" w:type="pct"/>
            <w:shd w:val="clear" w:color="auto" w:fill="A8D08D" w:themeFill="accent6" w:themeFillTint="99"/>
            <w:tcMar>
              <w:left w:w="17" w:type="dxa"/>
              <w:right w:w="17" w:type="dxa"/>
            </w:tcMar>
            <w:vAlign w:val="center"/>
          </w:tcPr>
          <w:p w14:paraId="41CCF1C0" w14:textId="3ABC4B57" w:rsidR="00D92475" w:rsidRPr="00407531" w:rsidRDefault="00D92475" w:rsidP="0053735C">
            <w:pPr>
              <w:spacing w:after="0" w:line="240" w:lineRule="auto"/>
              <w:jc w:val="center"/>
              <w:rPr>
                <w:rFonts w:eastAsia="Times New Roman" w:cstheme="minorHAnsi"/>
                <w:b/>
                <w:color w:val="000000"/>
                <w:sz w:val="18"/>
                <w:szCs w:val="18"/>
                <w:lang w:eastAsia="cs-CZ"/>
              </w:rPr>
            </w:pPr>
            <w:r w:rsidRPr="00407531">
              <w:rPr>
                <w:rFonts w:eastAsia="Times New Roman" w:cstheme="minorHAnsi"/>
                <w:b/>
                <w:color w:val="000000"/>
                <w:sz w:val="18"/>
                <w:szCs w:val="18"/>
                <w:lang w:eastAsia="cs-CZ"/>
              </w:rPr>
              <w:t>2</w:t>
            </w:r>
          </w:p>
        </w:tc>
        <w:tc>
          <w:tcPr>
            <w:tcW w:w="626" w:type="pct"/>
            <w:shd w:val="clear" w:color="auto" w:fill="538135" w:themeFill="accent6" w:themeFillShade="BF"/>
            <w:tcMar>
              <w:left w:w="17" w:type="dxa"/>
              <w:right w:w="17" w:type="dxa"/>
            </w:tcMar>
            <w:vAlign w:val="center"/>
          </w:tcPr>
          <w:p w14:paraId="6E6317B8" w14:textId="64A32896" w:rsidR="00D92475" w:rsidRPr="00407531" w:rsidRDefault="00D92475" w:rsidP="0053735C">
            <w:pPr>
              <w:spacing w:after="0" w:line="240" w:lineRule="auto"/>
              <w:jc w:val="center"/>
              <w:rPr>
                <w:rFonts w:eastAsia="Times New Roman" w:cstheme="minorHAnsi"/>
                <w:b/>
                <w:color w:val="000000"/>
                <w:sz w:val="18"/>
                <w:szCs w:val="18"/>
                <w:lang w:eastAsia="cs-CZ"/>
              </w:rPr>
            </w:pPr>
            <w:r w:rsidRPr="00407531">
              <w:rPr>
                <w:rFonts w:eastAsia="Times New Roman" w:cstheme="minorHAnsi"/>
                <w:b/>
                <w:color w:val="000000"/>
                <w:sz w:val="18"/>
                <w:szCs w:val="18"/>
                <w:lang w:eastAsia="cs-CZ"/>
              </w:rPr>
              <w:t>1</w:t>
            </w:r>
          </w:p>
        </w:tc>
      </w:tr>
      <w:tr w:rsidR="004D288F" w:rsidRPr="00407531" w14:paraId="623E2290" w14:textId="77777777" w:rsidTr="00FE6ADF">
        <w:trPr>
          <w:trHeight w:val="227"/>
          <w:jc w:val="center"/>
        </w:trPr>
        <w:tc>
          <w:tcPr>
            <w:tcW w:w="309" w:type="pct"/>
            <w:tcMar>
              <w:left w:w="17" w:type="dxa"/>
              <w:right w:w="17" w:type="dxa"/>
            </w:tcMar>
            <w:vAlign w:val="center"/>
          </w:tcPr>
          <w:p w14:paraId="79AE47F7" w14:textId="44958CD0" w:rsidR="004D288F" w:rsidRPr="00407531" w:rsidRDefault="004D288F"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M06</w:t>
            </w:r>
          </w:p>
        </w:tc>
        <w:tc>
          <w:tcPr>
            <w:tcW w:w="2112" w:type="pct"/>
            <w:tcMar>
              <w:left w:w="17" w:type="dxa"/>
              <w:right w:w="17" w:type="dxa"/>
            </w:tcMar>
            <w:vAlign w:val="center"/>
          </w:tcPr>
          <w:p w14:paraId="14D526BF" w14:textId="7C62043B" w:rsidR="004D288F" w:rsidRPr="00407531" w:rsidRDefault="004D288F"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 xml:space="preserve">117D722001M06 </w:t>
            </w:r>
            <w:r w:rsidR="002F1A42" w:rsidRPr="00407531">
              <w:rPr>
                <w:rFonts w:eastAsia="Times New Roman" w:cstheme="minorHAnsi"/>
                <w:color w:val="000000"/>
                <w:sz w:val="18"/>
                <w:szCs w:val="18"/>
                <w:lang w:eastAsia="cs-CZ"/>
              </w:rPr>
              <w:br/>
            </w:r>
            <w:r w:rsidRPr="00407531">
              <w:rPr>
                <w:rFonts w:eastAsia="Times New Roman" w:cstheme="minorHAnsi"/>
                <w:color w:val="000000"/>
                <w:sz w:val="18"/>
                <w:szCs w:val="18"/>
                <w:lang w:eastAsia="cs-CZ"/>
              </w:rPr>
              <w:t>Marketingové aktivity v jižních Čechách</w:t>
            </w:r>
          </w:p>
        </w:tc>
        <w:tc>
          <w:tcPr>
            <w:tcW w:w="858" w:type="pct"/>
            <w:tcMar>
              <w:left w:w="17" w:type="dxa"/>
              <w:right w:w="17" w:type="dxa"/>
            </w:tcMar>
            <w:vAlign w:val="center"/>
          </w:tcPr>
          <w:p w14:paraId="503C232F" w14:textId="39CFB062" w:rsidR="004D288F" w:rsidRPr="00407531" w:rsidRDefault="004D288F" w:rsidP="0053735C">
            <w:pPr>
              <w:spacing w:after="0" w:line="240" w:lineRule="auto"/>
              <w:jc w:val="center"/>
              <w:rPr>
                <w:rFonts w:eastAsia="Times New Roman" w:cstheme="minorHAnsi"/>
                <w:color w:val="000000"/>
                <w:sz w:val="18"/>
                <w:szCs w:val="18"/>
                <w:lang w:eastAsia="cs-CZ"/>
              </w:rPr>
            </w:pPr>
            <w:r w:rsidRPr="00407531">
              <w:rPr>
                <w:rFonts w:eastAsia="Times New Roman" w:cstheme="minorHAnsi"/>
                <w:color w:val="000000"/>
                <w:sz w:val="18"/>
                <w:szCs w:val="18"/>
                <w:lang w:eastAsia="cs-CZ"/>
              </w:rPr>
              <w:t>Jihočeská centrála cestovního ruchu</w:t>
            </w:r>
          </w:p>
        </w:tc>
        <w:tc>
          <w:tcPr>
            <w:tcW w:w="626" w:type="pct"/>
            <w:tcMar>
              <w:left w:w="17" w:type="dxa"/>
              <w:right w:w="17" w:type="dxa"/>
            </w:tcMar>
            <w:vAlign w:val="center"/>
          </w:tcPr>
          <w:p w14:paraId="2E1EABF3" w14:textId="528B847E" w:rsidR="004D288F" w:rsidRPr="00407531" w:rsidRDefault="002F1A42" w:rsidP="0053735C">
            <w:pPr>
              <w:spacing w:after="0" w:line="240" w:lineRule="auto"/>
              <w:jc w:val="center"/>
              <w:rPr>
                <w:rFonts w:eastAsia="Times New Roman" w:cstheme="minorHAnsi"/>
                <w:color w:val="000000"/>
                <w:sz w:val="18"/>
                <w:szCs w:val="18"/>
                <w:lang w:eastAsia="cs-CZ"/>
              </w:rPr>
            </w:pPr>
            <w:r w:rsidRPr="00407531">
              <w:rPr>
                <w:rFonts w:cstheme="minorHAnsi"/>
                <w:sz w:val="18"/>
                <w:szCs w:val="18"/>
              </w:rPr>
              <w:t>1 292 711,00</w:t>
            </w:r>
          </w:p>
        </w:tc>
        <w:tc>
          <w:tcPr>
            <w:tcW w:w="468" w:type="pct"/>
            <w:shd w:val="clear" w:color="auto" w:fill="A8D08D" w:themeFill="accent6" w:themeFillTint="99"/>
            <w:tcMar>
              <w:left w:w="17" w:type="dxa"/>
              <w:right w:w="17" w:type="dxa"/>
            </w:tcMar>
            <w:vAlign w:val="center"/>
          </w:tcPr>
          <w:p w14:paraId="69B75600" w14:textId="35476B8D" w:rsidR="004D288F" w:rsidRPr="00407531" w:rsidRDefault="004D288F" w:rsidP="0053735C">
            <w:pPr>
              <w:spacing w:after="0" w:line="240" w:lineRule="auto"/>
              <w:jc w:val="center"/>
              <w:rPr>
                <w:rFonts w:eastAsia="Times New Roman" w:cstheme="minorHAnsi"/>
                <w:b/>
                <w:color w:val="000000"/>
                <w:sz w:val="18"/>
                <w:szCs w:val="18"/>
                <w:lang w:eastAsia="cs-CZ"/>
              </w:rPr>
            </w:pPr>
            <w:r w:rsidRPr="00407531">
              <w:rPr>
                <w:rFonts w:eastAsia="Times New Roman" w:cstheme="minorHAnsi"/>
                <w:b/>
                <w:color w:val="000000"/>
                <w:sz w:val="18"/>
                <w:szCs w:val="18"/>
                <w:lang w:eastAsia="cs-CZ"/>
              </w:rPr>
              <w:t>2</w:t>
            </w:r>
          </w:p>
        </w:tc>
        <w:tc>
          <w:tcPr>
            <w:tcW w:w="626" w:type="pct"/>
            <w:shd w:val="clear" w:color="auto" w:fill="538135" w:themeFill="accent6" w:themeFillShade="BF"/>
            <w:tcMar>
              <w:left w:w="17" w:type="dxa"/>
              <w:right w:w="17" w:type="dxa"/>
            </w:tcMar>
            <w:vAlign w:val="center"/>
          </w:tcPr>
          <w:p w14:paraId="396B3E34" w14:textId="0FF5D57F" w:rsidR="004D288F" w:rsidRPr="00407531" w:rsidRDefault="004D288F" w:rsidP="0053735C">
            <w:pPr>
              <w:spacing w:after="0" w:line="240" w:lineRule="auto"/>
              <w:jc w:val="center"/>
              <w:rPr>
                <w:rFonts w:eastAsia="Times New Roman" w:cstheme="minorHAnsi"/>
                <w:b/>
                <w:color w:val="000000"/>
                <w:sz w:val="18"/>
                <w:szCs w:val="18"/>
                <w:lang w:eastAsia="cs-CZ"/>
              </w:rPr>
            </w:pPr>
            <w:r w:rsidRPr="00407531">
              <w:rPr>
                <w:rFonts w:eastAsia="Times New Roman" w:cstheme="minorHAnsi"/>
                <w:b/>
                <w:color w:val="000000"/>
                <w:sz w:val="18"/>
                <w:szCs w:val="18"/>
                <w:lang w:eastAsia="cs-CZ"/>
              </w:rPr>
              <w:t>1</w:t>
            </w:r>
          </w:p>
        </w:tc>
      </w:tr>
      <w:bookmarkEnd w:id="23"/>
      <w:tr w:rsidR="004D288F" w:rsidRPr="00407531" w14:paraId="14315339" w14:textId="77777777" w:rsidTr="00FE6ADF">
        <w:trPr>
          <w:trHeight w:val="227"/>
          <w:jc w:val="center"/>
        </w:trPr>
        <w:tc>
          <w:tcPr>
            <w:tcW w:w="2421" w:type="pct"/>
            <w:gridSpan w:val="2"/>
            <w:shd w:val="clear" w:color="auto" w:fill="F2C6C9"/>
            <w:tcMar>
              <w:left w:w="17" w:type="dxa"/>
              <w:right w:w="17" w:type="dxa"/>
            </w:tcMar>
            <w:vAlign w:val="center"/>
          </w:tcPr>
          <w:p w14:paraId="28A336AC" w14:textId="7878DCE6" w:rsidR="004D288F" w:rsidRPr="00407531" w:rsidRDefault="004D288F" w:rsidP="0053735C">
            <w:pPr>
              <w:spacing w:after="0" w:line="240" w:lineRule="auto"/>
              <w:rPr>
                <w:rFonts w:eastAsia="Times New Roman" w:cstheme="minorHAnsi"/>
                <w:b/>
                <w:color w:val="000000"/>
                <w:sz w:val="18"/>
                <w:szCs w:val="18"/>
                <w:lang w:eastAsia="cs-CZ"/>
              </w:rPr>
            </w:pPr>
            <w:r w:rsidRPr="00407531">
              <w:rPr>
                <w:rFonts w:eastAsia="Times New Roman" w:cstheme="minorHAnsi"/>
                <w:b/>
                <w:color w:val="000000"/>
                <w:sz w:val="18"/>
                <w:szCs w:val="18"/>
                <w:lang w:eastAsia="cs-CZ"/>
              </w:rPr>
              <w:t>Celkem Marketing</w:t>
            </w:r>
          </w:p>
        </w:tc>
        <w:tc>
          <w:tcPr>
            <w:tcW w:w="1485" w:type="pct"/>
            <w:gridSpan w:val="2"/>
            <w:shd w:val="clear" w:color="auto" w:fill="F2C6C9"/>
            <w:tcMar>
              <w:left w:w="17" w:type="dxa"/>
              <w:right w:w="17" w:type="dxa"/>
            </w:tcMar>
            <w:vAlign w:val="center"/>
          </w:tcPr>
          <w:p w14:paraId="18751DCF" w14:textId="58A34E69" w:rsidR="004D288F" w:rsidRPr="00407531" w:rsidRDefault="00933060" w:rsidP="00D300B9">
            <w:pPr>
              <w:spacing w:after="0" w:line="240" w:lineRule="auto"/>
              <w:jc w:val="right"/>
              <w:rPr>
                <w:rFonts w:cstheme="minorHAnsi"/>
                <w:b/>
                <w:color w:val="000000"/>
                <w:sz w:val="18"/>
                <w:szCs w:val="18"/>
              </w:rPr>
            </w:pPr>
            <w:r w:rsidRPr="00407531">
              <w:rPr>
                <w:rFonts w:cstheme="minorHAnsi"/>
                <w:b/>
                <w:sz w:val="18"/>
                <w:szCs w:val="18"/>
              </w:rPr>
              <w:t>8 441 168,95</w:t>
            </w:r>
            <w:r w:rsidR="00D300B9" w:rsidRPr="00407531">
              <w:rPr>
                <w:rFonts w:cstheme="minorHAnsi"/>
                <w:b/>
                <w:sz w:val="18"/>
                <w:szCs w:val="18"/>
              </w:rPr>
              <w:t xml:space="preserve"> Kč</w:t>
            </w:r>
            <w:r w:rsidRPr="00407531">
              <w:rPr>
                <w:rFonts w:cstheme="minorHAnsi"/>
                <w:b/>
                <w:color w:val="000000"/>
                <w:sz w:val="18"/>
                <w:szCs w:val="18"/>
              </w:rPr>
              <w:t xml:space="preserve">    </w:t>
            </w:r>
          </w:p>
        </w:tc>
        <w:tc>
          <w:tcPr>
            <w:tcW w:w="468" w:type="pct"/>
            <w:shd w:val="clear" w:color="auto" w:fill="F2C6C9"/>
            <w:tcMar>
              <w:left w:w="17" w:type="dxa"/>
              <w:right w:w="17" w:type="dxa"/>
            </w:tcMar>
            <w:vAlign w:val="center"/>
          </w:tcPr>
          <w:p w14:paraId="60053FF3" w14:textId="20C9E867" w:rsidR="004D288F" w:rsidRPr="00407531" w:rsidRDefault="004D288F" w:rsidP="0053735C">
            <w:pPr>
              <w:spacing w:after="0" w:line="240" w:lineRule="auto"/>
              <w:jc w:val="center"/>
              <w:rPr>
                <w:rFonts w:eastAsia="Times New Roman" w:cstheme="minorHAnsi"/>
                <w:b/>
                <w:color w:val="000000"/>
                <w:sz w:val="18"/>
                <w:szCs w:val="18"/>
                <w:lang w:eastAsia="cs-CZ"/>
              </w:rPr>
            </w:pPr>
          </w:p>
        </w:tc>
        <w:tc>
          <w:tcPr>
            <w:tcW w:w="626" w:type="pct"/>
            <w:shd w:val="clear" w:color="auto" w:fill="F2C6C9"/>
            <w:tcMar>
              <w:left w:w="17" w:type="dxa"/>
              <w:right w:w="17" w:type="dxa"/>
            </w:tcMar>
            <w:vAlign w:val="center"/>
          </w:tcPr>
          <w:p w14:paraId="44733E7E" w14:textId="7CE571DC" w:rsidR="004D288F" w:rsidRPr="00407531" w:rsidRDefault="004D288F" w:rsidP="0053735C">
            <w:pPr>
              <w:spacing w:after="0" w:line="240" w:lineRule="auto"/>
              <w:jc w:val="center"/>
              <w:rPr>
                <w:rFonts w:eastAsia="Times New Roman" w:cstheme="minorHAnsi"/>
                <w:b/>
                <w:color w:val="000000"/>
                <w:sz w:val="18"/>
                <w:szCs w:val="18"/>
                <w:lang w:eastAsia="cs-CZ"/>
              </w:rPr>
            </w:pPr>
          </w:p>
        </w:tc>
      </w:tr>
    </w:tbl>
    <w:bookmarkEnd w:id="22"/>
    <w:p w14:paraId="7C150F2E" w14:textId="115EF9B2" w:rsidR="00F31777" w:rsidRPr="00407531" w:rsidRDefault="00F31777" w:rsidP="00EC22FD">
      <w:pPr>
        <w:tabs>
          <w:tab w:val="left" w:pos="993"/>
        </w:tabs>
        <w:spacing w:before="60" w:after="60" w:line="240" w:lineRule="auto"/>
        <w:rPr>
          <w:rFonts w:cstheme="minorHAnsi"/>
          <w:b/>
          <w:sz w:val="18"/>
          <w:szCs w:val="18"/>
        </w:rPr>
      </w:pPr>
      <w:r w:rsidRPr="00407531">
        <w:rPr>
          <w:rFonts w:cstheme="minorHAnsi"/>
          <w:b/>
          <w:sz w:val="18"/>
          <w:szCs w:val="18"/>
        </w:rPr>
        <w:t>Stupně hodnocení:</w:t>
      </w:r>
    </w:p>
    <w:tbl>
      <w:tblPr>
        <w:tblStyle w:val="Mkatabulky2"/>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421"/>
        <w:gridCol w:w="8641"/>
      </w:tblGrid>
      <w:tr w:rsidR="00F31777" w:rsidRPr="00407531" w14:paraId="1F921997" w14:textId="77777777" w:rsidTr="00060682">
        <w:trPr>
          <w:trHeight w:val="111"/>
        </w:trPr>
        <w:tc>
          <w:tcPr>
            <w:tcW w:w="421" w:type="dxa"/>
            <w:shd w:val="clear" w:color="auto" w:fill="538135" w:themeFill="accent6" w:themeFillShade="BF"/>
            <w:vAlign w:val="center"/>
          </w:tcPr>
          <w:p w14:paraId="4EF44A20" w14:textId="77777777" w:rsidR="00F31777" w:rsidRPr="00407531" w:rsidRDefault="00F31777" w:rsidP="00A2429A">
            <w:pPr>
              <w:tabs>
                <w:tab w:val="left" w:pos="993"/>
              </w:tabs>
              <w:ind w:right="-103"/>
              <w:rPr>
                <w:rFonts w:ascii="Calibri" w:hAnsi="Calibri" w:cs="Calibri"/>
                <w:b/>
                <w:color w:val="000000" w:themeColor="text1"/>
                <w:sz w:val="20"/>
                <w:szCs w:val="20"/>
              </w:rPr>
            </w:pPr>
            <w:r w:rsidRPr="00407531">
              <w:rPr>
                <w:rFonts w:ascii="Calibri" w:hAnsi="Calibri" w:cs="Calibri"/>
                <w:b/>
                <w:color w:val="000000" w:themeColor="text1"/>
                <w:sz w:val="20"/>
                <w:szCs w:val="20"/>
              </w:rPr>
              <w:t>1</w:t>
            </w:r>
          </w:p>
        </w:tc>
        <w:tc>
          <w:tcPr>
            <w:tcW w:w="8641" w:type="dxa"/>
            <w:vAlign w:val="center"/>
          </w:tcPr>
          <w:p w14:paraId="0CCC958E" w14:textId="6DC11DED" w:rsidR="00F31777" w:rsidRPr="00407531" w:rsidRDefault="00F31777" w:rsidP="00A2429A">
            <w:pPr>
              <w:tabs>
                <w:tab w:val="left" w:pos="993"/>
              </w:tabs>
              <w:rPr>
                <w:rFonts w:ascii="Calibri" w:hAnsi="Calibri" w:cs="Calibri"/>
                <w:b/>
                <w:sz w:val="20"/>
                <w:szCs w:val="20"/>
              </w:rPr>
            </w:pPr>
            <w:r w:rsidRPr="00407531">
              <w:rPr>
                <w:rFonts w:ascii="Calibri" w:hAnsi="Calibri" w:cs="Calibri"/>
                <w:sz w:val="20"/>
                <w:szCs w:val="20"/>
              </w:rPr>
              <w:t xml:space="preserve">Projekt je účelný, resp. </w:t>
            </w:r>
            <w:r w:rsidR="00F903A0">
              <w:rPr>
                <w:rFonts w:ascii="Calibri" w:hAnsi="Calibri" w:cs="Calibri"/>
                <w:sz w:val="20"/>
                <w:szCs w:val="20"/>
              </w:rPr>
              <w:t>hospodárný</w:t>
            </w:r>
            <w:r w:rsidRPr="00407531">
              <w:rPr>
                <w:rFonts w:ascii="Calibri" w:hAnsi="Calibri" w:cs="Calibri"/>
                <w:sz w:val="20"/>
                <w:szCs w:val="20"/>
              </w:rPr>
              <w:t>.</w:t>
            </w:r>
          </w:p>
        </w:tc>
      </w:tr>
      <w:tr w:rsidR="00F31777" w:rsidRPr="00407531" w14:paraId="0E4DF13A" w14:textId="77777777" w:rsidTr="00060682">
        <w:trPr>
          <w:trHeight w:val="142"/>
        </w:trPr>
        <w:tc>
          <w:tcPr>
            <w:tcW w:w="421" w:type="dxa"/>
            <w:shd w:val="clear" w:color="auto" w:fill="A8D08D" w:themeFill="accent6" w:themeFillTint="99"/>
            <w:vAlign w:val="center"/>
          </w:tcPr>
          <w:p w14:paraId="42EC87C1" w14:textId="77777777" w:rsidR="00F31777" w:rsidRPr="00407531" w:rsidRDefault="00F31777" w:rsidP="00A2429A">
            <w:pPr>
              <w:tabs>
                <w:tab w:val="left" w:pos="993"/>
              </w:tabs>
              <w:ind w:right="-103"/>
              <w:rPr>
                <w:rFonts w:ascii="Calibri" w:hAnsi="Calibri" w:cs="Calibri"/>
                <w:b/>
                <w:color w:val="000000" w:themeColor="text1"/>
                <w:sz w:val="20"/>
                <w:szCs w:val="20"/>
              </w:rPr>
            </w:pPr>
            <w:r w:rsidRPr="00407531">
              <w:rPr>
                <w:rFonts w:ascii="Calibri" w:hAnsi="Calibri" w:cs="Calibri"/>
                <w:b/>
                <w:color w:val="000000" w:themeColor="text1"/>
                <w:sz w:val="20"/>
                <w:szCs w:val="20"/>
              </w:rPr>
              <w:t>2</w:t>
            </w:r>
          </w:p>
        </w:tc>
        <w:tc>
          <w:tcPr>
            <w:tcW w:w="8641" w:type="dxa"/>
            <w:vAlign w:val="center"/>
          </w:tcPr>
          <w:p w14:paraId="0720BF0C" w14:textId="61EF29FD" w:rsidR="00F31777" w:rsidRPr="00407531" w:rsidRDefault="00F31777" w:rsidP="00A2429A">
            <w:pPr>
              <w:tabs>
                <w:tab w:val="left" w:pos="993"/>
              </w:tabs>
              <w:rPr>
                <w:rFonts w:ascii="Calibri" w:hAnsi="Calibri" w:cs="Calibri"/>
                <w:b/>
                <w:sz w:val="20"/>
                <w:szCs w:val="20"/>
              </w:rPr>
            </w:pPr>
            <w:r w:rsidRPr="00407531">
              <w:rPr>
                <w:rFonts w:ascii="Calibri" w:hAnsi="Calibri" w:cs="Calibri"/>
                <w:sz w:val="20"/>
                <w:szCs w:val="20"/>
              </w:rPr>
              <w:t xml:space="preserve">Projekt je účelný, resp. </w:t>
            </w:r>
            <w:r w:rsidR="00F903A0">
              <w:rPr>
                <w:rFonts w:ascii="Calibri" w:hAnsi="Calibri" w:cs="Calibri"/>
                <w:sz w:val="20"/>
                <w:szCs w:val="20"/>
              </w:rPr>
              <w:t>hospodárný</w:t>
            </w:r>
            <w:r w:rsidR="002948EA">
              <w:rPr>
                <w:rFonts w:ascii="Calibri" w:hAnsi="Calibri" w:cs="Calibri"/>
                <w:sz w:val="20"/>
                <w:szCs w:val="20"/>
              </w:rPr>
              <w:t>,</w:t>
            </w:r>
            <w:r w:rsidR="00F903A0" w:rsidRPr="00407531">
              <w:rPr>
                <w:rFonts w:ascii="Calibri" w:hAnsi="Calibri" w:cs="Calibri"/>
                <w:sz w:val="20"/>
                <w:szCs w:val="20"/>
              </w:rPr>
              <w:t xml:space="preserve"> </w:t>
            </w:r>
            <w:r w:rsidRPr="00407531">
              <w:rPr>
                <w:rFonts w:ascii="Calibri" w:hAnsi="Calibri" w:cs="Calibri"/>
                <w:sz w:val="20"/>
                <w:szCs w:val="20"/>
              </w:rPr>
              <w:t>s</w:t>
            </w:r>
            <w:r w:rsidR="0053043D" w:rsidRPr="00407531">
              <w:rPr>
                <w:rFonts w:ascii="Calibri" w:hAnsi="Calibri" w:cs="Calibri"/>
                <w:sz w:val="20"/>
                <w:szCs w:val="20"/>
              </w:rPr>
              <w:t> </w:t>
            </w:r>
            <w:r w:rsidRPr="00407531">
              <w:rPr>
                <w:rFonts w:ascii="Calibri" w:hAnsi="Calibri" w:cs="Calibri"/>
                <w:sz w:val="20"/>
                <w:szCs w:val="20"/>
              </w:rPr>
              <w:t>mírnými nedostatky.</w:t>
            </w:r>
          </w:p>
        </w:tc>
      </w:tr>
      <w:tr w:rsidR="00F31777" w:rsidRPr="00407531" w14:paraId="6E8800B5" w14:textId="77777777" w:rsidTr="00060682">
        <w:trPr>
          <w:trHeight w:val="56"/>
        </w:trPr>
        <w:tc>
          <w:tcPr>
            <w:tcW w:w="421" w:type="dxa"/>
            <w:shd w:val="clear" w:color="auto" w:fill="FFFF00"/>
            <w:vAlign w:val="center"/>
          </w:tcPr>
          <w:p w14:paraId="5F2BE495" w14:textId="77777777" w:rsidR="00F31777" w:rsidRPr="00407531" w:rsidRDefault="00F31777" w:rsidP="00A2429A">
            <w:pPr>
              <w:tabs>
                <w:tab w:val="left" w:pos="993"/>
              </w:tabs>
              <w:ind w:right="-103"/>
              <w:rPr>
                <w:rFonts w:ascii="Calibri" w:hAnsi="Calibri" w:cs="Calibri"/>
                <w:b/>
                <w:color w:val="000000" w:themeColor="text1"/>
                <w:sz w:val="20"/>
                <w:szCs w:val="20"/>
              </w:rPr>
            </w:pPr>
            <w:r w:rsidRPr="00407531">
              <w:rPr>
                <w:rFonts w:ascii="Calibri" w:hAnsi="Calibri" w:cs="Calibri"/>
                <w:b/>
                <w:color w:val="000000" w:themeColor="text1"/>
                <w:sz w:val="20"/>
                <w:szCs w:val="20"/>
              </w:rPr>
              <w:t>3</w:t>
            </w:r>
          </w:p>
        </w:tc>
        <w:tc>
          <w:tcPr>
            <w:tcW w:w="8641" w:type="dxa"/>
            <w:vAlign w:val="center"/>
          </w:tcPr>
          <w:p w14:paraId="31ED0FE8" w14:textId="2F2ACAFE" w:rsidR="00F31777" w:rsidRPr="00407531" w:rsidRDefault="00F31777" w:rsidP="00A2429A">
            <w:pPr>
              <w:tabs>
                <w:tab w:val="left" w:pos="993"/>
              </w:tabs>
              <w:rPr>
                <w:rFonts w:ascii="Calibri" w:hAnsi="Calibri" w:cs="Calibri"/>
                <w:b/>
                <w:sz w:val="20"/>
                <w:szCs w:val="20"/>
              </w:rPr>
            </w:pPr>
            <w:r w:rsidRPr="00407531">
              <w:rPr>
                <w:rFonts w:ascii="Calibri" w:hAnsi="Calibri" w:cs="Calibri"/>
                <w:sz w:val="20"/>
                <w:szCs w:val="20"/>
              </w:rPr>
              <w:t xml:space="preserve">Projekt je účelný, resp. </w:t>
            </w:r>
            <w:r w:rsidR="00F903A0">
              <w:rPr>
                <w:rFonts w:ascii="Calibri" w:hAnsi="Calibri" w:cs="Calibri"/>
                <w:sz w:val="20"/>
                <w:szCs w:val="20"/>
              </w:rPr>
              <w:t>hospodárný</w:t>
            </w:r>
            <w:r w:rsidR="002948EA">
              <w:rPr>
                <w:rFonts w:ascii="Calibri" w:hAnsi="Calibri" w:cs="Calibri"/>
                <w:sz w:val="20"/>
                <w:szCs w:val="20"/>
              </w:rPr>
              <w:t>,</w:t>
            </w:r>
            <w:r w:rsidR="00F903A0" w:rsidRPr="00407531">
              <w:rPr>
                <w:rFonts w:ascii="Calibri" w:hAnsi="Calibri" w:cs="Calibri"/>
                <w:sz w:val="20"/>
                <w:szCs w:val="20"/>
              </w:rPr>
              <w:t xml:space="preserve"> </w:t>
            </w:r>
            <w:r w:rsidRPr="00407531">
              <w:rPr>
                <w:rFonts w:ascii="Calibri" w:hAnsi="Calibri" w:cs="Calibri"/>
                <w:sz w:val="20"/>
                <w:szCs w:val="20"/>
              </w:rPr>
              <w:t>omezeně.</w:t>
            </w:r>
          </w:p>
        </w:tc>
      </w:tr>
      <w:tr w:rsidR="00F31777" w:rsidRPr="00407531" w14:paraId="0A7D0CC0" w14:textId="77777777" w:rsidTr="00060682">
        <w:trPr>
          <w:trHeight w:val="255"/>
        </w:trPr>
        <w:tc>
          <w:tcPr>
            <w:tcW w:w="421" w:type="dxa"/>
            <w:shd w:val="clear" w:color="auto" w:fill="FF0000"/>
            <w:vAlign w:val="center"/>
          </w:tcPr>
          <w:p w14:paraId="72902041" w14:textId="77777777" w:rsidR="00F31777" w:rsidRPr="00407531" w:rsidRDefault="00F31777" w:rsidP="00A2429A">
            <w:pPr>
              <w:tabs>
                <w:tab w:val="left" w:pos="993"/>
              </w:tabs>
              <w:ind w:right="-103"/>
              <w:rPr>
                <w:rFonts w:ascii="Calibri" w:hAnsi="Calibri" w:cs="Calibri"/>
                <w:b/>
                <w:color w:val="000000" w:themeColor="text1"/>
                <w:sz w:val="20"/>
                <w:szCs w:val="20"/>
              </w:rPr>
            </w:pPr>
            <w:r w:rsidRPr="00407531">
              <w:rPr>
                <w:rFonts w:ascii="Calibri" w:hAnsi="Calibri" w:cs="Calibri"/>
                <w:b/>
                <w:color w:val="000000" w:themeColor="text1"/>
                <w:sz w:val="20"/>
                <w:szCs w:val="20"/>
              </w:rPr>
              <w:t>4</w:t>
            </w:r>
          </w:p>
        </w:tc>
        <w:tc>
          <w:tcPr>
            <w:tcW w:w="8641" w:type="dxa"/>
            <w:vAlign w:val="center"/>
          </w:tcPr>
          <w:p w14:paraId="1E324B3C" w14:textId="0A1BF636" w:rsidR="00F31777" w:rsidRPr="00407531" w:rsidRDefault="00F31777" w:rsidP="00A2429A">
            <w:pPr>
              <w:tabs>
                <w:tab w:val="left" w:pos="993"/>
              </w:tabs>
              <w:rPr>
                <w:rFonts w:ascii="Calibri" w:hAnsi="Calibri" w:cs="Calibri"/>
                <w:b/>
                <w:sz w:val="20"/>
                <w:szCs w:val="20"/>
              </w:rPr>
            </w:pPr>
            <w:r w:rsidRPr="00407531">
              <w:rPr>
                <w:rFonts w:ascii="Calibri" w:hAnsi="Calibri" w:cs="Calibri"/>
                <w:sz w:val="20"/>
                <w:szCs w:val="20"/>
              </w:rPr>
              <w:t>Projekt je neúčelný, resp. ne</w:t>
            </w:r>
            <w:r w:rsidR="00F903A0">
              <w:rPr>
                <w:rFonts w:ascii="Calibri" w:hAnsi="Calibri" w:cs="Calibri"/>
                <w:sz w:val="20"/>
                <w:szCs w:val="20"/>
              </w:rPr>
              <w:t>hospodárný</w:t>
            </w:r>
            <w:r w:rsidRPr="00407531">
              <w:rPr>
                <w:rFonts w:ascii="Calibri" w:hAnsi="Calibri" w:cs="Calibri"/>
                <w:sz w:val="20"/>
                <w:szCs w:val="20"/>
              </w:rPr>
              <w:t>.</w:t>
            </w:r>
          </w:p>
        </w:tc>
      </w:tr>
      <w:tr w:rsidR="0053043D" w:rsidRPr="00407531" w14:paraId="09CF1757" w14:textId="77777777" w:rsidTr="00060682">
        <w:trPr>
          <w:trHeight w:val="56"/>
        </w:trPr>
        <w:tc>
          <w:tcPr>
            <w:tcW w:w="421" w:type="dxa"/>
            <w:shd w:val="clear" w:color="auto" w:fill="C9C9C9" w:themeFill="accent3" w:themeFillTint="99"/>
            <w:vAlign w:val="center"/>
          </w:tcPr>
          <w:p w14:paraId="057D5FB1" w14:textId="68BF1C5A" w:rsidR="0053043D" w:rsidRPr="00407531" w:rsidRDefault="0053043D" w:rsidP="00A2429A">
            <w:pPr>
              <w:tabs>
                <w:tab w:val="left" w:pos="993"/>
              </w:tabs>
              <w:ind w:right="-103"/>
              <w:rPr>
                <w:rFonts w:ascii="Calibri" w:hAnsi="Calibri" w:cs="Calibri"/>
                <w:b/>
                <w:color w:val="000000" w:themeColor="text1"/>
                <w:sz w:val="20"/>
                <w:szCs w:val="20"/>
              </w:rPr>
            </w:pPr>
            <w:r w:rsidRPr="00407531">
              <w:rPr>
                <w:rFonts w:ascii="Calibri" w:hAnsi="Calibri" w:cs="Calibri"/>
                <w:b/>
                <w:color w:val="000000" w:themeColor="text1"/>
                <w:sz w:val="20"/>
                <w:szCs w:val="20"/>
              </w:rPr>
              <w:t>X</w:t>
            </w:r>
          </w:p>
        </w:tc>
        <w:tc>
          <w:tcPr>
            <w:tcW w:w="8641" w:type="dxa"/>
            <w:vAlign w:val="center"/>
          </w:tcPr>
          <w:p w14:paraId="35CCB882" w14:textId="05613D80" w:rsidR="0053043D" w:rsidRPr="00407531" w:rsidRDefault="0053043D" w:rsidP="00A2429A">
            <w:pPr>
              <w:tabs>
                <w:tab w:val="left" w:pos="993"/>
              </w:tabs>
              <w:rPr>
                <w:rFonts w:ascii="Calibri" w:hAnsi="Calibri" w:cs="Calibri"/>
                <w:sz w:val="20"/>
                <w:szCs w:val="20"/>
              </w:rPr>
            </w:pPr>
            <w:r w:rsidRPr="00407531">
              <w:rPr>
                <w:rFonts w:ascii="Calibri" w:hAnsi="Calibri" w:cs="Calibri"/>
                <w:sz w:val="20"/>
                <w:szCs w:val="20"/>
              </w:rPr>
              <w:t>Projekt nebyl hodnocen</w:t>
            </w:r>
          </w:p>
        </w:tc>
      </w:tr>
    </w:tbl>
    <w:p w14:paraId="5D4DAA18" w14:textId="61F27731" w:rsidR="00F31777" w:rsidRPr="00654B54" w:rsidRDefault="00F31777" w:rsidP="00060682">
      <w:pPr>
        <w:spacing w:after="120" w:line="240" w:lineRule="auto"/>
        <w:jc w:val="right"/>
        <w:rPr>
          <w:rFonts w:ascii="Calibri" w:hAnsi="Calibri" w:cs="Calibri"/>
          <w:b/>
          <w:sz w:val="24"/>
          <w:szCs w:val="24"/>
        </w:rPr>
      </w:pPr>
      <w:r w:rsidRPr="00654B54">
        <w:rPr>
          <w:rFonts w:ascii="Calibri" w:hAnsi="Calibri" w:cs="Calibri"/>
          <w:b/>
          <w:sz w:val="24"/>
          <w:szCs w:val="24"/>
        </w:rPr>
        <w:t xml:space="preserve">Příloha č. </w:t>
      </w:r>
      <w:r w:rsidR="001E6613">
        <w:rPr>
          <w:rFonts w:ascii="Calibri" w:hAnsi="Calibri" w:cs="Calibri"/>
          <w:b/>
          <w:sz w:val="24"/>
          <w:szCs w:val="24"/>
        </w:rPr>
        <w:t>3</w:t>
      </w:r>
    </w:p>
    <w:p w14:paraId="078331F0" w14:textId="27DE936B" w:rsidR="00F31777" w:rsidRPr="00F31777" w:rsidRDefault="00F31777" w:rsidP="00FA6A2A">
      <w:pPr>
        <w:spacing w:after="240" w:line="240" w:lineRule="auto"/>
        <w:jc w:val="center"/>
        <w:rPr>
          <w:rFonts w:cstheme="minorHAnsi"/>
          <w:b/>
          <w:sz w:val="24"/>
        </w:rPr>
      </w:pPr>
      <w:r w:rsidRPr="00F31777">
        <w:rPr>
          <w:rFonts w:cstheme="minorHAnsi"/>
          <w:b/>
          <w:sz w:val="24"/>
        </w:rPr>
        <w:t>Kritéria hodnocení účelnosti a</w:t>
      </w:r>
      <w:r w:rsidR="00836C37">
        <w:rPr>
          <w:rFonts w:cstheme="minorHAnsi"/>
          <w:b/>
          <w:sz w:val="24"/>
        </w:rPr>
        <w:t> </w:t>
      </w:r>
      <w:r w:rsidR="00C87B0B">
        <w:rPr>
          <w:rFonts w:cstheme="minorHAnsi"/>
          <w:b/>
          <w:sz w:val="24"/>
        </w:rPr>
        <w:t>hospodárnosti</w:t>
      </w:r>
      <w:r w:rsidRPr="00F31777">
        <w:rPr>
          <w:rFonts w:cstheme="minorHAnsi"/>
          <w:b/>
          <w:sz w:val="24"/>
        </w:rPr>
        <w:t xml:space="preserve"> projektů </w:t>
      </w:r>
      <w:r w:rsidR="00C87B0B">
        <w:rPr>
          <w:rFonts w:cstheme="minorHAnsi"/>
          <w:b/>
          <w:sz w:val="24"/>
        </w:rPr>
        <w:t>NPPCRR</w:t>
      </w:r>
    </w:p>
    <w:p w14:paraId="4F1F8826" w14:textId="007B819D" w:rsidR="00F31777" w:rsidRPr="005E1A2B" w:rsidRDefault="00654B54" w:rsidP="00E2694C">
      <w:pPr>
        <w:spacing w:after="120" w:line="240" w:lineRule="auto"/>
        <w:jc w:val="both"/>
        <w:rPr>
          <w:rFonts w:ascii="Calibri" w:hAnsi="Calibri" w:cs="Calibri"/>
          <w:b/>
        </w:rPr>
      </w:pPr>
      <w:r w:rsidRPr="005E1A2B">
        <w:rPr>
          <w:rFonts w:ascii="Calibri" w:hAnsi="Calibri" w:cs="Calibri"/>
          <w:b/>
        </w:rPr>
        <w:t xml:space="preserve">1. </w:t>
      </w:r>
      <w:r w:rsidR="00F31777" w:rsidRPr="005E1A2B">
        <w:rPr>
          <w:rFonts w:ascii="Calibri" w:hAnsi="Calibri" w:cs="Calibri"/>
          <w:b/>
        </w:rPr>
        <w:t>Vyhodnocení účelnosti</w:t>
      </w:r>
    </w:p>
    <w:p w14:paraId="1D28205B" w14:textId="2615CDFB" w:rsidR="006621FE" w:rsidRDefault="006621FE" w:rsidP="00036C5A">
      <w:pPr>
        <w:keepNext/>
        <w:spacing w:after="60" w:line="240" w:lineRule="auto"/>
        <w:jc w:val="both"/>
        <w:rPr>
          <w:rFonts w:cstheme="minorHAnsi"/>
          <w:b/>
          <w:sz w:val="20"/>
          <w:szCs w:val="20"/>
        </w:rPr>
      </w:pPr>
      <w:r w:rsidRPr="0085555C">
        <w:rPr>
          <w:rFonts w:cstheme="minorHAnsi"/>
          <w:b/>
          <w:sz w:val="20"/>
          <w:szCs w:val="20"/>
        </w:rPr>
        <w:t>Vynaložené prostředky jsou účelné</w:t>
      </w:r>
    </w:p>
    <w:p w14:paraId="522DCA07" w14:textId="66066D74" w:rsidR="006621FE" w:rsidRPr="0085555C" w:rsidRDefault="006621FE" w:rsidP="00036C5A">
      <w:pPr>
        <w:spacing w:after="60" w:line="240" w:lineRule="auto"/>
        <w:jc w:val="both"/>
        <w:rPr>
          <w:rFonts w:cstheme="minorHAnsi"/>
          <w:sz w:val="20"/>
          <w:szCs w:val="20"/>
        </w:rPr>
      </w:pPr>
      <w:r w:rsidRPr="0085555C">
        <w:rPr>
          <w:rFonts w:cstheme="minorHAnsi"/>
          <w:sz w:val="20"/>
          <w:szCs w:val="20"/>
        </w:rPr>
        <w:t>Projekt byl řádně realizován a jeho realizací bylo dosaženo stanovených cílů a parametrů nebo existuje předpoklad, že je naplní. Cíle a parametry projektu jsou specifické a měřitelné a jejich plnění je možno ověřit, efekty projektu jsou udržitelné.</w:t>
      </w:r>
    </w:p>
    <w:p w14:paraId="0C138A3D" w14:textId="77777777" w:rsidR="006621FE" w:rsidRPr="0085555C" w:rsidRDefault="006621FE" w:rsidP="00036C5A">
      <w:pPr>
        <w:spacing w:after="60" w:line="240" w:lineRule="auto"/>
        <w:jc w:val="both"/>
        <w:rPr>
          <w:rFonts w:cstheme="minorHAnsi"/>
          <w:sz w:val="20"/>
          <w:szCs w:val="20"/>
        </w:rPr>
      </w:pPr>
      <w:r w:rsidRPr="0085555C">
        <w:rPr>
          <w:rFonts w:cstheme="minorHAnsi"/>
          <w:sz w:val="20"/>
          <w:szCs w:val="20"/>
        </w:rPr>
        <w:t>Byly naplněny všechny aktivity projektu, aktivity byly realizovány dle harmonogramu projektu a lze konstatovat očekávaný přínos projektu pro cílovou skupinu a pro plnění cílů podprogramu. Očekávaný přínos je možné pozorovat i po skončení realizace projektu (povinnost udržitelnosti).</w:t>
      </w:r>
      <w:r w:rsidRPr="0085555C">
        <w:rPr>
          <w:rFonts w:asciiTheme="majorHAnsi" w:hAnsiTheme="majorHAnsi" w:cstheme="majorHAnsi"/>
          <w:sz w:val="20"/>
          <w:szCs w:val="20"/>
        </w:rPr>
        <w:t xml:space="preserve"> </w:t>
      </w:r>
    </w:p>
    <w:p w14:paraId="3324BD44" w14:textId="1FA1E1F2" w:rsidR="006621FE" w:rsidRDefault="006621FE" w:rsidP="00036C5A">
      <w:pPr>
        <w:spacing w:after="60" w:line="240" w:lineRule="auto"/>
        <w:jc w:val="both"/>
        <w:rPr>
          <w:rFonts w:cstheme="minorHAnsi"/>
          <w:sz w:val="20"/>
          <w:szCs w:val="20"/>
        </w:rPr>
      </w:pPr>
      <w:r w:rsidRPr="0085555C">
        <w:rPr>
          <w:rFonts w:cstheme="minorHAnsi"/>
          <w:sz w:val="20"/>
          <w:szCs w:val="20"/>
        </w:rPr>
        <w:t>Standardně se jedná o dosažení 100 % stanovených cílů, parametrů a aktivit, nicméně je potřeba brát v úvahu relevantní důležitost stanoveného cíle, např. čtyři zásadní parametry splněny a jeden marginální parametr nesplněn lze vyhodnotit jako „</w:t>
      </w:r>
      <w:r w:rsidRPr="0085555C">
        <w:rPr>
          <w:rFonts w:cstheme="minorHAnsi"/>
          <w:i/>
          <w:sz w:val="20"/>
          <w:szCs w:val="20"/>
        </w:rPr>
        <w:t>projekt je účelný</w:t>
      </w:r>
      <w:r w:rsidRPr="0085555C">
        <w:rPr>
          <w:rFonts w:cstheme="minorHAnsi"/>
          <w:sz w:val="20"/>
          <w:szCs w:val="20"/>
        </w:rPr>
        <w:t>“</w:t>
      </w:r>
      <w:r w:rsidR="0025602D">
        <w:rPr>
          <w:rFonts w:cstheme="minorHAnsi"/>
          <w:sz w:val="20"/>
          <w:szCs w:val="20"/>
        </w:rPr>
        <w:t>,</w:t>
      </w:r>
      <w:r w:rsidRPr="0085555C">
        <w:rPr>
          <w:rFonts w:cstheme="minorHAnsi"/>
          <w:sz w:val="20"/>
          <w:szCs w:val="20"/>
        </w:rPr>
        <w:t xml:space="preserve"> resp. „</w:t>
      </w:r>
      <w:r w:rsidRPr="0085555C">
        <w:rPr>
          <w:rFonts w:cstheme="minorHAnsi"/>
          <w:i/>
          <w:sz w:val="20"/>
          <w:szCs w:val="20"/>
        </w:rPr>
        <w:t>všechny splněny</w:t>
      </w:r>
      <w:r w:rsidRPr="0085555C">
        <w:rPr>
          <w:rFonts w:cstheme="minorHAnsi"/>
          <w:sz w:val="20"/>
          <w:szCs w:val="20"/>
        </w:rPr>
        <w:t>“.</w:t>
      </w:r>
    </w:p>
    <w:p w14:paraId="2D8BE5FC" w14:textId="0CCA9D06" w:rsidR="006621FE" w:rsidRDefault="006621FE" w:rsidP="00036C5A">
      <w:pPr>
        <w:keepNext/>
        <w:spacing w:before="120" w:after="60" w:line="240" w:lineRule="auto"/>
        <w:jc w:val="both"/>
        <w:rPr>
          <w:rFonts w:cstheme="minorHAnsi"/>
          <w:b/>
          <w:sz w:val="20"/>
          <w:szCs w:val="20"/>
        </w:rPr>
      </w:pPr>
      <w:r w:rsidRPr="0085555C">
        <w:rPr>
          <w:rFonts w:cstheme="minorHAnsi"/>
          <w:b/>
          <w:sz w:val="20"/>
          <w:szCs w:val="20"/>
        </w:rPr>
        <w:t>Vynaložené prostředky jsou účelné s mírnými nedostatky</w:t>
      </w:r>
    </w:p>
    <w:p w14:paraId="49A7F4C4" w14:textId="77777777" w:rsidR="006621FE" w:rsidRPr="0085555C" w:rsidRDefault="006621FE" w:rsidP="00036C5A">
      <w:pPr>
        <w:spacing w:after="60" w:line="240" w:lineRule="auto"/>
        <w:jc w:val="both"/>
        <w:rPr>
          <w:rFonts w:cstheme="minorHAnsi"/>
          <w:sz w:val="20"/>
          <w:szCs w:val="20"/>
        </w:rPr>
      </w:pPr>
      <w:r w:rsidRPr="0085555C">
        <w:rPr>
          <w:rFonts w:cstheme="minorHAnsi"/>
          <w:sz w:val="20"/>
          <w:szCs w:val="20"/>
        </w:rPr>
        <w:t xml:space="preserve">Projekt byl správně realizován, neboť podporuje stanovené cílové skupiny a vedl (nebo má předpoklad vést) k plnění cílů podprogramu. Cíle a parametry projektu jsou z větší části specifické a měřitelné a jejich plnění lze ověřit, efekty jsou udržitelné.  </w:t>
      </w:r>
    </w:p>
    <w:p w14:paraId="4B65D660" w14:textId="375D7180" w:rsidR="006621FE" w:rsidRPr="0085555C" w:rsidRDefault="006621FE" w:rsidP="00036C5A">
      <w:pPr>
        <w:spacing w:after="60" w:line="240" w:lineRule="auto"/>
        <w:jc w:val="both"/>
        <w:rPr>
          <w:rFonts w:cstheme="minorHAnsi"/>
          <w:sz w:val="20"/>
          <w:szCs w:val="20"/>
        </w:rPr>
      </w:pPr>
      <w:r w:rsidRPr="0085555C">
        <w:rPr>
          <w:rFonts w:cstheme="minorHAnsi"/>
          <w:sz w:val="20"/>
          <w:szCs w:val="20"/>
        </w:rPr>
        <w:t>Cíle a parametry projektu byly z větší části splněny. Projekt např. splnil více než ¾ svých cílů/parametrů nebo je</w:t>
      </w:r>
      <w:r w:rsidR="00A9098C">
        <w:rPr>
          <w:rFonts w:cstheme="minorHAnsi"/>
          <w:sz w:val="20"/>
          <w:szCs w:val="20"/>
        </w:rPr>
        <w:t> </w:t>
      </w:r>
      <w:r w:rsidRPr="0085555C">
        <w:rPr>
          <w:rFonts w:cstheme="minorHAnsi"/>
          <w:sz w:val="20"/>
          <w:szCs w:val="20"/>
        </w:rPr>
        <w:t xml:space="preserve">předpoklad, že je naplní. Nesplnění některých cílů/parametrů nemá podstatný vliv na úspěšnost projektu. Očekávaný přínos (i přes některé drobné odchylky) je možné pozorovat i po skončení realizace projektu (povinnost udržitelnosti).  </w:t>
      </w:r>
    </w:p>
    <w:p w14:paraId="1CDDEC2E" w14:textId="77777777" w:rsidR="006621FE" w:rsidRPr="0085555C" w:rsidRDefault="006621FE" w:rsidP="00036C5A">
      <w:pPr>
        <w:spacing w:after="60" w:line="240" w:lineRule="auto"/>
        <w:jc w:val="both"/>
        <w:rPr>
          <w:rFonts w:cstheme="minorHAnsi"/>
          <w:sz w:val="20"/>
          <w:szCs w:val="20"/>
        </w:rPr>
      </w:pPr>
      <w:r w:rsidRPr="0085555C">
        <w:rPr>
          <w:rFonts w:cstheme="minorHAnsi"/>
          <w:sz w:val="20"/>
          <w:szCs w:val="20"/>
        </w:rPr>
        <w:t xml:space="preserve">Kontrolou byly zjištěny některé nepodstatné odchylky v dodržování podmínek stanovených v podprogramech, v nedoložení některých požadovaných dokladů nebo v dodržování harmonogramu. </w:t>
      </w:r>
    </w:p>
    <w:p w14:paraId="53F6A906" w14:textId="352AA8C3" w:rsidR="006621FE" w:rsidRDefault="006621FE" w:rsidP="00036C5A">
      <w:pPr>
        <w:spacing w:after="60" w:line="240" w:lineRule="auto"/>
        <w:jc w:val="both"/>
        <w:rPr>
          <w:rFonts w:cstheme="minorHAnsi"/>
          <w:sz w:val="20"/>
          <w:szCs w:val="20"/>
        </w:rPr>
      </w:pPr>
      <w:r w:rsidRPr="0085555C">
        <w:rPr>
          <w:rFonts w:cstheme="minorHAnsi"/>
          <w:sz w:val="20"/>
          <w:szCs w:val="20"/>
        </w:rPr>
        <w:t>Projekt funguje jako celek ve prospěch cílové skupiny a povede (vede) k dosažení stanovených cílů.</w:t>
      </w:r>
    </w:p>
    <w:p w14:paraId="721C6B66" w14:textId="42047F15" w:rsidR="006621FE" w:rsidRDefault="005E1A2B" w:rsidP="00036C5A">
      <w:pPr>
        <w:keepNext/>
        <w:spacing w:before="120" w:after="60" w:line="240" w:lineRule="auto"/>
        <w:jc w:val="both"/>
        <w:rPr>
          <w:rFonts w:cstheme="minorHAnsi"/>
          <w:b/>
          <w:sz w:val="20"/>
          <w:szCs w:val="20"/>
        </w:rPr>
      </w:pPr>
      <w:r w:rsidRPr="0085555C">
        <w:rPr>
          <w:rFonts w:cstheme="minorHAnsi"/>
          <w:b/>
          <w:sz w:val="20"/>
          <w:szCs w:val="20"/>
        </w:rPr>
        <w:t>Vynaložené prostředky jsou účelné pouze omezeně nebo existuje riziko pro účelnost vynaložených prostředků</w:t>
      </w:r>
    </w:p>
    <w:p w14:paraId="188AD42F" w14:textId="1BB596F3" w:rsidR="005E1A2B" w:rsidRPr="0085555C" w:rsidRDefault="005E1A2B" w:rsidP="00036C5A">
      <w:pPr>
        <w:spacing w:after="60" w:line="240" w:lineRule="auto"/>
        <w:jc w:val="both"/>
        <w:rPr>
          <w:rFonts w:cstheme="minorHAnsi"/>
          <w:sz w:val="20"/>
          <w:szCs w:val="20"/>
        </w:rPr>
      </w:pPr>
      <w:r w:rsidRPr="0085555C">
        <w:rPr>
          <w:rFonts w:cstheme="minorHAnsi"/>
          <w:sz w:val="20"/>
          <w:szCs w:val="20"/>
        </w:rPr>
        <w:t xml:space="preserve">Některé z předpokladů účelnosti (ad </w:t>
      </w:r>
      <w:r w:rsidR="003C1D61">
        <w:rPr>
          <w:rFonts w:cstheme="minorHAnsi"/>
          <w:sz w:val="20"/>
          <w:szCs w:val="20"/>
        </w:rPr>
        <w:t>bod vynaložené prostředky jsou účelné</w:t>
      </w:r>
      <w:r w:rsidRPr="0085555C">
        <w:rPr>
          <w:rFonts w:cstheme="minorHAnsi"/>
          <w:sz w:val="20"/>
          <w:szCs w:val="20"/>
        </w:rPr>
        <w:t xml:space="preserve">) jsou významně zpochybněny. </w:t>
      </w:r>
    </w:p>
    <w:p w14:paraId="20FAC300" w14:textId="795E8BCB" w:rsidR="005E1A2B" w:rsidRPr="0085555C" w:rsidRDefault="005E1A2B" w:rsidP="00036C5A">
      <w:pPr>
        <w:spacing w:after="60" w:line="240" w:lineRule="auto"/>
        <w:jc w:val="both"/>
        <w:rPr>
          <w:rFonts w:cstheme="minorHAnsi"/>
          <w:sz w:val="20"/>
          <w:szCs w:val="20"/>
        </w:rPr>
      </w:pPr>
      <w:r w:rsidRPr="0085555C">
        <w:rPr>
          <w:rFonts w:cstheme="minorHAnsi"/>
          <w:sz w:val="20"/>
          <w:szCs w:val="20"/>
        </w:rPr>
        <w:t>Žádost o dotaci (zejména projektový záměr) obsahuje např. vágní a neověřitelné údaje, proti kterým nelze měřit výstup a výsledek projektu. Skutečnost potvrzuje nereálnost předpokládaných výstupů a výsledků, např. kdy projekt splnil (nebo pravděpodobně splní) pouze cca ½ svých cílů/parametrů, respektive je předpoklad, že naplní pouze tuto část z nich. Očekávaný přínos projektu je možné pozorovat po skončení realizace projektu pouze v</w:t>
      </w:r>
      <w:r w:rsidR="00A9098C">
        <w:rPr>
          <w:rFonts w:cstheme="minorHAnsi"/>
          <w:sz w:val="20"/>
          <w:szCs w:val="20"/>
        </w:rPr>
        <w:t> </w:t>
      </w:r>
      <w:r w:rsidRPr="0085555C">
        <w:rPr>
          <w:rFonts w:cstheme="minorHAnsi"/>
          <w:sz w:val="20"/>
          <w:szCs w:val="20"/>
        </w:rPr>
        <w:t xml:space="preserve">omezené míře, např. u cca ½ svých cílů/parametrů (povinnost udržitelnosti).  </w:t>
      </w:r>
    </w:p>
    <w:p w14:paraId="418C0F10" w14:textId="2FBD88DE" w:rsidR="005E1A2B" w:rsidRDefault="005E1A2B" w:rsidP="00036C5A">
      <w:pPr>
        <w:spacing w:after="60" w:line="240" w:lineRule="auto"/>
        <w:jc w:val="both"/>
        <w:rPr>
          <w:rFonts w:cstheme="minorHAnsi"/>
          <w:sz w:val="20"/>
          <w:szCs w:val="20"/>
        </w:rPr>
      </w:pPr>
      <w:r w:rsidRPr="0085555C">
        <w:rPr>
          <w:rFonts w:cstheme="minorHAnsi"/>
          <w:sz w:val="20"/>
          <w:szCs w:val="20"/>
        </w:rPr>
        <w:t>Kontrolou byly zjištěny některé podstatné odchylky, a to v dodržování podmínek stanovených v podprogramech, v nedoložení některých požadovaných dokladů, v dodržování harmonogramu nebo v povinnosti zajištění udržitelnosti projektu.</w:t>
      </w:r>
    </w:p>
    <w:p w14:paraId="6D121191" w14:textId="40A178E3" w:rsidR="005E1A2B" w:rsidRDefault="005E1A2B" w:rsidP="00036C5A">
      <w:pPr>
        <w:keepNext/>
        <w:spacing w:before="120" w:after="60" w:line="240" w:lineRule="auto"/>
        <w:jc w:val="both"/>
        <w:rPr>
          <w:rFonts w:cstheme="minorHAnsi"/>
          <w:b/>
          <w:sz w:val="20"/>
          <w:szCs w:val="20"/>
        </w:rPr>
      </w:pPr>
      <w:r w:rsidRPr="0085555C">
        <w:rPr>
          <w:rFonts w:cstheme="minorHAnsi"/>
          <w:b/>
          <w:sz w:val="20"/>
          <w:szCs w:val="20"/>
        </w:rPr>
        <w:t>Vynaložené prostředky nejsou účelné</w:t>
      </w:r>
    </w:p>
    <w:p w14:paraId="0DA76141" w14:textId="386AD540" w:rsidR="005E1A2B" w:rsidRPr="005E1A2B" w:rsidRDefault="005E1A2B" w:rsidP="00E2694C">
      <w:pPr>
        <w:spacing w:after="120" w:line="240" w:lineRule="auto"/>
        <w:jc w:val="both"/>
        <w:rPr>
          <w:rFonts w:cstheme="minorHAnsi"/>
          <w:sz w:val="20"/>
          <w:szCs w:val="20"/>
        </w:rPr>
      </w:pPr>
      <w:r w:rsidRPr="0085555C">
        <w:rPr>
          <w:rFonts w:cstheme="minorHAnsi"/>
          <w:sz w:val="20"/>
          <w:szCs w:val="20"/>
        </w:rPr>
        <w:t xml:space="preserve">Předpoklady účelnosti (ad </w:t>
      </w:r>
      <w:r w:rsidR="00EC4B95">
        <w:rPr>
          <w:rFonts w:cstheme="minorHAnsi"/>
          <w:sz w:val="20"/>
          <w:szCs w:val="20"/>
        </w:rPr>
        <w:t>bod vynaložené prostředky jsou účelné</w:t>
      </w:r>
      <w:r w:rsidRPr="0085555C">
        <w:rPr>
          <w:rFonts w:cstheme="minorHAnsi"/>
          <w:sz w:val="20"/>
          <w:szCs w:val="20"/>
        </w:rPr>
        <w:t>) jsou zásadně zpochybněny, například některými z dále uvedených nedostatků:</w:t>
      </w:r>
      <w:r>
        <w:rPr>
          <w:rFonts w:cstheme="minorHAnsi"/>
          <w:sz w:val="20"/>
          <w:szCs w:val="20"/>
        </w:rPr>
        <w:t xml:space="preserve"> </w:t>
      </w:r>
      <w:r w:rsidRPr="0085555C">
        <w:rPr>
          <w:rFonts w:cstheme="minorHAnsi"/>
          <w:sz w:val="20"/>
          <w:szCs w:val="20"/>
        </w:rPr>
        <w:t>cíle projektu nebylo dosaženo, nebylo dosaženo stanovených parametrů projektu</w:t>
      </w:r>
      <w:r>
        <w:rPr>
          <w:rFonts w:cstheme="minorHAnsi"/>
          <w:sz w:val="20"/>
          <w:szCs w:val="20"/>
        </w:rPr>
        <w:t xml:space="preserve">, </w:t>
      </w:r>
      <w:r w:rsidRPr="0085555C">
        <w:rPr>
          <w:rFonts w:cstheme="minorHAnsi"/>
          <w:sz w:val="20"/>
          <w:szCs w:val="20"/>
        </w:rPr>
        <w:t>projekt je</w:t>
      </w:r>
      <w:r>
        <w:rPr>
          <w:rFonts w:cstheme="minorHAnsi"/>
          <w:sz w:val="20"/>
          <w:szCs w:val="20"/>
        </w:rPr>
        <w:t> </w:t>
      </w:r>
      <w:r w:rsidRPr="0085555C">
        <w:rPr>
          <w:rFonts w:cstheme="minorHAnsi"/>
          <w:sz w:val="20"/>
          <w:szCs w:val="20"/>
        </w:rPr>
        <w:t>nepotřebný,</w:t>
      </w:r>
      <w:r>
        <w:rPr>
          <w:rFonts w:cstheme="minorHAnsi"/>
          <w:sz w:val="20"/>
          <w:szCs w:val="20"/>
        </w:rPr>
        <w:t xml:space="preserve"> </w:t>
      </w:r>
      <w:r w:rsidRPr="0085555C">
        <w:rPr>
          <w:rFonts w:cstheme="minorHAnsi"/>
          <w:sz w:val="20"/>
          <w:szCs w:val="20"/>
        </w:rPr>
        <w:t>projekt neměl být vybrán k financování,</w:t>
      </w:r>
      <w:r>
        <w:rPr>
          <w:rFonts w:cstheme="minorHAnsi"/>
          <w:sz w:val="20"/>
          <w:szCs w:val="20"/>
        </w:rPr>
        <w:t xml:space="preserve"> </w:t>
      </w:r>
      <w:r w:rsidRPr="0085555C">
        <w:rPr>
          <w:rFonts w:cstheme="minorHAnsi"/>
          <w:sz w:val="20"/>
          <w:szCs w:val="20"/>
        </w:rPr>
        <w:t>projekt nemá reálné cíle či parametry</w:t>
      </w:r>
      <w:r w:rsidR="001C1935">
        <w:rPr>
          <w:rFonts w:cstheme="minorHAnsi"/>
          <w:sz w:val="20"/>
          <w:szCs w:val="20"/>
        </w:rPr>
        <w:t>,</w:t>
      </w:r>
      <w:r w:rsidRPr="0085555C">
        <w:rPr>
          <w:rFonts w:cstheme="minorHAnsi"/>
          <w:sz w:val="20"/>
          <w:szCs w:val="20"/>
        </w:rPr>
        <w:t xml:space="preserve"> a není tak možné prokázat jejich splnění,</w:t>
      </w:r>
      <w:r>
        <w:rPr>
          <w:rFonts w:cstheme="minorHAnsi"/>
          <w:sz w:val="20"/>
          <w:szCs w:val="20"/>
        </w:rPr>
        <w:t xml:space="preserve"> </w:t>
      </w:r>
      <w:r w:rsidRPr="0085555C">
        <w:rPr>
          <w:rFonts w:cstheme="minorHAnsi"/>
          <w:sz w:val="20"/>
          <w:szCs w:val="20"/>
        </w:rPr>
        <w:t>udržitelnost výstupů projektu není reálná,</w:t>
      </w:r>
      <w:r>
        <w:rPr>
          <w:rFonts w:cstheme="minorHAnsi"/>
          <w:sz w:val="20"/>
          <w:szCs w:val="20"/>
        </w:rPr>
        <w:t xml:space="preserve"> </w:t>
      </w:r>
      <w:r w:rsidRPr="005E1A2B">
        <w:rPr>
          <w:rFonts w:cstheme="minorHAnsi"/>
          <w:sz w:val="20"/>
          <w:szCs w:val="20"/>
        </w:rPr>
        <w:t>udržitelnost výstupů není zajištěna.</w:t>
      </w:r>
    </w:p>
    <w:p w14:paraId="0270BE0A" w14:textId="24BB993F" w:rsidR="00F31777" w:rsidRDefault="0034616E" w:rsidP="00E2694C">
      <w:pPr>
        <w:spacing w:before="240" w:after="120" w:line="240" w:lineRule="auto"/>
        <w:jc w:val="both"/>
        <w:rPr>
          <w:rFonts w:ascii="Calibri" w:hAnsi="Calibri" w:cs="Calibri"/>
          <w:b/>
        </w:rPr>
      </w:pPr>
      <w:r w:rsidRPr="00EC481C">
        <w:rPr>
          <w:rFonts w:ascii="Calibri" w:hAnsi="Calibri" w:cs="Calibri"/>
          <w:b/>
        </w:rPr>
        <w:t xml:space="preserve">2. </w:t>
      </w:r>
      <w:r w:rsidR="00F31777" w:rsidRPr="00EC481C">
        <w:rPr>
          <w:rFonts w:ascii="Calibri" w:hAnsi="Calibri" w:cs="Calibri"/>
          <w:b/>
        </w:rPr>
        <w:t xml:space="preserve">Vyhodnocení </w:t>
      </w:r>
      <w:r w:rsidR="00106CF1" w:rsidRPr="00EC481C">
        <w:rPr>
          <w:rFonts w:ascii="Calibri" w:hAnsi="Calibri" w:cs="Calibri"/>
          <w:b/>
        </w:rPr>
        <w:t>hospodárnosti</w:t>
      </w:r>
    </w:p>
    <w:p w14:paraId="4BF2CE31" w14:textId="1CFFCF11" w:rsidR="001E7E41" w:rsidRDefault="00EC481C" w:rsidP="00036C5A">
      <w:pPr>
        <w:keepNext/>
        <w:spacing w:after="60" w:line="240" w:lineRule="auto"/>
        <w:jc w:val="both"/>
        <w:rPr>
          <w:rFonts w:cstheme="minorHAnsi"/>
          <w:b/>
          <w:sz w:val="20"/>
          <w:szCs w:val="20"/>
        </w:rPr>
      </w:pPr>
      <w:r w:rsidRPr="00106CF1">
        <w:rPr>
          <w:rFonts w:cstheme="minorHAnsi"/>
          <w:b/>
          <w:sz w:val="20"/>
          <w:szCs w:val="20"/>
        </w:rPr>
        <w:t>Vynaložené prostředky jsou hospodárné</w:t>
      </w:r>
    </w:p>
    <w:p w14:paraId="38E739FA" w14:textId="79FCA408" w:rsidR="001E7E41" w:rsidRPr="00106CF1" w:rsidRDefault="001E7E41" w:rsidP="00036C5A">
      <w:pPr>
        <w:spacing w:after="60" w:line="240" w:lineRule="auto"/>
        <w:jc w:val="both"/>
        <w:rPr>
          <w:rFonts w:cstheme="minorHAnsi"/>
          <w:sz w:val="20"/>
          <w:szCs w:val="20"/>
        </w:rPr>
      </w:pPr>
      <w:r w:rsidRPr="00106CF1">
        <w:rPr>
          <w:rFonts w:cstheme="minorHAnsi"/>
          <w:sz w:val="20"/>
          <w:szCs w:val="20"/>
        </w:rPr>
        <w:t xml:space="preserve">Zadávací řízení bylo realizováno v souladu se </w:t>
      </w:r>
      <w:r w:rsidR="00BE3A7C">
        <w:rPr>
          <w:rFonts w:cstheme="minorHAnsi"/>
          <w:sz w:val="20"/>
          <w:szCs w:val="20"/>
        </w:rPr>
        <w:t>z</w:t>
      </w:r>
      <w:r w:rsidR="005E0AD7" w:rsidRPr="005E0AD7">
        <w:rPr>
          <w:rFonts w:cstheme="minorHAnsi"/>
          <w:sz w:val="20"/>
          <w:szCs w:val="20"/>
        </w:rPr>
        <w:t>ákon</w:t>
      </w:r>
      <w:r w:rsidR="00BE3A7C">
        <w:rPr>
          <w:rFonts w:cstheme="minorHAnsi"/>
          <w:sz w:val="20"/>
          <w:szCs w:val="20"/>
        </w:rPr>
        <w:t>em</w:t>
      </w:r>
      <w:r w:rsidR="005E0AD7" w:rsidRPr="005E0AD7">
        <w:rPr>
          <w:rFonts w:cstheme="minorHAnsi"/>
          <w:sz w:val="20"/>
          <w:szCs w:val="20"/>
        </w:rPr>
        <w:t xml:space="preserve"> č. 134/2016 Sb.</w:t>
      </w:r>
      <w:r w:rsidR="00BE3A7C">
        <w:rPr>
          <w:rFonts w:cstheme="minorHAnsi"/>
          <w:sz w:val="20"/>
          <w:szCs w:val="20"/>
        </w:rPr>
        <w:t xml:space="preserve">, </w:t>
      </w:r>
      <w:r w:rsidR="005E0AD7" w:rsidRPr="005E0AD7">
        <w:rPr>
          <w:rFonts w:cstheme="minorHAnsi"/>
          <w:sz w:val="20"/>
          <w:szCs w:val="20"/>
        </w:rPr>
        <w:t>o zadávání veřejných zakázek</w:t>
      </w:r>
      <w:r w:rsidRPr="00106CF1">
        <w:rPr>
          <w:rFonts w:cstheme="minorHAnsi"/>
          <w:sz w:val="20"/>
          <w:szCs w:val="20"/>
        </w:rPr>
        <w:t>, případně</w:t>
      </w:r>
      <w:r w:rsidR="001C1935">
        <w:rPr>
          <w:rFonts w:cstheme="minorHAnsi"/>
          <w:sz w:val="20"/>
          <w:szCs w:val="20"/>
        </w:rPr>
        <w:t xml:space="preserve"> </w:t>
      </w:r>
      <w:r w:rsidRPr="00106CF1">
        <w:rPr>
          <w:rFonts w:cstheme="minorHAnsi"/>
          <w:sz w:val="20"/>
          <w:szCs w:val="20"/>
        </w:rPr>
        <w:t xml:space="preserve">výběrové řízení bylo realizováno v souladu se </w:t>
      </w:r>
      <w:r w:rsidR="001C1935">
        <w:rPr>
          <w:rFonts w:cstheme="minorHAnsi"/>
          <w:sz w:val="20"/>
          <w:szCs w:val="20"/>
        </w:rPr>
        <w:t>z</w:t>
      </w:r>
      <w:r w:rsidRPr="00106CF1">
        <w:rPr>
          <w:rFonts w:cstheme="minorHAnsi"/>
          <w:sz w:val="20"/>
          <w:szCs w:val="20"/>
        </w:rPr>
        <w:t>ásadami a </w:t>
      </w:r>
      <w:r w:rsidR="001C1935">
        <w:rPr>
          <w:rFonts w:cstheme="minorHAnsi"/>
          <w:sz w:val="20"/>
          <w:szCs w:val="20"/>
        </w:rPr>
        <w:t>p</w:t>
      </w:r>
      <w:r w:rsidRPr="00106CF1">
        <w:rPr>
          <w:rFonts w:cstheme="minorHAnsi"/>
          <w:sz w:val="20"/>
          <w:szCs w:val="20"/>
        </w:rPr>
        <w:t>okynem. Do této kategorie lze zahrnout i</w:t>
      </w:r>
      <w:r w:rsidR="00BE3A7C">
        <w:rPr>
          <w:rFonts w:cstheme="minorHAnsi"/>
          <w:sz w:val="20"/>
          <w:szCs w:val="20"/>
        </w:rPr>
        <w:t> </w:t>
      </w:r>
      <w:r w:rsidRPr="00106CF1">
        <w:rPr>
          <w:rFonts w:cstheme="minorHAnsi"/>
          <w:sz w:val="20"/>
          <w:szCs w:val="20"/>
        </w:rPr>
        <w:t>řízení, které</w:t>
      </w:r>
      <w:r w:rsidR="001C1935">
        <w:rPr>
          <w:rFonts w:cstheme="minorHAnsi"/>
          <w:sz w:val="20"/>
          <w:szCs w:val="20"/>
        </w:rPr>
        <w:t xml:space="preserve"> </w:t>
      </w:r>
      <w:r w:rsidRPr="00106CF1">
        <w:rPr>
          <w:rFonts w:cstheme="minorHAnsi"/>
          <w:sz w:val="20"/>
          <w:szCs w:val="20"/>
        </w:rPr>
        <w:t>sice obsahovalo procesní a administrativní nedostatky, nicméně tyto nedostatky nemají vliv na</w:t>
      </w:r>
      <w:r w:rsidR="001C1935">
        <w:rPr>
          <w:rFonts w:cstheme="minorHAnsi"/>
          <w:sz w:val="20"/>
          <w:szCs w:val="20"/>
        </w:rPr>
        <w:t xml:space="preserve"> </w:t>
      </w:r>
      <w:r w:rsidRPr="00106CF1">
        <w:rPr>
          <w:rFonts w:cstheme="minorHAnsi"/>
          <w:sz w:val="20"/>
          <w:szCs w:val="20"/>
        </w:rPr>
        <w:t>hospodárnost, průběh řízení a výběr nejvhodnější nabídky (např. nedodržení některých lhůt).</w:t>
      </w:r>
    </w:p>
    <w:p w14:paraId="1CB77C18" w14:textId="694E8C22" w:rsidR="001E7E41" w:rsidRDefault="001E7E41" w:rsidP="00036C5A">
      <w:pPr>
        <w:spacing w:after="60" w:line="240" w:lineRule="auto"/>
        <w:jc w:val="both"/>
        <w:rPr>
          <w:rFonts w:cstheme="minorHAnsi"/>
          <w:sz w:val="20"/>
          <w:szCs w:val="20"/>
        </w:rPr>
      </w:pPr>
      <w:r w:rsidRPr="00106CF1">
        <w:rPr>
          <w:rFonts w:cstheme="minorHAnsi"/>
          <w:sz w:val="20"/>
          <w:szCs w:val="20"/>
        </w:rPr>
        <w:t>Financování projektu/akce proběhlo dle stanovených podmínek podprogramu (</w:t>
      </w:r>
      <w:r w:rsidR="001C1935">
        <w:rPr>
          <w:rFonts w:cstheme="minorHAnsi"/>
          <w:sz w:val="20"/>
          <w:szCs w:val="20"/>
        </w:rPr>
        <w:t>r</w:t>
      </w:r>
      <w:r w:rsidRPr="00106CF1">
        <w:rPr>
          <w:rFonts w:cstheme="minorHAnsi"/>
          <w:sz w:val="20"/>
          <w:szCs w:val="20"/>
        </w:rPr>
        <w:t xml:space="preserve">ozhodnutí o poskytnutí dotace, </w:t>
      </w:r>
      <w:r w:rsidR="001C1935">
        <w:rPr>
          <w:rFonts w:cstheme="minorHAnsi"/>
          <w:sz w:val="20"/>
          <w:szCs w:val="20"/>
        </w:rPr>
        <w:t>z</w:t>
      </w:r>
      <w:r w:rsidRPr="00106CF1">
        <w:rPr>
          <w:rFonts w:cstheme="minorHAnsi"/>
          <w:sz w:val="20"/>
          <w:szCs w:val="20"/>
        </w:rPr>
        <w:t xml:space="preserve">ásady, </w:t>
      </w:r>
      <w:r w:rsidR="001C1935">
        <w:rPr>
          <w:rFonts w:cstheme="minorHAnsi"/>
          <w:sz w:val="20"/>
          <w:szCs w:val="20"/>
        </w:rPr>
        <w:t>p</w:t>
      </w:r>
      <w:r w:rsidRPr="00106CF1">
        <w:rPr>
          <w:rFonts w:cstheme="minorHAnsi"/>
          <w:sz w:val="20"/>
          <w:szCs w:val="20"/>
        </w:rPr>
        <w:t>okyn atd.).</w:t>
      </w:r>
      <w:r>
        <w:rPr>
          <w:rFonts w:cstheme="minorHAnsi"/>
          <w:sz w:val="20"/>
          <w:szCs w:val="20"/>
        </w:rPr>
        <w:t xml:space="preserve"> </w:t>
      </w:r>
      <w:r w:rsidRPr="00106CF1">
        <w:rPr>
          <w:rFonts w:cstheme="minorHAnsi"/>
          <w:sz w:val="20"/>
          <w:szCs w:val="20"/>
        </w:rPr>
        <w:t>Příjemce doložil celkový průběh zadávacího/výběrového řízení, tento průběh je dostatečně ověřitelný a řádný. Příjemce vytvořil smluvní podmínky pro aktivní řízení průběhu realizace veřejné zakázky (vztah</w:t>
      </w:r>
      <w:r w:rsidR="00060682">
        <w:rPr>
          <w:rFonts w:cstheme="minorHAnsi"/>
          <w:sz w:val="20"/>
          <w:szCs w:val="20"/>
        </w:rPr>
        <w:t xml:space="preserve"> </w:t>
      </w:r>
      <w:r w:rsidRPr="00106CF1">
        <w:rPr>
          <w:rFonts w:cstheme="minorHAnsi"/>
          <w:sz w:val="20"/>
          <w:szCs w:val="20"/>
        </w:rPr>
        <w:t>zadavatel/dodavatel) a průběh realizace aktivně řídil.</w:t>
      </w:r>
      <w:r>
        <w:rPr>
          <w:rFonts w:cstheme="minorHAnsi"/>
          <w:sz w:val="20"/>
          <w:szCs w:val="20"/>
        </w:rPr>
        <w:t xml:space="preserve"> </w:t>
      </w:r>
      <w:r w:rsidRPr="00106CF1">
        <w:rPr>
          <w:rFonts w:cstheme="minorHAnsi"/>
          <w:sz w:val="20"/>
          <w:szCs w:val="20"/>
        </w:rPr>
        <w:t>Příjemce při přípravě a výběru řádně zohlednil ceny v místě a čase obvyklé a cenu stanovil dle ověřitelných dokladů.</w:t>
      </w:r>
    </w:p>
    <w:p w14:paraId="64D00FEC" w14:textId="2E2CB181" w:rsidR="00EC481C" w:rsidRDefault="001E7E41" w:rsidP="00036C5A">
      <w:pPr>
        <w:keepNext/>
        <w:spacing w:before="120" w:after="60" w:line="240" w:lineRule="auto"/>
        <w:jc w:val="both"/>
        <w:rPr>
          <w:rFonts w:cstheme="minorHAnsi"/>
          <w:b/>
          <w:sz w:val="20"/>
          <w:szCs w:val="20"/>
        </w:rPr>
      </w:pPr>
      <w:r w:rsidRPr="00106CF1">
        <w:rPr>
          <w:rFonts w:cstheme="minorHAnsi"/>
          <w:b/>
          <w:sz w:val="20"/>
          <w:szCs w:val="20"/>
        </w:rPr>
        <w:t>Vynaložené prostředky jsou hospodárné s mírnými nedostatky</w:t>
      </w:r>
    </w:p>
    <w:p w14:paraId="6069BD58" w14:textId="558939F9" w:rsidR="001E7E41" w:rsidRPr="00106CF1" w:rsidRDefault="001E7E41" w:rsidP="00036C5A">
      <w:pPr>
        <w:spacing w:after="60" w:line="240" w:lineRule="auto"/>
        <w:jc w:val="both"/>
        <w:rPr>
          <w:rFonts w:cstheme="minorHAnsi"/>
          <w:sz w:val="20"/>
          <w:szCs w:val="20"/>
        </w:rPr>
      </w:pPr>
      <w:r w:rsidRPr="00106CF1">
        <w:rPr>
          <w:rFonts w:cstheme="minorHAnsi"/>
          <w:sz w:val="20"/>
          <w:szCs w:val="20"/>
        </w:rPr>
        <w:t>Zadávací řízení obsahovalo některé nedostatky, které mohly mít vliv na omezení počtu uchazečů o plnění zakázky či na snížení konkurenčního prostředí nabídek (mohlo se jednat např. o diskriminační</w:t>
      </w:r>
      <w:r w:rsidR="00060682">
        <w:rPr>
          <w:rFonts w:cstheme="minorHAnsi"/>
          <w:sz w:val="20"/>
          <w:szCs w:val="20"/>
        </w:rPr>
        <w:t xml:space="preserve"> </w:t>
      </w:r>
      <w:r w:rsidRPr="00106CF1">
        <w:rPr>
          <w:rFonts w:cstheme="minorHAnsi"/>
          <w:sz w:val="20"/>
          <w:szCs w:val="20"/>
        </w:rPr>
        <w:t xml:space="preserve">kvalifikační kritéria, krátkou lhůtu na podání nabídek, nerovný přístup k uchazečům). </w:t>
      </w:r>
    </w:p>
    <w:p w14:paraId="5391D247" w14:textId="77777777" w:rsidR="001E7E41" w:rsidRPr="00106CF1" w:rsidRDefault="001E7E41" w:rsidP="00036C5A">
      <w:pPr>
        <w:spacing w:after="60" w:line="240" w:lineRule="auto"/>
        <w:jc w:val="both"/>
        <w:rPr>
          <w:rFonts w:cstheme="minorHAnsi"/>
          <w:sz w:val="20"/>
          <w:szCs w:val="20"/>
        </w:rPr>
      </w:pPr>
      <w:r w:rsidRPr="00106CF1">
        <w:rPr>
          <w:rFonts w:cstheme="minorHAnsi"/>
          <w:sz w:val="20"/>
          <w:szCs w:val="20"/>
        </w:rPr>
        <w:t xml:space="preserve">Financování projektu/akce proběhlo s drobnými procesními nedostatky, nicméně tyto nedostatky nemají vliv na hospodárnost (resp. na cenu projektu/akce) nebo na splnění podmínek dotace.  </w:t>
      </w:r>
    </w:p>
    <w:p w14:paraId="1C3CCA8F" w14:textId="77777777" w:rsidR="001E7E41" w:rsidRPr="00106CF1" w:rsidRDefault="001E7E41" w:rsidP="00036C5A">
      <w:pPr>
        <w:spacing w:after="60" w:line="240" w:lineRule="auto"/>
        <w:jc w:val="both"/>
        <w:rPr>
          <w:rFonts w:cstheme="minorHAnsi"/>
          <w:sz w:val="20"/>
          <w:szCs w:val="20"/>
        </w:rPr>
      </w:pPr>
      <w:r w:rsidRPr="00106CF1">
        <w:rPr>
          <w:rFonts w:cstheme="minorHAnsi"/>
          <w:sz w:val="20"/>
          <w:szCs w:val="20"/>
        </w:rPr>
        <w:t xml:space="preserve">Příjemce doložil celkový průběh zadávacího/výběrového řízení, tento průběh je dostatečně ověřitelný. </w:t>
      </w:r>
    </w:p>
    <w:p w14:paraId="63337E7A" w14:textId="470EE895" w:rsidR="001E7E41" w:rsidRPr="00106CF1" w:rsidRDefault="001E7E41" w:rsidP="00036C5A">
      <w:pPr>
        <w:spacing w:after="60" w:line="240" w:lineRule="auto"/>
        <w:jc w:val="both"/>
        <w:rPr>
          <w:rFonts w:cstheme="minorHAnsi"/>
          <w:sz w:val="20"/>
          <w:szCs w:val="20"/>
        </w:rPr>
      </w:pPr>
      <w:r w:rsidRPr="00106CF1">
        <w:rPr>
          <w:rFonts w:cstheme="minorHAnsi"/>
          <w:sz w:val="20"/>
          <w:szCs w:val="20"/>
        </w:rPr>
        <w:t>Příjemce vytvořil smluvní podmínky pro aktivní řízení průběhu realizace veřejné zakázky (vztah zadavatel/dodavatel), v</w:t>
      </w:r>
      <w:r w:rsidR="00291586">
        <w:rPr>
          <w:rFonts w:cstheme="minorHAnsi"/>
          <w:sz w:val="20"/>
          <w:szCs w:val="20"/>
        </w:rPr>
        <w:t> </w:t>
      </w:r>
      <w:r w:rsidRPr="00106CF1">
        <w:rPr>
          <w:rFonts w:cstheme="minorHAnsi"/>
          <w:sz w:val="20"/>
          <w:szCs w:val="20"/>
        </w:rPr>
        <w:t>řízení</w:t>
      </w:r>
      <w:r w:rsidR="00291586">
        <w:rPr>
          <w:rFonts w:cstheme="minorHAnsi"/>
          <w:sz w:val="20"/>
          <w:szCs w:val="20"/>
        </w:rPr>
        <w:t xml:space="preserve"> </w:t>
      </w:r>
      <w:r w:rsidRPr="00106CF1">
        <w:rPr>
          <w:rFonts w:cstheme="minorHAnsi"/>
          <w:sz w:val="20"/>
          <w:szCs w:val="20"/>
        </w:rPr>
        <w:t xml:space="preserve">průběhu realizace veřejné zakázky byly zjištěny drobné nedostatky (např. neuplatnění včasné reklamace). </w:t>
      </w:r>
    </w:p>
    <w:p w14:paraId="03A26168" w14:textId="0279E9AD" w:rsidR="001E7E41" w:rsidRDefault="001E7E41" w:rsidP="00036C5A">
      <w:pPr>
        <w:spacing w:after="60" w:line="240" w:lineRule="auto"/>
        <w:jc w:val="both"/>
        <w:rPr>
          <w:rFonts w:cstheme="minorHAnsi"/>
          <w:sz w:val="20"/>
          <w:szCs w:val="20"/>
        </w:rPr>
      </w:pPr>
      <w:r w:rsidRPr="00106CF1">
        <w:rPr>
          <w:rFonts w:cstheme="minorHAnsi"/>
          <w:sz w:val="20"/>
          <w:szCs w:val="20"/>
        </w:rPr>
        <w:t>I přes drobné nedostatky při přípravě (např. prodlevy v přípravě) a výběru (např. prodlevy ve výběru) zohlednil příjemce ceny v místě a čase obvyklé a stanovení ceny doložil dle ověřitelných dokladů.</w:t>
      </w:r>
    </w:p>
    <w:p w14:paraId="1A064759" w14:textId="162F188E" w:rsidR="001E7E41" w:rsidRDefault="001E7E41" w:rsidP="00036C5A">
      <w:pPr>
        <w:keepNext/>
        <w:spacing w:before="120" w:after="60" w:line="240" w:lineRule="auto"/>
        <w:rPr>
          <w:rFonts w:cstheme="minorHAnsi"/>
          <w:b/>
          <w:sz w:val="20"/>
          <w:szCs w:val="20"/>
        </w:rPr>
      </w:pPr>
      <w:r w:rsidRPr="00106CF1">
        <w:rPr>
          <w:rFonts w:cstheme="minorHAnsi"/>
          <w:b/>
          <w:sz w:val="20"/>
          <w:szCs w:val="20"/>
        </w:rPr>
        <w:t>Vynaložené prostředky jsou hospodárné pouze omezeně nebo existuje riziko pro hospodárnost vynaložených prostředků</w:t>
      </w:r>
    </w:p>
    <w:p w14:paraId="24874036" w14:textId="703497B0" w:rsidR="001E7E41" w:rsidRPr="00106CF1" w:rsidRDefault="001E7E41" w:rsidP="00036C5A">
      <w:pPr>
        <w:spacing w:after="60" w:line="240" w:lineRule="auto"/>
        <w:jc w:val="both"/>
        <w:rPr>
          <w:rFonts w:cstheme="minorHAnsi"/>
          <w:sz w:val="20"/>
          <w:szCs w:val="20"/>
        </w:rPr>
      </w:pPr>
      <w:r w:rsidRPr="00106CF1">
        <w:rPr>
          <w:rFonts w:cstheme="minorHAnsi"/>
          <w:sz w:val="20"/>
          <w:szCs w:val="20"/>
        </w:rPr>
        <w:t>Zadávací řízení obsahovalo nedostatky, které měly prokazatelný vliv na cenu veřejné zakázky, jde např. o neoprávněné vyloučení uchazeče s nižší nabídkou či realizaci veřejné zakázky (resp. díla) v rozporu s</w:t>
      </w:r>
      <w:r>
        <w:rPr>
          <w:rFonts w:cstheme="minorHAnsi"/>
          <w:sz w:val="20"/>
          <w:szCs w:val="20"/>
        </w:rPr>
        <w:t> </w:t>
      </w:r>
      <w:r w:rsidRPr="00106CF1">
        <w:rPr>
          <w:rFonts w:cstheme="minorHAnsi"/>
          <w:sz w:val="20"/>
          <w:szCs w:val="20"/>
        </w:rPr>
        <w:t>projektem/akcí. Byl</w:t>
      </w:r>
      <w:r w:rsidR="00060682">
        <w:rPr>
          <w:rFonts w:cstheme="minorHAnsi"/>
          <w:sz w:val="20"/>
          <w:szCs w:val="20"/>
        </w:rPr>
        <w:t xml:space="preserve"> </w:t>
      </w:r>
      <w:r w:rsidRPr="00106CF1">
        <w:rPr>
          <w:rFonts w:cstheme="minorHAnsi"/>
          <w:sz w:val="20"/>
          <w:szCs w:val="20"/>
        </w:rPr>
        <w:t xml:space="preserve">zjištěn nedostatek mající pravděpodobně vliv na výběr nejvhodnější nabídky (riziko diskriminačních zadávacích kritérií, příliš podrobné nastavení technických parametrů díla atd.). </w:t>
      </w:r>
    </w:p>
    <w:p w14:paraId="73B70F83" w14:textId="77777777" w:rsidR="001E7E41" w:rsidRPr="00106CF1" w:rsidRDefault="001E7E41" w:rsidP="00036C5A">
      <w:pPr>
        <w:spacing w:after="60" w:line="240" w:lineRule="auto"/>
        <w:jc w:val="both"/>
        <w:rPr>
          <w:rFonts w:cstheme="minorHAnsi"/>
          <w:sz w:val="20"/>
          <w:szCs w:val="20"/>
        </w:rPr>
      </w:pPr>
      <w:r w:rsidRPr="00106CF1">
        <w:rPr>
          <w:rFonts w:cstheme="minorHAnsi"/>
          <w:sz w:val="20"/>
          <w:szCs w:val="20"/>
        </w:rPr>
        <w:t xml:space="preserve">Financování projektu/akce obsahovalo nedostatky mající pravděpodobně vliv na hospodárnost (resp. na cenu projektu/akce). Existuje tak riziko, že prostředky dotace nebyly vynaloženy hospodárně. </w:t>
      </w:r>
    </w:p>
    <w:p w14:paraId="50DB01C2" w14:textId="65ECEB41" w:rsidR="001E7E41" w:rsidRPr="00106CF1" w:rsidRDefault="001E7E41" w:rsidP="00036C5A">
      <w:pPr>
        <w:spacing w:after="60" w:line="240" w:lineRule="auto"/>
        <w:jc w:val="both"/>
        <w:rPr>
          <w:rFonts w:cstheme="minorHAnsi"/>
          <w:sz w:val="20"/>
          <w:szCs w:val="20"/>
        </w:rPr>
      </w:pPr>
      <w:r w:rsidRPr="00106CF1">
        <w:rPr>
          <w:rFonts w:cstheme="minorHAnsi"/>
          <w:sz w:val="20"/>
          <w:szCs w:val="20"/>
        </w:rPr>
        <w:t>Ze</w:t>
      </w:r>
      <w:r w:rsidR="00060682">
        <w:rPr>
          <w:rFonts w:cstheme="minorHAnsi"/>
          <w:sz w:val="20"/>
          <w:szCs w:val="20"/>
        </w:rPr>
        <w:t xml:space="preserve"> </w:t>
      </w:r>
      <w:r w:rsidRPr="00106CF1">
        <w:rPr>
          <w:rFonts w:cstheme="minorHAnsi"/>
          <w:sz w:val="20"/>
          <w:szCs w:val="20"/>
        </w:rPr>
        <w:t xml:space="preserve">strany zadavatele nebyl doložen kompletní průběh zadávacího/výběrového řízení, kompletní průběh nebyl tedy ověřitelný. </w:t>
      </w:r>
    </w:p>
    <w:p w14:paraId="7CDF6257" w14:textId="77777777" w:rsidR="001E7E41" w:rsidRPr="00106CF1" w:rsidRDefault="001E7E41" w:rsidP="00036C5A">
      <w:pPr>
        <w:spacing w:after="60" w:line="240" w:lineRule="auto"/>
        <w:jc w:val="both"/>
        <w:rPr>
          <w:rFonts w:cstheme="minorHAnsi"/>
          <w:sz w:val="20"/>
          <w:szCs w:val="20"/>
        </w:rPr>
      </w:pPr>
      <w:r w:rsidRPr="00106CF1">
        <w:rPr>
          <w:rFonts w:cstheme="minorHAnsi"/>
          <w:sz w:val="20"/>
          <w:szCs w:val="20"/>
        </w:rPr>
        <w:t>Příjemce vytvořil smluvní vztahy pro aktivní řízení průběhu realizace veřejné zakázky (vztah zadavatel/dodavatel), ale tyto vztahy v průběhu realizace veřejné zakázky aktivně neřídil (v průběhu realizace veřejné zakázky byly zjištěny nedostatky), což mělo dopad např. na kvalitu díla nebo mohlo vést k vyšším provozním nákladům.</w:t>
      </w:r>
    </w:p>
    <w:p w14:paraId="7EFD4D16" w14:textId="77777777" w:rsidR="00E6160B" w:rsidRDefault="001E7E41" w:rsidP="00036C5A">
      <w:pPr>
        <w:spacing w:after="60" w:line="240" w:lineRule="auto"/>
        <w:jc w:val="both"/>
        <w:rPr>
          <w:rFonts w:cstheme="minorHAnsi"/>
          <w:sz w:val="20"/>
          <w:szCs w:val="20"/>
        </w:rPr>
      </w:pPr>
      <w:r w:rsidRPr="00106CF1">
        <w:rPr>
          <w:rFonts w:cstheme="minorHAnsi"/>
          <w:sz w:val="20"/>
          <w:szCs w:val="20"/>
        </w:rPr>
        <w:t>Příjemce při přípravě a výběru nezohlednil dostatečně ceny v místě a čase obvyklé (nedoložil všechny doklady prokazující řádné zohlednění). Stanovení ceny nebylo možné dostatečně prověřit, neboť příjemce nedoložil všechny doklady prokazující její řádné stanovení). Existuje tedy riziko nehospodárnosti vynaložených prostředků.</w:t>
      </w:r>
    </w:p>
    <w:p w14:paraId="27CDC08D" w14:textId="7964CB2D" w:rsidR="001E7E41" w:rsidRDefault="00E6160B" w:rsidP="00036C5A">
      <w:pPr>
        <w:keepNext/>
        <w:spacing w:before="120" w:after="60" w:line="240" w:lineRule="auto"/>
        <w:jc w:val="both"/>
        <w:rPr>
          <w:rFonts w:cstheme="minorHAnsi"/>
          <w:sz w:val="20"/>
          <w:szCs w:val="20"/>
        </w:rPr>
      </w:pPr>
      <w:r w:rsidRPr="00106CF1">
        <w:rPr>
          <w:rFonts w:cstheme="minorHAnsi"/>
          <w:b/>
          <w:sz w:val="20"/>
          <w:szCs w:val="20"/>
        </w:rPr>
        <w:t>Vynaložené prostředky nejsou hospodárné</w:t>
      </w:r>
    </w:p>
    <w:p w14:paraId="1DDF188B" w14:textId="0731A3C2" w:rsidR="000E03AC" w:rsidRPr="00106CF1" w:rsidRDefault="000E03AC" w:rsidP="00036C5A">
      <w:pPr>
        <w:spacing w:after="60" w:line="240" w:lineRule="auto"/>
        <w:jc w:val="both"/>
        <w:rPr>
          <w:rFonts w:cstheme="minorHAnsi"/>
          <w:sz w:val="20"/>
          <w:szCs w:val="20"/>
        </w:rPr>
      </w:pPr>
      <w:r w:rsidRPr="00106CF1">
        <w:rPr>
          <w:rFonts w:cstheme="minorHAnsi"/>
          <w:sz w:val="20"/>
          <w:szCs w:val="20"/>
        </w:rPr>
        <w:t xml:space="preserve">Dodavatelé nebyli vybráni v souladu se </w:t>
      </w:r>
      <w:r w:rsidR="00FC6711">
        <w:rPr>
          <w:rFonts w:cstheme="minorHAnsi"/>
          <w:sz w:val="20"/>
          <w:szCs w:val="20"/>
        </w:rPr>
        <w:t>zákonem o zadávání veřejných zakázek</w:t>
      </w:r>
      <w:r w:rsidRPr="00106CF1">
        <w:rPr>
          <w:rFonts w:cstheme="minorHAnsi"/>
          <w:sz w:val="20"/>
          <w:szCs w:val="20"/>
        </w:rPr>
        <w:t xml:space="preserve">, případně se </w:t>
      </w:r>
      <w:r w:rsidR="0017162E">
        <w:rPr>
          <w:rFonts w:cstheme="minorHAnsi"/>
          <w:sz w:val="20"/>
          <w:szCs w:val="20"/>
        </w:rPr>
        <w:t>z</w:t>
      </w:r>
      <w:r w:rsidRPr="00106CF1">
        <w:rPr>
          <w:rFonts w:cstheme="minorHAnsi"/>
          <w:sz w:val="20"/>
          <w:szCs w:val="20"/>
        </w:rPr>
        <w:t>ásadami a</w:t>
      </w:r>
      <w:r w:rsidR="0017162E">
        <w:rPr>
          <w:rFonts w:cstheme="minorHAnsi"/>
          <w:sz w:val="20"/>
          <w:szCs w:val="20"/>
        </w:rPr>
        <w:t> p</w:t>
      </w:r>
      <w:r w:rsidRPr="00106CF1">
        <w:rPr>
          <w:rFonts w:cstheme="minorHAnsi"/>
          <w:sz w:val="20"/>
          <w:szCs w:val="20"/>
        </w:rPr>
        <w:t>okynem. Zadávací/výběrové řízení obsahovalo nedostatky mající přímý a prokazatelný vliv na cenu veřejné zakázky a na výběr nejvhodnější nabídky. Prostředky dotace byly vynaloženy nehospodárně. Do této kategorie spadá také situace, kdy zadavatel vůbec nepostupoval dle stanovených postupů (</w:t>
      </w:r>
      <w:r w:rsidR="00A93126">
        <w:rPr>
          <w:rFonts w:cstheme="minorHAnsi"/>
          <w:sz w:val="20"/>
          <w:szCs w:val="20"/>
        </w:rPr>
        <w:t>zákon o zadávání veřejných zakázek</w:t>
      </w:r>
      <w:r w:rsidRPr="00106CF1">
        <w:rPr>
          <w:rFonts w:cstheme="minorHAnsi"/>
          <w:sz w:val="20"/>
          <w:szCs w:val="20"/>
        </w:rPr>
        <w:t xml:space="preserve">, </w:t>
      </w:r>
      <w:r w:rsidR="0017162E">
        <w:rPr>
          <w:rFonts w:cstheme="minorHAnsi"/>
          <w:sz w:val="20"/>
          <w:szCs w:val="20"/>
        </w:rPr>
        <w:t>z</w:t>
      </w:r>
      <w:r w:rsidRPr="00106CF1">
        <w:rPr>
          <w:rFonts w:cstheme="minorHAnsi"/>
          <w:sz w:val="20"/>
          <w:szCs w:val="20"/>
        </w:rPr>
        <w:t xml:space="preserve">ásady, </w:t>
      </w:r>
      <w:r w:rsidR="0017162E">
        <w:rPr>
          <w:rFonts w:cstheme="minorHAnsi"/>
          <w:sz w:val="20"/>
          <w:szCs w:val="20"/>
        </w:rPr>
        <w:t>p</w:t>
      </w:r>
      <w:r w:rsidRPr="00106CF1">
        <w:rPr>
          <w:rFonts w:cstheme="minorHAnsi"/>
          <w:sz w:val="20"/>
          <w:szCs w:val="20"/>
        </w:rPr>
        <w:t>okyn) a dopustil se nedostatků majících přímý a</w:t>
      </w:r>
      <w:r w:rsidR="00C31C35">
        <w:rPr>
          <w:rFonts w:cstheme="minorHAnsi"/>
          <w:sz w:val="20"/>
          <w:szCs w:val="20"/>
        </w:rPr>
        <w:t> </w:t>
      </w:r>
      <w:r w:rsidRPr="00106CF1">
        <w:rPr>
          <w:rFonts w:cstheme="minorHAnsi"/>
          <w:sz w:val="20"/>
          <w:szCs w:val="20"/>
        </w:rPr>
        <w:t xml:space="preserve">prokazatelný vliv na cenu veřejné zakázky a na výběr nejvhodnější nabídky. </w:t>
      </w:r>
    </w:p>
    <w:p w14:paraId="12BD5315" w14:textId="77777777" w:rsidR="000E03AC" w:rsidRPr="00106CF1" w:rsidRDefault="000E03AC" w:rsidP="00036C5A">
      <w:pPr>
        <w:spacing w:after="60" w:line="240" w:lineRule="auto"/>
        <w:jc w:val="both"/>
        <w:rPr>
          <w:rFonts w:cstheme="minorHAnsi"/>
          <w:sz w:val="20"/>
          <w:szCs w:val="20"/>
        </w:rPr>
      </w:pPr>
      <w:r w:rsidRPr="00106CF1">
        <w:rPr>
          <w:rFonts w:cstheme="minorHAnsi"/>
          <w:sz w:val="20"/>
          <w:szCs w:val="20"/>
        </w:rPr>
        <w:t xml:space="preserve">Příjemce nevytvořil smluvní podmínky pro aktivní řízení realizace veřejné zakázky (dílo nemohlo být významnou dobu užíváno cílovou skupinou v dané lokalitě/daném regionu nebo byly prokazatelně zvýšeny provozní náklady). </w:t>
      </w:r>
    </w:p>
    <w:p w14:paraId="04290428" w14:textId="77777777" w:rsidR="000E03AC" w:rsidRPr="00106CF1" w:rsidRDefault="000E03AC" w:rsidP="00036C5A">
      <w:pPr>
        <w:spacing w:after="60" w:line="240" w:lineRule="auto"/>
        <w:jc w:val="both"/>
        <w:rPr>
          <w:rFonts w:cstheme="minorHAnsi"/>
          <w:sz w:val="20"/>
          <w:szCs w:val="20"/>
        </w:rPr>
      </w:pPr>
      <w:r w:rsidRPr="00106CF1">
        <w:rPr>
          <w:rFonts w:cstheme="minorHAnsi"/>
          <w:sz w:val="20"/>
          <w:szCs w:val="20"/>
        </w:rPr>
        <w:t xml:space="preserve">Financování projektu/akce obsahovalo významné nedostatky mající vliv na hospodárnost. </w:t>
      </w:r>
    </w:p>
    <w:p w14:paraId="3491167F" w14:textId="1634CBC6" w:rsidR="000E03AC" w:rsidRPr="00106CF1" w:rsidRDefault="000E03AC" w:rsidP="00036C5A">
      <w:pPr>
        <w:spacing w:after="60" w:line="240" w:lineRule="auto"/>
        <w:jc w:val="both"/>
        <w:rPr>
          <w:rFonts w:cstheme="minorHAnsi"/>
          <w:sz w:val="20"/>
          <w:szCs w:val="20"/>
        </w:rPr>
      </w:pPr>
      <w:r w:rsidRPr="00106CF1">
        <w:rPr>
          <w:rFonts w:cstheme="minorHAnsi"/>
          <w:sz w:val="20"/>
          <w:szCs w:val="20"/>
        </w:rPr>
        <w:t>Ze</w:t>
      </w:r>
      <w:r w:rsidR="00ED5F5E">
        <w:rPr>
          <w:rFonts w:cstheme="minorHAnsi"/>
          <w:sz w:val="20"/>
          <w:szCs w:val="20"/>
        </w:rPr>
        <w:t xml:space="preserve"> </w:t>
      </w:r>
      <w:r w:rsidRPr="00106CF1">
        <w:rPr>
          <w:rFonts w:cstheme="minorHAnsi"/>
          <w:sz w:val="20"/>
          <w:szCs w:val="20"/>
        </w:rPr>
        <w:t xml:space="preserve">strany zadavatele nebyl vůbec doložen průběh zadávacího/výběrového řízení, průběh nebyl ověřitelný. </w:t>
      </w:r>
    </w:p>
    <w:p w14:paraId="4D293657" w14:textId="77777777" w:rsidR="00036C5A" w:rsidRDefault="000E03AC" w:rsidP="00036C5A">
      <w:pPr>
        <w:spacing w:after="60" w:line="240" w:lineRule="auto"/>
        <w:jc w:val="both"/>
        <w:rPr>
          <w:rFonts w:cstheme="minorHAnsi"/>
          <w:sz w:val="20"/>
          <w:szCs w:val="20"/>
        </w:rPr>
      </w:pPr>
      <w:r w:rsidRPr="00106CF1">
        <w:rPr>
          <w:rFonts w:cstheme="minorHAnsi"/>
          <w:sz w:val="20"/>
          <w:szCs w:val="20"/>
        </w:rPr>
        <w:t>Příjemce pří přípravě a výběru nezohlednil ceny v místě a čase obvyklé (pro prokázání zohlednění nedoložil žádné doklady) a cenu nestanovil dle ověřitelných dokladů (nedoložil žádné prokazující doklady, stanovení ceny nebylo možné prověřit).</w:t>
      </w:r>
    </w:p>
    <w:p w14:paraId="7D20D549" w14:textId="4063BBD2" w:rsidR="009478FD" w:rsidRDefault="009478FD" w:rsidP="00036C5A">
      <w:pPr>
        <w:spacing w:after="60" w:line="240" w:lineRule="auto"/>
        <w:jc w:val="both"/>
        <w:rPr>
          <w:rFonts w:ascii="Calibri" w:hAnsi="Calibri" w:cs="Calibri"/>
          <w:sz w:val="24"/>
          <w:szCs w:val="24"/>
        </w:rPr>
      </w:pPr>
      <w:r>
        <w:rPr>
          <w:rFonts w:ascii="Calibri" w:hAnsi="Calibri" w:cs="Calibri"/>
          <w:sz w:val="24"/>
          <w:szCs w:val="24"/>
        </w:rPr>
        <w:br w:type="page"/>
      </w:r>
    </w:p>
    <w:p w14:paraId="414987BD" w14:textId="283A04DB" w:rsidR="009478FD" w:rsidRPr="00654B54" w:rsidRDefault="009478FD" w:rsidP="00ED5F5E">
      <w:pPr>
        <w:spacing w:after="120" w:line="240" w:lineRule="auto"/>
        <w:jc w:val="right"/>
        <w:rPr>
          <w:rFonts w:ascii="Calibri" w:hAnsi="Calibri" w:cs="Calibri"/>
          <w:b/>
          <w:sz w:val="24"/>
          <w:szCs w:val="24"/>
        </w:rPr>
      </w:pPr>
      <w:r w:rsidRPr="00654B54">
        <w:rPr>
          <w:rFonts w:ascii="Calibri" w:hAnsi="Calibri" w:cs="Calibri"/>
          <w:b/>
          <w:sz w:val="24"/>
          <w:szCs w:val="24"/>
        </w:rPr>
        <w:t xml:space="preserve">Příloha č. </w:t>
      </w:r>
      <w:r w:rsidR="001E6613">
        <w:rPr>
          <w:rFonts w:ascii="Calibri" w:hAnsi="Calibri" w:cs="Calibri"/>
          <w:b/>
          <w:sz w:val="24"/>
          <w:szCs w:val="24"/>
        </w:rPr>
        <w:t>4</w:t>
      </w:r>
    </w:p>
    <w:p w14:paraId="3CE9248B" w14:textId="2C626534" w:rsidR="009478FD" w:rsidRPr="00F31777" w:rsidRDefault="004B1A49" w:rsidP="00FA6A2A">
      <w:pPr>
        <w:spacing w:before="120" w:after="240" w:line="240" w:lineRule="auto"/>
        <w:jc w:val="center"/>
        <w:rPr>
          <w:rFonts w:cstheme="minorHAnsi"/>
          <w:b/>
          <w:sz w:val="24"/>
        </w:rPr>
      </w:pPr>
      <w:r>
        <w:rPr>
          <w:rFonts w:cstheme="minorHAnsi"/>
          <w:b/>
          <w:sz w:val="24"/>
        </w:rPr>
        <w:t>Přehled čerpání alokace v rámci krajů v letech 2017</w:t>
      </w:r>
      <w:r w:rsidR="00CB1C0E">
        <w:rPr>
          <w:rFonts w:cstheme="minorHAnsi"/>
          <w:b/>
          <w:sz w:val="24"/>
        </w:rPr>
        <w:t>–</w:t>
      </w:r>
      <w:r>
        <w:rPr>
          <w:rFonts w:cstheme="minorHAnsi"/>
          <w:b/>
          <w:sz w:val="24"/>
        </w:rPr>
        <w:t>2020</w:t>
      </w:r>
    </w:p>
    <w:p w14:paraId="7FD57DB7" w14:textId="546DC380" w:rsidR="003E37DC" w:rsidRDefault="003E37DC" w:rsidP="00ED5F5E">
      <w:pPr>
        <w:pStyle w:val="Titulek"/>
        <w:spacing w:after="40"/>
        <w:rPr>
          <w:rFonts w:cstheme="minorHAnsi"/>
          <w:b/>
          <w:i w:val="0"/>
          <w:color w:val="auto"/>
          <w:sz w:val="24"/>
          <w:szCs w:val="24"/>
        </w:rPr>
      </w:pPr>
      <w:r w:rsidRPr="00ED5F5E">
        <w:rPr>
          <w:rFonts w:cstheme="minorHAnsi"/>
          <w:b/>
          <w:i w:val="0"/>
          <w:color w:val="auto"/>
          <w:sz w:val="24"/>
          <w:szCs w:val="24"/>
        </w:rPr>
        <w:t xml:space="preserve">Tabulka č. 1: Přehled čerpání alokace v programu </w:t>
      </w:r>
      <w:r w:rsidRPr="006252C2">
        <w:rPr>
          <w:rFonts w:cstheme="minorHAnsi"/>
          <w:b/>
          <w:i w:val="0"/>
          <w:color w:val="auto"/>
          <w:sz w:val="24"/>
          <w:szCs w:val="24"/>
        </w:rPr>
        <w:t>Rozvoj</w:t>
      </w:r>
      <w:r w:rsidRPr="00ED5F5E">
        <w:rPr>
          <w:rFonts w:cstheme="minorHAnsi"/>
          <w:b/>
          <w:i w:val="0"/>
          <w:color w:val="auto"/>
          <w:sz w:val="24"/>
          <w:szCs w:val="24"/>
        </w:rPr>
        <w:t xml:space="preserve"> v rámci krajů v letech 2017</w:t>
      </w:r>
      <w:r w:rsidR="00AD4B3E" w:rsidRPr="00ED5F5E">
        <w:rPr>
          <w:rFonts w:cstheme="minorHAnsi"/>
          <w:b/>
          <w:i w:val="0"/>
          <w:color w:val="auto"/>
          <w:sz w:val="24"/>
          <w:szCs w:val="24"/>
        </w:rPr>
        <w:t>–</w:t>
      </w:r>
      <w:r w:rsidRPr="00ED5F5E">
        <w:rPr>
          <w:rFonts w:cstheme="minorHAnsi"/>
          <w:b/>
          <w:i w:val="0"/>
          <w:color w:val="auto"/>
          <w:sz w:val="24"/>
          <w:szCs w:val="24"/>
        </w:rPr>
        <w:t>2020</w:t>
      </w:r>
    </w:p>
    <w:tbl>
      <w:tblPr>
        <w:tblStyle w:val="Mkatabulky"/>
        <w:tblW w:w="9289" w:type="dxa"/>
        <w:tblLook w:val="04A0" w:firstRow="1" w:lastRow="0" w:firstColumn="1" w:lastColumn="0" w:noHBand="0" w:noVBand="1"/>
      </w:tblPr>
      <w:tblGrid>
        <w:gridCol w:w="1956"/>
        <w:gridCol w:w="2494"/>
        <w:gridCol w:w="2438"/>
        <w:gridCol w:w="1474"/>
        <w:gridCol w:w="927"/>
      </w:tblGrid>
      <w:tr w:rsidR="009E341C" w:rsidRPr="00ED5F5E" w14:paraId="034B802E" w14:textId="77777777" w:rsidTr="007364FB">
        <w:trPr>
          <w:trHeight w:val="255"/>
        </w:trPr>
        <w:tc>
          <w:tcPr>
            <w:tcW w:w="1956"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277FC067" w14:textId="77777777" w:rsidR="009E341C" w:rsidRPr="00ED5F5E" w:rsidRDefault="009E341C" w:rsidP="007364FB">
            <w:pPr>
              <w:jc w:val="center"/>
              <w:rPr>
                <w:rFonts w:ascii="Calibri" w:hAnsi="Calibri" w:cs="Calibri"/>
                <w:b/>
                <w:sz w:val="20"/>
                <w:szCs w:val="20"/>
                <w:lang w:eastAsia="cs-CZ"/>
              </w:rPr>
            </w:pPr>
            <w:r w:rsidRPr="00ED5F5E">
              <w:rPr>
                <w:rFonts w:ascii="Calibri" w:hAnsi="Calibri" w:cs="Calibri"/>
                <w:b/>
                <w:sz w:val="20"/>
                <w:szCs w:val="20"/>
                <w:lang w:eastAsia="cs-CZ"/>
              </w:rPr>
              <w:t>Kraj</w:t>
            </w:r>
          </w:p>
        </w:tc>
        <w:tc>
          <w:tcPr>
            <w:tcW w:w="2494"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6B05055C" w14:textId="16640FE9" w:rsidR="009E341C" w:rsidRPr="00ED5F5E" w:rsidRDefault="009E341C" w:rsidP="007364FB">
            <w:pPr>
              <w:jc w:val="center"/>
              <w:rPr>
                <w:rFonts w:ascii="Calibri" w:hAnsi="Calibri" w:cs="Calibri"/>
                <w:sz w:val="20"/>
                <w:szCs w:val="20"/>
                <w:lang w:eastAsia="cs-CZ"/>
              </w:rPr>
            </w:pPr>
            <w:r w:rsidRPr="00ED5F5E">
              <w:rPr>
                <w:rFonts w:ascii="Calibri" w:hAnsi="Calibri" w:cs="Calibri"/>
                <w:b/>
                <w:color w:val="000000"/>
                <w:sz w:val="20"/>
                <w:szCs w:val="20"/>
                <w:lang w:eastAsia="cs-CZ"/>
              </w:rPr>
              <w:t>Součet disponibilní alokace pro kraj 2017</w:t>
            </w:r>
            <w:r w:rsidR="00010371">
              <w:rPr>
                <w:rFonts w:ascii="Calibri" w:hAnsi="Calibri" w:cs="Calibri"/>
                <w:b/>
                <w:color w:val="000000"/>
                <w:sz w:val="20"/>
                <w:szCs w:val="20"/>
                <w:lang w:eastAsia="cs-CZ"/>
              </w:rPr>
              <w:t>−</w:t>
            </w:r>
            <w:r w:rsidRPr="00ED5F5E">
              <w:rPr>
                <w:rFonts w:ascii="Calibri" w:hAnsi="Calibri" w:cs="Calibri"/>
                <w:b/>
                <w:color w:val="000000"/>
                <w:sz w:val="20"/>
                <w:szCs w:val="20"/>
                <w:lang w:eastAsia="cs-CZ"/>
              </w:rPr>
              <w:t>2020 (výzvy) v Kč</w:t>
            </w:r>
          </w:p>
        </w:tc>
        <w:tc>
          <w:tcPr>
            <w:tcW w:w="2438"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3AAB8160" w14:textId="17C32D99" w:rsidR="009E341C" w:rsidRPr="00ED5F5E" w:rsidRDefault="009E341C" w:rsidP="007364FB">
            <w:pPr>
              <w:jc w:val="center"/>
              <w:rPr>
                <w:rFonts w:ascii="Calibri" w:hAnsi="Calibri" w:cs="Calibri"/>
                <w:sz w:val="20"/>
                <w:szCs w:val="20"/>
                <w:lang w:eastAsia="cs-CZ"/>
              </w:rPr>
            </w:pPr>
            <w:r w:rsidRPr="00ED5F5E">
              <w:rPr>
                <w:rFonts w:ascii="Calibri" w:hAnsi="Calibri" w:cs="Calibri"/>
                <w:b/>
                <w:color w:val="000000"/>
                <w:sz w:val="20"/>
                <w:szCs w:val="20"/>
                <w:lang w:eastAsia="cs-CZ"/>
              </w:rPr>
              <w:t>Objem skutečně čerpané dotace na kraj 2017</w:t>
            </w:r>
            <w:r w:rsidR="00010371">
              <w:rPr>
                <w:rFonts w:ascii="Calibri" w:hAnsi="Calibri" w:cs="Calibri"/>
                <w:b/>
                <w:color w:val="000000"/>
                <w:sz w:val="20"/>
                <w:szCs w:val="20"/>
                <w:lang w:eastAsia="cs-CZ"/>
              </w:rPr>
              <w:t>−</w:t>
            </w:r>
            <w:r w:rsidRPr="00ED5F5E">
              <w:rPr>
                <w:rFonts w:ascii="Calibri" w:hAnsi="Calibri" w:cs="Calibri"/>
                <w:b/>
                <w:color w:val="000000"/>
                <w:sz w:val="20"/>
                <w:szCs w:val="20"/>
                <w:lang w:eastAsia="cs-CZ"/>
              </w:rPr>
              <w:t>2020 (</w:t>
            </w:r>
            <w:proofErr w:type="spellStart"/>
            <w:r w:rsidRPr="00ED5F5E">
              <w:rPr>
                <w:rFonts w:ascii="Calibri" w:hAnsi="Calibri" w:cs="Calibri"/>
                <w:b/>
                <w:color w:val="000000"/>
                <w:sz w:val="20"/>
                <w:szCs w:val="20"/>
                <w:lang w:eastAsia="cs-CZ"/>
              </w:rPr>
              <w:t>RoPD</w:t>
            </w:r>
            <w:proofErr w:type="spellEnd"/>
            <w:r w:rsidRPr="00ED5F5E">
              <w:rPr>
                <w:rFonts w:ascii="Calibri" w:hAnsi="Calibri" w:cs="Calibri"/>
                <w:b/>
                <w:color w:val="000000"/>
                <w:sz w:val="20"/>
                <w:szCs w:val="20"/>
                <w:lang w:eastAsia="cs-CZ"/>
              </w:rPr>
              <w:t>) v Kč</w:t>
            </w:r>
          </w:p>
        </w:tc>
        <w:tc>
          <w:tcPr>
            <w:tcW w:w="1474" w:type="dxa"/>
            <w:tcBorders>
              <w:top w:val="single" w:sz="4" w:space="0" w:color="auto"/>
              <w:left w:val="single" w:sz="4" w:space="0" w:color="auto"/>
              <w:bottom w:val="single" w:sz="4" w:space="0" w:color="auto"/>
              <w:right w:val="single" w:sz="4" w:space="0" w:color="auto"/>
            </w:tcBorders>
            <w:shd w:val="clear" w:color="auto" w:fill="F2C6C9"/>
            <w:vAlign w:val="center"/>
            <w:hideMark/>
          </w:tcPr>
          <w:p w14:paraId="608F0987" w14:textId="23011180" w:rsidR="009E341C" w:rsidRPr="00ED5F5E" w:rsidRDefault="009E341C" w:rsidP="007364FB">
            <w:pPr>
              <w:jc w:val="center"/>
              <w:rPr>
                <w:rFonts w:ascii="Calibri" w:hAnsi="Calibri" w:cs="Calibri"/>
                <w:b/>
                <w:sz w:val="20"/>
                <w:szCs w:val="20"/>
                <w:lang w:eastAsia="cs-CZ"/>
              </w:rPr>
            </w:pPr>
            <w:r w:rsidRPr="00ED5F5E">
              <w:rPr>
                <w:rFonts w:ascii="Calibri" w:hAnsi="Calibri" w:cs="Calibri"/>
                <w:b/>
                <w:color w:val="000000"/>
                <w:sz w:val="20"/>
                <w:szCs w:val="20"/>
                <w:lang w:eastAsia="cs-CZ"/>
              </w:rPr>
              <w:t xml:space="preserve">Čerpaní dotace na alokaci </w:t>
            </w:r>
            <w:r w:rsidR="00781EA4">
              <w:rPr>
                <w:rFonts w:ascii="Calibri" w:hAnsi="Calibri" w:cs="Calibri"/>
                <w:b/>
                <w:color w:val="000000"/>
                <w:sz w:val="20"/>
                <w:szCs w:val="20"/>
                <w:lang w:eastAsia="cs-CZ"/>
              </w:rPr>
              <w:t>v </w:t>
            </w:r>
            <w:r w:rsidRPr="00ED5F5E">
              <w:rPr>
                <w:rFonts w:ascii="Calibri" w:hAnsi="Calibri" w:cs="Calibri"/>
                <w:b/>
                <w:color w:val="000000"/>
                <w:sz w:val="20"/>
                <w:szCs w:val="20"/>
                <w:lang w:eastAsia="cs-CZ"/>
              </w:rPr>
              <w:t>%</w:t>
            </w:r>
          </w:p>
        </w:tc>
        <w:tc>
          <w:tcPr>
            <w:tcW w:w="927"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6A6D6F16" w14:textId="77777777" w:rsidR="009E341C" w:rsidRPr="00ED5F5E" w:rsidRDefault="009E341C" w:rsidP="007364FB">
            <w:pPr>
              <w:jc w:val="center"/>
              <w:rPr>
                <w:rFonts w:ascii="Calibri" w:hAnsi="Calibri" w:cs="Calibri"/>
                <w:sz w:val="20"/>
                <w:szCs w:val="20"/>
                <w:lang w:eastAsia="cs-CZ"/>
              </w:rPr>
            </w:pPr>
            <w:r w:rsidRPr="00ED5F5E">
              <w:rPr>
                <w:rFonts w:ascii="Calibri" w:hAnsi="Calibri" w:cs="Calibri"/>
                <w:b/>
                <w:color w:val="000000"/>
                <w:sz w:val="20"/>
                <w:szCs w:val="20"/>
                <w:lang w:eastAsia="cs-CZ"/>
              </w:rPr>
              <w:t>Počet projektů</w:t>
            </w:r>
          </w:p>
        </w:tc>
      </w:tr>
      <w:tr w:rsidR="009E341C" w:rsidRPr="00ED5F5E" w14:paraId="689BA990" w14:textId="77777777" w:rsidTr="007364FB">
        <w:trPr>
          <w:trHeight w:val="255"/>
        </w:trPr>
        <w:tc>
          <w:tcPr>
            <w:tcW w:w="1956" w:type="dxa"/>
            <w:tcBorders>
              <w:top w:val="single" w:sz="4" w:space="0" w:color="auto"/>
              <w:left w:val="single" w:sz="4" w:space="0" w:color="auto"/>
              <w:bottom w:val="single" w:sz="4" w:space="0" w:color="auto"/>
              <w:right w:val="single" w:sz="4" w:space="0" w:color="auto"/>
            </w:tcBorders>
            <w:hideMark/>
          </w:tcPr>
          <w:p w14:paraId="02810862" w14:textId="77777777" w:rsidR="009E341C" w:rsidRPr="00ED5F5E" w:rsidRDefault="009E341C" w:rsidP="009E341C">
            <w:pPr>
              <w:rPr>
                <w:rFonts w:ascii="Calibri" w:hAnsi="Calibri" w:cs="Calibri"/>
                <w:sz w:val="20"/>
                <w:szCs w:val="20"/>
                <w:lang w:eastAsia="cs-CZ"/>
              </w:rPr>
            </w:pPr>
            <w:r w:rsidRPr="00ED5F5E">
              <w:rPr>
                <w:rFonts w:ascii="Calibri" w:hAnsi="Calibri" w:cs="Calibri"/>
                <w:color w:val="000000"/>
                <w:sz w:val="20"/>
                <w:szCs w:val="20"/>
                <w:lang w:eastAsia="cs-CZ"/>
              </w:rPr>
              <w:t xml:space="preserve">Středočeský kraj </w:t>
            </w:r>
          </w:p>
        </w:tc>
        <w:tc>
          <w:tcPr>
            <w:tcW w:w="2494" w:type="dxa"/>
            <w:tcBorders>
              <w:top w:val="single" w:sz="4" w:space="0" w:color="auto"/>
              <w:left w:val="single" w:sz="4" w:space="0" w:color="auto"/>
              <w:bottom w:val="single" w:sz="4" w:space="0" w:color="auto"/>
              <w:right w:val="single" w:sz="4" w:space="0" w:color="auto"/>
            </w:tcBorders>
            <w:hideMark/>
          </w:tcPr>
          <w:p w14:paraId="2B2B3667" w14:textId="410EA019" w:rsidR="009E341C" w:rsidRPr="00ED5F5E" w:rsidRDefault="009E341C" w:rsidP="009E341C">
            <w:pPr>
              <w:ind w:right="409"/>
              <w:jc w:val="right"/>
              <w:rPr>
                <w:rFonts w:ascii="Calibri" w:hAnsi="Calibri" w:cs="Calibri"/>
                <w:sz w:val="20"/>
                <w:szCs w:val="20"/>
                <w:lang w:eastAsia="cs-CZ"/>
              </w:rPr>
            </w:pPr>
            <w:r w:rsidRPr="00E12A3B">
              <w:rPr>
                <w:rFonts w:cstheme="minorHAnsi"/>
                <w:color w:val="000000"/>
                <w:sz w:val="20"/>
                <w:szCs w:val="20"/>
                <w:lang w:eastAsia="cs-CZ"/>
              </w:rPr>
              <w:t xml:space="preserve">35 547 902 </w:t>
            </w:r>
          </w:p>
        </w:tc>
        <w:tc>
          <w:tcPr>
            <w:tcW w:w="2438" w:type="dxa"/>
            <w:tcBorders>
              <w:top w:val="single" w:sz="4" w:space="0" w:color="auto"/>
              <w:left w:val="single" w:sz="4" w:space="0" w:color="auto"/>
              <w:bottom w:val="single" w:sz="4" w:space="0" w:color="auto"/>
              <w:right w:val="single" w:sz="4" w:space="0" w:color="auto"/>
            </w:tcBorders>
            <w:hideMark/>
          </w:tcPr>
          <w:p w14:paraId="33D2CAA1" w14:textId="26D90D9E" w:rsidR="009E341C" w:rsidRPr="00ED5F5E" w:rsidRDefault="009E341C" w:rsidP="009E341C">
            <w:pPr>
              <w:ind w:right="409"/>
              <w:jc w:val="right"/>
              <w:rPr>
                <w:rFonts w:ascii="Calibri" w:hAnsi="Calibri" w:cs="Calibri"/>
                <w:sz w:val="20"/>
                <w:szCs w:val="20"/>
                <w:lang w:eastAsia="cs-CZ"/>
              </w:rPr>
            </w:pPr>
            <w:r w:rsidRPr="00E12A3B">
              <w:rPr>
                <w:rFonts w:cstheme="minorHAnsi"/>
                <w:color w:val="000000"/>
                <w:sz w:val="20"/>
                <w:szCs w:val="20"/>
                <w:lang w:eastAsia="cs-CZ"/>
              </w:rPr>
              <w:t>33 876 566</w:t>
            </w:r>
          </w:p>
        </w:tc>
        <w:tc>
          <w:tcPr>
            <w:tcW w:w="1474" w:type="dxa"/>
            <w:tcBorders>
              <w:top w:val="single" w:sz="4" w:space="0" w:color="auto"/>
              <w:left w:val="single" w:sz="4" w:space="0" w:color="auto"/>
              <w:bottom w:val="single" w:sz="4" w:space="0" w:color="auto"/>
              <w:right w:val="single" w:sz="4" w:space="0" w:color="auto"/>
            </w:tcBorders>
            <w:shd w:val="clear" w:color="auto" w:fill="F2C6C9"/>
            <w:hideMark/>
          </w:tcPr>
          <w:p w14:paraId="38B4640C" w14:textId="507E2E7A" w:rsidR="009E341C" w:rsidRPr="00ED5F5E" w:rsidRDefault="009E341C" w:rsidP="009E341C">
            <w:pPr>
              <w:ind w:right="435"/>
              <w:jc w:val="right"/>
              <w:rPr>
                <w:rFonts w:ascii="Calibri" w:hAnsi="Calibri" w:cs="Calibri"/>
                <w:b/>
                <w:sz w:val="20"/>
                <w:szCs w:val="20"/>
                <w:lang w:eastAsia="cs-CZ"/>
              </w:rPr>
            </w:pPr>
            <w:r w:rsidRPr="00E12A3B">
              <w:rPr>
                <w:rFonts w:cstheme="minorHAnsi"/>
                <w:b/>
                <w:color w:val="000000"/>
                <w:sz w:val="20"/>
                <w:szCs w:val="20"/>
                <w:lang w:eastAsia="cs-CZ"/>
              </w:rPr>
              <w:t>9</w:t>
            </w:r>
            <w:r>
              <w:rPr>
                <w:rFonts w:cstheme="minorHAnsi"/>
                <w:b/>
                <w:color w:val="000000"/>
                <w:sz w:val="20"/>
                <w:szCs w:val="20"/>
                <w:lang w:eastAsia="cs-CZ"/>
              </w:rPr>
              <w:t>5</w:t>
            </w:r>
          </w:p>
        </w:tc>
        <w:tc>
          <w:tcPr>
            <w:tcW w:w="927" w:type="dxa"/>
            <w:tcBorders>
              <w:top w:val="single" w:sz="4" w:space="0" w:color="auto"/>
              <w:left w:val="single" w:sz="4" w:space="0" w:color="auto"/>
              <w:bottom w:val="single" w:sz="4" w:space="0" w:color="auto"/>
              <w:right w:val="single" w:sz="4" w:space="0" w:color="auto"/>
            </w:tcBorders>
            <w:hideMark/>
          </w:tcPr>
          <w:p w14:paraId="7B6EE6DD" w14:textId="41AFEBFB" w:rsidR="009E341C" w:rsidRPr="00ED5F5E" w:rsidRDefault="009E341C" w:rsidP="009E341C">
            <w:pPr>
              <w:ind w:right="113"/>
              <w:jc w:val="right"/>
              <w:rPr>
                <w:rFonts w:ascii="Calibri" w:hAnsi="Calibri" w:cs="Calibri"/>
                <w:sz w:val="20"/>
                <w:szCs w:val="20"/>
                <w:lang w:eastAsia="cs-CZ"/>
              </w:rPr>
            </w:pPr>
            <w:r w:rsidRPr="00E12A3B">
              <w:rPr>
                <w:rFonts w:cstheme="minorHAnsi"/>
                <w:color w:val="000000"/>
                <w:sz w:val="20"/>
                <w:szCs w:val="20"/>
                <w:lang w:eastAsia="cs-CZ"/>
              </w:rPr>
              <w:t>31</w:t>
            </w:r>
          </w:p>
        </w:tc>
      </w:tr>
      <w:tr w:rsidR="009E341C" w:rsidRPr="00ED5F5E" w14:paraId="57F42A6D" w14:textId="77777777" w:rsidTr="007364FB">
        <w:trPr>
          <w:trHeight w:val="255"/>
        </w:trPr>
        <w:tc>
          <w:tcPr>
            <w:tcW w:w="1956" w:type="dxa"/>
            <w:tcBorders>
              <w:top w:val="single" w:sz="4" w:space="0" w:color="auto"/>
              <w:left w:val="single" w:sz="4" w:space="0" w:color="auto"/>
              <w:bottom w:val="single" w:sz="4" w:space="0" w:color="auto"/>
              <w:right w:val="single" w:sz="4" w:space="0" w:color="auto"/>
            </w:tcBorders>
            <w:hideMark/>
          </w:tcPr>
          <w:p w14:paraId="36C4EE20" w14:textId="77777777" w:rsidR="009E341C" w:rsidRPr="00ED5F5E" w:rsidRDefault="009E341C" w:rsidP="009E341C">
            <w:pPr>
              <w:rPr>
                <w:rFonts w:ascii="Calibri" w:hAnsi="Calibri" w:cs="Calibri"/>
                <w:sz w:val="20"/>
                <w:szCs w:val="20"/>
                <w:lang w:eastAsia="cs-CZ"/>
              </w:rPr>
            </w:pPr>
            <w:r w:rsidRPr="00ED5F5E">
              <w:rPr>
                <w:rFonts w:ascii="Calibri" w:hAnsi="Calibri" w:cs="Calibri"/>
                <w:color w:val="000000"/>
                <w:sz w:val="20"/>
                <w:szCs w:val="20"/>
                <w:lang w:eastAsia="cs-CZ"/>
              </w:rPr>
              <w:t xml:space="preserve">Zlínský kraj </w:t>
            </w:r>
          </w:p>
        </w:tc>
        <w:tc>
          <w:tcPr>
            <w:tcW w:w="2494" w:type="dxa"/>
            <w:tcBorders>
              <w:top w:val="single" w:sz="4" w:space="0" w:color="auto"/>
              <w:left w:val="single" w:sz="4" w:space="0" w:color="auto"/>
              <w:bottom w:val="single" w:sz="4" w:space="0" w:color="auto"/>
              <w:right w:val="single" w:sz="4" w:space="0" w:color="auto"/>
            </w:tcBorders>
            <w:hideMark/>
          </w:tcPr>
          <w:p w14:paraId="3BF02248" w14:textId="41BFC075" w:rsidR="009E341C" w:rsidRPr="00ED5F5E" w:rsidRDefault="009E341C" w:rsidP="009E341C">
            <w:pPr>
              <w:ind w:right="409"/>
              <w:jc w:val="right"/>
              <w:rPr>
                <w:rFonts w:ascii="Calibri" w:hAnsi="Calibri" w:cs="Calibri"/>
                <w:sz w:val="20"/>
                <w:szCs w:val="20"/>
                <w:lang w:eastAsia="cs-CZ"/>
              </w:rPr>
            </w:pPr>
            <w:r w:rsidRPr="00E12A3B">
              <w:rPr>
                <w:rFonts w:cstheme="minorHAnsi"/>
                <w:color w:val="000000"/>
                <w:sz w:val="20"/>
                <w:szCs w:val="20"/>
                <w:lang w:eastAsia="cs-CZ"/>
              </w:rPr>
              <w:t xml:space="preserve">21 773 368 </w:t>
            </w:r>
          </w:p>
        </w:tc>
        <w:tc>
          <w:tcPr>
            <w:tcW w:w="2438" w:type="dxa"/>
            <w:tcBorders>
              <w:top w:val="single" w:sz="4" w:space="0" w:color="auto"/>
              <w:left w:val="single" w:sz="4" w:space="0" w:color="auto"/>
              <w:bottom w:val="single" w:sz="4" w:space="0" w:color="auto"/>
              <w:right w:val="single" w:sz="4" w:space="0" w:color="auto"/>
            </w:tcBorders>
            <w:hideMark/>
          </w:tcPr>
          <w:p w14:paraId="06600A23" w14:textId="66D26917" w:rsidR="009E341C" w:rsidRPr="00ED5F5E" w:rsidRDefault="009E341C" w:rsidP="009E341C">
            <w:pPr>
              <w:ind w:right="409"/>
              <w:jc w:val="right"/>
              <w:rPr>
                <w:rFonts w:ascii="Calibri" w:hAnsi="Calibri" w:cs="Calibri"/>
                <w:sz w:val="20"/>
                <w:szCs w:val="20"/>
                <w:lang w:eastAsia="cs-CZ"/>
              </w:rPr>
            </w:pPr>
            <w:r w:rsidRPr="00E12A3B">
              <w:rPr>
                <w:rFonts w:cstheme="minorHAnsi"/>
                <w:color w:val="000000"/>
                <w:sz w:val="20"/>
                <w:szCs w:val="20"/>
                <w:lang w:eastAsia="cs-CZ"/>
              </w:rPr>
              <w:t>20 150 439</w:t>
            </w:r>
          </w:p>
        </w:tc>
        <w:tc>
          <w:tcPr>
            <w:tcW w:w="1474" w:type="dxa"/>
            <w:tcBorders>
              <w:top w:val="single" w:sz="4" w:space="0" w:color="auto"/>
              <w:left w:val="single" w:sz="4" w:space="0" w:color="auto"/>
              <w:bottom w:val="single" w:sz="4" w:space="0" w:color="auto"/>
              <w:right w:val="single" w:sz="4" w:space="0" w:color="auto"/>
            </w:tcBorders>
            <w:shd w:val="clear" w:color="auto" w:fill="F2C6C9"/>
            <w:hideMark/>
          </w:tcPr>
          <w:p w14:paraId="2D719C5C" w14:textId="45F2D1F9" w:rsidR="009E341C" w:rsidRPr="00ED5F5E" w:rsidRDefault="009E341C" w:rsidP="009E341C">
            <w:pPr>
              <w:ind w:right="435"/>
              <w:jc w:val="right"/>
              <w:rPr>
                <w:rFonts w:ascii="Calibri" w:hAnsi="Calibri" w:cs="Calibri"/>
                <w:b/>
                <w:sz w:val="20"/>
                <w:szCs w:val="20"/>
                <w:lang w:eastAsia="cs-CZ"/>
              </w:rPr>
            </w:pPr>
            <w:r w:rsidRPr="00E12A3B">
              <w:rPr>
                <w:rFonts w:cstheme="minorHAnsi"/>
                <w:b/>
                <w:color w:val="000000"/>
                <w:sz w:val="20"/>
                <w:szCs w:val="20"/>
                <w:lang w:eastAsia="cs-CZ"/>
              </w:rPr>
              <w:t>9</w:t>
            </w:r>
            <w:r>
              <w:rPr>
                <w:rFonts w:cstheme="minorHAnsi"/>
                <w:b/>
                <w:color w:val="000000"/>
                <w:sz w:val="20"/>
                <w:szCs w:val="20"/>
                <w:lang w:eastAsia="cs-CZ"/>
              </w:rPr>
              <w:t>3</w:t>
            </w:r>
          </w:p>
        </w:tc>
        <w:tc>
          <w:tcPr>
            <w:tcW w:w="927" w:type="dxa"/>
            <w:tcBorders>
              <w:top w:val="single" w:sz="4" w:space="0" w:color="auto"/>
              <w:left w:val="single" w:sz="4" w:space="0" w:color="auto"/>
              <w:bottom w:val="single" w:sz="4" w:space="0" w:color="auto"/>
              <w:right w:val="single" w:sz="4" w:space="0" w:color="auto"/>
            </w:tcBorders>
            <w:hideMark/>
          </w:tcPr>
          <w:p w14:paraId="7A883F5F" w14:textId="0D4CD29D" w:rsidR="009E341C" w:rsidRPr="00ED5F5E" w:rsidRDefault="009E341C" w:rsidP="009E341C">
            <w:pPr>
              <w:ind w:right="113"/>
              <w:jc w:val="right"/>
              <w:rPr>
                <w:rFonts w:ascii="Calibri" w:hAnsi="Calibri" w:cs="Calibri"/>
                <w:sz w:val="20"/>
                <w:szCs w:val="20"/>
                <w:lang w:eastAsia="cs-CZ"/>
              </w:rPr>
            </w:pPr>
            <w:r w:rsidRPr="00E12A3B">
              <w:rPr>
                <w:rFonts w:cstheme="minorHAnsi"/>
                <w:color w:val="000000"/>
                <w:sz w:val="20"/>
                <w:szCs w:val="20"/>
                <w:lang w:eastAsia="cs-CZ"/>
              </w:rPr>
              <w:t>18</w:t>
            </w:r>
          </w:p>
        </w:tc>
      </w:tr>
      <w:tr w:rsidR="009E341C" w:rsidRPr="00ED5F5E" w14:paraId="2A2C16E9" w14:textId="77777777" w:rsidTr="007364FB">
        <w:trPr>
          <w:trHeight w:val="255"/>
        </w:trPr>
        <w:tc>
          <w:tcPr>
            <w:tcW w:w="1956" w:type="dxa"/>
            <w:tcBorders>
              <w:top w:val="single" w:sz="4" w:space="0" w:color="auto"/>
              <w:left w:val="single" w:sz="4" w:space="0" w:color="auto"/>
              <w:bottom w:val="single" w:sz="4" w:space="0" w:color="auto"/>
              <w:right w:val="single" w:sz="4" w:space="0" w:color="auto"/>
            </w:tcBorders>
            <w:hideMark/>
          </w:tcPr>
          <w:p w14:paraId="4D0C8ECF" w14:textId="77777777" w:rsidR="009E341C" w:rsidRPr="00ED5F5E" w:rsidRDefault="009E341C" w:rsidP="009E341C">
            <w:pPr>
              <w:rPr>
                <w:rFonts w:ascii="Calibri" w:hAnsi="Calibri" w:cs="Calibri"/>
                <w:sz w:val="20"/>
                <w:szCs w:val="20"/>
                <w:vertAlign w:val="superscript"/>
                <w:lang w:eastAsia="cs-CZ"/>
              </w:rPr>
            </w:pPr>
            <w:r w:rsidRPr="00ED5F5E">
              <w:rPr>
                <w:rFonts w:ascii="Calibri" w:hAnsi="Calibri" w:cs="Calibri"/>
                <w:color w:val="000000"/>
                <w:sz w:val="20"/>
                <w:szCs w:val="20"/>
                <w:lang w:eastAsia="cs-CZ"/>
              </w:rPr>
              <w:t>Liberecký kraj</w:t>
            </w:r>
            <w:r w:rsidRPr="00ED5F5E">
              <w:rPr>
                <w:rFonts w:ascii="Calibri" w:hAnsi="Calibri" w:cs="Calibri"/>
                <w:color w:val="000000"/>
                <w:sz w:val="20"/>
                <w:szCs w:val="20"/>
                <w:vertAlign w:val="superscript"/>
                <w:lang w:eastAsia="cs-CZ"/>
              </w:rPr>
              <w:t>17</w:t>
            </w:r>
          </w:p>
        </w:tc>
        <w:tc>
          <w:tcPr>
            <w:tcW w:w="2494" w:type="dxa"/>
            <w:tcBorders>
              <w:top w:val="single" w:sz="4" w:space="0" w:color="auto"/>
              <w:left w:val="single" w:sz="4" w:space="0" w:color="auto"/>
              <w:bottom w:val="single" w:sz="4" w:space="0" w:color="auto"/>
              <w:right w:val="single" w:sz="4" w:space="0" w:color="auto"/>
            </w:tcBorders>
            <w:hideMark/>
          </w:tcPr>
          <w:p w14:paraId="75CF74A9" w14:textId="2DCD6C70" w:rsidR="009E341C" w:rsidRPr="00ED5F5E" w:rsidRDefault="009E341C" w:rsidP="009E341C">
            <w:pPr>
              <w:ind w:right="409"/>
              <w:jc w:val="right"/>
              <w:rPr>
                <w:rFonts w:ascii="Calibri" w:hAnsi="Calibri" w:cs="Calibri"/>
                <w:sz w:val="20"/>
                <w:szCs w:val="20"/>
                <w:lang w:eastAsia="cs-CZ"/>
              </w:rPr>
            </w:pPr>
            <w:r w:rsidRPr="00E12A3B">
              <w:rPr>
                <w:rFonts w:cstheme="minorHAnsi"/>
                <w:color w:val="000000"/>
                <w:sz w:val="20"/>
                <w:szCs w:val="20"/>
                <w:lang w:eastAsia="cs-CZ"/>
              </w:rPr>
              <w:t xml:space="preserve">27 531 558 </w:t>
            </w:r>
          </w:p>
        </w:tc>
        <w:tc>
          <w:tcPr>
            <w:tcW w:w="2438" w:type="dxa"/>
            <w:tcBorders>
              <w:top w:val="single" w:sz="4" w:space="0" w:color="auto"/>
              <w:left w:val="single" w:sz="4" w:space="0" w:color="auto"/>
              <w:bottom w:val="single" w:sz="4" w:space="0" w:color="auto"/>
              <w:right w:val="single" w:sz="4" w:space="0" w:color="auto"/>
            </w:tcBorders>
            <w:hideMark/>
          </w:tcPr>
          <w:p w14:paraId="32BB72F4" w14:textId="09DAA20D" w:rsidR="009E341C" w:rsidRPr="00ED5F5E" w:rsidRDefault="009E341C" w:rsidP="009E341C">
            <w:pPr>
              <w:ind w:right="409"/>
              <w:jc w:val="right"/>
              <w:rPr>
                <w:rFonts w:ascii="Calibri" w:hAnsi="Calibri" w:cs="Calibri"/>
                <w:sz w:val="20"/>
                <w:szCs w:val="20"/>
                <w:lang w:eastAsia="cs-CZ"/>
              </w:rPr>
            </w:pPr>
            <w:r w:rsidRPr="00E12A3B">
              <w:rPr>
                <w:rFonts w:cstheme="minorHAnsi"/>
                <w:color w:val="000000"/>
                <w:sz w:val="20"/>
                <w:szCs w:val="20"/>
                <w:lang w:eastAsia="cs-CZ"/>
              </w:rPr>
              <w:t>22 410 972</w:t>
            </w:r>
          </w:p>
        </w:tc>
        <w:tc>
          <w:tcPr>
            <w:tcW w:w="1474" w:type="dxa"/>
            <w:tcBorders>
              <w:top w:val="single" w:sz="4" w:space="0" w:color="auto"/>
              <w:left w:val="single" w:sz="4" w:space="0" w:color="auto"/>
              <w:bottom w:val="single" w:sz="4" w:space="0" w:color="auto"/>
              <w:right w:val="single" w:sz="4" w:space="0" w:color="auto"/>
            </w:tcBorders>
            <w:shd w:val="clear" w:color="auto" w:fill="F2C6C9"/>
            <w:hideMark/>
          </w:tcPr>
          <w:p w14:paraId="5C35C258" w14:textId="220E6207" w:rsidR="009E341C" w:rsidRPr="00ED5F5E" w:rsidRDefault="009E341C" w:rsidP="009E341C">
            <w:pPr>
              <w:ind w:right="435"/>
              <w:jc w:val="right"/>
              <w:rPr>
                <w:rFonts w:ascii="Calibri" w:hAnsi="Calibri" w:cs="Calibri"/>
                <w:b/>
                <w:sz w:val="20"/>
                <w:szCs w:val="20"/>
                <w:lang w:eastAsia="cs-CZ"/>
              </w:rPr>
            </w:pPr>
            <w:r w:rsidRPr="00E12A3B">
              <w:rPr>
                <w:rFonts w:cstheme="minorHAnsi"/>
                <w:b/>
                <w:color w:val="000000"/>
                <w:sz w:val="20"/>
                <w:szCs w:val="20"/>
                <w:lang w:eastAsia="cs-CZ"/>
              </w:rPr>
              <w:t>81</w:t>
            </w:r>
          </w:p>
        </w:tc>
        <w:tc>
          <w:tcPr>
            <w:tcW w:w="927" w:type="dxa"/>
            <w:tcBorders>
              <w:top w:val="single" w:sz="4" w:space="0" w:color="auto"/>
              <w:left w:val="single" w:sz="4" w:space="0" w:color="auto"/>
              <w:bottom w:val="single" w:sz="4" w:space="0" w:color="auto"/>
              <w:right w:val="single" w:sz="4" w:space="0" w:color="auto"/>
            </w:tcBorders>
            <w:hideMark/>
          </w:tcPr>
          <w:p w14:paraId="156DA3A8" w14:textId="7484743A" w:rsidR="009E341C" w:rsidRPr="00ED5F5E" w:rsidRDefault="009E341C" w:rsidP="009E341C">
            <w:pPr>
              <w:ind w:right="113"/>
              <w:jc w:val="right"/>
              <w:rPr>
                <w:rFonts w:ascii="Calibri" w:hAnsi="Calibri" w:cs="Calibri"/>
                <w:sz w:val="20"/>
                <w:szCs w:val="20"/>
                <w:lang w:eastAsia="cs-CZ"/>
              </w:rPr>
            </w:pPr>
            <w:r w:rsidRPr="00E12A3B">
              <w:rPr>
                <w:rFonts w:cstheme="minorHAnsi"/>
                <w:color w:val="000000"/>
                <w:sz w:val="20"/>
                <w:szCs w:val="20"/>
                <w:lang w:eastAsia="cs-CZ"/>
              </w:rPr>
              <w:t>16</w:t>
            </w:r>
          </w:p>
        </w:tc>
      </w:tr>
      <w:tr w:rsidR="009E341C" w:rsidRPr="00ED5F5E" w14:paraId="166B42FC" w14:textId="77777777" w:rsidTr="007364FB">
        <w:trPr>
          <w:trHeight w:val="255"/>
        </w:trPr>
        <w:tc>
          <w:tcPr>
            <w:tcW w:w="1956" w:type="dxa"/>
            <w:tcBorders>
              <w:top w:val="single" w:sz="4" w:space="0" w:color="auto"/>
              <w:left w:val="single" w:sz="4" w:space="0" w:color="auto"/>
              <w:bottom w:val="single" w:sz="4" w:space="0" w:color="auto"/>
              <w:right w:val="single" w:sz="4" w:space="0" w:color="auto"/>
            </w:tcBorders>
            <w:hideMark/>
          </w:tcPr>
          <w:p w14:paraId="7877A8EE" w14:textId="77777777" w:rsidR="009E341C" w:rsidRPr="00ED5F5E" w:rsidRDefault="009E341C" w:rsidP="009E341C">
            <w:pPr>
              <w:rPr>
                <w:rFonts w:ascii="Calibri" w:hAnsi="Calibri" w:cs="Calibri"/>
                <w:sz w:val="20"/>
                <w:szCs w:val="20"/>
                <w:lang w:eastAsia="cs-CZ"/>
              </w:rPr>
            </w:pPr>
            <w:r w:rsidRPr="00ED5F5E">
              <w:rPr>
                <w:rFonts w:ascii="Calibri" w:hAnsi="Calibri" w:cs="Calibri"/>
                <w:color w:val="000000"/>
                <w:sz w:val="20"/>
                <w:szCs w:val="20"/>
                <w:lang w:eastAsia="cs-CZ"/>
              </w:rPr>
              <w:t>Královéhradecký kraj</w:t>
            </w:r>
          </w:p>
        </w:tc>
        <w:tc>
          <w:tcPr>
            <w:tcW w:w="2494" w:type="dxa"/>
            <w:tcBorders>
              <w:top w:val="single" w:sz="4" w:space="0" w:color="auto"/>
              <w:left w:val="single" w:sz="4" w:space="0" w:color="auto"/>
              <w:bottom w:val="single" w:sz="4" w:space="0" w:color="auto"/>
              <w:right w:val="single" w:sz="4" w:space="0" w:color="auto"/>
            </w:tcBorders>
            <w:hideMark/>
          </w:tcPr>
          <w:p w14:paraId="2198ACD2" w14:textId="77EDDDB2" w:rsidR="009E341C" w:rsidRPr="00ED5F5E" w:rsidRDefault="009E341C" w:rsidP="009E341C">
            <w:pPr>
              <w:ind w:right="409"/>
              <w:jc w:val="right"/>
              <w:rPr>
                <w:rFonts w:ascii="Calibri" w:hAnsi="Calibri" w:cs="Calibri"/>
                <w:sz w:val="20"/>
                <w:szCs w:val="20"/>
                <w:lang w:eastAsia="cs-CZ"/>
              </w:rPr>
            </w:pPr>
            <w:r w:rsidRPr="00E12A3B">
              <w:rPr>
                <w:rFonts w:cstheme="minorHAnsi"/>
                <w:color w:val="000000"/>
                <w:sz w:val="20"/>
                <w:szCs w:val="20"/>
                <w:lang w:eastAsia="cs-CZ"/>
              </w:rPr>
              <w:t xml:space="preserve">38 821 368 </w:t>
            </w:r>
          </w:p>
        </w:tc>
        <w:tc>
          <w:tcPr>
            <w:tcW w:w="2438" w:type="dxa"/>
            <w:tcBorders>
              <w:top w:val="single" w:sz="4" w:space="0" w:color="auto"/>
              <w:left w:val="single" w:sz="4" w:space="0" w:color="auto"/>
              <w:bottom w:val="single" w:sz="4" w:space="0" w:color="auto"/>
              <w:right w:val="single" w:sz="4" w:space="0" w:color="auto"/>
            </w:tcBorders>
            <w:hideMark/>
          </w:tcPr>
          <w:p w14:paraId="792ABF97" w14:textId="04F138A3" w:rsidR="009E341C" w:rsidRPr="00ED5F5E" w:rsidRDefault="009E341C" w:rsidP="009E341C">
            <w:pPr>
              <w:ind w:right="409"/>
              <w:jc w:val="right"/>
              <w:rPr>
                <w:rFonts w:ascii="Calibri" w:hAnsi="Calibri" w:cs="Calibri"/>
                <w:sz w:val="20"/>
                <w:szCs w:val="20"/>
                <w:lang w:eastAsia="cs-CZ"/>
              </w:rPr>
            </w:pPr>
            <w:r w:rsidRPr="00E12A3B">
              <w:rPr>
                <w:rFonts w:cstheme="minorHAnsi"/>
                <w:color w:val="000000"/>
                <w:sz w:val="20"/>
                <w:szCs w:val="20"/>
                <w:lang w:eastAsia="cs-CZ"/>
              </w:rPr>
              <w:t>24 959 364</w:t>
            </w:r>
          </w:p>
        </w:tc>
        <w:tc>
          <w:tcPr>
            <w:tcW w:w="1474" w:type="dxa"/>
            <w:tcBorders>
              <w:top w:val="single" w:sz="4" w:space="0" w:color="auto"/>
              <w:left w:val="single" w:sz="4" w:space="0" w:color="auto"/>
              <w:bottom w:val="single" w:sz="4" w:space="0" w:color="auto"/>
              <w:right w:val="single" w:sz="4" w:space="0" w:color="auto"/>
            </w:tcBorders>
            <w:shd w:val="clear" w:color="auto" w:fill="F2C6C9"/>
            <w:hideMark/>
          </w:tcPr>
          <w:p w14:paraId="7804F2BF" w14:textId="3BF85AC4" w:rsidR="009E341C" w:rsidRPr="00ED5F5E" w:rsidRDefault="009E341C" w:rsidP="009E341C">
            <w:pPr>
              <w:ind w:right="435"/>
              <w:jc w:val="right"/>
              <w:rPr>
                <w:rFonts w:ascii="Calibri" w:hAnsi="Calibri" w:cs="Calibri"/>
                <w:b/>
                <w:sz w:val="20"/>
                <w:szCs w:val="20"/>
                <w:lang w:eastAsia="cs-CZ"/>
              </w:rPr>
            </w:pPr>
            <w:r w:rsidRPr="00E12A3B">
              <w:rPr>
                <w:rFonts w:cstheme="minorHAnsi"/>
                <w:b/>
                <w:color w:val="000000"/>
                <w:sz w:val="20"/>
                <w:szCs w:val="20"/>
                <w:lang w:eastAsia="cs-CZ"/>
              </w:rPr>
              <w:t>64</w:t>
            </w:r>
          </w:p>
        </w:tc>
        <w:tc>
          <w:tcPr>
            <w:tcW w:w="927" w:type="dxa"/>
            <w:tcBorders>
              <w:top w:val="single" w:sz="4" w:space="0" w:color="auto"/>
              <w:left w:val="single" w:sz="4" w:space="0" w:color="auto"/>
              <w:bottom w:val="single" w:sz="4" w:space="0" w:color="auto"/>
              <w:right w:val="single" w:sz="4" w:space="0" w:color="auto"/>
            </w:tcBorders>
            <w:hideMark/>
          </w:tcPr>
          <w:p w14:paraId="70E182FE" w14:textId="50AE404F" w:rsidR="009E341C" w:rsidRPr="00ED5F5E" w:rsidRDefault="009E341C" w:rsidP="009E341C">
            <w:pPr>
              <w:ind w:right="113"/>
              <w:jc w:val="right"/>
              <w:rPr>
                <w:rFonts w:ascii="Calibri" w:hAnsi="Calibri" w:cs="Calibri"/>
                <w:sz w:val="20"/>
                <w:szCs w:val="20"/>
                <w:lang w:eastAsia="cs-CZ"/>
              </w:rPr>
            </w:pPr>
            <w:r w:rsidRPr="00E12A3B">
              <w:rPr>
                <w:rFonts w:cstheme="minorHAnsi"/>
                <w:color w:val="000000"/>
                <w:sz w:val="20"/>
                <w:szCs w:val="20"/>
                <w:lang w:eastAsia="cs-CZ"/>
              </w:rPr>
              <w:t>20</w:t>
            </w:r>
          </w:p>
        </w:tc>
      </w:tr>
      <w:tr w:rsidR="009E341C" w:rsidRPr="00ED5F5E" w14:paraId="267DA1A0" w14:textId="77777777" w:rsidTr="007364FB">
        <w:trPr>
          <w:trHeight w:val="255"/>
        </w:trPr>
        <w:tc>
          <w:tcPr>
            <w:tcW w:w="1956" w:type="dxa"/>
            <w:tcBorders>
              <w:top w:val="single" w:sz="4" w:space="0" w:color="auto"/>
              <w:left w:val="single" w:sz="4" w:space="0" w:color="auto"/>
              <w:bottom w:val="single" w:sz="4" w:space="0" w:color="auto"/>
              <w:right w:val="single" w:sz="4" w:space="0" w:color="auto"/>
            </w:tcBorders>
            <w:hideMark/>
          </w:tcPr>
          <w:p w14:paraId="2BF58900" w14:textId="77777777" w:rsidR="009E341C" w:rsidRPr="00ED5F5E" w:rsidRDefault="009E341C" w:rsidP="009E341C">
            <w:pPr>
              <w:rPr>
                <w:rFonts w:ascii="Calibri" w:hAnsi="Calibri" w:cs="Calibri"/>
                <w:sz w:val="20"/>
                <w:szCs w:val="20"/>
                <w:lang w:eastAsia="cs-CZ"/>
              </w:rPr>
            </w:pPr>
            <w:r w:rsidRPr="00ED5F5E">
              <w:rPr>
                <w:rFonts w:ascii="Calibri" w:hAnsi="Calibri" w:cs="Calibri"/>
                <w:color w:val="000000"/>
                <w:sz w:val="20"/>
                <w:szCs w:val="20"/>
                <w:lang w:eastAsia="cs-CZ"/>
              </w:rPr>
              <w:t xml:space="preserve">Olomoucký kraj </w:t>
            </w:r>
          </w:p>
        </w:tc>
        <w:tc>
          <w:tcPr>
            <w:tcW w:w="2494" w:type="dxa"/>
            <w:tcBorders>
              <w:top w:val="single" w:sz="4" w:space="0" w:color="auto"/>
              <w:left w:val="single" w:sz="4" w:space="0" w:color="auto"/>
              <w:bottom w:val="single" w:sz="4" w:space="0" w:color="auto"/>
              <w:right w:val="single" w:sz="4" w:space="0" w:color="auto"/>
            </w:tcBorders>
            <w:hideMark/>
          </w:tcPr>
          <w:p w14:paraId="05959B79" w14:textId="5E9C8986" w:rsidR="009E341C" w:rsidRPr="00ED5F5E" w:rsidRDefault="009E341C" w:rsidP="009E341C">
            <w:pPr>
              <w:ind w:right="409"/>
              <w:jc w:val="right"/>
              <w:rPr>
                <w:rFonts w:ascii="Calibri" w:hAnsi="Calibri" w:cs="Calibri"/>
                <w:sz w:val="20"/>
                <w:szCs w:val="20"/>
                <w:lang w:eastAsia="cs-CZ"/>
              </w:rPr>
            </w:pPr>
            <w:r w:rsidRPr="00E12A3B">
              <w:rPr>
                <w:rFonts w:cstheme="minorHAnsi"/>
                <w:color w:val="000000"/>
                <w:sz w:val="20"/>
                <w:szCs w:val="20"/>
                <w:lang w:eastAsia="cs-CZ"/>
              </w:rPr>
              <w:t xml:space="preserve">40 042 812 </w:t>
            </w:r>
          </w:p>
        </w:tc>
        <w:tc>
          <w:tcPr>
            <w:tcW w:w="2438" w:type="dxa"/>
            <w:tcBorders>
              <w:top w:val="single" w:sz="4" w:space="0" w:color="auto"/>
              <w:left w:val="single" w:sz="4" w:space="0" w:color="auto"/>
              <w:bottom w:val="single" w:sz="4" w:space="0" w:color="auto"/>
              <w:right w:val="single" w:sz="4" w:space="0" w:color="auto"/>
            </w:tcBorders>
            <w:hideMark/>
          </w:tcPr>
          <w:p w14:paraId="577A1599" w14:textId="6B917A50" w:rsidR="009E341C" w:rsidRPr="00ED5F5E" w:rsidRDefault="009E341C" w:rsidP="009E341C">
            <w:pPr>
              <w:ind w:right="409"/>
              <w:jc w:val="right"/>
              <w:rPr>
                <w:rFonts w:ascii="Calibri" w:hAnsi="Calibri" w:cs="Calibri"/>
                <w:sz w:val="20"/>
                <w:szCs w:val="20"/>
                <w:lang w:eastAsia="cs-CZ"/>
              </w:rPr>
            </w:pPr>
            <w:r w:rsidRPr="00E12A3B">
              <w:rPr>
                <w:rFonts w:cstheme="minorHAnsi"/>
                <w:color w:val="000000"/>
                <w:sz w:val="20"/>
                <w:szCs w:val="20"/>
                <w:lang w:eastAsia="cs-CZ"/>
              </w:rPr>
              <w:t>24 593 814</w:t>
            </w:r>
          </w:p>
        </w:tc>
        <w:tc>
          <w:tcPr>
            <w:tcW w:w="1474" w:type="dxa"/>
            <w:tcBorders>
              <w:top w:val="single" w:sz="4" w:space="0" w:color="auto"/>
              <w:left w:val="single" w:sz="4" w:space="0" w:color="auto"/>
              <w:bottom w:val="single" w:sz="4" w:space="0" w:color="auto"/>
              <w:right w:val="single" w:sz="4" w:space="0" w:color="auto"/>
            </w:tcBorders>
            <w:shd w:val="clear" w:color="auto" w:fill="F2C6C9"/>
            <w:hideMark/>
          </w:tcPr>
          <w:p w14:paraId="019B619B" w14:textId="07EA5926" w:rsidR="009E341C" w:rsidRPr="00ED5F5E" w:rsidRDefault="009E341C" w:rsidP="009E341C">
            <w:pPr>
              <w:ind w:right="435"/>
              <w:jc w:val="right"/>
              <w:rPr>
                <w:rFonts w:ascii="Calibri" w:hAnsi="Calibri" w:cs="Calibri"/>
                <w:b/>
                <w:sz w:val="20"/>
                <w:szCs w:val="20"/>
                <w:lang w:eastAsia="cs-CZ"/>
              </w:rPr>
            </w:pPr>
            <w:r w:rsidRPr="00E12A3B">
              <w:rPr>
                <w:rFonts w:cstheme="minorHAnsi"/>
                <w:b/>
                <w:color w:val="000000"/>
                <w:sz w:val="20"/>
                <w:szCs w:val="20"/>
                <w:lang w:eastAsia="cs-CZ"/>
              </w:rPr>
              <w:t>61</w:t>
            </w:r>
          </w:p>
        </w:tc>
        <w:tc>
          <w:tcPr>
            <w:tcW w:w="927" w:type="dxa"/>
            <w:tcBorders>
              <w:top w:val="single" w:sz="4" w:space="0" w:color="auto"/>
              <w:left w:val="single" w:sz="4" w:space="0" w:color="auto"/>
              <w:bottom w:val="single" w:sz="4" w:space="0" w:color="auto"/>
              <w:right w:val="single" w:sz="4" w:space="0" w:color="auto"/>
            </w:tcBorders>
            <w:hideMark/>
          </w:tcPr>
          <w:p w14:paraId="40FC34AD" w14:textId="4C6DD9DB" w:rsidR="009E341C" w:rsidRPr="00ED5F5E" w:rsidRDefault="009E341C" w:rsidP="009E341C">
            <w:pPr>
              <w:ind w:right="113"/>
              <w:jc w:val="right"/>
              <w:rPr>
                <w:rFonts w:ascii="Calibri" w:hAnsi="Calibri" w:cs="Calibri"/>
                <w:sz w:val="20"/>
                <w:szCs w:val="20"/>
                <w:lang w:eastAsia="cs-CZ"/>
              </w:rPr>
            </w:pPr>
            <w:r w:rsidRPr="00E12A3B">
              <w:rPr>
                <w:rFonts w:cstheme="minorHAnsi"/>
                <w:color w:val="000000"/>
                <w:sz w:val="20"/>
                <w:szCs w:val="20"/>
                <w:lang w:eastAsia="cs-CZ"/>
              </w:rPr>
              <w:t>20</w:t>
            </w:r>
          </w:p>
        </w:tc>
      </w:tr>
      <w:tr w:rsidR="009E341C" w:rsidRPr="00ED5F5E" w14:paraId="10401995" w14:textId="77777777" w:rsidTr="007364FB">
        <w:trPr>
          <w:trHeight w:val="255"/>
        </w:trPr>
        <w:tc>
          <w:tcPr>
            <w:tcW w:w="1956" w:type="dxa"/>
            <w:tcBorders>
              <w:top w:val="single" w:sz="4" w:space="0" w:color="auto"/>
              <w:left w:val="single" w:sz="4" w:space="0" w:color="auto"/>
              <w:bottom w:val="single" w:sz="4" w:space="0" w:color="auto"/>
              <w:right w:val="single" w:sz="4" w:space="0" w:color="auto"/>
            </w:tcBorders>
            <w:hideMark/>
          </w:tcPr>
          <w:p w14:paraId="3CAE2EB9" w14:textId="77777777" w:rsidR="009E341C" w:rsidRPr="00ED5F5E" w:rsidRDefault="009E341C" w:rsidP="009E341C">
            <w:pPr>
              <w:rPr>
                <w:rFonts w:ascii="Calibri" w:hAnsi="Calibri" w:cs="Calibri"/>
                <w:sz w:val="20"/>
                <w:szCs w:val="20"/>
                <w:lang w:eastAsia="cs-CZ"/>
              </w:rPr>
            </w:pPr>
            <w:r w:rsidRPr="00ED5F5E">
              <w:rPr>
                <w:rFonts w:ascii="Calibri" w:hAnsi="Calibri" w:cs="Calibri"/>
                <w:color w:val="000000"/>
                <w:sz w:val="20"/>
                <w:szCs w:val="20"/>
                <w:lang w:eastAsia="cs-CZ"/>
              </w:rPr>
              <w:t xml:space="preserve">Jihočeský kraj </w:t>
            </w:r>
          </w:p>
        </w:tc>
        <w:tc>
          <w:tcPr>
            <w:tcW w:w="2494" w:type="dxa"/>
            <w:tcBorders>
              <w:top w:val="single" w:sz="4" w:space="0" w:color="auto"/>
              <w:left w:val="single" w:sz="4" w:space="0" w:color="auto"/>
              <w:bottom w:val="single" w:sz="4" w:space="0" w:color="auto"/>
              <w:right w:val="single" w:sz="4" w:space="0" w:color="auto"/>
            </w:tcBorders>
            <w:hideMark/>
          </w:tcPr>
          <w:p w14:paraId="01434082" w14:textId="4469FC26" w:rsidR="009E341C" w:rsidRPr="00ED5F5E" w:rsidRDefault="009E341C" w:rsidP="009E341C">
            <w:pPr>
              <w:ind w:right="409"/>
              <w:jc w:val="right"/>
              <w:rPr>
                <w:rFonts w:ascii="Calibri" w:hAnsi="Calibri" w:cs="Calibri"/>
                <w:sz w:val="20"/>
                <w:szCs w:val="20"/>
                <w:lang w:eastAsia="cs-CZ"/>
              </w:rPr>
            </w:pPr>
            <w:r w:rsidRPr="00E12A3B">
              <w:rPr>
                <w:rFonts w:cstheme="minorHAnsi"/>
                <w:color w:val="000000"/>
                <w:sz w:val="20"/>
                <w:szCs w:val="20"/>
                <w:lang w:eastAsia="cs-CZ"/>
              </w:rPr>
              <w:t xml:space="preserve">44 445 902 </w:t>
            </w:r>
          </w:p>
        </w:tc>
        <w:tc>
          <w:tcPr>
            <w:tcW w:w="2438" w:type="dxa"/>
            <w:tcBorders>
              <w:top w:val="single" w:sz="4" w:space="0" w:color="auto"/>
              <w:left w:val="single" w:sz="4" w:space="0" w:color="auto"/>
              <w:bottom w:val="single" w:sz="4" w:space="0" w:color="auto"/>
              <w:right w:val="single" w:sz="4" w:space="0" w:color="auto"/>
            </w:tcBorders>
            <w:hideMark/>
          </w:tcPr>
          <w:p w14:paraId="0C0E71C7" w14:textId="2CC0FB5D" w:rsidR="009E341C" w:rsidRPr="00ED5F5E" w:rsidRDefault="009E341C" w:rsidP="009E341C">
            <w:pPr>
              <w:ind w:right="409"/>
              <w:jc w:val="right"/>
              <w:rPr>
                <w:rFonts w:ascii="Calibri" w:hAnsi="Calibri" w:cs="Calibri"/>
                <w:sz w:val="20"/>
                <w:szCs w:val="20"/>
                <w:lang w:eastAsia="cs-CZ"/>
              </w:rPr>
            </w:pPr>
            <w:r w:rsidRPr="00E12A3B">
              <w:rPr>
                <w:rFonts w:cstheme="minorHAnsi"/>
                <w:color w:val="000000"/>
                <w:sz w:val="20"/>
                <w:szCs w:val="20"/>
                <w:lang w:eastAsia="cs-CZ"/>
              </w:rPr>
              <w:t>26 831 029</w:t>
            </w:r>
          </w:p>
        </w:tc>
        <w:tc>
          <w:tcPr>
            <w:tcW w:w="1474" w:type="dxa"/>
            <w:tcBorders>
              <w:top w:val="single" w:sz="4" w:space="0" w:color="auto"/>
              <w:left w:val="single" w:sz="4" w:space="0" w:color="auto"/>
              <w:bottom w:val="single" w:sz="4" w:space="0" w:color="auto"/>
              <w:right w:val="single" w:sz="4" w:space="0" w:color="auto"/>
            </w:tcBorders>
            <w:shd w:val="clear" w:color="auto" w:fill="F2C6C9"/>
            <w:hideMark/>
          </w:tcPr>
          <w:p w14:paraId="212F9BC3" w14:textId="4D7BDB77" w:rsidR="009E341C" w:rsidRPr="00ED5F5E" w:rsidRDefault="009E341C" w:rsidP="009E341C">
            <w:pPr>
              <w:ind w:right="435"/>
              <w:jc w:val="right"/>
              <w:rPr>
                <w:rFonts w:ascii="Calibri" w:hAnsi="Calibri" w:cs="Calibri"/>
                <w:b/>
                <w:sz w:val="20"/>
                <w:szCs w:val="20"/>
                <w:lang w:eastAsia="cs-CZ"/>
              </w:rPr>
            </w:pPr>
            <w:r w:rsidRPr="00E12A3B">
              <w:rPr>
                <w:rFonts w:cstheme="minorHAnsi"/>
                <w:b/>
                <w:color w:val="000000"/>
                <w:sz w:val="20"/>
                <w:szCs w:val="20"/>
                <w:lang w:eastAsia="cs-CZ"/>
              </w:rPr>
              <w:t>60</w:t>
            </w:r>
          </w:p>
        </w:tc>
        <w:tc>
          <w:tcPr>
            <w:tcW w:w="927" w:type="dxa"/>
            <w:tcBorders>
              <w:top w:val="single" w:sz="4" w:space="0" w:color="auto"/>
              <w:left w:val="single" w:sz="4" w:space="0" w:color="auto"/>
              <w:bottom w:val="single" w:sz="4" w:space="0" w:color="auto"/>
              <w:right w:val="single" w:sz="4" w:space="0" w:color="auto"/>
            </w:tcBorders>
            <w:hideMark/>
          </w:tcPr>
          <w:p w14:paraId="3A775D39" w14:textId="2D14D8A0" w:rsidR="009E341C" w:rsidRPr="00ED5F5E" w:rsidRDefault="009E341C" w:rsidP="009E341C">
            <w:pPr>
              <w:ind w:right="113"/>
              <w:jc w:val="right"/>
              <w:rPr>
                <w:rFonts w:ascii="Calibri" w:hAnsi="Calibri" w:cs="Calibri"/>
                <w:sz w:val="20"/>
                <w:szCs w:val="20"/>
                <w:lang w:eastAsia="cs-CZ"/>
              </w:rPr>
            </w:pPr>
            <w:r w:rsidRPr="00E12A3B">
              <w:rPr>
                <w:rFonts w:cstheme="minorHAnsi"/>
                <w:color w:val="000000"/>
                <w:sz w:val="20"/>
                <w:szCs w:val="20"/>
                <w:lang w:eastAsia="cs-CZ"/>
              </w:rPr>
              <w:t>22</w:t>
            </w:r>
          </w:p>
        </w:tc>
      </w:tr>
      <w:tr w:rsidR="009E341C" w:rsidRPr="00ED5F5E" w14:paraId="23F13315" w14:textId="77777777" w:rsidTr="007364FB">
        <w:trPr>
          <w:trHeight w:val="255"/>
        </w:trPr>
        <w:tc>
          <w:tcPr>
            <w:tcW w:w="1956" w:type="dxa"/>
            <w:tcBorders>
              <w:top w:val="single" w:sz="4" w:space="0" w:color="auto"/>
              <w:left w:val="single" w:sz="4" w:space="0" w:color="auto"/>
              <w:bottom w:val="single" w:sz="4" w:space="0" w:color="auto"/>
              <w:right w:val="single" w:sz="4" w:space="0" w:color="auto"/>
            </w:tcBorders>
            <w:hideMark/>
          </w:tcPr>
          <w:p w14:paraId="0622180A" w14:textId="77777777" w:rsidR="009E341C" w:rsidRPr="00ED5F5E" w:rsidRDefault="009E341C" w:rsidP="009E341C">
            <w:pPr>
              <w:rPr>
                <w:rFonts w:ascii="Calibri" w:hAnsi="Calibri" w:cs="Calibri"/>
                <w:sz w:val="20"/>
                <w:szCs w:val="20"/>
                <w:lang w:eastAsia="cs-CZ"/>
              </w:rPr>
            </w:pPr>
            <w:r w:rsidRPr="00ED5F5E">
              <w:rPr>
                <w:rFonts w:ascii="Calibri" w:hAnsi="Calibri" w:cs="Calibri"/>
                <w:color w:val="000000"/>
                <w:sz w:val="20"/>
                <w:szCs w:val="20"/>
                <w:lang w:eastAsia="cs-CZ"/>
              </w:rPr>
              <w:t>Moravskoslezský kraj</w:t>
            </w:r>
          </w:p>
        </w:tc>
        <w:tc>
          <w:tcPr>
            <w:tcW w:w="2494" w:type="dxa"/>
            <w:tcBorders>
              <w:top w:val="single" w:sz="4" w:space="0" w:color="auto"/>
              <w:left w:val="single" w:sz="4" w:space="0" w:color="auto"/>
              <w:bottom w:val="single" w:sz="4" w:space="0" w:color="auto"/>
              <w:right w:val="single" w:sz="4" w:space="0" w:color="auto"/>
            </w:tcBorders>
            <w:hideMark/>
          </w:tcPr>
          <w:p w14:paraId="6500DFDE" w14:textId="5B19C9AF" w:rsidR="009E341C" w:rsidRPr="00ED5F5E" w:rsidRDefault="009E341C" w:rsidP="009E341C">
            <w:pPr>
              <w:ind w:right="409"/>
              <w:jc w:val="right"/>
              <w:rPr>
                <w:rFonts w:ascii="Calibri" w:hAnsi="Calibri" w:cs="Calibri"/>
                <w:sz w:val="20"/>
                <w:szCs w:val="20"/>
                <w:lang w:eastAsia="cs-CZ"/>
              </w:rPr>
            </w:pPr>
            <w:r w:rsidRPr="00E12A3B">
              <w:rPr>
                <w:rFonts w:cstheme="minorHAnsi"/>
                <w:color w:val="000000"/>
                <w:sz w:val="20"/>
                <w:szCs w:val="20"/>
                <w:lang w:eastAsia="cs-CZ"/>
              </w:rPr>
              <w:t xml:space="preserve">37 775 902 </w:t>
            </w:r>
          </w:p>
        </w:tc>
        <w:tc>
          <w:tcPr>
            <w:tcW w:w="2438" w:type="dxa"/>
            <w:tcBorders>
              <w:top w:val="single" w:sz="4" w:space="0" w:color="auto"/>
              <w:left w:val="single" w:sz="4" w:space="0" w:color="auto"/>
              <w:bottom w:val="single" w:sz="4" w:space="0" w:color="auto"/>
              <w:right w:val="single" w:sz="4" w:space="0" w:color="auto"/>
            </w:tcBorders>
            <w:hideMark/>
          </w:tcPr>
          <w:p w14:paraId="6D99363D" w14:textId="4E2E9BE2" w:rsidR="009E341C" w:rsidRPr="00ED5F5E" w:rsidRDefault="009E341C" w:rsidP="009E341C">
            <w:pPr>
              <w:ind w:right="409"/>
              <w:jc w:val="right"/>
              <w:rPr>
                <w:rFonts w:ascii="Calibri" w:hAnsi="Calibri" w:cs="Calibri"/>
                <w:sz w:val="20"/>
                <w:szCs w:val="20"/>
                <w:lang w:eastAsia="cs-CZ"/>
              </w:rPr>
            </w:pPr>
            <w:r w:rsidRPr="00E12A3B">
              <w:rPr>
                <w:rFonts w:cstheme="minorHAnsi"/>
                <w:color w:val="000000"/>
                <w:sz w:val="20"/>
                <w:szCs w:val="20"/>
                <w:lang w:eastAsia="cs-CZ"/>
              </w:rPr>
              <w:t>20 423 631</w:t>
            </w:r>
          </w:p>
        </w:tc>
        <w:tc>
          <w:tcPr>
            <w:tcW w:w="1474" w:type="dxa"/>
            <w:tcBorders>
              <w:top w:val="single" w:sz="4" w:space="0" w:color="auto"/>
              <w:left w:val="single" w:sz="4" w:space="0" w:color="auto"/>
              <w:bottom w:val="single" w:sz="4" w:space="0" w:color="auto"/>
              <w:right w:val="single" w:sz="4" w:space="0" w:color="auto"/>
            </w:tcBorders>
            <w:shd w:val="clear" w:color="auto" w:fill="F2C6C9"/>
            <w:hideMark/>
          </w:tcPr>
          <w:p w14:paraId="29C2C643" w14:textId="5CF4FF38" w:rsidR="009E341C" w:rsidRPr="00ED5F5E" w:rsidRDefault="009E341C" w:rsidP="009E341C">
            <w:pPr>
              <w:ind w:right="435"/>
              <w:jc w:val="right"/>
              <w:rPr>
                <w:rFonts w:ascii="Calibri" w:hAnsi="Calibri" w:cs="Calibri"/>
                <w:b/>
                <w:sz w:val="20"/>
                <w:szCs w:val="20"/>
                <w:lang w:eastAsia="cs-CZ"/>
              </w:rPr>
            </w:pPr>
            <w:r w:rsidRPr="00E12A3B">
              <w:rPr>
                <w:rFonts w:cstheme="minorHAnsi"/>
                <w:b/>
                <w:color w:val="000000"/>
                <w:sz w:val="20"/>
                <w:szCs w:val="20"/>
                <w:lang w:eastAsia="cs-CZ"/>
              </w:rPr>
              <w:t>54</w:t>
            </w:r>
          </w:p>
        </w:tc>
        <w:tc>
          <w:tcPr>
            <w:tcW w:w="927" w:type="dxa"/>
            <w:tcBorders>
              <w:top w:val="single" w:sz="4" w:space="0" w:color="auto"/>
              <w:left w:val="single" w:sz="4" w:space="0" w:color="auto"/>
              <w:bottom w:val="single" w:sz="4" w:space="0" w:color="auto"/>
              <w:right w:val="single" w:sz="4" w:space="0" w:color="auto"/>
            </w:tcBorders>
            <w:hideMark/>
          </w:tcPr>
          <w:p w14:paraId="303CB4CF" w14:textId="37061517" w:rsidR="009E341C" w:rsidRPr="00ED5F5E" w:rsidRDefault="009E341C" w:rsidP="009E341C">
            <w:pPr>
              <w:ind w:right="113"/>
              <w:jc w:val="right"/>
              <w:rPr>
                <w:rFonts w:ascii="Calibri" w:hAnsi="Calibri" w:cs="Calibri"/>
                <w:sz w:val="20"/>
                <w:szCs w:val="20"/>
                <w:lang w:eastAsia="cs-CZ"/>
              </w:rPr>
            </w:pPr>
            <w:r w:rsidRPr="00E12A3B">
              <w:rPr>
                <w:rFonts w:cstheme="minorHAnsi"/>
                <w:color w:val="000000"/>
                <w:sz w:val="20"/>
                <w:szCs w:val="20"/>
                <w:lang w:eastAsia="cs-CZ"/>
              </w:rPr>
              <w:t>15</w:t>
            </w:r>
          </w:p>
        </w:tc>
      </w:tr>
      <w:tr w:rsidR="009E341C" w:rsidRPr="00ED5F5E" w14:paraId="18C8DECA" w14:textId="77777777" w:rsidTr="007364FB">
        <w:trPr>
          <w:trHeight w:val="255"/>
        </w:trPr>
        <w:tc>
          <w:tcPr>
            <w:tcW w:w="1956" w:type="dxa"/>
            <w:tcBorders>
              <w:top w:val="single" w:sz="4" w:space="0" w:color="auto"/>
              <w:left w:val="single" w:sz="4" w:space="0" w:color="auto"/>
              <w:bottom w:val="single" w:sz="4" w:space="0" w:color="auto"/>
              <w:right w:val="single" w:sz="4" w:space="0" w:color="auto"/>
            </w:tcBorders>
            <w:hideMark/>
          </w:tcPr>
          <w:p w14:paraId="774163D9" w14:textId="77777777" w:rsidR="009E341C" w:rsidRPr="00ED5F5E" w:rsidRDefault="009E341C" w:rsidP="009E341C">
            <w:pPr>
              <w:rPr>
                <w:rFonts w:ascii="Calibri" w:hAnsi="Calibri" w:cs="Calibri"/>
                <w:color w:val="000000"/>
                <w:sz w:val="20"/>
                <w:szCs w:val="20"/>
                <w:lang w:eastAsia="cs-CZ"/>
              </w:rPr>
            </w:pPr>
            <w:r w:rsidRPr="00ED5F5E">
              <w:rPr>
                <w:rFonts w:ascii="Calibri" w:hAnsi="Calibri" w:cs="Calibri"/>
                <w:color w:val="000000"/>
                <w:sz w:val="20"/>
                <w:szCs w:val="20"/>
                <w:lang w:eastAsia="cs-CZ"/>
              </w:rPr>
              <w:t xml:space="preserve">Pardubický kraj </w:t>
            </w:r>
          </w:p>
        </w:tc>
        <w:tc>
          <w:tcPr>
            <w:tcW w:w="2494" w:type="dxa"/>
            <w:tcBorders>
              <w:top w:val="single" w:sz="4" w:space="0" w:color="auto"/>
              <w:left w:val="single" w:sz="4" w:space="0" w:color="auto"/>
              <w:bottom w:val="single" w:sz="4" w:space="0" w:color="auto"/>
              <w:right w:val="single" w:sz="4" w:space="0" w:color="auto"/>
            </w:tcBorders>
            <w:hideMark/>
          </w:tcPr>
          <w:p w14:paraId="22A07704" w14:textId="3841A0D2" w:rsidR="009E341C" w:rsidRPr="00ED5F5E" w:rsidRDefault="009E341C" w:rsidP="009E341C">
            <w:pPr>
              <w:ind w:right="409"/>
              <w:jc w:val="right"/>
              <w:rPr>
                <w:rFonts w:ascii="Calibri" w:hAnsi="Calibri" w:cs="Calibri"/>
                <w:color w:val="000000"/>
                <w:sz w:val="20"/>
                <w:szCs w:val="20"/>
                <w:lang w:eastAsia="cs-CZ"/>
              </w:rPr>
            </w:pPr>
            <w:r w:rsidRPr="00E12A3B">
              <w:rPr>
                <w:rFonts w:cstheme="minorHAnsi"/>
                <w:color w:val="000000"/>
                <w:sz w:val="20"/>
                <w:szCs w:val="20"/>
                <w:lang w:eastAsia="cs-CZ"/>
              </w:rPr>
              <w:t xml:space="preserve">41 313 082 </w:t>
            </w:r>
          </w:p>
        </w:tc>
        <w:tc>
          <w:tcPr>
            <w:tcW w:w="2438" w:type="dxa"/>
            <w:tcBorders>
              <w:top w:val="single" w:sz="4" w:space="0" w:color="auto"/>
              <w:left w:val="single" w:sz="4" w:space="0" w:color="auto"/>
              <w:bottom w:val="single" w:sz="4" w:space="0" w:color="auto"/>
              <w:right w:val="single" w:sz="4" w:space="0" w:color="auto"/>
            </w:tcBorders>
            <w:hideMark/>
          </w:tcPr>
          <w:p w14:paraId="01029F9C" w14:textId="09215A27" w:rsidR="009E341C" w:rsidRPr="00ED5F5E" w:rsidRDefault="009E341C" w:rsidP="009E341C">
            <w:pPr>
              <w:ind w:right="409"/>
              <w:jc w:val="right"/>
              <w:rPr>
                <w:rFonts w:ascii="Calibri" w:hAnsi="Calibri" w:cs="Calibri"/>
                <w:color w:val="000000"/>
                <w:sz w:val="20"/>
                <w:szCs w:val="20"/>
                <w:lang w:eastAsia="cs-CZ"/>
              </w:rPr>
            </w:pPr>
            <w:r w:rsidRPr="00E12A3B">
              <w:rPr>
                <w:rFonts w:cstheme="minorHAnsi"/>
                <w:color w:val="000000"/>
                <w:sz w:val="20"/>
                <w:szCs w:val="20"/>
                <w:lang w:eastAsia="cs-CZ"/>
              </w:rPr>
              <w:t>16 388 870</w:t>
            </w:r>
          </w:p>
        </w:tc>
        <w:tc>
          <w:tcPr>
            <w:tcW w:w="1474" w:type="dxa"/>
            <w:tcBorders>
              <w:top w:val="single" w:sz="4" w:space="0" w:color="auto"/>
              <w:left w:val="single" w:sz="4" w:space="0" w:color="auto"/>
              <w:bottom w:val="single" w:sz="4" w:space="0" w:color="auto"/>
              <w:right w:val="single" w:sz="4" w:space="0" w:color="auto"/>
            </w:tcBorders>
            <w:shd w:val="clear" w:color="auto" w:fill="F2C6C9"/>
            <w:hideMark/>
          </w:tcPr>
          <w:p w14:paraId="5CB1DE44" w14:textId="21CF787F" w:rsidR="009E341C" w:rsidRPr="00ED5F5E" w:rsidRDefault="009E341C" w:rsidP="009E341C">
            <w:pPr>
              <w:ind w:right="435"/>
              <w:jc w:val="right"/>
              <w:rPr>
                <w:rFonts w:ascii="Calibri" w:hAnsi="Calibri" w:cs="Calibri"/>
                <w:b/>
                <w:color w:val="000000"/>
                <w:sz w:val="20"/>
                <w:szCs w:val="20"/>
                <w:lang w:eastAsia="cs-CZ"/>
              </w:rPr>
            </w:pPr>
            <w:r>
              <w:rPr>
                <w:rFonts w:cstheme="minorHAnsi"/>
                <w:b/>
                <w:color w:val="000000"/>
                <w:sz w:val="20"/>
                <w:szCs w:val="20"/>
                <w:lang w:eastAsia="cs-CZ"/>
              </w:rPr>
              <w:t>40</w:t>
            </w:r>
          </w:p>
        </w:tc>
        <w:tc>
          <w:tcPr>
            <w:tcW w:w="927" w:type="dxa"/>
            <w:tcBorders>
              <w:top w:val="single" w:sz="4" w:space="0" w:color="auto"/>
              <w:left w:val="single" w:sz="4" w:space="0" w:color="auto"/>
              <w:bottom w:val="single" w:sz="4" w:space="0" w:color="auto"/>
              <w:right w:val="single" w:sz="4" w:space="0" w:color="auto"/>
            </w:tcBorders>
            <w:hideMark/>
          </w:tcPr>
          <w:p w14:paraId="2EA8B231" w14:textId="6C20F1BD" w:rsidR="009E341C" w:rsidRPr="00ED5F5E" w:rsidRDefault="009E341C" w:rsidP="009E341C">
            <w:pPr>
              <w:ind w:right="113"/>
              <w:jc w:val="right"/>
              <w:rPr>
                <w:rFonts w:ascii="Calibri" w:hAnsi="Calibri" w:cs="Calibri"/>
                <w:color w:val="000000"/>
                <w:sz w:val="20"/>
                <w:szCs w:val="20"/>
                <w:lang w:eastAsia="cs-CZ"/>
              </w:rPr>
            </w:pPr>
            <w:r w:rsidRPr="00E12A3B">
              <w:rPr>
                <w:rFonts w:cstheme="minorHAnsi"/>
                <w:color w:val="000000"/>
                <w:sz w:val="20"/>
                <w:szCs w:val="20"/>
                <w:lang w:eastAsia="cs-CZ"/>
              </w:rPr>
              <w:t>10</w:t>
            </w:r>
          </w:p>
        </w:tc>
      </w:tr>
      <w:tr w:rsidR="009E341C" w:rsidRPr="00ED5F5E" w14:paraId="4ACDA056" w14:textId="77777777" w:rsidTr="007364FB">
        <w:trPr>
          <w:trHeight w:val="255"/>
        </w:trPr>
        <w:tc>
          <w:tcPr>
            <w:tcW w:w="1956" w:type="dxa"/>
            <w:tcBorders>
              <w:top w:val="single" w:sz="4" w:space="0" w:color="auto"/>
              <w:left w:val="single" w:sz="4" w:space="0" w:color="auto"/>
              <w:bottom w:val="single" w:sz="4" w:space="0" w:color="auto"/>
              <w:right w:val="single" w:sz="4" w:space="0" w:color="auto"/>
            </w:tcBorders>
            <w:hideMark/>
          </w:tcPr>
          <w:p w14:paraId="6D17AED1" w14:textId="77777777" w:rsidR="009E341C" w:rsidRPr="00ED5F5E" w:rsidRDefault="009E341C" w:rsidP="009E341C">
            <w:pPr>
              <w:rPr>
                <w:rFonts w:ascii="Calibri" w:hAnsi="Calibri" w:cs="Calibri"/>
                <w:color w:val="000000"/>
                <w:sz w:val="20"/>
                <w:szCs w:val="20"/>
                <w:lang w:eastAsia="cs-CZ"/>
              </w:rPr>
            </w:pPr>
            <w:r w:rsidRPr="00ED5F5E">
              <w:rPr>
                <w:rFonts w:ascii="Calibri" w:hAnsi="Calibri" w:cs="Calibri"/>
                <w:color w:val="000000"/>
                <w:sz w:val="20"/>
                <w:szCs w:val="20"/>
                <w:lang w:eastAsia="cs-CZ"/>
              </w:rPr>
              <w:t xml:space="preserve">Jihomoravský kraj </w:t>
            </w:r>
          </w:p>
        </w:tc>
        <w:tc>
          <w:tcPr>
            <w:tcW w:w="2494" w:type="dxa"/>
            <w:tcBorders>
              <w:top w:val="single" w:sz="4" w:space="0" w:color="auto"/>
              <w:left w:val="single" w:sz="4" w:space="0" w:color="auto"/>
              <w:bottom w:val="single" w:sz="4" w:space="0" w:color="auto"/>
              <w:right w:val="single" w:sz="4" w:space="0" w:color="auto"/>
            </w:tcBorders>
            <w:hideMark/>
          </w:tcPr>
          <w:p w14:paraId="409A740C" w14:textId="1EA05BA5" w:rsidR="009E341C" w:rsidRPr="00ED5F5E" w:rsidRDefault="009E341C" w:rsidP="009E341C">
            <w:pPr>
              <w:ind w:right="409"/>
              <w:jc w:val="right"/>
              <w:rPr>
                <w:rFonts w:ascii="Calibri" w:hAnsi="Calibri" w:cs="Calibri"/>
                <w:color w:val="000000"/>
                <w:sz w:val="20"/>
                <w:szCs w:val="20"/>
                <w:lang w:eastAsia="cs-CZ"/>
              </w:rPr>
            </w:pPr>
            <w:r w:rsidRPr="00E12A3B">
              <w:rPr>
                <w:rFonts w:cstheme="minorHAnsi"/>
                <w:color w:val="000000"/>
                <w:sz w:val="20"/>
                <w:szCs w:val="20"/>
                <w:lang w:eastAsia="cs-CZ"/>
              </w:rPr>
              <w:t xml:space="preserve">55 985 902 </w:t>
            </w:r>
          </w:p>
        </w:tc>
        <w:tc>
          <w:tcPr>
            <w:tcW w:w="2438" w:type="dxa"/>
            <w:tcBorders>
              <w:top w:val="single" w:sz="4" w:space="0" w:color="auto"/>
              <w:left w:val="single" w:sz="4" w:space="0" w:color="auto"/>
              <w:bottom w:val="single" w:sz="4" w:space="0" w:color="auto"/>
              <w:right w:val="single" w:sz="4" w:space="0" w:color="auto"/>
            </w:tcBorders>
            <w:hideMark/>
          </w:tcPr>
          <w:p w14:paraId="0062CE66" w14:textId="59674D23" w:rsidR="009E341C" w:rsidRPr="00ED5F5E" w:rsidRDefault="009E341C" w:rsidP="009E341C">
            <w:pPr>
              <w:ind w:right="409"/>
              <w:jc w:val="right"/>
              <w:rPr>
                <w:rFonts w:ascii="Calibri" w:hAnsi="Calibri" w:cs="Calibri"/>
                <w:color w:val="000000"/>
                <w:sz w:val="20"/>
                <w:szCs w:val="20"/>
                <w:lang w:eastAsia="cs-CZ"/>
              </w:rPr>
            </w:pPr>
            <w:r w:rsidRPr="00E12A3B">
              <w:rPr>
                <w:rFonts w:cstheme="minorHAnsi"/>
                <w:color w:val="000000"/>
                <w:sz w:val="20"/>
                <w:szCs w:val="20"/>
                <w:lang w:eastAsia="cs-CZ"/>
              </w:rPr>
              <w:t>19 459 620</w:t>
            </w:r>
          </w:p>
        </w:tc>
        <w:tc>
          <w:tcPr>
            <w:tcW w:w="1474" w:type="dxa"/>
            <w:tcBorders>
              <w:top w:val="single" w:sz="4" w:space="0" w:color="auto"/>
              <w:left w:val="single" w:sz="4" w:space="0" w:color="auto"/>
              <w:bottom w:val="single" w:sz="4" w:space="0" w:color="auto"/>
              <w:right w:val="single" w:sz="4" w:space="0" w:color="auto"/>
            </w:tcBorders>
            <w:shd w:val="clear" w:color="auto" w:fill="F2C6C9"/>
            <w:hideMark/>
          </w:tcPr>
          <w:p w14:paraId="6994D0F4" w14:textId="0BE8475A" w:rsidR="009E341C" w:rsidRPr="00ED5F5E" w:rsidRDefault="009E341C" w:rsidP="009E341C">
            <w:pPr>
              <w:ind w:right="435"/>
              <w:jc w:val="right"/>
              <w:rPr>
                <w:rFonts w:ascii="Calibri" w:hAnsi="Calibri" w:cs="Calibri"/>
                <w:b/>
                <w:color w:val="000000"/>
                <w:sz w:val="20"/>
                <w:szCs w:val="20"/>
                <w:lang w:eastAsia="cs-CZ"/>
              </w:rPr>
            </w:pPr>
            <w:r w:rsidRPr="00E12A3B">
              <w:rPr>
                <w:rFonts w:cstheme="minorHAnsi"/>
                <w:b/>
                <w:color w:val="000000"/>
                <w:sz w:val="20"/>
                <w:szCs w:val="20"/>
                <w:lang w:eastAsia="cs-CZ"/>
              </w:rPr>
              <w:t>3</w:t>
            </w:r>
            <w:r>
              <w:rPr>
                <w:rFonts w:cstheme="minorHAnsi"/>
                <w:b/>
                <w:color w:val="000000"/>
                <w:sz w:val="20"/>
                <w:szCs w:val="20"/>
                <w:lang w:eastAsia="cs-CZ"/>
              </w:rPr>
              <w:t>5</w:t>
            </w:r>
          </w:p>
        </w:tc>
        <w:tc>
          <w:tcPr>
            <w:tcW w:w="927" w:type="dxa"/>
            <w:tcBorders>
              <w:top w:val="single" w:sz="4" w:space="0" w:color="auto"/>
              <w:left w:val="single" w:sz="4" w:space="0" w:color="auto"/>
              <w:bottom w:val="single" w:sz="4" w:space="0" w:color="auto"/>
              <w:right w:val="single" w:sz="4" w:space="0" w:color="auto"/>
            </w:tcBorders>
            <w:hideMark/>
          </w:tcPr>
          <w:p w14:paraId="0D211FCC" w14:textId="275343B5" w:rsidR="009E341C" w:rsidRPr="00ED5F5E" w:rsidRDefault="009E341C" w:rsidP="009E341C">
            <w:pPr>
              <w:ind w:right="113"/>
              <w:jc w:val="right"/>
              <w:rPr>
                <w:rFonts w:ascii="Calibri" w:hAnsi="Calibri" w:cs="Calibri"/>
                <w:color w:val="000000"/>
                <w:sz w:val="20"/>
                <w:szCs w:val="20"/>
                <w:lang w:eastAsia="cs-CZ"/>
              </w:rPr>
            </w:pPr>
            <w:r w:rsidRPr="00E12A3B">
              <w:rPr>
                <w:rFonts w:cstheme="minorHAnsi"/>
                <w:color w:val="000000"/>
                <w:sz w:val="20"/>
                <w:szCs w:val="20"/>
                <w:lang w:eastAsia="cs-CZ"/>
              </w:rPr>
              <w:t>11</w:t>
            </w:r>
          </w:p>
        </w:tc>
      </w:tr>
      <w:tr w:rsidR="009E341C" w:rsidRPr="00ED5F5E" w14:paraId="5F7F2FDB" w14:textId="77777777" w:rsidTr="007364FB">
        <w:trPr>
          <w:trHeight w:val="255"/>
        </w:trPr>
        <w:tc>
          <w:tcPr>
            <w:tcW w:w="1956" w:type="dxa"/>
            <w:tcBorders>
              <w:top w:val="single" w:sz="4" w:space="0" w:color="auto"/>
              <w:left w:val="single" w:sz="4" w:space="0" w:color="auto"/>
              <w:bottom w:val="single" w:sz="4" w:space="0" w:color="auto"/>
              <w:right w:val="single" w:sz="4" w:space="0" w:color="auto"/>
            </w:tcBorders>
            <w:hideMark/>
          </w:tcPr>
          <w:p w14:paraId="4D8CEB2B" w14:textId="77777777" w:rsidR="009E341C" w:rsidRPr="00ED5F5E" w:rsidRDefault="009E341C" w:rsidP="009E341C">
            <w:pPr>
              <w:rPr>
                <w:rFonts w:ascii="Calibri" w:hAnsi="Calibri" w:cs="Calibri"/>
                <w:color w:val="000000"/>
                <w:sz w:val="20"/>
                <w:szCs w:val="20"/>
                <w:lang w:eastAsia="cs-CZ"/>
              </w:rPr>
            </w:pPr>
            <w:r w:rsidRPr="00ED5F5E">
              <w:rPr>
                <w:rFonts w:ascii="Calibri" w:hAnsi="Calibri" w:cs="Calibri"/>
                <w:color w:val="000000"/>
                <w:sz w:val="20"/>
                <w:szCs w:val="20"/>
                <w:lang w:eastAsia="cs-CZ"/>
              </w:rPr>
              <w:t xml:space="preserve">Kraj Vysočina </w:t>
            </w:r>
          </w:p>
        </w:tc>
        <w:tc>
          <w:tcPr>
            <w:tcW w:w="2494" w:type="dxa"/>
            <w:tcBorders>
              <w:top w:val="single" w:sz="4" w:space="0" w:color="auto"/>
              <w:left w:val="single" w:sz="4" w:space="0" w:color="auto"/>
              <w:bottom w:val="single" w:sz="4" w:space="0" w:color="auto"/>
              <w:right w:val="single" w:sz="4" w:space="0" w:color="auto"/>
            </w:tcBorders>
            <w:hideMark/>
          </w:tcPr>
          <w:p w14:paraId="3226A7FD" w14:textId="3B14444F" w:rsidR="009E341C" w:rsidRPr="00ED5F5E" w:rsidRDefault="009E341C" w:rsidP="009E341C">
            <w:pPr>
              <w:ind w:right="409"/>
              <w:jc w:val="right"/>
              <w:rPr>
                <w:rFonts w:ascii="Calibri" w:hAnsi="Calibri" w:cs="Calibri"/>
                <w:color w:val="000000"/>
                <w:sz w:val="20"/>
                <w:szCs w:val="20"/>
                <w:lang w:eastAsia="cs-CZ"/>
              </w:rPr>
            </w:pPr>
            <w:r w:rsidRPr="00E12A3B">
              <w:rPr>
                <w:rFonts w:cstheme="minorHAnsi"/>
                <w:color w:val="000000"/>
                <w:sz w:val="20"/>
                <w:szCs w:val="20"/>
                <w:lang w:eastAsia="cs-CZ"/>
              </w:rPr>
              <w:t xml:space="preserve">36 195 902 </w:t>
            </w:r>
          </w:p>
        </w:tc>
        <w:tc>
          <w:tcPr>
            <w:tcW w:w="2438" w:type="dxa"/>
            <w:tcBorders>
              <w:top w:val="single" w:sz="4" w:space="0" w:color="auto"/>
              <w:left w:val="single" w:sz="4" w:space="0" w:color="auto"/>
              <w:bottom w:val="single" w:sz="4" w:space="0" w:color="auto"/>
              <w:right w:val="single" w:sz="4" w:space="0" w:color="auto"/>
            </w:tcBorders>
            <w:hideMark/>
          </w:tcPr>
          <w:p w14:paraId="100766CF" w14:textId="30F82395" w:rsidR="009E341C" w:rsidRPr="00ED5F5E" w:rsidRDefault="009E341C" w:rsidP="009E341C">
            <w:pPr>
              <w:ind w:right="409"/>
              <w:jc w:val="right"/>
              <w:rPr>
                <w:rFonts w:ascii="Calibri" w:hAnsi="Calibri" w:cs="Calibri"/>
                <w:color w:val="000000"/>
                <w:sz w:val="20"/>
                <w:szCs w:val="20"/>
                <w:lang w:eastAsia="cs-CZ"/>
              </w:rPr>
            </w:pPr>
            <w:r w:rsidRPr="00E12A3B">
              <w:rPr>
                <w:rFonts w:cstheme="minorHAnsi"/>
                <w:color w:val="000000"/>
                <w:sz w:val="20"/>
                <w:szCs w:val="20"/>
                <w:lang w:eastAsia="cs-CZ"/>
              </w:rPr>
              <w:t xml:space="preserve">12 402 148 </w:t>
            </w:r>
          </w:p>
        </w:tc>
        <w:tc>
          <w:tcPr>
            <w:tcW w:w="1474" w:type="dxa"/>
            <w:tcBorders>
              <w:top w:val="single" w:sz="4" w:space="0" w:color="auto"/>
              <w:left w:val="single" w:sz="4" w:space="0" w:color="auto"/>
              <w:bottom w:val="single" w:sz="4" w:space="0" w:color="auto"/>
              <w:right w:val="single" w:sz="4" w:space="0" w:color="auto"/>
            </w:tcBorders>
            <w:shd w:val="clear" w:color="auto" w:fill="F2C6C9"/>
            <w:hideMark/>
          </w:tcPr>
          <w:p w14:paraId="06FFDB22" w14:textId="71DBC98E" w:rsidR="009E341C" w:rsidRPr="00ED5F5E" w:rsidRDefault="009E341C" w:rsidP="009E341C">
            <w:pPr>
              <w:ind w:right="435"/>
              <w:jc w:val="right"/>
              <w:rPr>
                <w:rFonts w:ascii="Calibri" w:hAnsi="Calibri" w:cs="Calibri"/>
                <w:b/>
                <w:color w:val="000000"/>
                <w:sz w:val="20"/>
                <w:szCs w:val="20"/>
                <w:lang w:eastAsia="cs-CZ"/>
              </w:rPr>
            </w:pPr>
            <w:r w:rsidRPr="00E12A3B">
              <w:rPr>
                <w:rFonts w:cstheme="minorHAnsi"/>
                <w:b/>
                <w:color w:val="000000"/>
                <w:sz w:val="20"/>
                <w:szCs w:val="20"/>
                <w:lang w:eastAsia="cs-CZ"/>
              </w:rPr>
              <w:t>34</w:t>
            </w:r>
          </w:p>
        </w:tc>
        <w:tc>
          <w:tcPr>
            <w:tcW w:w="927" w:type="dxa"/>
            <w:tcBorders>
              <w:top w:val="single" w:sz="4" w:space="0" w:color="auto"/>
              <w:left w:val="single" w:sz="4" w:space="0" w:color="auto"/>
              <w:bottom w:val="single" w:sz="4" w:space="0" w:color="auto"/>
              <w:right w:val="single" w:sz="4" w:space="0" w:color="auto"/>
            </w:tcBorders>
            <w:hideMark/>
          </w:tcPr>
          <w:p w14:paraId="20866937" w14:textId="2C277E41" w:rsidR="009E341C" w:rsidRPr="00ED5F5E" w:rsidRDefault="009E341C" w:rsidP="009E341C">
            <w:pPr>
              <w:ind w:right="113"/>
              <w:jc w:val="right"/>
              <w:rPr>
                <w:rFonts w:ascii="Calibri" w:hAnsi="Calibri" w:cs="Calibri"/>
                <w:color w:val="000000"/>
                <w:sz w:val="20"/>
                <w:szCs w:val="20"/>
                <w:lang w:eastAsia="cs-CZ"/>
              </w:rPr>
            </w:pPr>
            <w:r w:rsidRPr="00E12A3B">
              <w:rPr>
                <w:rFonts w:cstheme="minorHAnsi"/>
                <w:color w:val="000000"/>
                <w:sz w:val="20"/>
                <w:szCs w:val="20"/>
                <w:lang w:eastAsia="cs-CZ"/>
              </w:rPr>
              <w:t>10</w:t>
            </w:r>
          </w:p>
        </w:tc>
      </w:tr>
      <w:tr w:rsidR="009E341C" w:rsidRPr="00ED5F5E" w14:paraId="24BEBE09" w14:textId="77777777" w:rsidTr="007364FB">
        <w:trPr>
          <w:trHeight w:val="255"/>
        </w:trPr>
        <w:tc>
          <w:tcPr>
            <w:tcW w:w="1956" w:type="dxa"/>
            <w:tcBorders>
              <w:top w:val="single" w:sz="4" w:space="0" w:color="auto"/>
              <w:left w:val="single" w:sz="4" w:space="0" w:color="auto"/>
              <w:bottom w:val="single" w:sz="4" w:space="0" w:color="auto"/>
              <w:right w:val="single" w:sz="4" w:space="0" w:color="auto"/>
            </w:tcBorders>
            <w:hideMark/>
          </w:tcPr>
          <w:p w14:paraId="2D5BCC56" w14:textId="77777777" w:rsidR="009E341C" w:rsidRPr="00ED5F5E" w:rsidRDefault="009E341C" w:rsidP="009E341C">
            <w:pPr>
              <w:rPr>
                <w:rFonts w:ascii="Calibri" w:hAnsi="Calibri" w:cs="Calibri"/>
                <w:color w:val="000000"/>
                <w:sz w:val="20"/>
                <w:szCs w:val="20"/>
                <w:lang w:eastAsia="cs-CZ"/>
              </w:rPr>
            </w:pPr>
            <w:r w:rsidRPr="00ED5F5E">
              <w:rPr>
                <w:rFonts w:ascii="Calibri" w:hAnsi="Calibri" w:cs="Calibri"/>
                <w:color w:val="000000"/>
                <w:sz w:val="20"/>
                <w:szCs w:val="20"/>
                <w:lang w:eastAsia="cs-CZ"/>
              </w:rPr>
              <w:t xml:space="preserve">Plzeňský kraj </w:t>
            </w:r>
          </w:p>
        </w:tc>
        <w:tc>
          <w:tcPr>
            <w:tcW w:w="2494" w:type="dxa"/>
            <w:tcBorders>
              <w:top w:val="single" w:sz="4" w:space="0" w:color="auto"/>
              <w:left w:val="single" w:sz="4" w:space="0" w:color="auto"/>
              <w:bottom w:val="single" w:sz="4" w:space="0" w:color="auto"/>
              <w:right w:val="single" w:sz="4" w:space="0" w:color="auto"/>
            </w:tcBorders>
            <w:hideMark/>
          </w:tcPr>
          <w:p w14:paraId="35BAC8AC" w14:textId="1E5E0400" w:rsidR="009E341C" w:rsidRPr="00ED5F5E" w:rsidRDefault="009E341C" w:rsidP="009E341C">
            <w:pPr>
              <w:ind w:right="409"/>
              <w:jc w:val="right"/>
              <w:rPr>
                <w:rFonts w:ascii="Calibri" w:hAnsi="Calibri" w:cs="Calibri"/>
                <w:color w:val="000000"/>
                <w:sz w:val="20"/>
                <w:szCs w:val="20"/>
                <w:lang w:eastAsia="cs-CZ"/>
              </w:rPr>
            </w:pPr>
            <w:r w:rsidRPr="00E12A3B">
              <w:rPr>
                <w:rFonts w:cstheme="minorHAnsi"/>
                <w:color w:val="000000"/>
                <w:sz w:val="20"/>
                <w:szCs w:val="20"/>
                <w:lang w:eastAsia="cs-CZ"/>
              </w:rPr>
              <w:t xml:space="preserve">25 231 484 </w:t>
            </w:r>
          </w:p>
        </w:tc>
        <w:tc>
          <w:tcPr>
            <w:tcW w:w="2438" w:type="dxa"/>
            <w:tcBorders>
              <w:top w:val="single" w:sz="4" w:space="0" w:color="auto"/>
              <w:left w:val="single" w:sz="4" w:space="0" w:color="auto"/>
              <w:bottom w:val="single" w:sz="4" w:space="0" w:color="auto"/>
              <w:right w:val="single" w:sz="4" w:space="0" w:color="auto"/>
            </w:tcBorders>
            <w:hideMark/>
          </w:tcPr>
          <w:p w14:paraId="59B1489F" w14:textId="1129D86F" w:rsidR="009E341C" w:rsidRPr="00ED5F5E" w:rsidRDefault="009E341C" w:rsidP="009E341C">
            <w:pPr>
              <w:ind w:right="409"/>
              <w:jc w:val="right"/>
              <w:rPr>
                <w:rFonts w:ascii="Calibri" w:hAnsi="Calibri" w:cs="Calibri"/>
                <w:color w:val="000000"/>
                <w:sz w:val="20"/>
                <w:szCs w:val="20"/>
                <w:lang w:eastAsia="cs-CZ"/>
              </w:rPr>
            </w:pPr>
            <w:r w:rsidRPr="00E12A3B">
              <w:rPr>
                <w:rFonts w:cstheme="minorHAnsi"/>
                <w:color w:val="000000"/>
                <w:sz w:val="20"/>
                <w:szCs w:val="20"/>
                <w:lang w:eastAsia="cs-CZ"/>
              </w:rPr>
              <w:t xml:space="preserve">7 051 222 </w:t>
            </w:r>
          </w:p>
        </w:tc>
        <w:tc>
          <w:tcPr>
            <w:tcW w:w="1474" w:type="dxa"/>
            <w:tcBorders>
              <w:top w:val="single" w:sz="4" w:space="0" w:color="auto"/>
              <w:left w:val="single" w:sz="4" w:space="0" w:color="auto"/>
              <w:bottom w:val="single" w:sz="4" w:space="0" w:color="auto"/>
              <w:right w:val="single" w:sz="4" w:space="0" w:color="auto"/>
            </w:tcBorders>
            <w:shd w:val="clear" w:color="auto" w:fill="F2C6C9"/>
            <w:hideMark/>
          </w:tcPr>
          <w:p w14:paraId="013BE950" w14:textId="56FA752D" w:rsidR="009E341C" w:rsidRPr="00ED5F5E" w:rsidRDefault="009E341C" w:rsidP="009E341C">
            <w:pPr>
              <w:ind w:right="435"/>
              <w:jc w:val="right"/>
              <w:rPr>
                <w:rFonts w:ascii="Calibri" w:hAnsi="Calibri" w:cs="Calibri"/>
                <w:b/>
                <w:color w:val="000000"/>
                <w:sz w:val="20"/>
                <w:szCs w:val="20"/>
                <w:lang w:eastAsia="cs-CZ"/>
              </w:rPr>
            </w:pPr>
            <w:r w:rsidRPr="00E12A3B">
              <w:rPr>
                <w:rFonts w:cstheme="minorHAnsi"/>
                <w:b/>
                <w:color w:val="000000"/>
                <w:sz w:val="20"/>
                <w:szCs w:val="20"/>
                <w:lang w:eastAsia="cs-CZ"/>
              </w:rPr>
              <w:t>2</w:t>
            </w:r>
            <w:r>
              <w:rPr>
                <w:rFonts w:cstheme="minorHAnsi"/>
                <w:b/>
                <w:color w:val="000000"/>
                <w:sz w:val="20"/>
                <w:szCs w:val="20"/>
                <w:lang w:eastAsia="cs-CZ"/>
              </w:rPr>
              <w:t>8</w:t>
            </w:r>
          </w:p>
        </w:tc>
        <w:tc>
          <w:tcPr>
            <w:tcW w:w="927" w:type="dxa"/>
            <w:tcBorders>
              <w:top w:val="single" w:sz="4" w:space="0" w:color="auto"/>
              <w:left w:val="single" w:sz="4" w:space="0" w:color="auto"/>
              <w:bottom w:val="single" w:sz="4" w:space="0" w:color="auto"/>
              <w:right w:val="single" w:sz="4" w:space="0" w:color="auto"/>
            </w:tcBorders>
            <w:hideMark/>
          </w:tcPr>
          <w:p w14:paraId="7272449A" w14:textId="5A023E80" w:rsidR="009E341C" w:rsidRPr="00ED5F5E" w:rsidRDefault="009E341C" w:rsidP="009E341C">
            <w:pPr>
              <w:ind w:right="113"/>
              <w:jc w:val="right"/>
              <w:rPr>
                <w:rFonts w:ascii="Calibri" w:hAnsi="Calibri" w:cs="Calibri"/>
                <w:color w:val="000000"/>
                <w:sz w:val="20"/>
                <w:szCs w:val="20"/>
                <w:lang w:eastAsia="cs-CZ"/>
              </w:rPr>
            </w:pPr>
            <w:r w:rsidRPr="00E12A3B">
              <w:rPr>
                <w:rFonts w:cstheme="minorHAnsi"/>
                <w:color w:val="000000"/>
                <w:sz w:val="20"/>
                <w:szCs w:val="20"/>
                <w:lang w:eastAsia="cs-CZ"/>
              </w:rPr>
              <w:t>7</w:t>
            </w:r>
          </w:p>
        </w:tc>
      </w:tr>
      <w:tr w:rsidR="009E341C" w:rsidRPr="00ED5F5E" w14:paraId="1CADA876" w14:textId="77777777" w:rsidTr="007364FB">
        <w:trPr>
          <w:trHeight w:val="255"/>
        </w:trPr>
        <w:tc>
          <w:tcPr>
            <w:tcW w:w="1956" w:type="dxa"/>
            <w:tcBorders>
              <w:top w:val="single" w:sz="4" w:space="0" w:color="auto"/>
              <w:left w:val="single" w:sz="4" w:space="0" w:color="auto"/>
              <w:bottom w:val="single" w:sz="4" w:space="0" w:color="auto"/>
              <w:right w:val="single" w:sz="4" w:space="0" w:color="auto"/>
            </w:tcBorders>
            <w:hideMark/>
          </w:tcPr>
          <w:p w14:paraId="448D2879" w14:textId="77777777" w:rsidR="009E341C" w:rsidRPr="00ED5F5E" w:rsidRDefault="009E341C" w:rsidP="009E341C">
            <w:pPr>
              <w:rPr>
                <w:rFonts w:ascii="Calibri" w:hAnsi="Calibri" w:cs="Calibri"/>
                <w:color w:val="000000"/>
                <w:sz w:val="20"/>
                <w:szCs w:val="20"/>
                <w:lang w:eastAsia="cs-CZ"/>
              </w:rPr>
            </w:pPr>
            <w:r w:rsidRPr="00ED5F5E">
              <w:rPr>
                <w:rFonts w:ascii="Calibri" w:hAnsi="Calibri" w:cs="Calibri"/>
                <w:color w:val="000000"/>
                <w:sz w:val="20"/>
                <w:szCs w:val="20"/>
                <w:lang w:eastAsia="cs-CZ"/>
              </w:rPr>
              <w:t xml:space="preserve">Ústecký kraj </w:t>
            </w:r>
          </w:p>
        </w:tc>
        <w:tc>
          <w:tcPr>
            <w:tcW w:w="2494" w:type="dxa"/>
            <w:tcBorders>
              <w:top w:val="single" w:sz="4" w:space="0" w:color="auto"/>
              <w:left w:val="single" w:sz="4" w:space="0" w:color="auto"/>
              <w:bottom w:val="single" w:sz="4" w:space="0" w:color="auto"/>
              <w:right w:val="single" w:sz="4" w:space="0" w:color="auto"/>
            </w:tcBorders>
            <w:hideMark/>
          </w:tcPr>
          <w:p w14:paraId="7656958D" w14:textId="509741AF" w:rsidR="009E341C" w:rsidRPr="00ED5F5E" w:rsidRDefault="009E341C" w:rsidP="009E341C">
            <w:pPr>
              <w:ind w:right="409"/>
              <w:jc w:val="right"/>
              <w:rPr>
                <w:rFonts w:ascii="Calibri" w:hAnsi="Calibri" w:cs="Calibri"/>
                <w:color w:val="000000"/>
                <w:sz w:val="20"/>
                <w:szCs w:val="20"/>
                <w:lang w:eastAsia="cs-CZ"/>
              </w:rPr>
            </w:pPr>
            <w:r w:rsidRPr="00E12A3B">
              <w:rPr>
                <w:rFonts w:cstheme="minorHAnsi"/>
                <w:color w:val="000000"/>
                <w:sz w:val="20"/>
                <w:szCs w:val="20"/>
                <w:lang w:eastAsia="cs-CZ"/>
              </w:rPr>
              <w:t xml:space="preserve">57 351 902 </w:t>
            </w:r>
          </w:p>
        </w:tc>
        <w:tc>
          <w:tcPr>
            <w:tcW w:w="2438" w:type="dxa"/>
            <w:tcBorders>
              <w:top w:val="single" w:sz="4" w:space="0" w:color="auto"/>
              <w:left w:val="single" w:sz="4" w:space="0" w:color="auto"/>
              <w:bottom w:val="single" w:sz="4" w:space="0" w:color="auto"/>
              <w:right w:val="single" w:sz="4" w:space="0" w:color="auto"/>
            </w:tcBorders>
            <w:hideMark/>
          </w:tcPr>
          <w:p w14:paraId="72B43C21" w14:textId="388045EB" w:rsidR="009E341C" w:rsidRPr="00ED5F5E" w:rsidRDefault="009E341C" w:rsidP="009E341C">
            <w:pPr>
              <w:ind w:right="409"/>
              <w:jc w:val="right"/>
              <w:rPr>
                <w:rFonts w:ascii="Calibri" w:hAnsi="Calibri" w:cs="Calibri"/>
                <w:color w:val="000000"/>
                <w:sz w:val="20"/>
                <w:szCs w:val="20"/>
                <w:lang w:eastAsia="cs-CZ"/>
              </w:rPr>
            </w:pPr>
            <w:r w:rsidRPr="00E12A3B">
              <w:rPr>
                <w:rFonts w:cstheme="minorHAnsi"/>
                <w:color w:val="000000"/>
                <w:sz w:val="20"/>
                <w:szCs w:val="20"/>
                <w:lang w:eastAsia="cs-CZ"/>
              </w:rPr>
              <w:t xml:space="preserve">13 652 742 </w:t>
            </w:r>
          </w:p>
        </w:tc>
        <w:tc>
          <w:tcPr>
            <w:tcW w:w="1474" w:type="dxa"/>
            <w:tcBorders>
              <w:top w:val="single" w:sz="4" w:space="0" w:color="auto"/>
              <w:left w:val="single" w:sz="4" w:space="0" w:color="auto"/>
              <w:bottom w:val="single" w:sz="4" w:space="0" w:color="auto"/>
              <w:right w:val="single" w:sz="4" w:space="0" w:color="auto"/>
            </w:tcBorders>
            <w:shd w:val="clear" w:color="auto" w:fill="F2C6C9"/>
            <w:hideMark/>
          </w:tcPr>
          <w:p w14:paraId="0773AC36" w14:textId="27DDCD1F" w:rsidR="009E341C" w:rsidRPr="00ED5F5E" w:rsidRDefault="009E341C" w:rsidP="009E341C">
            <w:pPr>
              <w:ind w:right="435"/>
              <w:jc w:val="right"/>
              <w:rPr>
                <w:rFonts w:ascii="Calibri" w:hAnsi="Calibri" w:cs="Calibri"/>
                <w:b/>
                <w:color w:val="000000"/>
                <w:sz w:val="20"/>
                <w:szCs w:val="20"/>
                <w:lang w:eastAsia="cs-CZ"/>
              </w:rPr>
            </w:pPr>
            <w:r w:rsidRPr="00E12A3B">
              <w:rPr>
                <w:rFonts w:cstheme="minorHAnsi"/>
                <w:b/>
                <w:color w:val="000000"/>
                <w:sz w:val="20"/>
                <w:szCs w:val="20"/>
                <w:lang w:eastAsia="cs-CZ"/>
              </w:rPr>
              <w:t>2</w:t>
            </w:r>
            <w:r>
              <w:rPr>
                <w:rFonts w:cstheme="minorHAnsi"/>
                <w:b/>
                <w:color w:val="000000"/>
                <w:sz w:val="20"/>
                <w:szCs w:val="20"/>
                <w:lang w:eastAsia="cs-CZ"/>
              </w:rPr>
              <w:t>4</w:t>
            </w:r>
          </w:p>
        </w:tc>
        <w:tc>
          <w:tcPr>
            <w:tcW w:w="927" w:type="dxa"/>
            <w:tcBorders>
              <w:top w:val="single" w:sz="4" w:space="0" w:color="auto"/>
              <w:left w:val="single" w:sz="4" w:space="0" w:color="auto"/>
              <w:bottom w:val="single" w:sz="4" w:space="0" w:color="auto"/>
              <w:right w:val="single" w:sz="4" w:space="0" w:color="auto"/>
            </w:tcBorders>
            <w:hideMark/>
          </w:tcPr>
          <w:p w14:paraId="7BA24E95" w14:textId="04E54740" w:rsidR="009E341C" w:rsidRPr="00ED5F5E" w:rsidRDefault="009E341C" w:rsidP="009E341C">
            <w:pPr>
              <w:ind w:right="113"/>
              <w:jc w:val="right"/>
              <w:rPr>
                <w:rFonts w:ascii="Calibri" w:hAnsi="Calibri" w:cs="Calibri"/>
                <w:color w:val="000000"/>
                <w:sz w:val="20"/>
                <w:szCs w:val="20"/>
                <w:lang w:eastAsia="cs-CZ"/>
              </w:rPr>
            </w:pPr>
            <w:r w:rsidRPr="00E12A3B">
              <w:rPr>
                <w:rFonts w:cstheme="minorHAnsi"/>
                <w:color w:val="000000"/>
                <w:sz w:val="20"/>
                <w:szCs w:val="20"/>
                <w:lang w:eastAsia="cs-CZ"/>
              </w:rPr>
              <w:t>16</w:t>
            </w:r>
          </w:p>
        </w:tc>
      </w:tr>
      <w:tr w:rsidR="009E341C" w:rsidRPr="00ED5F5E" w14:paraId="591C7C7F" w14:textId="77777777" w:rsidTr="007364FB">
        <w:trPr>
          <w:trHeight w:val="255"/>
        </w:trPr>
        <w:tc>
          <w:tcPr>
            <w:tcW w:w="1956" w:type="dxa"/>
            <w:tcBorders>
              <w:top w:val="single" w:sz="4" w:space="0" w:color="auto"/>
              <w:left w:val="single" w:sz="4" w:space="0" w:color="auto"/>
              <w:bottom w:val="single" w:sz="4" w:space="0" w:color="auto"/>
              <w:right w:val="single" w:sz="4" w:space="0" w:color="auto"/>
            </w:tcBorders>
            <w:hideMark/>
          </w:tcPr>
          <w:p w14:paraId="4D2473EF" w14:textId="77777777" w:rsidR="009E341C" w:rsidRPr="00ED5F5E" w:rsidRDefault="009E341C" w:rsidP="009E341C">
            <w:pPr>
              <w:rPr>
                <w:rFonts w:ascii="Calibri" w:hAnsi="Calibri" w:cs="Calibri"/>
                <w:color w:val="000000"/>
                <w:sz w:val="20"/>
                <w:szCs w:val="20"/>
                <w:lang w:eastAsia="cs-CZ"/>
              </w:rPr>
            </w:pPr>
            <w:r w:rsidRPr="00ED5F5E">
              <w:rPr>
                <w:rFonts w:ascii="Calibri" w:hAnsi="Calibri" w:cs="Calibri"/>
                <w:color w:val="000000"/>
                <w:sz w:val="20"/>
                <w:szCs w:val="20"/>
                <w:lang w:eastAsia="cs-CZ"/>
              </w:rPr>
              <w:t xml:space="preserve">Karlovarský kraj </w:t>
            </w:r>
          </w:p>
        </w:tc>
        <w:tc>
          <w:tcPr>
            <w:tcW w:w="2494" w:type="dxa"/>
            <w:tcBorders>
              <w:top w:val="single" w:sz="4" w:space="0" w:color="auto"/>
              <w:left w:val="single" w:sz="4" w:space="0" w:color="auto"/>
              <w:bottom w:val="single" w:sz="4" w:space="0" w:color="auto"/>
              <w:right w:val="single" w:sz="4" w:space="0" w:color="auto"/>
            </w:tcBorders>
            <w:hideMark/>
          </w:tcPr>
          <w:p w14:paraId="0A807317" w14:textId="556E831A" w:rsidR="009E341C" w:rsidRPr="00ED5F5E" w:rsidRDefault="009E341C" w:rsidP="009E341C">
            <w:pPr>
              <w:ind w:right="409"/>
              <w:jc w:val="right"/>
              <w:rPr>
                <w:rFonts w:ascii="Calibri" w:hAnsi="Calibri" w:cs="Calibri"/>
                <w:color w:val="000000"/>
                <w:sz w:val="20"/>
                <w:szCs w:val="20"/>
                <w:lang w:eastAsia="cs-CZ"/>
              </w:rPr>
            </w:pPr>
            <w:r w:rsidRPr="00E12A3B">
              <w:rPr>
                <w:rFonts w:cstheme="minorHAnsi"/>
                <w:color w:val="000000"/>
                <w:sz w:val="20"/>
                <w:szCs w:val="20"/>
                <w:lang w:eastAsia="cs-CZ"/>
              </w:rPr>
              <w:t xml:space="preserve">33 821 902 </w:t>
            </w:r>
          </w:p>
        </w:tc>
        <w:tc>
          <w:tcPr>
            <w:tcW w:w="2438" w:type="dxa"/>
            <w:tcBorders>
              <w:top w:val="single" w:sz="4" w:space="0" w:color="auto"/>
              <w:left w:val="single" w:sz="4" w:space="0" w:color="auto"/>
              <w:bottom w:val="single" w:sz="4" w:space="0" w:color="auto"/>
              <w:right w:val="single" w:sz="4" w:space="0" w:color="auto"/>
            </w:tcBorders>
            <w:hideMark/>
          </w:tcPr>
          <w:p w14:paraId="7CCBF5F8" w14:textId="53174ACC" w:rsidR="009E341C" w:rsidRPr="00ED5F5E" w:rsidRDefault="009E341C" w:rsidP="009E341C">
            <w:pPr>
              <w:ind w:right="409"/>
              <w:jc w:val="right"/>
              <w:rPr>
                <w:rFonts w:ascii="Calibri" w:hAnsi="Calibri" w:cs="Calibri"/>
                <w:color w:val="000000"/>
                <w:sz w:val="20"/>
                <w:szCs w:val="20"/>
                <w:lang w:eastAsia="cs-CZ"/>
              </w:rPr>
            </w:pPr>
            <w:r w:rsidRPr="00E12A3B">
              <w:rPr>
                <w:rFonts w:cstheme="minorHAnsi"/>
                <w:color w:val="000000"/>
                <w:sz w:val="20"/>
                <w:szCs w:val="20"/>
                <w:lang w:eastAsia="cs-CZ"/>
              </w:rPr>
              <w:t>5 448 351</w:t>
            </w:r>
          </w:p>
        </w:tc>
        <w:tc>
          <w:tcPr>
            <w:tcW w:w="1474" w:type="dxa"/>
            <w:tcBorders>
              <w:top w:val="single" w:sz="4" w:space="0" w:color="auto"/>
              <w:left w:val="single" w:sz="4" w:space="0" w:color="auto"/>
              <w:bottom w:val="single" w:sz="4" w:space="0" w:color="auto"/>
              <w:right w:val="single" w:sz="4" w:space="0" w:color="auto"/>
            </w:tcBorders>
            <w:shd w:val="clear" w:color="auto" w:fill="F2C6C9"/>
            <w:hideMark/>
          </w:tcPr>
          <w:p w14:paraId="37A82946" w14:textId="0F994267" w:rsidR="009E341C" w:rsidRPr="00ED5F5E" w:rsidRDefault="009E341C" w:rsidP="009E341C">
            <w:pPr>
              <w:ind w:right="435"/>
              <w:jc w:val="right"/>
              <w:rPr>
                <w:rFonts w:ascii="Calibri" w:hAnsi="Calibri" w:cs="Calibri"/>
                <w:b/>
                <w:color w:val="000000"/>
                <w:sz w:val="20"/>
                <w:szCs w:val="20"/>
                <w:lang w:eastAsia="cs-CZ"/>
              </w:rPr>
            </w:pPr>
            <w:r w:rsidRPr="00E12A3B">
              <w:rPr>
                <w:rFonts w:cstheme="minorHAnsi"/>
                <w:b/>
                <w:color w:val="000000"/>
                <w:sz w:val="20"/>
                <w:szCs w:val="20"/>
                <w:lang w:eastAsia="cs-CZ"/>
              </w:rPr>
              <w:t>16</w:t>
            </w:r>
          </w:p>
        </w:tc>
        <w:tc>
          <w:tcPr>
            <w:tcW w:w="927" w:type="dxa"/>
            <w:tcBorders>
              <w:top w:val="single" w:sz="4" w:space="0" w:color="auto"/>
              <w:left w:val="single" w:sz="4" w:space="0" w:color="auto"/>
              <w:bottom w:val="single" w:sz="4" w:space="0" w:color="auto"/>
              <w:right w:val="single" w:sz="4" w:space="0" w:color="auto"/>
            </w:tcBorders>
            <w:hideMark/>
          </w:tcPr>
          <w:p w14:paraId="494437C6" w14:textId="456E0442" w:rsidR="009E341C" w:rsidRPr="00ED5F5E" w:rsidRDefault="009E341C" w:rsidP="009E341C">
            <w:pPr>
              <w:ind w:right="113"/>
              <w:jc w:val="right"/>
              <w:rPr>
                <w:rFonts w:ascii="Calibri" w:hAnsi="Calibri" w:cs="Calibri"/>
                <w:color w:val="000000"/>
                <w:sz w:val="20"/>
                <w:szCs w:val="20"/>
                <w:lang w:eastAsia="cs-CZ"/>
              </w:rPr>
            </w:pPr>
            <w:r w:rsidRPr="00E12A3B">
              <w:rPr>
                <w:rFonts w:cstheme="minorHAnsi"/>
                <w:color w:val="000000"/>
                <w:sz w:val="20"/>
                <w:szCs w:val="20"/>
                <w:lang w:eastAsia="cs-CZ"/>
              </w:rPr>
              <w:t>11</w:t>
            </w:r>
          </w:p>
        </w:tc>
      </w:tr>
      <w:tr w:rsidR="009E341C" w:rsidRPr="00ED5F5E" w14:paraId="02FBA26D" w14:textId="77777777" w:rsidTr="007364FB">
        <w:trPr>
          <w:trHeight w:val="255"/>
        </w:trPr>
        <w:tc>
          <w:tcPr>
            <w:tcW w:w="1956" w:type="dxa"/>
            <w:tcBorders>
              <w:top w:val="single" w:sz="4" w:space="0" w:color="auto"/>
              <w:left w:val="single" w:sz="4" w:space="0" w:color="auto"/>
              <w:bottom w:val="single" w:sz="4" w:space="0" w:color="auto"/>
              <w:right w:val="single" w:sz="4" w:space="0" w:color="auto"/>
            </w:tcBorders>
            <w:hideMark/>
          </w:tcPr>
          <w:p w14:paraId="34E0FE9C" w14:textId="77777777" w:rsidR="009E341C" w:rsidRPr="00ED5F5E" w:rsidRDefault="009E341C" w:rsidP="009E341C">
            <w:pPr>
              <w:rPr>
                <w:rFonts w:ascii="Calibri" w:hAnsi="Calibri" w:cs="Calibri"/>
                <w:color w:val="000000"/>
                <w:sz w:val="20"/>
                <w:szCs w:val="20"/>
                <w:lang w:eastAsia="cs-CZ"/>
              </w:rPr>
            </w:pPr>
            <w:r w:rsidRPr="00ED5F5E">
              <w:rPr>
                <w:rFonts w:ascii="Calibri" w:hAnsi="Calibri" w:cs="Calibri"/>
                <w:color w:val="000000"/>
                <w:sz w:val="20"/>
                <w:szCs w:val="20"/>
                <w:lang w:eastAsia="cs-CZ"/>
              </w:rPr>
              <w:t>Hlavní město Praha</w:t>
            </w:r>
          </w:p>
        </w:tc>
        <w:tc>
          <w:tcPr>
            <w:tcW w:w="2494" w:type="dxa"/>
            <w:tcBorders>
              <w:top w:val="single" w:sz="4" w:space="0" w:color="auto"/>
              <w:left w:val="single" w:sz="4" w:space="0" w:color="auto"/>
              <w:bottom w:val="single" w:sz="4" w:space="0" w:color="auto"/>
              <w:right w:val="single" w:sz="4" w:space="0" w:color="auto"/>
            </w:tcBorders>
            <w:hideMark/>
          </w:tcPr>
          <w:p w14:paraId="369484C8" w14:textId="0BDA64B4" w:rsidR="009E341C" w:rsidRPr="00ED5F5E" w:rsidRDefault="009E341C" w:rsidP="009E341C">
            <w:pPr>
              <w:ind w:right="409"/>
              <w:jc w:val="right"/>
              <w:rPr>
                <w:rFonts w:ascii="Calibri" w:hAnsi="Calibri" w:cs="Calibri"/>
                <w:color w:val="000000"/>
                <w:sz w:val="20"/>
                <w:szCs w:val="20"/>
                <w:lang w:eastAsia="cs-CZ"/>
              </w:rPr>
            </w:pPr>
            <w:r w:rsidRPr="00E12A3B">
              <w:rPr>
                <w:rFonts w:cstheme="minorHAnsi"/>
                <w:color w:val="000000"/>
                <w:sz w:val="20"/>
                <w:szCs w:val="20"/>
                <w:lang w:eastAsia="cs-CZ"/>
              </w:rPr>
              <w:t xml:space="preserve">0 </w:t>
            </w:r>
          </w:p>
        </w:tc>
        <w:tc>
          <w:tcPr>
            <w:tcW w:w="2438" w:type="dxa"/>
            <w:tcBorders>
              <w:top w:val="single" w:sz="4" w:space="0" w:color="auto"/>
              <w:left w:val="single" w:sz="4" w:space="0" w:color="auto"/>
              <w:bottom w:val="single" w:sz="4" w:space="0" w:color="auto"/>
              <w:right w:val="single" w:sz="4" w:space="0" w:color="auto"/>
            </w:tcBorders>
            <w:hideMark/>
          </w:tcPr>
          <w:p w14:paraId="7AB6CBE3" w14:textId="03074F57" w:rsidR="009E341C" w:rsidRPr="00ED5F5E" w:rsidRDefault="009E341C" w:rsidP="009E341C">
            <w:pPr>
              <w:ind w:right="409"/>
              <w:jc w:val="right"/>
              <w:rPr>
                <w:rFonts w:ascii="Calibri" w:hAnsi="Calibri" w:cs="Calibri"/>
                <w:color w:val="000000"/>
                <w:sz w:val="20"/>
                <w:szCs w:val="20"/>
                <w:lang w:eastAsia="cs-CZ"/>
              </w:rPr>
            </w:pPr>
            <w:r w:rsidRPr="00E12A3B">
              <w:rPr>
                <w:rFonts w:cstheme="minorHAnsi"/>
                <w:color w:val="000000"/>
                <w:sz w:val="20"/>
                <w:szCs w:val="20"/>
                <w:lang w:eastAsia="cs-CZ"/>
              </w:rPr>
              <w:t xml:space="preserve">0 </w:t>
            </w:r>
          </w:p>
        </w:tc>
        <w:tc>
          <w:tcPr>
            <w:tcW w:w="1474" w:type="dxa"/>
            <w:tcBorders>
              <w:top w:val="single" w:sz="4" w:space="0" w:color="auto"/>
              <w:left w:val="single" w:sz="4" w:space="0" w:color="auto"/>
              <w:bottom w:val="single" w:sz="4" w:space="0" w:color="auto"/>
              <w:right w:val="single" w:sz="4" w:space="0" w:color="auto"/>
            </w:tcBorders>
            <w:shd w:val="clear" w:color="auto" w:fill="F2C6C9"/>
            <w:hideMark/>
          </w:tcPr>
          <w:p w14:paraId="51B8BE7F" w14:textId="7D9B9AE2" w:rsidR="009E341C" w:rsidRPr="00ED5F5E" w:rsidRDefault="009E341C" w:rsidP="009E341C">
            <w:pPr>
              <w:ind w:right="435"/>
              <w:jc w:val="right"/>
              <w:rPr>
                <w:rFonts w:ascii="Calibri" w:hAnsi="Calibri" w:cs="Calibri"/>
                <w:b/>
                <w:color w:val="000000"/>
                <w:sz w:val="20"/>
                <w:szCs w:val="20"/>
                <w:lang w:eastAsia="cs-CZ"/>
              </w:rPr>
            </w:pPr>
            <w:r w:rsidRPr="00E12A3B">
              <w:rPr>
                <w:rFonts w:cstheme="minorHAnsi"/>
                <w:b/>
                <w:color w:val="000000"/>
                <w:sz w:val="20"/>
                <w:szCs w:val="20"/>
                <w:lang w:eastAsia="cs-CZ"/>
              </w:rPr>
              <w:t>0</w:t>
            </w:r>
          </w:p>
        </w:tc>
        <w:tc>
          <w:tcPr>
            <w:tcW w:w="927" w:type="dxa"/>
            <w:tcBorders>
              <w:top w:val="single" w:sz="4" w:space="0" w:color="auto"/>
              <w:left w:val="single" w:sz="4" w:space="0" w:color="auto"/>
              <w:bottom w:val="single" w:sz="4" w:space="0" w:color="auto"/>
              <w:right w:val="single" w:sz="4" w:space="0" w:color="auto"/>
            </w:tcBorders>
            <w:hideMark/>
          </w:tcPr>
          <w:p w14:paraId="3770F1DE" w14:textId="57865FC6" w:rsidR="009E341C" w:rsidRPr="00ED5F5E" w:rsidRDefault="009E341C" w:rsidP="009E341C">
            <w:pPr>
              <w:ind w:right="113"/>
              <w:jc w:val="right"/>
              <w:rPr>
                <w:rFonts w:ascii="Calibri" w:hAnsi="Calibri" w:cs="Calibri"/>
                <w:color w:val="000000"/>
                <w:sz w:val="20"/>
                <w:szCs w:val="20"/>
                <w:lang w:eastAsia="cs-CZ"/>
              </w:rPr>
            </w:pPr>
            <w:r w:rsidRPr="00E12A3B">
              <w:rPr>
                <w:rFonts w:cstheme="minorHAnsi"/>
                <w:color w:val="000000"/>
                <w:sz w:val="20"/>
                <w:szCs w:val="20"/>
                <w:lang w:eastAsia="cs-CZ"/>
              </w:rPr>
              <w:t>0</w:t>
            </w:r>
          </w:p>
        </w:tc>
      </w:tr>
    </w:tbl>
    <w:p w14:paraId="1660EBE3" w14:textId="2830D642" w:rsidR="003E37DC" w:rsidRPr="006252C2" w:rsidRDefault="003E37DC" w:rsidP="00ED5F5E">
      <w:pPr>
        <w:pStyle w:val="Default"/>
        <w:spacing w:before="40" w:after="120"/>
        <w:ind w:left="567" w:hanging="567"/>
        <w:jc w:val="both"/>
        <w:rPr>
          <w:rFonts w:asciiTheme="minorHAnsi" w:eastAsiaTheme="minorHAnsi" w:hAnsiTheme="minorHAnsi" w:cs="Verdana"/>
          <w:sz w:val="20"/>
          <w:szCs w:val="20"/>
          <w:lang w:eastAsia="en-US"/>
        </w:rPr>
      </w:pPr>
      <w:r w:rsidRPr="00AD4B3E">
        <w:rPr>
          <w:rFonts w:asciiTheme="minorHAnsi" w:hAnsiTheme="minorHAnsi"/>
          <w:b/>
          <w:sz w:val="20"/>
          <w:szCs w:val="20"/>
        </w:rPr>
        <w:t>Zdroj:</w:t>
      </w:r>
      <w:r>
        <w:rPr>
          <w:rFonts w:asciiTheme="minorHAnsi" w:hAnsiTheme="minorHAnsi"/>
          <w:sz w:val="20"/>
          <w:szCs w:val="20"/>
        </w:rPr>
        <w:t xml:space="preserve"> </w:t>
      </w:r>
      <w:r w:rsidR="00E3453F" w:rsidRPr="006252C2">
        <w:rPr>
          <w:rFonts w:asciiTheme="minorHAnsi" w:hAnsiTheme="minorHAnsi"/>
          <w:sz w:val="20"/>
          <w:szCs w:val="20"/>
        </w:rPr>
        <w:t>v</w:t>
      </w:r>
      <w:r w:rsidRPr="006252C2">
        <w:rPr>
          <w:rFonts w:asciiTheme="minorHAnsi" w:hAnsiTheme="minorHAnsi"/>
          <w:sz w:val="20"/>
          <w:szCs w:val="20"/>
        </w:rPr>
        <w:t xml:space="preserve">yhodnocení </w:t>
      </w:r>
      <w:r>
        <w:rPr>
          <w:rFonts w:asciiTheme="minorHAnsi" w:hAnsiTheme="minorHAnsi"/>
          <w:i/>
          <w:sz w:val="20"/>
          <w:szCs w:val="20"/>
        </w:rPr>
        <w:t xml:space="preserve">Národního programu podpory cestovního ruchu v regionech </w:t>
      </w:r>
      <w:r w:rsidRPr="006252C2">
        <w:rPr>
          <w:rFonts w:asciiTheme="minorHAnsi" w:hAnsiTheme="minorHAnsi"/>
          <w:sz w:val="20"/>
          <w:szCs w:val="20"/>
        </w:rPr>
        <w:t>z hlediska věcného odboru (</w:t>
      </w:r>
      <w:r w:rsidR="00E3453F" w:rsidRPr="006252C2">
        <w:rPr>
          <w:rFonts w:asciiTheme="minorHAnsi" w:hAnsiTheme="minorHAnsi"/>
          <w:sz w:val="20"/>
          <w:szCs w:val="20"/>
        </w:rPr>
        <w:t>v</w:t>
      </w:r>
      <w:r w:rsidRPr="006252C2">
        <w:rPr>
          <w:rFonts w:asciiTheme="minorHAnsi" w:hAnsiTheme="minorHAnsi"/>
          <w:sz w:val="20"/>
          <w:szCs w:val="20"/>
        </w:rPr>
        <w:t>ýzvy 2017</w:t>
      </w:r>
      <w:r w:rsidR="00010371" w:rsidRPr="006252C2">
        <w:rPr>
          <w:rFonts w:asciiTheme="minorHAnsi" w:hAnsiTheme="minorHAnsi" w:cstheme="minorHAnsi"/>
          <w:sz w:val="20"/>
          <w:szCs w:val="20"/>
        </w:rPr>
        <w:t>−</w:t>
      </w:r>
      <w:r w:rsidRPr="006252C2">
        <w:rPr>
          <w:rFonts w:asciiTheme="minorHAnsi" w:hAnsiTheme="minorHAnsi"/>
          <w:sz w:val="20"/>
          <w:szCs w:val="20"/>
        </w:rPr>
        <w:t>2020)</w:t>
      </w:r>
      <w:r w:rsidRPr="00E3453F">
        <w:rPr>
          <w:rFonts w:asciiTheme="minorHAnsi" w:hAnsiTheme="minorHAnsi"/>
          <w:sz w:val="20"/>
          <w:szCs w:val="20"/>
        </w:rPr>
        <w:t>.</w:t>
      </w:r>
    </w:p>
    <w:p w14:paraId="4DC7C170" w14:textId="16B9CE8B" w:rsidR="003E37DC" w:rsidRPr="00ED5F5E" w:rsidRDefault="003E37DC" w:rsidP="00ED5F5E">
      <w:pPr>
        <w:pStyle w:val="Titulek"/>
        <w:keepNext/>
        <w:spacing w:before="240" w:after="40"/>
        <w:jc w:val="both"/>
        <w:rPr>
          <w:rFonts w:cstheme="minorHAnsi"/>
          <w:b/>
          <w:i w:val="0"/>
          <w:color w:val="auto"/>
          <w:spacing w:val="-4"/>
          <w:sz w:val="24"/>
          <w:szCs w:val="24"/>
        </w:rPr>
      </w:pPr>
      <w:r w:rsidRPr="00ED5F5E">
        <w:rPr>
          <w:rFonts w:cstheme="minorHAnsi"/>
          <w:b/>
          <w:i w:val="0"/>
          <w:color w:val="auto"/>
          <w:spacing w:val="-4"/>
          <w:sz w:val="24"/>
          <w:szCs w:val="24"/>
        </w:rPr>
        <w:t>Tabulka č. 2: Přehled čerpání alokace v programu Marketing v rámci krajů v letech 2017</w:t>
      </w:r>
      <w:r w:rsidR="006D52EE" w:rsidRPr="00ED5F5E">
        <w:rPr>
          <w:rFonts w:cstheme="minorHAnsi"/>
          <w:b/>
          <w:i w:val="0"/>
          <w:color w:val="auto"/>
          <w:spacing w:val="-4"/>
          <w:sz w:val="24"/>
          <w:szCs w:val="24"/>
        </w:rPr>
        <w:t>–</w:t>
      </w:r>
      <w:r w:rsidRPr="00ED5F5E">
        <w:rPr>
          <w:rFonts w:cstheme="minorHAnsi"/>
          <w:b/>
          <w:i w:val="0"/>
          <w:color w:val="auto"/>
          <w:spacing w:val="-4"/>
          <w:sz w:val="24"/>
          <w:szCs w:val="24"/>
        </w:rPr>
        <w:t>2020</w:t>
      </w:r>
    </w:p>
    <w:tbl>
      <w:tblPr>
        <w:tblStyle w:val="Mkatabulky"/>
        <w:tblW w:w="9289" w:type="dxa"/>
        <w:tblLook w:val="04A0" w:firstRow="1" w:lastRow="0" w:firstColumn="1" w:lastColumn="0" w:noHBand="0" w:noVBand="1"/>
      </w:tblPr>
      <w:tblGrid>
        <w:gridCol w:w="1956"/>
        <w:gridCol w:w="2494"/>
        <w:gridCol w:w="2438"/>
        <w:gridCol w:w="1474"/>
        <w:gridCol w:w="927"/>
      </w:tblGrid>
      <w:tr w:rsidR="009E341C" w:rsidRPr="00ED5F5E" w14:paraId="7B768589" w14:textId="77777777" w:rsidTr="009E341C">
        <w:trPr>
          <w:trHeight w:val="255"/>
        </w:trPr>
        <w:tc>
          <w:tcPr>
            <w:tcW w:w="1956"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5C6F1457" w14:textId="3845C281" w:rsidR="00DF7F78" w:rsidRPr="00ED5F5E" w:rsidRDefault="00DF7F78" w:rsidP="009E341C">
            <w:pPr>
              <w:jc w:val="center"/>
              <w:rPr>
                <w:rFonts w:ascii="Calibri" w:hAnsi="Calibri" w:cs="Calibri"/>
                <w:b/>
                <w:sz w:val="20"/>
                <w:szCs w:val="20"/>
                <w:lang w:eastAsia="cs-CZ"/>
              </w:rPr>
            </w:pPr>
            <w:r w:rsidRPr="00ED5F5E">
              <w:rPr>
                <w:rFonts w:ascii="Calibri" w:hAnsi="Calibri" w:cs="Calibri"/>
                <w:b/>
                <w:sz w:val="20"/>
                <w:szCs w:val="20"/>
                <w:lang w:eastAsia="cs-CZ"/>
              </w:rPr>
              <w:t>Kraj</w:t>
            </w:r>
          </w:p>
        </w:tc>
        <w:tc>
          <w:tcPr>
            <w:tcW w:w="2494"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2C6C31DC" w14:textId="74987239" w:rsidR="00DF7F78" w:rsidRPr="00ED5F5E" w:rsidRDefault="00DF7F78" w:rsidP="009E341C">
            <w:pPr>
              <w:jc w:val="center"/>
              <w:rPr>
                <w:rFonts w:ascii="Calibri" w:hAnsi="Calibri" w:cs="Calibri"/>
                <w:sz w:val="20"/>
                <w:szCs w:val="20"/>
                <w:lang w:eastAsia="cs-CZ"/>
              </w:rPr>
            </w:pPr>
            <w:r w:rsidRPr="00ED5F5E">
              <w:rPr>
                <w:rFonts w:ascii="Calibri" w:hAnsi="Calibri" w:cs="Calibri"/>
                <w:b/>
                <w:color w:val="000000"/>
                <w:sz w:val="20"/>
                <w:szCs w:val="20"/>
                <w:lang w:eastAsia="cs-CZ"/>
              </w:rPr>
              <w:t>Součet disponibilní alokace pro kraj 2017</w:t>
            </w:r>
            <w:r w:rsidR="00E3453F">
              <w:rPr>
                <w:rFonts w:ascii="Calibri" w:hAnsi="Calibri" w:cs="Calibri"/>
                <w:b/>
                <w:color w:val="000000"/>
                <w:sz w:val="20"/>
                <w:szCs w:val="20"/>
                <w:lang w:eastAsia="cs-CZ"/>
              </w:rPr>
              <w:t>−</w:t>
            </w:r>
            <w:r w:rsidRPr="00ED5F5E">
              <w:rPr>
                <w:rFonts w:ascii="Calibri" w:hAnsi="Calibri" w:cs="Calibri"/>
                <w:b/>
                <w:color w:val="000000"/>
                <w:sz w:val="20"/>
                <w:szCs w:val="20"/>
                <w:lang w:eastAsia="cs-CZ"/>
              </w:rPr>
              <w:t xml:space="preserve">2020 (výzvy) </w:t>
            </w:r>
            <w:r w:rsidR="00F04D7D" w:rsidRPr="00ED5F5E">
              <w:rPr>
                <w:rFonts w:ascii="Calibri" w:hAnsi="Calibri" w:cs="Calibri"/>
                <w:b/>
                <w:color w:val="000000"/>
                <w:sz w:val="20"/>
                <w:szCs w:val="20"/>
                <w:lang w:eastAsia="cs-CZ"/>
              </w:rPr>
              <w:t>v Kč</w:t>
            </w:r>
          </w:p>
        </w:tc>
        <w:tc>
          <w:tcPr>
            <w:tcW w:w="2438"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4DC1A01C" w14:textId="1762E327" w:rsidR="00DF7F78" w:rsidRPr="00ED5F5E" w:rsidRDefault="00DF7F78" w:rsidP="009E341C">
            <w:pPr>
              <w:jc w:val="center"/>
              <w:rPr>
                <w:rFonts w:ascii="Calibri" w:hAnsi="Calibri" w:cs="Calibri"/>
                <w:sz w:val="20"/>
                <w:szCs w:val="20"/>
                <w:lang w:eastAsia="cs-CZ"/>
              </w:rPr>
            </w:pPr>
            <w:r w:rsidRPr="00ED5F5E">
              <w:rPr>
                <w:rFonts w:ascii="Calibri" w:hAnsi="Calibri" w:cs="Calibri"/>
                <w:b/>
                <w:color w:val="000000"/>
                <w:sz w:val="20"/>
                <w:szCs w:val="20"/>
                <w:lang w:eastAsia="cs-CZ"/>
              </w:rPr>
              <w:t>Objem skutečně čerpané dotace na kraj 2017</w:t>
            </w:r>
            <w:r w:rsidR="00781EA4">
              <w:rPr>
                <w:rFonts w:ascii="Calibri" w:hAnsi="Calibri" w:cs="Calibri"/>
                <w:b/>
                <w:color w:val="000000"/>
                <w:sz w:val="20"/>
                <w:szCs w:val="20"/>
                <w:lang w:eastAsia="cs-CZ"/>
              </w:rPr>
              <w:t>−</w:t>
            </w:r>
            <w:r w:rsidRPr="00ED5F5E">
              <w:rPr>
                <w:rFonts w:ascii="Calibri" w:hAnsi="Calibri" w:cs="Calibri"/>
                <w:b/>
                <w:color w:val="000000"/>
                <w:sz w:val="20"/>
                <w:szCs w:val="20"/>
                <w:lang w:eastAsia="cs-CZ"/>
              </w:rPr>
              <w:t>2020 (</w:t>
            </w:r>
            <w:proofErr w:type="spellStart"/>
            <w:r w:rsidRPr="00ED5F5E">
              <w:rPr>
                <w:rFonts w:ascii="Calibri" w:hAnsi="Calibri" w:cs="Calibri"/>
                <w:b/>
                <w:color w:val="000000"/>
                <w:sz w:val="20"/>
                <w:szCs w:val="20"/>
                <w:lang w:eastAsia="cs-CZ"/>
              </w:rPr>
              <w:t>RoPD</w:t>
            </w:r>
            <w:proofErr w:type="spellEnd"/>
            <w:r w:rsidRPr="00ED5F5E">
              <w:rPr>
                <w:rFonts w:ascii="Calibri" w:hAnsi="Calibri" w:cs="Calibri"/>
                <w:b/>
                <w:color w:val="000000"/>
                <w:sz w:val="20"/>
                <w:szCs w:val="20"/>
                <w:lang w:eastAsia="cs-CZ"/>
              </w:rPr>
              <w:t xml:space="preserve">) </w:t>
            </w:r>
            <w:r w:rsidR="00F04D7D" w:rsidRPr="00ED5F5E">
              <w:rPr>
                <w:rFonts w:ascii="Calibri" w:hAnsi="Calibri" w:cs="Calibri"/>
                <w:b/>
                <w:color w:val="000000"/>
                <w:sz w:val="20"/>
                <w:szCs w:val="20"/>
                <w:lang w:eastAsia="cs-CZ"/>
              </w:rPr>
              <w:t>v Kč</w:t>
            </w:r>
          </w:p>
        </w:tc>
        <w:tc>
          <w:tcPr>
            <w:tcW w:w="1474" w:type="dxa"/>
            <w:tcBorders>
              <w:top w:val="single" w:sz="4" w:space="0" w:color="auto"/>
              <w:left w:val="single" w:sz="4" w:space="0" w:color="auto"/>
              <w:bottom w:val="single" w:sz="4" w:space="0" w:color="auto"/>
              <w:right w:val="single" w:sz="4" w:space="0" w:color="auto"/>
            </w:tcBorders>
            <w:shd w:val="clear" w:color="auto" w:fill="F2C6C9"/>
            <w:vAlign w:val="center"/>
            <w:hideMark/>
          </w:tcPr>
          <w:p w14:paraId="18282E30" w14:textId="273CAB39" w:rsidR="00DF7F78" w:rsidRPr="00ED5F5E" w:rsidRDefault="00DF7F78" w:rsidP="009E341C">
            <w:pPr>
              <w:jc w:val="center"/>
              <w:rPr>
                <w:rFonts w:ascii="Calibri" w:hAnsi="Calibri" w:cs="Calibri"/>
                <w:b/>
                <w:sz w:val="20"/>
                <w:szCs w:val="20"/>
                <w:lang w:eastAsia="cs-CZ"/>
              </w:rPr>
            </w:pPr>
            <w:r w:rsidRPr="00ED5F5E">
              <w:rPr>
                <w:rFonts w:ascii="Calibri" w:hAnsi="Calibri" w:cs="Calibri"/>
                <w:b/>
                <w:color w:val="000000"/>
                <w:sz w:val="20"/>
                <w:szCs w:val="20"/>
                <w:lang w:eastAsia="cs-CZ"/>
              </w:rPr>
              <w:t xml:space="preserve">Čerpaní dotace na alokaci </w:t>
            </w:r>
            <w:r w:rsidR="00781EA4">
              <w:rPr>
                <w:rFonts w:ascii="Calibri" w:hAnsi="Calibri" w:cs="Calibri"/>
                <w:b/>
                <w:color w:val="000000"/>
                <w:sz w:val="20"/>
                <w:szCs w:val="20"/>
                <w:lang w:eastAsia="cs-CZ"/>
              </w:rPr>
              <w:t>v </w:t>
            </w:r>
            <w:r w:rsidRPr="00ED5F5E">
              <w:rPr>
                <w:rFonts w:ascii="Calibri" w:hAnsi="Calibri" w:cs="Calibri"/>
                <w:b/>
                <w:color w:val="000000"/>
                <w:sz w:val="20"/>
                <w:szCs w:val="20"/>
                <w:lang w:eastAsia="cs-CZ"/>
              </w:rPr>
              <w:t>%</w:t>
            </w:r>
          </w:p>
        </w:tc>
        <w:tc>
          <w:tcPr>
            <w:tcW w:w="927"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58809D03" w14:textId="07FE4531" w:rsidR="00DF7F78" w:rsidRPr="00ED5F5E" w:rsidRDefault="00DF7F78" w:rsidP="009E341C">
            <w:pPr>
              <w:jc w:val="center"/>
              <w:rPr>
                <w:rFonts w:ascii="Calibri" w:hAnsi="Calibri" w:cs="Calibri"/>
                <w:sz w:val="20"/>
                <w:szCs w:val="20"/>
                <w:lang w:eastAsia="cs-CZ"/>
              </w:rPr>
            </w:pPr>
            <w:r w:rsidRPr="00ED5F5E">
              <w:rPr>
                <w:rFonts w:ascii="Calibri" w:hAnsi="Calibri" w:cs="Calibri"/>
                <w:b/>
                <w:color w:val="000000"/>
                <w:sz w:val="20"/>
                <w:szCs w:val="20"/>
                <w:lang w:eastAsia="cs-CZ"/>
              </w:rPr>
              <w:t>Počet projektů</w:t>
            </w:r>
          </w:p>
        </w:tc>
      </w:tr>
      <w:tr w:rsidR="009E341C" w:rsidRPr="00ED5F5E" w14:paraId="1E7D4653" w14:textId="77777777" w:rsidTr="009E341C">
        <w:trPr>
          <w:trHeight w:val="255"/>
        </w:trPr>
        <w:tc>
          <w:tcPr>
            <w:tcW w:w="1956" w:type="dxa"/>
            <w:tcBorders>
              <w:top w:val="single" w:sz="4" w:space="0" w:color="auto"/>
              <w:left w:val="single" w:sz="4" w:space="0" w:color="auto"/>
              <w:bottom w:val="single" w:sz="4" w:space="0" w:color="auto"/>
              <w:right w:val="single" w:sz="4" w:space="0" w:color="auto"/>
            </w:tcBorders>
            <w:hideMark/>
          </w:tcPr>
          <w:p w14:paraId="0CEDD7DA" w14:textId="77777777" w:rsidR="00DF7F78" w:rsidRPr="00ED5F5E" w:rsidRDefault="00DF7F78">
            <w:pPr>
              <w:rPr>
                <w:rFonts w:ascii="Calibri" w:hAnsi="Calibri" w:cs="Calibri"/>
                <w:sz w:val="20"/>
                <w:szCs w:val="20"/>
                <w:lang w:eastAsia="cs-CZ"/>
              </w:rPr>
            </w:pPr>
            <w:r w:rsidRPr="00ED5F5E">
              <w:rPr>
                <w:rFonts w:ascii="Calibri" w:hAnsi="Calibri" w:cs="Calibri"/>
                <w:color w:val="000000"/>
                <w:sz w:val="20"/>
                <w:szCs w:val="20"/>
                <w:lang w:eastAsia="cs-CZ"/>
              </w:rPr>
              <w:t xml:space="preserve">Středočeský kraj </w:t>
            </w:r>
          </w:p>
        </w:tc>
        <w:tc>
          <w:tcPr>
            <w:tcW w:w="2494" w:type="dxa"/>
            <w:tcBorders>
              <w:top w:val="single" w:sz="4" w:space="0" w:color="auto"/>
              <w:left w:val="single" w:sz="4" w:space="0" w:color="auto"/>
              <w:bottom w:val="single" w:sz="4" w:space="0" w:color="auto"/>
              <w:right w:val="single" w:sz="4" w:space="0" w:color="auto"/>
            </w:tcBorders>
            <w:vAlign w:val="center"/>
            <w:hideMark/>
          </w:tcPr>
          <w:p w14:paraId="1B7E7C12" w14:textId="77777777" w:rsidR="00DF7F78" w:rsidRPr="00ED5F5E" w:rsidRDefault="00DF7F78" w:rsidP="009E341C">
            <w:pPr>
              <w:ind w:right="409"/>
              <w:jc w:val="right"/>
              <w:rPr>
                <w:rFonts w:ascii="Calibri" w:hAnsi="Calibri" w:cs="Calibri"/>
                <w:sz w:val="20"/>
                <w:szCs w:val="20"/>
                <w:lang w:eastAsia="cs-CZ"/>
              </w:rPr>
            </w:pPr>
            <w:r w:rsidRPr="00ED5F5E">
              <w:rPr>
                <w:rFonts w:ascii="Calibri" w:hAnsi="Calibri" w:cs="Calibri"/>
                <w:sz w:val="20"/>
                <w:szCs w:val="20"/>
                <w:lang w:eastAsia="cs-CZ"/>
              </w:rPr>
              <w:t xml:space="preserve">26 209 657 </w:t>
            </w:r>
          </w:p>
        </w:tc>
        <w:tc>
          <w:tcPr>
            <w:tcW w:w="2438" w:type="dxa"/>
            <w:tcBorders>
              <w:top w:val="single" w:sz="4" w:space="0" w:color="auto"/>
              <w:left w:val="single" w:sz="4" w:space="0" w:color="auto"/>
              <w:bottom w:val="single" w:sz="4" w:space="0" w:color="auto"/>
              <w:right w:val="single" w:sz="4" w:space="0" w:color="auto"/>
            </w:tcBorders>
            <w:vAlign w:val="center"/>
            <w:hideMark/>
          </w:tcPr>
          <w:p w14:paraId="5E6A8904" w14:textId="06ACEAF5" w:rsidR="00DF7F78" w:rsidRPr="00ED5F5E" w:rsidRDefault="00DF7F78" w:rsidP="009E341C">
            <w:pPr>
              <w:ind w:right="409"/>
              <w:jc w:val="right"/>
              <w:rPr>
                <w:rFonts w:ascii="Calibri" w:hAnsi="Calibri" w:cs="Calibri"/>
                <w:sz w:val="20"/>
                <w:szCs w:val="20"/>
                <w:lang w:eastAsia="cs-CZ"/>
              </w:rPr>
            </w:pPr>
            <w:r w:rsidRPr="00ED5F5E">
              <w:rPr>
                <w:rFonts w:ascii="Calibri" w:hAnsi="Calibri" w:cs="Calibri"/>
                <w:sz w:val="20"/>
                <w:szCs w:val="20"/>
                <w:lang w:eastAsia="cs-CZ"/>
              </w:rPr>
              <w:t>1 899 132</w:t>
            </w:r>
          </w:p>
        </w:tc>
        <w:tc>
          <w:tcPr>
            <w:tcW w:w="1474" w:type="dxa"/>
            <w:tcBorders>
              <w:top w:val="single" w:sz="4" w:space="0" w:color="auto"/>
              <w:left w:val="single" w:sz="4" w:space="0" w:color="auto"/>
              <w:bottom w:val="single" w:sz="4" w:space="0" w:color="auto"/>
              <w:right w:val="single" w:sz="4" w:space="0" w:color="auto"/>
            </w:tcBorders>
            <w:shd w:val="clear" w:color="auto" w:fill="F2C6C9"/>
            <w:vAlign w:val="center"/>
            <w:hideMark/>
          </w:tcPr>
          <w:p w14:paraId="38174D6C" w14:textId="3C0ACE92" w:rsidR="00DF7F78" w:rsidRPr="00ED5F5E" w:rsidRDefault="00DF7F78" w:rsidP="009E341C">
            <w:pPr>
              <w:ind w:right="435"/>
              <w:jc w:val="right"/>
              <w:rPr>
                <w:rFonts w:ascii="Calibri" w:hAnsi="Calibri" w:cs="Calibri"/>
                <w:b/>
                <w:sz w:val="20"/>
                <w:szCs w:val="20"/>
                <w:lang w:eastAsia="cs-CZ"/>
              </w:rPr>
            </w:pPr>
            <w:r w:rsidRPr="00ED5F5E">
              <w:rPr>
                <w:rFonts w:ascii="Calibri" w:hAnsi="Calibri" w:cs="Calibri"/>
                <w:b/>
                <w:sz w:val="20"/>
                <w:szCs w:val="20"/>
                <w:lang w:eastAsia="cs-CZ"/>
              </w:rPr>
              <w:t>7</w:t>
            </w:r>
          </w:p>
        </w:tc>
        <w:tc>
          <w:tcPr>
            <w:tcW w:w="927" w:type="dxa"/>
            <w:tcBorders>
              <w:top w:val="single" w:sz="4" w:space="0" w:color="auto"/>
              <w:left w:val="single" w:sz="4" w:space="0" w:color="auto"/>
              <w:bottom w:val="single" w:sz="4" w:space="0" w:color="auto"/>
              <w:right w:val="single" w:sz="4" w:space="0" w:color="auto"/>
            </w:tcBorders>
            <w:vAlign w:val="center"/>
            <w:hideMark/>
          </w:tcPr>
          <w:p w14:paraId="71020272" w14:textId="77777777" w:rsidR="00DF7F78" w:rsidRPr="00ED5F5E" w:rsidRDefault="00DF7F78" w:rsidP="009E341C">
            <w:pPr>
              <w:ind w:right="113"/>
              <w:jc w:val="right"/>
              <w:rPr>
                <w:rFonts w:ascii="Calibri" w:hAnsi="Calibri" w:cs="Calibri"/>
                <w:sz w:val="20"/>
                <w:szCs w:val="20"/>
                <w:lang w:eastAsia="cs-CZ"/>
              </w:rPr>
            </w:pPr>
            <w:r w:rsidRPr="00ED5F5E">
              <w:rPr>
                <w:rFonts w:ascii="Calibri" w:hAnsi="Calibri" w:cs="Calibri"/>
                <w:sz w:val="20"/>
                <w:szCs w:val="20"/>
                <w:lang w:eastAsia="cs-CZ"/>
              </w:rPr>
              <w:t>4</w:t>
            </w:r>
          </w:p>
        </w:tc>
      </w:tr>
      <w:tr w:rsidR="009E341C" w:rsidRPr="00ED5F5E" w14:paraId="66D7EB47" w14:textId="77777777" w:rsidTr="009E341C">
        <w:trPr>
          <w:trHeight w:val="255"/>
        </w:trPr>
        <w:tc>
          <w:tcPr>
            <w:tcW w:w="1956" w:type="dxa"/>
            <w:tcBorders>
              <w:top w:val="single" w:sz="4" w:space="0" w:color="auto"/>
              <w:left w:val="single" w:sz="4" w:space="0" w:color="auto"/>
              <w:bottom w:val="single" w:sz="4" w:space="0" w:color="auto"/>
              <w:right w:val="single" w:sz="4" w:space="0" w:color="auto"/>
            </w:tcBorders>
            <w:hideMark/>
          </w:tcPr>
          <w:p w14:paraId="46FF8EEE" w14:textId="77777777" w:rsidR="00DF7F78" w:rsidRPr="00ED5F5E" w:rsidRDefault="00DF7F78">
            <w:pPr>
              <w:rPr>
                <w:rFonts w:ascii="Calibri" w:hAnsi="Calibri" w:cs="Calibri"/>
                <w:sz w:val="20"/>
                <w:szCs w:val="20"/>
                <w:lang w:eastAsia="cs-CZ"/>
              </w:rPr>
            </w:pPr>
            <w:r w:rsidRPr="00ED5F5E">
              <w:rPr>
                <w:rFonts w:ascii="Calibri" w:hAnsi="Calibri" w:cs="Calibri"/>
                <w:color w:val="000000"/>
                <w:sz w:val="20"/>
                <w:szCs w:val="20"/>
                <w:lang w:eastAsia="cs-CZ"/>
              </w:rPr>
              <w:t xml:space="preserve">Zlínský kraj </w:t>
            </w:r>
          </w:p>
        </w:tc>
        <w:tc>
          <w:tcPr>
            <w:tcW w:w="2494" w:type="dxa"/>
            <w:tcBorders>
              <w:top w:val="single" w:sz="4" w:space="0" w:color="auto"/>
              <w:left w:val="single" w:sz="4" w:space="0" w:color="auto"/>
              <w:bottom w:val="single" w:sz="4" w:space="0" w:color="auto"/>
              <w:right w:val="single" w:sz="4" w:space="0" w:color="auto"/>
            </w:tcBorders>
            <w:vAlign w:val="center"/>
            <w:hideMark/>
          </w:tcPr>
          <w:p w14:paraId="551B23D1" w14:textId="77777777" w:rsidR="00DF7F78" w:rsidRPr="00ED5F5E" w:rsidRDefault="00DF7F78" w:rsidP="009E341C">
            <w:pPr>
              <w:ind w:right="409"/>
              <w:jc w:val="right"/>
              <w:rPr>
                <w:rFonts w:ascii="Calibri" w:hAnsi="Calibri" w:cs="Calibri"/>
                <w:sz w:val="20"/>
                <w:szCs w:val="20"/>
                <w:lang w:eastAsia="cs-CZ"/>
              </w:rPr>
            </w:pPr>
            <w:r w:rsidRPr="00ED5F5E">
              <w:rPr>
                <w:rFonts w:ascii="Calibri" w:hAnsi="Calibri" w:cs="Calibri"/>
                <w:sz w:val="20"/>
                <w:szCs w:val="20"/>
                <w:lang w:eastAsia="cs-CZ"/>
              </w:rPr>
              <w:t xml:space="preserve">15 539 325 </w:t>
            </w:r>
          </w:p>
        </w:tc>
        <w:tc>
          <w:tcPr>
            <w:tcW w:w="2438" w:type="dxa"/>
            <w:tcBorders>
              <w:top w:val="single" w:sz="4" w:space="0" w:color="auto"/>
              <w:left w:val="single" w:sz="4" w:space="0" w:color="auto"/>
              <w:bottom w:val="single" w:sz="4" w:space="0" w:color="auto"/>
              <w:right w:val="single" w:sz="4" w:space="0" w:color="auto"/>
            </w:tcBorders>
            <w:vAlign w:val="center"/>
            <w:hideMark/>
          </w:tcPr>
          <w:p w14:paraId="0D39DD39" w14:textId="24327132" w:rsidR="00DF7F78" w:rsidRPr="00ED5F5E" w:rsidRDefault="00DF7F78" w:rsidP="009E341C">
            <w:pPr>
              <w:ind w:right="409"/>
              <w:jc w:val="right"/>
              <w:rPr>
                <w:rFonts w:ascii="Calibri" w:hAnsi="Calibri" w:cs="Calibri"/>
                <w:sz w:val="20"/>
                <w:szCs w:val="20"/>
                <w:lang w:eastAsia="cs-CZ"/>
              </w:rPr>
            </w:pPr>
            <w:r w:rsidRPr="00ED5F5E">
              <w:rPr>
                <w:rFonts w:ascii="Calibri" w:hAnsi="Calibri" w:cs="Calibri"/>
                <w:sz w:val="20"/>
                <w:szCs w:val="20"/>
                <w:lang w:eastAsia="cs-CZ"/>
              </w:rPr>
              <w:t>3 159 496</w:t>
            </w:r>
          </w:p>
        </w:tc>
        <w:tc>
          <w:tcPr>
            <w:tcW w:w="1474" w:type="dxa"/>
            <w:tcBorders>
              <w:top w:val="single" w:sz="4" w:space="0" w:color="auto"/>
              <w:left w:val="single" w:sz="4" w:space="0" w:color="auto"/>
              <w:bottom w:val="single" w:sz="4" w:space="0" w:color="auto"/>
              <w:right w:val="single" w:sz="4" w:space="0" w:color="auto"/>
            </w:tcBorders>
            <w:shd w:val="clear" w:color="auto" w:fill="F2C6C9"/>
            <w:vAlign w:val="center"/>
            <w:hideMark/>
          </w:tcPr>
          <w:p w14:paraId="7FE89471" w14:textId="26060B2F" w:rsidR="00DF7F78" w:rsidRPr="00ED5F5E" w:rsidRDefault="00DF7F78" w:rsidP="009E341C">
            <w:pPr>
              <w:ind w:right="435"/>
              <w:jc w:val="right"/>
              <w:rPr>
                <w:rFonts w:ascii="Calibri" w:hAnsi="Calibri" w:cs="Calibri"/>
                <w:b/>
                <w:sz w:val="20"/>
                <w:szCs w:val="20"/>
                <w:lang w:eastAsia="cs-CZ"/>
              </w:rPr>
            </w:pPr>
            <w:r w:rsidRPr="00ED5F5E">
              <w:rPr>
                <w:rFonts w:ascii="Calibri" w:hAnsi="Calibri" w:cs="Calibri"/>
                <w:b/>
                <w:sz w:val="20"/>
                <w:szCs w:val="20"/>
                <w:lang w:eastAsia="cs-CZ"/>
              </w:rPr>
              <w:t>20</w:t>
            </w:r>
          </w:p>
        </w:tc>
        <w:tc>
          <w:tcPr>
            <w:tcW w:w="927" w:type="dxa"/>
            <w:tcBorders>
              <w:top w:val="single" w:sz="4" w:space="0" w:color="auto"/>
              <w:left w:val="single" w:sz="4" w:space="0" w:color="auto"/>
              <w:bottom w:val="single" w:sz="4" w:space="0" w:color="auto"/>
              <w:right w:val="single" w:sz="4" w:space="0" w:color="auto"/>
            </w:tcBorders>
            <w:vAlign w:val="center"/>
            <w:hideMark/>
          </w:tcPr>
          <w:p w14:paraId="1893B0DC" w14:textId="77777777" w:rsidR="00DF7F78" w:rsidRPr="00ED5F5E" w:rsidRDefault="00DF7F78" w:rsidP="009E341C">
            <w:pPr>
              <w:ind w:right="113"/>
              <w:jc w:val="right"/>
              <w:rPr>
                <w:rFonts w:ascii="Calibri" w:hAnsi="Calibri" w:cs="Calibri"/>
                <w:sz w:val="20"/>
                <w:szCs w:val="20"/>
                <w:lang w:eastAsia="cs-CZ"/>
              </w:rPr>
            </w:pPr>
            <w:r w:rsidRPr="00ED5F5E">
              <w:rPr>
                <w:rFonts w:ascii="Calibri" w:hAnsi="Calibri" w:cs="Calibri"/>
                <w:sz w:val="20"/>
                <w:szCs w:val="20"/>
                <w:lang w:eastAsia="cs-CZ"/>
              </w:rPr>
              <w:t>6</w:t>
            </w:r>
          </w:p>
        </w:tc>
      </w:tr>
      <w:tr w:rsidR="009E341C" w:rsidRPr="00ED5F5E" w14:paraId="148F9A83" w14:textId="77777777" w:rsidTr="009E341C">
        <w:trPr>
          <w:trHeight w:val="255"/>
        </w:trPr>
        <w:tc>
          <w:tcPr>
            <w:tcW w:w="1956" w:type="dxa"/>
            <w:tcBorders>
              <w:top w:val="single" w:sz="4" w:space="0" w:color="auto"/>
              <w:left w:val="single" w:sz="4" w:space="0" w:color="auto"/>
              <w:bottom w:val="single" w:sz="4" w:space="0" w:color="auto"/>
              <w:right w:val="single" w:sz="4" w:space="0" w:color="auto"/>
            </w:tcBorders>
            <w:hideMark/>
          </w:tcPr>
          <w:p w14:paraId="0469E76D" w14:textId="37A72094" w:rsidR="00DF7F78" w:rsidRPr="00ED5F5E" w:rsidRDefault="00DF7F78">
            <w:pPr>
              <w:rPr>
                <w:rFonts w:ascii="Calibri" w:hAnsi="Calibri" w:cs="Calibri"/>
                <w:sz w:val="20"/>
                <w:szCs w:val="20"/>
                <w:vertAlign w:val="superscript"/>
                <w:lang w:eastAsia="cs-CZ"/>
              </w:rPr>
            </w:pPr>
            <w:r w:rsidRPr="00ED5F5E">
              <w:rPr>
                <w:rFonts w:ascii="Calibri" w:hAnsi="Calibri" w:cs="Calibri"/>
                <w:color w:val="000000"/>
                <w:sz w:val="20"/>
                <w:szCs w:val="20"/>
                <w:lang w:eastAsia="cs-CZ"/>
              </w:rPr>
              <w:t>Liberecký kraj</w:t>
            </w:r>
            <w:r w:rsidRPr="00ED5F5E">
              <w:rPr>
                <w:rFonts w:ascii="Calibri" w:hAnsi="Calibri" w:cs="Calibri"/>
                <w:color w:val="000000"/>
                <w:sz w:val="20"/>
                <w:szCs w:val="20"/>
                <w:vertAlign w:val="superscript"/>
                <w:lang w:eastAsia="cs-CZ"/>
              </w:rPr>
              <w:t>1</w:t>
            </w:r>
            <w:r w:rsidR="00167A6A" w:rsidRPr="00ED5F5E">
              <w:rPr>
                <w:rFonts w:ascii="Calibri" w:hAnsi="Calibri" w:cs="Calibri"/>
                <w:color w:val="000000"/>
                <w:sz w:val="20"/>
                <w:szCs w:val="20"/>
                <w:vertAlign w:val="superscript"/>
                <w:lang w:eastAsia="cs-CZ"/>
              </w:rPr>
              <w:t>7</w:t>
            </w:r>
          </w:p>
        </w:tc>
        <w:tc>
          <w:tcPr>
            <w:tcW w:w="2494" w:type="dxa"/>
            <w:tcBorders>
              <w:top w:val="single" w:sz="4" w:space="0" w:color="auto"/>
              <w:left w:val="single" w:sz="4" w:space="0" w:color="auto"/>
              <w:bottom w:val="single" w:sz="4" w:space="0" w:color="auto"/>
              <w:right w:val="single" w:sz="4" w:space="0" w:color="auto"/>
            </w:tcBorders>
            <w:vAlign w:val="center"/>
            <w:hideMark/>
          </w:tcPr>
          <w:p w14:paraId="6DDFF1E6" w14:textId="77777777" w:rsidR="00DF7F78" w:rsidRPr="00ED5F5E" w:rsidRDefault="00DF7F78" w:rsidP="009E341C">
            <w:pPr>
              <w:ind w:right="409"/>
              <w:jc w:val="right"/>
              <w:rPr>
                <w:rFonts w:ascii="Calibri" w:hAnsi="Calibri" w:cs="Calibri"/>
                <w:sz w:val="20"/>
                <w:szCs w:val="20"/>
                <w:lang w:eastAsia="cs-CZ"/>
              </w:rPr>
            </w:pPr>
            <w:r w:rsidRPr="00ED5F5E">
              <w:rPr>
                <w:rFonts w:ascii="Calibri" w:hAnsi="Calibri" w:cs="Calibri"/>
                <w:sz w:val="20"/>
                <w:szCs w:val="20"/>
                <w:lang w:eastAsia="cs-CZ"/>
              </w:rPr>
              <w:t xml:space="preserve">17 883 047 </w:t>
            </w:r>
          </w:p>
        </w:tc>
        <w:tc>
          <w:tcPr>
            <w:tcW w:w="2438" w:type="dxa"/>
            <w:tcBorders>
              <w:top w:val="single" w:sz="4" w:space="0" w:color="auto"/>
              <w:left w:val="single" w:sz="4" w:space="0" w:color="auto"/>
              <w:bottom w:val="single" w:sz="4" w:space="0" w:color="auto"/>
              <w:right w:val="single" w:sz="4" w:space="0" w:color="auto"/>
            </w:tcBorders>
            <w:vAlign w:val="center"/>
            <w:hideMark/>
          </w:tcPr>
          <w:p w14:paraId="434FF253" w14:textId="05F5CE5D" w:rsidR="00DF7F78" w:rsidRPr="00ED5F5E" w:rsidRDefault="00DF7F78" w:rsidP="009E341C">
            <w:pPr>
              <w:ind w:right="409"/>
              <w:jc w:val="right"/>
              <w:rPr>
                <w:rFonts w:ascii="Calibri" w:hAnsi="Calibri" w:cs="Calibri"/>
                <w:sz w:val="20"/>
                <w:szCs w:val="20"/>
                <w:lang w:eastAsia="cs-CZ"/>
              </w:rPr>
            </w:pPr>
            <w:r w:rsidRPr="00ED5F5E">
              <w:rPr>
                <w:rFonts w:ascii="Calibri" w:hAnsi="Calibri" w:cs="Calibri"/>
                <w:sz w:val="20"/>
                <w:szCs w:val="20"/>
                <w:lang w:eastAsia="cs-CZ"/>
              </w:rPr>
              <w:t>1 843 519</w:t>
            </w:r>
          </w:p>
        </w:tc>
        <w:tc>
          <w:tcPr>
            <w:tcW w:w="1474" w:type="dxa"/>
            <w:tcBorders>
              <w:top w:val="single" w:sz="4" w:space="0" w:color="auto"/>
              <w:left w:val="single" w:sz="4" w:space="0" w:color="auto"/>
              <w:bottom w:val="single" w:sz="4" w:space="0" w:color="auto"/>
              <w:right w:val="single" w:sz="4" w:space="0" w:color="auto"/>
            </w:tcBorders>
            <w:shd w:val="clear" w:color="auto" w:fill="F2C6C9"/>
            <w:vAlign w:val="center"/>
            <w:hideMark/>
          </w:tcPr>
          <w:p w14:paraId="6D103809" w14:textId="23BA41B6" w:rsidR="00DF7F78" w:rsidRPr="00ED5F5E" w:rsidRDefault="00DF7F78" w:rsidP="009E341C">
            <w:pPr>
              <w:ind w:right="435"/>
              <w:jc w:val="right"/>
              <w:rPr>
                <w:rFonts w:ascii="Calibri" w:hAnsi="Calibri" w:cs="Calibri"/>
                <w:b/>
                <w:sz w:val="20"/>
                <w:szCs w:val="20"/>
                <w:lang w:eastAsia="cs-CZ"/>
              </w:rPr>
            </w:pPr>
            <w:r w:rsidRPr="00ED5F5E">
              <w:rPr>
                <w:rFonts w:ascii="Calibri" w:hAnsi="Calibri" w:cs="Calibri"/>
                <w:b/>
                <w:sz w:val="20"/>
                <w:szCs w:val="20"/>
                <w:lang w:eastAsia="cs-CZ"/>
              </w:rPr>
              <w:t>10</w:t>
            </w:r>
          </w:p>
        </w:tc>
        <w:tc>
          <w:tcPr>
            <w:tcW w:w="927" w:type="dxa"/>
            <w:tcBorders>
              <w:top w:val="single" w:sz="4" w:space="0" w:color="auto"/>
              <w:left w:val="single" w:sz="4" w:space="0" w:color="auto"/>
              <w:bottom w:val="single" w:sz="4" w:space="0" w:color="auto"/>
              <w:right w:val="single" w:sz="4" w:space="0" w:color="auto"/>
            </w:tcBorders>
            <w:vAlign w:val="center"/>
            <w:hideMark/>
          </w:tcPr>
          <w:p w14:paraId="2242A1F7" w14:textId="77777777" w:rsidR="00DF7F78" w:rsidRPr="00ED5F5E" w:rsidRDefault="00DF7F78" w:rsidP="009E341C">
            <w:pPr>
              <w:ind w:right="113"/>
              <w:jc w:val="right"/>
              <w:rPr>
                <w:rFonts w:ascii="Calibri" w:hAnsi="Calibri" w:cs="Calibri"/>
                <w:sz w:val="20"/>
                <w:szCs w:val="20"/>
                <w:lang w:eastAsia="cs-CZ"/>
              </w:rPr>
            </w:pPr>
            <w:r w:rsidRPr="00ED5F5E">
              <w:rPr>
                <w:rFonts w:ascii="Calibri" w:hAnsi="Calibri" w:cs="Calibri"/>
                <w:sz w:val="20"/>
                <w:szCs w:val="20"/>
                <w:lang w:eastAsia="cs-CZ"/>
              </w:rPr>
              <w:t>2</w:t>
            </w:r>
          </w:p>
        </w:tc>
      </w:tr>
      <w:tr w:rsidR="009E341C" w:rsidRPr="00ED5F5E" w14:paraId="2570FEA9" w14:textId="77777777" w:rsidTr="009E341C">
        <w:trPr>
          <w:trHeight w:val="255"/>
        </w:trPr>
        <w:tc>
          <w:tcPr>
            <w:tcW w:w="1956" w:type="dxa"/>
            <w:tcBorders>
              <w:top w:val="single" w:sz="4" w:space="0" w:color="auto"/>
              <w:left w:val="single" w:sz="4" w:space="0" w:color="auto"/>
              <w:bottom w:val="single" w:sz="4" w:space="0" w:color="auto"/>
              <w:right w:val="single" w:sz="4" w:space="0" w:color="auto"/>
            </w:tcBorders>
            <w:hideMark/>
          </w:tcPr>
          <w:p w14:paraId="64276124" w14:textId="40B12C9C" w:rsidR="00DF7F78" w:rsidRPr="00ED5F5E" w:rsidRDefault="00DF7F78">
            <w:pPr>
              <w:rPr>
                <w:rFonts w:ascii="Calibri" w:hAnsi="Calibri" w:cs="Calibri"/>
                <w:sz w:val="20"/>
                <w:szCs w:val="20"/>
                <w:lang w:eastAsia="cs-CZ"/>
              </w:rPr>
            </w:pPr>
            <w:r w:rsidRPr="00ED5F5E">
              <w:rPr>
                <w:rFonts w:ascii="Calibri" w:hAnsi="Calibri" w:cs="Calibri"/>
                <w:color w:val="000000"/>
                <w:sz w:val="20"/>
                <w:szCs w:val="20"/>
                <w:lang w:eastAsia="cs-CZ"/>
              </w:rPr>
              <w:t>Královéhradecký kraj</w:t>
            </w:r>
          </w:p>
        </w:tc>
        <w:tc>
          <w:tcPr>
            <w:tcW w:w="2494" w:type="dxa"/>
            <w:tcBorders>
              <w:top w:val="single" w:sz="4" w:space="0" w:color="auto"/>
              <w:left w:val="single" w:sz="4" w:space="0" w:color="auto"/>
              <w:bottom w:val="single" w:sz="4" w:space="0" w:color="auto"/>
              <w:right w:val="single" w:sz="4" w:space="0" w:color="auto"/>
            </w:tcBorders>
            <w:vAlign w:val="center"/>
            <w:hideMark/>
          </w:tcPr>
          <w:p w14:paraId="55C67BD7" w14:textId="77777777" w:rsidR="00DF7F78" w:rsidRPr="00ED5F5E" w:rsidRDefault="00DF7F78" w:rsidP="009E341C">
            <w:pPr>
              <w:ind w:right="409"/>
              <w:jc w:val="right"/>
              <w:rPr>
                <w:rFonts w:ascii="Calibri" w:hAnsi="Calibri" w:cs="Calibri"/>
                <w:sz w:val="20"/>
                <w:szCs w:val="20"/>
                <w:lang w:eastAsia="cs-CZ"/>
              </w:rPr>
            </w:pPr>
            <w:r w:rsidRPr="00ED5F5E">
              <w:rPr>
                <w:rFonts w:ascii="Calibri" w:hAnsi="Calibri" w:cs="Calibri"/>
                <w:sz w:val="20"/>
                <w:szCs w:val="20"/>
                <w:lang w:eastAsia="cs-CZ"/>
              </w:rPr>
              <w:t xml:space="preserve">25 085 955 </w:t>
            </w:r>
          </w:p>
        </w:tc>
        <w:tc>
          <w:tcPr>
            <w:tcW w:w="2438" w:type="dxa"/>
            <w:tcBorders>
              <w:top w:val="single" w:sz="4" w:space="0" w:color="auto"/>
              <w:left w:val="single" w:sz="4" w:space="0" w:color="auto"/>
              <w:bottom w:val="single" w:sz="4" w:space="0" w:color="auto"/>
              <w:right w:val="single" w:sz="4" w:space="0" w:color="auto"/>
            </w:tcBorders>
            <w:vAlign w:val="center"/>
            <w:hideMark/>
          </w:tcPr>
          <w:p w14:paraId="3A89D82C" w14:textId="5E9CC9BC" w:rsidR="00DF7F78" w:rsidRPr="00ED5F5E" w:rsidRDefault="00DF7F78" w:rsidP="009E341C">
            <w:pPr>
              <w:ind w:right="409"/>
              <w:jc w:val="right"/>
              <w:rPr>
                <w:rFonts w:ascii="Calibri" w:hAnsi="Calibri" w:cs="Calibri"/>
                <w:sz w:val="20"/>
                <w:szCs w:val="20"/>
                <w:lang w:eastAsia="cs-CZ"/>
              </w:rPr>
            </w:pPr>
            <w:r w:rsidRPr="00ED5F5E">
              <w:rPr>
                <w:rFonts w:ascii="Calibri" w:hAnsi="Calibri" w:cs="Calibri"/>
                <w:sz w:val="20"/>
                <w:szCs w:val="20"/>
                <w:lang w:eastAsia="cs-CZ"/>
              </w:rPr>
              <w:t>1 338 119</w:t>
            </w:r>
          </w:p>
        </w:tc>
        <w:tc>
          <w:tcPr>
            <w:tcW w:w="1474" w:type="dxa"/>
            <w:tcBorders>
              <w:top w:val="single" w:sz="4" w:space="0" w:color="auto"/>
              <w:left w:val="single" w:sz="4" w:space="0" w:color="auto"/>
              <w:bottom w:val="single" w:sz="4" w:space="0" w:color="auto"/>
              <w:right w:val="single" w:sz="4" w:space="0" w:color="auto"/>
            </w:tcBorders>
            <w:shd w:val="clear" w:color="auto" w:fill="F2C6C9"/>
            <w:vAlign w:val="center"/>
            <w:hideMark/>
          </w:tcPr>
          <w:p w14:paraId="5536ED7E" w14:textId="72B2CDCD" w:rsidR="00DF7F78" w:rsidRPr="00ED5F5E" w:rsidRDefault="00DF7F78" w:rsidP="009E341C">
            <w:pPr>
              <w:ind w:right="435"/>
              <w:jc w:val="right"/>
              <w:rPr>
                <w:rFonts w:ascii="Calibri" w:hAnsi="Calibri" w:cs="Calibri"/>
                <w:b/>
                <w:sz w:val="20"/>
                <w:szCs w:val="20"/>
                <w:lang w:eastAsia="cs-CZ"/>
              </w:rPr>
            </w:pPr>
            <w:r w:rsidRPr="00ED5F5E">
              <w:rPr>
                <w:rFonts w:ascii="Calibri" w:hAnsi="Calibri" w:cs="Calibri"/>
                <w:b/>
                <w:sz w:val="20"/>
                <w:szCs w:val="20"/>
                <w:lang w:eastAsia="cs-CZ"/>
              </w:rPr>
              <w:t>5</w:t>
            </w:r>
          </w:p>
        </w:tc>
        <w:tc>
          <w:tcPr>
            <w:tcW w:w="927" w:type="dxa"/>
            <w:tcBorders>
              <w:top w:val="single" w:sz="4" w:space="0" w:color="auto"/>
              <w:left w:val="single" w:sz="4" w:space="0" w:color="auto"/>
              <w:bottom w:val="single" w:sz="4" w:space="0" w:color="auto"/>
              <w:right w:val="single" w:sz="4" w:space="0" w:color="auto"/>
            </w:tcBorders>
            <w:vAlign w:val="center"/>
            <w:hideMark/>
          </w:tcPr>
          <w:p w14:paraId="3741EEFD" w14:textId="77777777" w:rsidR="00DF7F78" w:rsidRPr="00ED5F5E" w:rsidRDefault="00DF7F78" w:rsidP="009E341C">
            <w:pPr>
              <w:ind w:right="113"/>
              <w:jc w:val="right"/>
              <w:rPr>
                <w:rFonts w:ascii="Calibri" w:hAnsi="Calibri" w:cs="Calibri"/>
                <w:sz w:val="20"/>
                <w:szCs w:val="20"/>
                <w:lang w:eastAsia="cs-CZ"/>
              </w:rPr>
            </w:pPr>
            <w:r w:rsidRPr="00ED5F5E">
              <w:rPr>
                <w:rFonts w:ascii="Calibri" w:hAnsi="Calibri" w:cs="Calibri"/>
                <w:sz w:val="20"/>
                <w:szCs w:val="20"/>
                <w:lang w:eastAsia="cs-CZ"/>
              </w:rPr>
              <w:t>5</w:t>
            </w:r>
          </w:p>
        </w:tc>
      </w:tr>
      <w:tr w:rsidR="009E341C" w:rsidRPr="00ED5F5E" w14:paraId="1999950A" w14:textId="77777777" w:rsidTr="009E341C">
        <w:trPr>
          <w:trHeight w:val="255"/>
        </w:trPr>
        <w:tc>
          <w:tcPr>
            <w:tcW w:w="1956" w:type="dxa"/>
            <w:tcBorders>
              <w:top w:val="single" w:sz="4" w:space="0" w:color="auto"/>
              <w:left w:val="single" w:sz="4" w:space="0" w:color="auto"/>
              <w:bottom w:val="single" w:sz="4" w:space="0" w:color="auto"/>
              <w:right w:val="single" w:sz="4" w:space="0" w:color="auto"/>
            </w:tcBorders>
            <w:hideMark/>
          </w:tcPr>
          <w:p w14:paraId="7AE6521D" w14:textId="77777777" w:rsidR="00DF7F78" w:rsidRPr="00ED5F5E" w:rsidRDefault="00DF7F78">
            <w:pPr>
              <w:rPr>
                <w:rFonts w:ascii="Calibri" w:hAnsi="Calibri" w:cs="Calibri"/>
                <w:sz w:val="20"/>
                <w:szCs w:val="20"/>
                <w:lang w:eastAsia="cs-CZ"/>
              </w:rPr>
            </w:pPr>
            <w:r w:rsidRPr="00ED5F5E">
              <w:rPr>
                <w:rFonts w:ascii="Calibri" w:hAnsi="Calibri" w:cs="Calibri"/>
                <w:color w:val="000000"/>
                <w:sz w:val="20"/>
                <w:szCs w:val="20"/>
                <w:lang w:eastAsia="cs-CZ"/>
              </w:rPr>
              <w:t xml:space="preserve">Olomoucký kraj </w:t>
            </w:r>
          </w:p>
        </w:tc>
        <w:tc>
          <w:tcPr>
            <w:tcW w:w="2494" w:type="dxa"/>
            <w:tcBorders>
              <w:top w:val="single" w:sz="4" w:space="0" w:color="auto"/>
              <w:left w:val="single" w:sz="4" w:space="0" w:color="auto"/>
              <w:bottom w:val="single" w:sz="4" w:space="0" w:color="auto"/>
              <w:right w:val="single" w:sz="4" w:space="0" w:color="auto"/>
            </w:tcBorders>
            <w:vAlign w:val="center"/>
            <w:hideMark/>
          </w:tcPr>
          <w:p w14:paraId="70E90FA1" w14:textId="77777777" w:rsidR="00DF7F78" w:rsidRPr="00ED5F5E" w:rsidRDefault="00DF7F78" w:rsidP="009E341C">
            <w:pPr>
              <w:ind w:right="409"/>
              <w:jc w:val="right"/>
              <w:rPr>
                <w:rFonts w:ascii="Calibri" w:hAnsi="Calibri" w:cs="Calibri"/>
                <w:sz w:val="20"/>
                <w:szCs w:val="20"/>
                <w:lang w:eastAsia="cs-CZ"/>
              </w:rPr>
            </w:pPr>
            <w:r w:rsidRPr="00ED5F5E">
              <w:rPr>
                <w:rFonts w:ascii="Calibri" w:hAnsi="Calibri" w:cs="Calibri"/>
                <w:sz w:val="20"/>
                <w:szCs w:val="20"/>
                <w:lang w:eastAsia="cs-CZ"/>
              </w:rPr>
              <w:t xml:space="preserve">25 722 873 </w:t>
            </w:r>
          </w:p>
        </w:tc>
        <w:tc>
          <w:tcPr>
            <w:tcW w:w="2438" w:type="dxa"/>
            <w:tcBorders>
              <w:top w:val="single" w:sz="4" w:space="0" w:color="auto"/>
              <w:left w:val="single" w:sz="4" w:space="0" w:color="auto"/>
              <w:bottom w:val="single" w:sz="4" w:space="0" w:color="auto"/>
              <w:right w:val="single" w:sz="4" w:space="0" w:color="auto"/>
            </w:tcBorders>
            <w:vAlign w:val="center"/>
            <w:hideMark/>
          </w:tcPr>
          <w:p w14:paraId="38097F50" w14:textId="0B5B0E90" w:rsidR="00DF7F78" w:rsidRPr="00ED5F5E" w:rsidRDefault="00DF7F78" w:rsidP="009E341C">
            <w:pPr>
              <w:ind w:right="409"/>
              <w:jc w:val="right"/>
              <w:rPr>
                <w:rFonts w:ascii="Calibri" w:hAnsi="Calibri" w:cs="Calibri"/>
                <w:sz w:val="20"/>
                <w:szCs w:val="20"/>
                <w:lang w:eastAsia="cs-CZ"/>
              </w:rPr>
            </w:pPr>
            <w:r w:rsidRPr="00ED5F5E">
              <w:rPr>
                <w:rFonts w:ascii="Calibri" w:hAnsi="Calibri" w:cs="Calibri"/>
                <w:sz w:val="20"/>
                <w:szCs w:val="20"/>
                <w:lang w:eastAsia="cs-CZ"/>
              </w:rPr>
              <w:t>11 221 760</w:t>
            </w:r>
          </w:p>
        </w:tc>
        <w:tc>
          <w:tcPr>
            <w:tcW w:w="1474" w:type="dxa"/>
            <w:tcBorders>
              <w:top w:val="single" w:sz="4" w:space="0" w:color="auto"/>
              <w:left w:val="single" w:sz="4" w:space="0" w:color="auto"/>
              <w:bottom w:val="single" w:sz="4" w:space="0" w:color="auto"/>
              <w:right w:val="single" w:sz="4" w:space="0" w:color="auto"/>
            </w:tcBorders>
            <w:shd w:val="clear" w:color="auto" w:fill="F2C6C9"/>
            <w:vAlign w:val="center"/>
            <w:hideMark/>
          </w:tcPr>
          <w:p w14:paraId="5F65E239" w14:textId="7259A7CA" w:rsidR="00DF7F78" w:rsidRPr="00ED5F5E" w:rsidRDefault="00DF7F78" w:rsidP="009E341C">
            <w:pPr>
              <w:ind w:right="435"/>
              <w:jc w:val="right"/>
              <w:rPr>
                <w:rFonts w:ascii="Calibri" w:hAnsi="Calibri" w:cs="Calibri"/>
                <w:b/>
                <w:sz w:val="20"/>
                <w:szCs w:val="20"/>
                <w:lang w:eastAsia="cs-CZ"/>
              </w:rPr>
            </w:pPr>
            <w:r w:rsidRPr="00ED5F5E">
              <w:rPr>
                <w:rFonts w:ascii="Calibri" w:hAnsi="Calibri" w:cs="Calibri"/>
                <w:b/>
                <w:sz w:val="20"/>
                <w:szCs w:val="20"/>
                <w:lang w:eastAsia="cs-CZ"/>
              </w:rPr>
              <w:t>4</w:t>
            </w:r>
            <w:r w:rsidR="0064097D" w:rsidRPr="00ED5F5E">
              <w:rPr>
                <w:rFonts w:ascii="Calibri" w:hAnsi="Calibri" w:cs="Calibri"/>
                <w:b/>
                <w:sz w:val="20"/>
                <w:szCs w:val="20"/>
                <w:lang w:eastAsia="cs-CZ"/>
              </w:rPr>
              <w:t>4</w:t>
            </w:r>
          </w:p>
        </w:tc>
        <w:tc>
          <w:tcPr>
            <w:tcW w:w="927" w:type="dxa"/>
            <w:tcBorders>
              <w:top w:val="single" w:sz="4" w:space="0" w:color="auto"/>
              <w:left w:val="single" w:sz="4" w:space="0" w:color="auto"/>
              <w:bottom w:val="single" w:sz="4" w:space="0" w:color="auto"/>
              <w:right w:val="single" w:sz="4" w:space="0" w:color="auto"/>
            </w:tcBorders>
            <w:vAlign w:val="center"/>
            <w:hideMark/>
          </w:tcPr>
          <w:p w14:paraId="62A48D74" w14:textId="77777777" w:rsidR="00DF7F78" w:rsidRPr="00ED5F5E" w:rsidRDefault="00DF7F78" w:rsidP="009E341C">
            <w:pPr>
              <w:ind w:right="113"/>
              <w:jc w:val="right"/>
              <w:rPr>
                <w:rFonts w:ascii="Calibri" w:hAnsi="Calibri" w:cs="Calibri"/>
                <w:sz w:val="20"/>
                <w:szCs w:val="20"/>
                <w:lang w:eastAsia="cs-CZ"/>
              </w:rPr>
            </w:pPr>
            <w:r w:rsidRPr="00ED5F5E">
              <w:rPr>
                <w:rFonts w:ascii="Calibri" w:hAnsi="Calibri" w:cs="Calibri"/>
                <w:sz w:val="20"/>
                <w:szCs w:val="20"/>
                <w:lang w:eastAsia="cs-CZ"/>
              </w:rPr>
              <w:t>9</w:t>
            </w:r>
          </w:p>
        </w:tc>
      </w:tr>
      <w:tr w:rsidR="009E341C" w:rsidRPr="00ED5F5E" w14:paraId="68761183" w14:textId="77777777" w:rsidTr="009E341C">
        <w:trPr>
          <w:trHeight w:val="255"/>
        </w:trPr>
        <w:tc>
          <w:tcPr>
            <w:tcW w:w="1956" w:type="dxa"/>
            <w:tcBorders>
              <w:top w:val="single" w:sz="4" w:space="0" w:color="auto"/>
              <w:left w:val="single" w:sz="4" w:space="0" w:color="auto"/>
              <w:bottom w:val="single" w:sz="4" w:space="0" w:color="auto"/>
              <w:right w:val="single" w:sz="4" w:space="0" w:color="auto"/>
            </w:tcBorders>
            <w:hideMark/>
          </w:tcPr>
          <w:p w14:paraId="33F76CB0" w14:textId="77777777" w:rsidR="00DF7F78" w:rsidRPr="00ED5F5E" w:rsidRDefault="00DF7F78">
            <w:pPr>
              <w:rPr>
                <w:rFonts w:ascii="Calibri" w:hAnsi="Calibri" w:cs="Calibri"/>
                <w:sz w:val="20"/>
                <w:szCs w:val="20"/>
                <w:lang w:eastAsia="cs-CZ"/>
              </w:rPr>
            </w:pPr>
            <w:r w:rsidRPr="00ED5F5E">
              <w:rPr>
                <w:rFonts w:ascii="Calibri" w:hAnsi="Calibri" w:cs="Calibri"/>
                <w:color w:val="000000"/>
                <w:sz w:val="20"/>
                <w:szCs w:val="20"/>
                <w:lang w:eastAsia="cs-CZ"/>
              </w:rPr>
              <w:t xml:space="preserve">Jihočeský kraj </w:t>
            </w:r>
          </w:p>
        </w:tc>
        <w:tc>
          <w:tcPr>
            <w:tcW w:w="2494" w:type="dxa"/>
            <w:tcBorders>
              <w:top w:val="single" w:sz="4" w:space="0" w:color="auto"/>
              <w:left w:val="single" w:sz="4" w:space="0" w:color="auto"/>
              <w:bottom w:val="single" w:sz="4" w:space="0" w:color="auto"/>
              <w:right w:val="single" w:sz="4" w:space="0" w:color="auto"/>
            </w:tcBorders>
            <w:vAlign w:val="center"/>
            <w:hideMark/>
          </w:tcPr>
          <w:p w14:paraId="36115D6D" w14:textId="77777777" w:rsidR="00DF7F78" w:rsidRPr="00ED5F5E" w:rsidRDefault="00DF7F78" w:rsidP="009E341C">
            <w:pPr>
              <w:ind w:right="409"/>
              <w:jc w:val="right"/>
              <w:rPr>
                <w:rFonts w:ascii="Calibri" w:hAnsi="Calibri" w:cs="Calibri"/>
                <w:sz w:val="20"/>
                <w:szCs w:val="20"/>
                <w:lang w:eastAsia="cs-CZ"/>
              </w:rPr>
            </w:pPr>
            <w:r w:rsidRPr="00ED5F5E">
              <w:rPr>
                <w:rFonts w:ascii="Calibri" w:hAnsi="Calibri" w:cs="Calibri"/>
                <w:sz w:val="20"/>
                <w:szCs w:val="20"/>
                <w:lang w:eastAsia="cs-CZ"/>
              </w:rPr>
              <w:t xml:space="preserve">28 806 657 </w:t>
            </w:r>
          </w:p>
        </w:tc>
        <w:tc>
          <w:tcPr>
            <w:tcW w:w="2438" w:type="dxa"/>
            <w:tcBorders>
              <w:top w:val="single" w:sz="4" w:space="0" w:color="auto"/>
              <w:left w:val="single" w:sz="4" w:space="0" w:color="auto"/>
              <w:bottom w:val="single" w:sz="4" w:space="0" w:color="auto"/>
              <w:right w:val="single" w:sz="4" w:space="0" w:color="auto"/>
            </w:tcBorders>
            <w:vAlign w:val="center"/>
            <w:hideMark/>
          </w:tcPr>
          <w:p w14:paraId="5339EEFF" w14:textId="3C6DD273" w:rsidR="00DF7F78" w:rsidRPr="00ED5F5E" w:rsidRDefault="00DF7F78" w:rsidP="009E341C">
            <w:pPr>
              <w:ind w:right="409"/>
              <w:jc w:val="right"/>
              <w:rPr>
                <w:rFonts w:ascii="Calibri" w:hAnsi="Calibri" w:cs="Calibri"/>
                <w:sz w:val="20"/>
                <w:szCs w:val="20"/>
                <w:lang w:eastAsia="cs-CZ"/>
              </w:rPr>
            </w:pPr>
            <w:r w:rsidRPr="00ED5F5E">
              <w:rPr>
                <w:rFonts w:ascii="Calibri" w:hAnsi="Calibri" w:cs="Calibri"/>
                <w:sz w:val="20"/>
                <w:szCs w:val="20"/>
                <w:lang w:eastAsia="cs-CZ"/>
              </w:rPr>
              <w:t>15 926 884</w:t>
            </w:r>
          </w:p>
        </w:tc>
        <w:tc>
          <w:tcPr>
            <w:tcW w:w="1474" w:type="dxa"/>
            <w:tcBorders>
              <w:top w:val="single" w:sz="4" w:space="0" w:color="auto"/>
              <w:left w:val="single" w:sz="4" w:space="0" w:color="auto"/>
              <w:bottom w:val="single" w:sz="4" w:space="0" w:color="auto"/>
              <w:right w:val="single" w:sz="4" w:space="0" w:color="auto"/>
            </w:tcBorders>
            <w:shd w:val="clear" w:color="auto" w:fill="F2C6C9"/>
            <w:vAlign w:val="center"/>
            <w:hideMark/>
          </w:tcPr>
          <w:p w14:paraId="709282A7" w14:textId="5979461F" w:rsidR="00DF7F78" w:rsidRPr="00ED5F5E" w:rsidRDefault="00DF7F78" w:rsidP="009E341C">
            <w:pPr>
              <w:ind w:right="435"/>
              <w:jc w:val="right"/>
              <w:rPr>
                <w:rFonts w:ascii="Calibri" w:hAnsi="Calibri" w:cs="Calibri"/>
                <w:b/>
                <w:sz w:val="20"/>
                <w:szCs w:val="20"/>
                <w:lang w:eastAsia="cs-CZ"/>
              </w:rPr>
            </w:pPr>
            <w:r w:rsidRPr="00ED5F5E">
              <w:rPr>
                <w:rFonts w:ascii="Calibri" w:hAnsi="Calibri" w:cs="Calibri"/>
                <w:b/>
                <w:sz w:val="20"/>
                <w:szCs w:val="20"/>
                <w:lang w:eastAsia="cs-CZ"/>
              </w:rPr>
              <w:t>55</w:t>
            </w:r>
          </w:p>
        </w:tc>
        <w:tc>
          <w:tcPr>
            <w:tcW w:w="927" w:type="dxa"/>
            <w:tcBorders>
              <w:top w:val="single" w:sz="4" w:space="0" w:color="auto"/>
              <w:left w:val="single" w:sz="4" w:space="0" w:color="auto"/>
              <w:bottom w:val="single" w:sz="4" w:space="0" w:color="auto"/>
              <w:right w:val="single" w:sz="4" w:space="0" w:color="auto"/>
            </w:tcBorders>
            <w:vAlign w:val="center"/>
            <w:hideMark/>
          </w:tcPr>
          <w:p w14:paraId="3FAB2E97" w14:textId="77777777" w:rsidR="00DF7F78" w:rsidRPr="00ED5F5E" w:rsidRDefault="00DF7F78" w:rsidP="009E341C">
            <w:pPr>
              <w:ind w:right="113"/>
              <w:jc w:val="right"/>
              <w:rPr>
                <w:rFonts w:ascii="Calibri" w:hAnsi="Calibri" w:cs="Calibri"/>
                <w:sz w:val="20"/>
                <w:szCs w:val="20"/>
                <w:lang w:eastAsia="cs-CZ"/>
              </w:rPr>
            </w:pPr>
            <w:r w:rsidRPr="00ED5F5E">
              <w:rPr>
                <w:rFonts w:ascii="Calibri" w:hAnsi="Calibri" w:cs="Calibri"/>
                <w:sz w:val="20"/>
                <w:szCs w:val="20"/>
                <w:lang w:eastAsia="cs-CZ"/>
              </w:rPr>
              <w:t>17</w:t>
            </w:r>
          </w:p>
        </w:tc>
      </w:tr>
      <w:tr w:rsidR="009E341C" w:rsidRPr="00ED5F5E" w14:paraId="75F46B5C" w14:textId="77777777" w:rsidTr="009E341C">
        <w:trPr>
          <w:trHeight w:val="255"/>
        </w:trPr>
        <w:tc>
          <w:tcPr>
            <w:tcW w:w="1956" w:type="dxa"/>
            <w:tcBorders>
              <w:top w:val="single" w:sz="4" w:space="0" w:color="auto"/>
              <w:left w:val="single" w:sz="4" w:space="0" w:color="auto"/>
              <w:bottom w:val="single" w:sz="4" w:space="0" w:color="auto"/>
              <w:right w:val="single" w:sz="4" w:space="0" w:color="auto"/>
            </w:tcBorders>
            <w:hideMark/>
          </w:tcPr>
          <w:p w14:paraId="148AB060" w14:textId="68094545" w:rsidR="00DF7F78" w:rsidRPr="00ED5F5E" w:rsidRDefault="00DF7F78">
            <w:pPr>
              <w:rPr>
                <w:rFonts w:ascii="Calibri" w:hAnsi="Calibri" w:cs="Calibri"/>
                <w:sz w:val="20"/>
                <w:szCs w:val="20"/>
                <w:lang w:eastAsia="cs-CZ"/>
              </w:rPr>
            </w:pPr>
            <w:r w:rsidRPr="00ED5F5E">
              <w:rPr>
                <w:rFonts w:ascii="Calibri" w:hAnsi="Calibri" w:cs="Calibri"/>
                <w:color w:val="000000"/>
                <w:sz w:val="20"/>
                <w:szCs w:val="20"/>
                <w:lang w:eastAsia="cs-CZ"/>
              </w:rPr>
              <w:t>Moravskoslezský kraj</w:t>
            </w:r>
          </w:p>
        </w:tc>
        <w:tc>
          <w:tcPr>
            <w:tcW w:w="2494" w:type="dxa"/>
            <w:tcBorders>
              <w:top w:val="single" w:sz="4" w:space="0" w:color="auto"/>
              <w:left w:val="single" w:sz="4" w:space="0" w:color="auto"/>
              <w:bottom w:val="single" w:sz="4" w:space="0" w:color="auto"/>
              <w:right w:val="single" w:sz="4" w:space="0" w:color="auto"/>
            </w:tcBorders>
            <w:vAlign w:val="center"/>
            <w:hideMark/>
          </w:tcPr>
          <w:p w14:paraId="279D07ED" w14:textId="77777777" w:rsidR="00DF7F78" w:rsidRPr="00ED5F5E" w:rsidRDefault="00DF7F78" w:rsidP="009E341C">
            <w:pPr>
              <w:ind w:right="409"/>
              <w:jc w:val="right"/>
              <w:rPr>
                <w:rFonts w:ascii="Calibri" w:hAnsi="Calibri" w:cs="Calibri"/>
                <w:sz w:val="20"/>
                <w:szCs w:val="20"/>
                <w:lang w:eastAsia="cs-CZ"/>
              </w:rPr>
            </w:pPr>
            <w:r w:rsidRPr="00ED5F5E">
              <w:rPr>
                <w:rFonts w:ascii="Calibri" w:hAnsi="Calibri" w:cs="Calibri"/>
                <w:sz w:val="20"/>
                <w:szCs w:val="20"/>
                <w:lang w:eastAsia="cs-CZ"/>
              </w:rPr>
              <w:t xml:space="preserve">51 251 657 </w:t>
            </w:r>
          </w:p>
        </w:tc>
        <w:tc>
          <w:tcPr>
            <w:tcW w:w="2438" w:type="dxa"/>
            <w:tcBorders>
              <w:top w:val="single" w:sz="4" w:space="0" w:color="auto"/>
              <w:left w:val="single" w:sz="4" w:space="0" w:color="auto"/>
              <w:bottom w:val="single" w:sz="4" w:space="0" w:color="auto"/>
              <w:right w:val="single" w:sz="4" w:space="0" w:color="auto"/>
            </w:tcBorders>
            <w:vAlign w:val="center"/>
            <w:hideMark/>
          </w:tcPr>
          <w:p w14:paraId="4E45D9A7" w14:textId="3751E0B9" w:rsidR="00DF7F78" w:rsidRPr="00ED5F5E" w:rsidRDefault="00DF7F78" w:rsidP="009E341C">
            <w:pPr>
              <w:ind w:right="409"/>
              <w:jc w:val="right"/>
              <w:rPr>
                <w:rFonts w:ascii="Calibri" w:hAnsi="Calibri" w:cs="Calibri"/>
                <w:sz w:val="20"/>
                <w:szCs w:val="20"/>
                <w:lang w:eastAsia="cs-CZ"/>
              </w:rPr>
            </w:pPr>
            <w:r w:rsidRPr="00ED5F5E">
              <w:rPr>
                <w:rFonts w:ascii="Calibri" w:hAnsi="Calibri" w:cs="Calibri"/>
                <w:sz w:val="20"/>
                <w:szCs w:val="20"/>
                <w:lang w:eastAsia="cs-CZ"/>
              </w:rPr>
              <w:t>3 100 203</w:t>
            </w:r>
          </w:p>
        </w:tc>
        <w:tc>
          <w:tcPr>
            <w:tcW w:w="1474" w:type="dxa"/>
            <w:tcBorders>
              <w:top w:val="single" w:sz="4" w:space="0" w:color="auto"/>
              <w:left w:val="single" w:sz="4" w:space="0" w:color="auto"/>
              <w:bottom w:val="single" w:sz="4" w:space="0" w:color="auto"/>
              <w:right w:val="single" w:sz="4" w:space="0" w:color="auto"/>
            </w:tcBorders>
            <w:shd w:val="clear" w:color="auto" w:fill="F2C6C9"/>
            <w:vAlign w:val="center"/>
            <w:hideMark/>
          </w:tcPr>
          <w:p w14:paraId="68BBAB3D" w14:textId="7586C0A4" w:rsidR="00DF7F78" w:rsidRPr="00ED5F5E" w:rsidRDefault="00DF7F78" w:rsidP="009E341C">
            <w:pPr>
              <w:ind w:right="435"/>
              <w:jc w:val="right"/>
              <w:rPr>
                <w:rFonts w:ascii="Calibri" w:hAnsi="Calibri" w:cs="Calibri"/>
                <w:b/>
                <w:sz w:val="20"/>
                <w:szCs w:val="20"/>
                <w:lang w:eastAsia="cs-CZ"/>
              </w:rPr>
            </w:pPr>
            <w:r w:rsidRPr="00ED5F5E">
              <w:rPr>
                <w:rFonts w:ascii="Calibri" w:hAnsi="Calibri" w:cs="Calibri"/>
                <w:b/>
                <w:sz w:val="20"/>
                <w:szCs w:val="20"/>
                <w:lang w:eastAsia="cs-CZ"/>
              </w:rPr>
              <w:t>6</w:t>
            </w:r>
          </w:p>
        </w:tc>
        <w:tc>
          <w:tcPr>
            <w:tcW w:w="927" w:type="dxa"/>
            <w:tcBorders>
              <w:top w:val="single" w:sz="4" w:space="0" w:color="auto"/>
              <w:left w:val="single" w:sz="4" w:space="0" w:color="auto"/>
              <w:bottom w:val="single" w:sz="4" w:space="0" w:color="auto"/>
              <w:right w:val="single" w:sz="4" w:space="0" w:color="auto"/>
            </w:tcBorders>
            <w:vAlign w:val="center"/>
            <w:hideMark/>
          </w:tcPr>
          <w:p w14:paraId="02A53F9F" w14:textId="77777777" w:rsidR="00DF7F78" w:rsidRPr="00ED5F5E" w:rsidRDefault="00DF7F78" w:rsidP="009E341C">
            <w:pPr>
              <w:ind w:right="113"/>
              <w:jc w:val="right"/>
              <w:rPr>
                <w:rFonts w:ascii="Calibri" w:hAnsi="Calibri" w:cs="Calibri"/>
                <w:sz w:val="20"/>
                <w:szCs w:val="20"/>
                <w:lang w:eastAsia="cs-CZ"/>
              </w:rPr>
            </w:pPr>
            <w:r w:rsidRPr="00ED5F5E">
              <w:rPr>
                <w:rFonts w:ascii="Calibri" w:hAnsi="Calibri" w:cs="Calibri"/>
                <w:sz w:val="20"/>
                <w:szCs w:val="20"/>
                <w:lang w:eastAsia="cs-CZ"/>
              </w:rPr>
              <w:t>6</w:t>
            </w:r>
          </w:p>
        </w:tc>
      </w:tr>
      <w:tr w:rsidR="009E341C" w:rsidRPr="00ED5F5E" w14:paraId="19E933B8" w14:textId="77777777" w:rsidTr="009E341C">
        <w:trPr>
          <w:trHeight w:val="255"/>
        </w:trPr>
        <w:tc>
          <w:tcPr>
            <w:tcW w:w="1956" w:type="dxa"/>
            <w:tcBorders>
              <w:top w:val="single" w:sz="4" w:space="0" w:color="auto"/>
              <w:left w:val="single" w:sz="4" w:space="0" w:color="auto"/>
              <w:bottom w:val="single" w:sz="4" w:space="0" w:color="auto"/>
              <w:right w:val="single" w:sz="4" w:space="0" w:color="auto"/>
            </w:tcBorders>
            <w:hideMark/>
          </w:tcPr>
          <w:p w14:paraId="3CC7A148" w14:textId="77777777" w:rsidR="00DF7F78" w:rsidRPr="00ED5F5E" w:rsidRDefault="00DF7F78">
            <w:pPr>
              <w:rPr>
                <w:rFonts w:ascii="Calibri" w:hAnsi="Calibri" w:cs="Calibri"/>
                <w:color w:val="000000"/>
                <w:sz w:val="20"/>
                <w:szCs w:val="20"/>
                <w:lang w:eastAsia="cs-CZ"/>
              </w:rPr>
            </w:pPr>
            <w:r w:rsidRPr="00ED5F5E">
              <w:rPr>
                <w:rFonts w:ascii="Calibri" w:hAnsi="Calibri" w:cs="Calibri"/>
                <w:color w:val="000000"/>
                <w:sz w:val="20"/>
                <w:szCs w:val="20"/>
                <w:lang w:eastAsia="cs-CZ"/>
              </w:rPr>
              <w:t xml:space="preserve">Pardubický kraj </w:t>
            </w:r>
          </w:p>
        </w:tc>
        <w:tc>
          <w:tcPr>
            <w:tcW w:w="2494" w:type="dxa"/>
            <w:tcBorders>
              <w:top w:val="single" w:sz="4" w:space="0" w:color="auto"/>
              <w:left w:val="single" w:sz="4" w:space="0" w:color="auto"/>
              <w:bottom w:val="single" w:sz="4" w:space="0" w:color="auto"/>
              <w:right w:val="single" w:sz="4" w:space="0" w:color="auto"/>
            </w:tcBorders>
            <w:vAlign w:val="center"/>
            <w:hideMark/>
          </w:tcPr>
          <w:p w14:paraId="5183208C" w14:textId="77777777" w:rsidR="00DF7F78" w:rsidRPr="00ED5F5E" w:rsidRDefault="00DF7F78" w:rsidP="009E341C">
            <w:pPr>
              <w:ind w:right="409"/>
              <w:jc w:val="right"/>
              <w:rPr>
                <w:rFonts w:ascii="Calibri" w:hAnsi="Calibri" w:cs="Calibri"/>
                <w:color w:val="000000"/>
                <w:sz w:val="20"/>
                <w:szCs w:val="20"/>
                <w:lang w:eastAsia="cs-CZ"/>
              </w:rPr>
            </w:pPr>
            <w:r w:rsidRPr="00ED5F5E">
              <w:rPr>
                <w:rFonts w:ascii="Calibri" w:hAnsi="Calibri" w:cs="Calibri"/>
                <w:sz w:val="20"/>
                <w:szCs w:val="20"/>
                <w:lang w:eastAsia="cs-CZ"/>
              </w:rPr>
              <w:t xml:space="preserve">27 088 632 </w:t>
            </w:r>
          </w:p>
        </w:tc>
        <w:tc>
          <w:tcPr>
            <w:tcW w:w="2438" w:type="dxa"/>
            <w:tcBorders>
              <w:top w:val="single" w:sz="4" w:space="0" w:color="auto"/>
              <w:left w:val="single" w:sz="4" w:space="0" w:color="auto"/>
              <w:bottom w:val="single" w:sz="4" w:space="0" w:color="auto"/>
              <w:right w:val="single" w:sz="4" w:space="0" w:color="auto"/>
            </w:tcBorders>
            <w:vAlign w:val="center"/>
            <w:hideMark/>
          </w:tcPr>
          <w:p w14:paraId="2E846916" w14:textId="0416EE3A" w:rsidR="00DF7F78" w:rsidRPr="00ED5F5E" w:rsidRDefault="00DF7F78" w:rsidP="009E341C">
            <w:pPr>
              <w:ind w:right="409"/>
              <w:jc w:val="right"/>
              <w:rPr>
                <w:rFonts w:ascii="Calibri" w:hAnsi="Calibri" w:cs="Calibri"/>
                <w:color w:val="000000"/>
                <w:sz w:val="20"/>
                <w:szCs w:val="20"/>
                <w:lang w:eastAsia="cs-CZ"/>
              </w:rPr>
            </w:pPr>
            <w:r w:rsidRPr="00ED5F5E">
              <w:rPr>
                <w:rFonts w:ascii="Calibri" w:hAnsi="Calibri" w:cs="Calibri"/>
                <w:sz w:val="20"/>
                <w:szCs w:val="20"/>
                <w:lang w:eastAsia="cs-CZ"/>
              </w:rPr>
              <w:t>3 099 714</w:t>
            </w:r>
          </w:p>
        </w:tc>
        <w:tc>
          <w:tcPr>
            <w:tcW w:w="1474" w:type="dxa"/>
            <w:tcBorders>
              <w:top w:val="single" w:sz="4" w:space="0" w:color="auto"/>
              <w:left w:val="single" w:sz="4" w:space="0" w:color="auto"/>
              <w:bottom w:val="single" w:sz="4" w:space="0" w:color="auto"/>
              <w:right w:val="single" w:sz="4" w:space="0" w:color="auto"/>
            </w:tcBorders>
            <w:shd w:val="clear" w:color="auto" w:fill="F2C6C9"/>
            <w:vAlign w:val="center"/>
            <w:hideMark/>
          </w:tcPr>
          <w:p w14:paraId="28C03CBF" w14:textId="19888152" w:rsidR="00DF7F78" w:rsidRPr="00ED5F5E" w:rsidRDefault="00DF7F78" w:rsidP="009E341C">
            <w:pPr>
              <w:ind w:right="435"/>
              <w:jc w:val="right"/>
              <w:rPr>
                <w:rFonts w:ascii="Calibri" w:hAnsi="Calibri" w:cs="Calibri"/>
                <w:b/>
                <w:color w:val="000000"/>
                <w:sz w:val="20"/>
                <w:szCs w:val="20"/>
                <w:lang w:eastAsia="cs-CZ"/>
              </w:rPr>
            </w:pPr>
            <w:r w:rsidRPr="00ED5F5E">
              <w:rPr>
                <w:rFonts w:ascii="Calibri" w:hAnsi="Calibri" w:cs="Calibri"/>
                <w:b/>
                <w:sz w:val="20"/>
                <w:szCs w:val="20"/>
                <w:lang w:eastAsia="cs-CZ"/>
              </w:rPr>
              <w:t>11</w:t>
            </w:r>
          </w:p>
        </w:tc>
        <w:tc>
          <w:tcPr>
            <w:tcW w:w="927" w:type="dxa"/>
            <w:tcBorders>
              <w:top w:val="single" w:sz="4" w:space="0" w:color="auto"/>
              <w:left w:val="single" w:sz="4" w:space="0" w:color="auto"/>
              <w:bottom w:val="single" w:sz="4" w:space="0" w:color="auto"/>
              <w:right w:val="single" w:sz="4" w:space="0" w:color="auto"/>
            </w:tcBorders>
            <w:vAlign w:val="center"/>
            <w:hideMark/>
          </w:tcPr>
          <w:p w14:paraId="71E7375C" w14:textId="77777777" w:rsidR="00DF7F78" w:rsidRPr="00ED5F5E" w:rsidRDefault="00DF7F78" w:rsidP="009E341C">
            <w:pPr>
              <w:ind w:right="113"/>
              <w:jc w:val="right"/>
              <w:rPr>
                <w:rFonts w:ascii="Calibri" w:hAnsi="Calibri" w:cs="Calibri"/>
                <w:color w:val="000000"/>
                <w:sz w:val="20"/>
                <w:szCs w:val="20"/>
                <w:lang w:eastAsia="cs-CZ"/>
              </w:rPr>
            </w:pPr>
            <w:r w:rsidRPr="00ED5F5E">
              <w:rPr>
                <w:rFonts w:ascii="Calibri" w:hAnsi="Calibri" w:cs="Calibri"/>
                <w:sz w:val="20"/>
                <w:szCs w:val="20"/>
                <w:lang w:eastAsia="cs-CZ"/>
              </w:rPr>
              <w:t>8</w:t>
            </w:r>
          </w:p>
        </w:tc>
      </w:tr>
      <w:tr w:rsidR="009E341C" w:rsidRPr="00ED5F5E" w14:paraId="0BD05747" w14:textId="77777777" w:rsidTr="009E341C">
        <w:trPr>
          <w:trHeight w:val="255"/>
        </w:trPr>
        <w:tc>
          <w:tcPr>
            <w:tcW w:w="1956" w:type="dxa"/>
            <w:tcBorders>
              <w:top w:val="single" w:sz="4" w:space="0" w:color="auto"/>
              <w:left w:val="single" w:sz="4" w:space="0" w:color="auto"/>
              <w:bottom w:val="single" w:sz="4" w:space="0" w:color="auto"/>
              <w:right w:val="single" w:sz="4" w:space="0" w:color="auto"/>
            </w:tcBorders>
            <w:hideMark/>
          </w:tcPr>
          <w:p w14:paraId="2271D018" w14:textId="77777777" w:rsidR="00DF7F78" w:rsidRPr="00ED5F5E" w:rsidRDefault="00DF7F78">
            <w:pPr>
              <w:rPr>
                <w:rFonts w:ascii="Calibri" w:hAnsi="Calibri" w:cs="Calibri"/>
                <w:color w:val="000000"/>
                <w:sz w:val="20"/>
                <w:szCs w:val="20"/>
                <w:lang w:eastAsia="cs-CZ"/>
              </w:rPr>
            </w:pPr>
            <w:r w:rsidRPr="00ED5F5E">
              <w:rPr>
                <w:rFonts w:ascii="Calibri" w:hAnsi="Calibri" w:cs="Calibri"/>
                <w:color w:val="000000"/>
                <w:sz w:val="20"/>
                <w:szCs w:val="20"/>
                <w:lang w:eastAsia="cs-CZ"/>
              </w:rPr>
              <w:t xml:space="preserve">Jihomoravský kraj </w:t>
            </w:r>
          </w:p>
        </w:tc>
        <w:tc>
          <w:tcPr>
            <w:tcW w:w="2494" w:type="dxa"/>
            <w:tcBorders>
              <w:top w:val="single" w:sz="4" w:space="0" w:color="auto"/>
              <w:left w:val="single" w:sz="4" w:space="0" w:color="auto"/>
              <w:bottom w:val="single" w:sz="4" w:space="0" w:color="auto"/>
              <w:right w:val="single" w:sz="4" w:space="0" w:color="auto"/>
            </w:tcBorders>
            <w:vAlign w:val="center"/>
            <w:hideMark/>
          </w:tcPr>
          <w:p w14:paraId="0348EFAE" w14:textId="77777777" w:rsidR="00DF7F78" w:rsidRPr="00ED5F5E" w:rsidRDefault="00DF7F78" w:rsidP="009E341C">
            <w:pPr>
              <w:ind w:right="409"/>
              <w:jc w:val="right"/>
              <w:rPr>
                <w:rFonts w:ascii="Calibri" w:hAnsi="Calibri" w:cs="Calibri"/>
                <w:color w:val="000000"/>
                <w:sz w:val="20"/>
                <w:szCs w:val="20"/>
                <w:lang w:eastAsia="cs-CZ"/>
              </w:rPr>
            </w:pPr>
            <w:r w:rsidRPr="00ED5F5E">
              <w:rPr>
                <w:rFonts w:ascii="Calibri" w:hAnsi="Calibri" w:cs="Calibri"/>
                <w:sz w:val="20"/>
                <w:szCs w:val="20"/>
                <w:lang w:eastAsia="cs-CZ"/>
              </w:rPr>
              <w:t xml:space="preserve">29 907 657 </w:t>
            </w:r>
          </w:p>
        </w:tc>
        <w:tc>
          <w:tcPr>
            <w:tcW w:w="2438" w:type="dxa"/>
            <w:tcBorders>
              <w:top w:val="single" w:sz="4" w:space="0" w:color="auto"/>
              <w:left w:val="single" w:sz="4" w:space="0" w:color="auto"/>
              <w:bottom w:val="single" w:sz="4" w:space="0" w:color="auto"/>
              <w:right w:val="single" w:sz="4" w:space="0" w:color="auto"/>
            </w:tcBorders>
            <w:vAlign w:val="center"/>
            <w:hideMark/>
          </w:tcPr>
          <w:p w14:paraId="201F9A37" w14:textId="0C429A57" w:rsidR="00DF7F78" w:rsidRPr="00ED5F5E" w:rsidRDefault="00DF7F78" w:rsidP="009E341C">
            <w:pPr>
              <w:ind w:right="409"/>
              <w:jc w:val="right"/>
              <w:rPr>
                <w:rFonts w:ascii="Calibri" w:hAnsi="Calibri" w:cs="Calibri"/>
                <w:color w:val="000000"/>
                <w:sz w:val="20"/>
                <w:szCs w:val="20"/>
                <w:lang w:eastAsia="cs-CZ"/>
              </w:rPr>
            </w:pPr>
            <w:r w:rsidRPr="00ED5F5E">
              <w:rPr>
                <w:rFonts w:ascii="Calibri" w:hAnsi="Calibri" w:cs="Calibri"/>
                <w:sz w:val="20"/>
                <w:szCs w:val="20"/>
                <w:lang w:eastAsia="cs-CZ"/>
              </w:rPr>
              <w:t>4 482 866</w:t>
            </w:r>
          </w:p>
        </w:tc>
        <w:tc>
          <w:tcPr>
            <w:tcW w:w="1474" w:type="dxa"/>
            <w:tcBorders>
              <w:top w:val="single" w:sz="4" w:space="0" w:color="auto"/>
              <w:left w:val="single" w:sz="4" w:space="0" w:color="auto"/>
              <w:bottom w:val="single" w:sz="4" w:space="0" w:color="auto"/>
              <w:right w:val="single" w:sz="4" w:space="0" w:color="auto"/>
            </w:tcBorders>
            <w:shd w:val="clear" w:color="auto" w:fill="F2C6C9"/>
            <w:vAlign w:val="center"/>
            <w:hideMark/>
          </w:tcPr>
          <w:p w14:paraId="776BE5B4" w14:textId="07CC10D1" w:rsidR="00DF7F78" w:rsidRPr="00ED5F5E" w:rsidRDefault="00DF7F78" w:rsidP="009E341C">
            <w:pPr>
              <w:ind w:right="435"/>
              <w:jc w:val="right"/>
              <w:rPr>
                <w:rFonts w:ascii="Calibri" w:hAnsi="Calibri" w:cs="Calibri"/>
                <w:b/>
                <w:color w:val="000000"/>
                <w:sz w:val="20"/>
                <w:szCs w:val="20"/>
                <w:lang w:eastAsia="cs-CZ"/>
              </w:rPr>
            </w:pPr>
            <w:r w:rsidRPr="00ED5F5E">
              <w:rPr>
                <w:rFonts w:ascii="Calibri" w:hAnsi="Calibri" w:cs="Calibri"/>
                <w:b/>
                <w:sz w:val="20"/>
                <w:szCs w:val="20"/>
                <w:lang w:eastAsia="cs-CZ"/>
              </w:rPr>
              <w:t>1</w:t>
            </w:r>
            <w:r w:rsidR="0064097D" w:rsidRPr="00ED5F5E">
              <w:rPr>
                <w:rFonts w:ascii="Calibri" w:hAnsi="Calibri" w:cs="Calibri"/>
                <w:b/>
                <w:sz w:val="20"/>
                <w:szCs w:val="20"/>
                <w:lang w:eastAsia="cs-CZ"/>
              </w:rPr>
              <w:t>5</w:t>
            </w:r>
          </w:p>
        </w:tc>
        <w:tc>
          <w:tcPr>
            <w:tcW w:w="927" w:type="dxa"/>
            <w:tcBorders>
              <w:top w:val="single" w:sz="4" w:space="0" w:color="auto"/>
              <w:left w:val="single" w:sz="4" w:space="0" w:color="auto"/>
              <w:bottom w:val="single" w:sz="4" w:space="0" w:color="auto"/>
              <w:right w:val="single" w:sz="4" w:space="0" w:color="auto"/>
            </w:tcBorders>
            <w:vAlign w:val="center"/>
            <w:hideMark/>
          </w:tcPr>
          <w:p w14:paraId="0158244E" w14:textId="77777777" w:rsidR="00DF7F78" w:rsidRPr="00ED5F5E" w:rsidRDefault="00DF7F78" w:rsidP="009E341C">
            <w:pPr>
              <w:ind w:right="113"/>
              <w:jc w:val="right"/>
              <w:rPr>
                <w:rFonts w:ascii="Calibri" w:hAnsi="Calibri" w:cs="Calibri"/>
                <w:color w:val="000000"/>
                <w:sz w:val="20"/>
                <w:szCs w:val="20"/>
                <w:lang w:eastAsia="cs-CZ"/>
              </w:rPr>
            </w:pPr>
            <w:r w:rsidRPr="00ED5F5E">
              <w:rPr>
                <w:rFonts w:ascii="Calibri" w:hAnsi="Calibri" w:cs="Calibri"/>
                <w:sz w:val="20"/>
                <w:szCs w:val="20"/>
                <w:lang w:eastAsia="cs-CZ"/>
              </w:rPr>
              <w:t>5</w:t>
            </w:r>
          </w:p>
        </w:tc>
      </w:tr>
      <w:tr w:rsidR="009E341C" w:rsidRPr="00ED5F5E" w14:paraId="6BDBFADB" w14:textId="77777777" w:rsidTr="009E341C">
        <w:trPr>
          <w:trHeight w:val="255"/>
        </w:trPr>
        <w:tc>
          <w:tcPr>
            <w:tcW w:w="1956" w:type="dxa"/>
            <w:tcBorders>
              <w:top w:val="single" w:sz="4" w:space="0" w:color="auto"/>
              <w:left w:val="single" w:sz="4" w:space="0" w:color="auto"/>
              <w:bottom w:val="single" w:sz="4" w:space="0" w:color="auto"/>
              <w:right w:val="single" w:sz="4" w:space="0" w:color="auto"/>
            </w:tcBorders>
            <w:hideMark/>
          </w:tcPr>
          <w:p w14:paraId="52B0F4EE" w14:textId="77777777" w:rsidR="00DF7F78" w:rsidRPr="00ED5F5E" w:rsidRDefault="00DF7F78">
            <w:pPr>
              <w:rPr>
                <w:rFonts w:ascii="Calibri" w:hAnsi="Calibri" w:cs="Calibri"/>
                <w:color w:val="000000"/>
                <w:sz w:val="20"/>
                <w:szCs w:val="20"/>
                <w:lang w:eastAsia="cs-CZ"/>
              </w:rPr>
            </w:pPr>
            <w:r w:rsidRPr="00ED5F5E">
              <w:rPr>
                <w:rFonts w:ascii="Calibri" w:hAnsi="Calibri" w:cs="Calibri"/>
                <w:color w:val="000000"/>
                <w:sz w:val="20"/>
                <w:szCs w:val="20"/>
                <w:lang w:eastAsia="cs-CZ"/>
              </w:rPr>
              <w:t xml:space="preserve">Kraj Vysočina </w:t>
            </w:r>
          </w:p>
        </w:tc>
        <w:tc>
          <w:tcPr>
            <w:tcW w:w="2494" w:type="dxa"/>
            <w:tcBorders>
              <w:top w:val="single" w:sz="4" w:space="0" w:color="auto"/>
              <w:left w:val="single" w:sz="4" w:space="0" w:color="auto"/>
              <w:bottom w:val="single" w:sz="4" w:space="0" w:color="auto"/>
              <w:right w:val="single" w:sz="4" w:space="0" w:color="auto"/>
            </w:tcBorders>
            <w:vAlign w:val="center"/>
            <w:hideMark/>
          </w:tcPr>
          <w:p w14:paraId="69B11E25" w14:textId="77777777" w:rsidR="00DF7F78" w:rsidRPr="00ED5F5E" w:rsidRDefault="00DF7F78" w:rsidP="009E341C">
            <w:pPr>
              <w:ind w:right="409"/>
              <w:jc w:val="right"/>
              <w:rPr>
                <w:rFonts w:ascii="Calibri" w:hAnsi="Calibri" w:cs="Calibri"/>
                <w:color w:val="000000"/>
                <w:sz w:val="20"/>
                <w:szCs w:val="20"/>
                <w:lang w:eastAsia="cs-CZ"/>
              </w:rPr>
            </w:pPr>
            <w:r w:rsidRPr="00ED5F5E">
              <w:rPr>
                <w:rFonts w:ascii="Calibri" w:hAnsi="Calibri" w:cs="Calibri"/>
                <w:sz w:val="20"/>
                <w:szCs w:val="20"/>
                <w:lang w:eastAsia="cs-CZ"/>
              </w:rPr>
              <w:t xml:space="preserve">25 134 657 </w:t>
            </w:r>
          </w:p>
        </w:tc>
        <w:tc>
          <w:tcPr>
            <w:tcW w:w="2438" w:type="dxa"/>
            <w:tcBorders>
              <w:top w:val="single" w:sz="4" w:space="0" w:color="auto"/>
              <w:left w:val="single" w:sz="4" w:space="0" w:color="auto"/>
              <w:bottom w:val="single" w:sz="4" w:space="0" w:color="auto"/>
              <w:right w:val="single" w:sz="4" w:space="0" w:color="auto"/>
            </w:tcBorders>
            <w:vAlign w:val="center"/>
            <w:hideMark/>
          </w:tcPr>
          <w:p w14:paraId="4ADE6521" w14:textId="2771580D" w:rsidR="00DF7F78" w:rsidRPr="00ED5F5E" w:rsidRDefault="00DF7F78" w:rsidP="009E341C">
            <w:pPr>
              <w:ind w:right="409"/>
              <w:jc w:val="right"/>
              <w:rPr>
                <w:rFonts w:ascii="Calibri" w:hAnsi="Calibri" w:cs="Calibri"/>
                <w:color w:val="000000"/>
                <w:sz w:val="20"/>
                <w:szCs w:val="20"/>
                <w:lang w:eastAsia="cs-CZ"/>
              </w:rPr>
            </w:pPr>
            <w:r w:rsidRPr="00ED5F5E">
              <w:rPr>
                <w:rFonts w:ascii="Calibri" w:hAnsi="Calibri" w:cs="Calibri"/>
                <w:sz w:val="20"/>
                <w:szCs w:val="20"/>
                <w:lang w:eastAsia="cs-CZ"/>
              </w:rPr>
              <w:t>1 346 418</w:t>
            </w:r>
          </w:p>
        </w:tc>
        <w:tc>
          <w:tcPr>
            <w:tcW w:w="1474" w:type="dxa"/>
            <w:tcBorders>
              <w:top w:val="single" w:sz="4" w:space="0" w:color="auto"/>
              <w:left w:val="single" w:sz="4" w:space="0" w:color="auto"/>
              <w:bottom w:val="single" w:sz="4" w:space="0" w:color="auto"/>
              <w:right w:val="single" w:sz="4" w:space="0" w:color="auto"/>
            </w:tcBorders>
            <w:shd w:val="clear" w:color="auto" w:fill="F2C6C9"/>
            <w:vAlign w:val="center"/>
            <w:hideMark/>
          </w:tcPr>
          <w:p w14:paraId="50DA8E36" w14:textId="508F4D55" w:rsidR="00DF7F78" w:rsidRPr="00ED5F5E" w:rsidRDefault="00DF7F78" w:rsidP="009E341C">
            <w:pPr>
              <w:ind w:right="435"/>
              <w:jc w:val="right"/>
              <w:rPr>
                <w:rFonts w:ascii="Calibri" w:hAnsi="Calibri" w:cs="Calibri"/>
                <w:b/>
                <w:color w:val="000000"/>
                <w:sz w:val="20"/>
                <w:szCs w:val="20"/>
                <w:lang w:eastAsia="cs-CZ"/>
              </w:rPr>
            </w:pPr>
            <w:r w:rsidRPr="00ED5F5E">
              <w:rPr>
                <w:rFonts w:ascii="Calibri" w:hAnsi="Calibri" w:cs="Calibri"/>
                <w:b/>
                <w:sz w:val="20"/>
                <w:szCs w:val="20"/>
                <w:lang w:eastAsia="cs-CZ"/>
              </w:rPr>
              <w:t>5</w:t>
            </w:r>
          </w:p>
        </w:tc>
        <w:tc>
          <w:tcPr>
            <w:tcW w:w="927" w:type="dxa"/>
            <w:tcBorders>
              <w:top w:val="single" w:sz="4" w:space="0" w:color="auto"/>
              <w:left w:val="single" w:sz="4" w:space="0" w:color="auto"/>
              <w:bottom w:val="single" w:sz="4" w:space="0" w:color="auto"/>
              <w:right w:val="single" w:sz="4" w:space="0" w:color="auto"/>
            </w:tcBorders>
            <w:vAlign w:val="center"/>
            <w:hideMark/>
          </w:tcPr>
          <w:p w14:paraId="6B8E84AE" w14:textId="77777777" w:rsidR="00DF7F78" w:rsidRPr="00ED5F5E" w:rsidRDefault="00DF7F78" w:rsidP="009E341C">
            <w:pPr>
              <w:ind w:right="113"/>
              <w:jc w:val="right"/>
              <w:rPr>
                <w:rFonts w:ascii="Calibri" w:hAnsi="Calibri" w:cs="Calibri"/>
                <w:color w:val="000000"/>
                <w:sz w:val="20"/>
                <w:szCs w:val="20"/>
                <w:lang w:eastAsia="cs-CZ"/>
              </w:rPr>
            </w:pPr>
            <w:r w:rsidRPr="00ED5F5E">
              <w:rPr>
                <w:rFonts w:ascii="Calibri" w:hAnsi="Calibri" w:cs="Calibri"/>
                <w:sz w:val="20"/>
                <w:szCs w:val="20"/>
                <w:lang w:eastAsia="cs-CZ"/>
              </w:rPr>
              <w:t>3</w:t>
            </w:r>
          </w:p>
        </w:tc>
      </w:tr>
      <w:tr w:rsidR="009E341C" w:rsidRPr="00ED5F5E" w14:paraId="4963BB70" w14:textId="77777777" w:rsidTr="009E341C">
        <w:trPr>
          <w:trHeight w:val="255"/>
        </w:trPr>
        <w:tc>
          <w:tcPr>
            <w:tcW w:w="1956" w:type="dxa"/>
            <w:tcBorders>
              <w:top w:val="single" w:sz="4" w:space="0" w:color="auto"/>
              <w:left w:val="single" w:sz="4" w:space="0" w:color="auto"/>
              <w:bottom w:val="single" w:sz="4" w:space="0" w:color="auto"/>
              <w:right w:val="single" w:sz="4" w:space="0" w:color="auto"/>
            </w:tcBorders>
            <w:hideMark/>
          </w:tcPr>
          <w:p w14:paraId="71339140" w14:textId="77777777" w:rsidR="00DF7F78" w:rsidRPr="00ED5F5E" w:rsidRDefault="00DF7F78">
            <w:pPr>
              <w:rPr>
                <w:rFonts w:ascii="Calibri" w:hAnsi="Calibri" w:cs="Calibri"/>
                <w:color w:val="000000"/>
                <w:sz w:val="20"/>
                <w:szCs w:val="20"/>
                <w:lang w:eastAsia="cs-CZ"/>
              </w:rPr>
            </w:pPr>
            <w:r w:rsidRPr="00ED5F5E">
              <w:rPr>
                <w:rFonts w:ascii="Calibri" w:hAnsi="Calibri" w:cs="Calibri"/>
                <w:color w:val="000000"/>
                <w:sz w:val="20"/>
                <w:szCs w:val="20"/>
                <w:lang w:eastAsia="cs-CZ"/>
              </w:rPr>
              <w:t xml:space="preserve">Plzeňský kraj </w:t>
            </w:r>
          </w:p>
        </w:tc>
        <w:tc>
          <w:tcPr>
            <w:tcW w:w="2494" w:type="dxa"/>
            <w:tcBorders>
              <w:top w:val="single" w:sz="4" w:space="0" w:color="auto"/>
              <w:left w:val="single" w:sz="4" w:space="0" w:color="auto"/>
              <w:bottom w:val="single" w:sz="4" w:space="0" w:color="auto"/>
              <w:right w:val="single" w:sz="4" w:space="0" w:color="auto"/>
            </w:tcBorders>
            <w:vAlign w:val="center"/>
            <w:hideMark/>
          </w:tcPr>
          <w:p w14:paraId="62584174" w14:textId="77777777" w:rsidR="00DF7F78" w:rsidRPr="00ED5F5E" w:rsidRDefault="00DF7F78" w:rsidP="009E341C">
            <w:pPr>
              <w:ind w:right="409"/>
              <w:jc w:val="right"/>
              <w:rPr>
                <w:rFonts w:ascii="Calibri" w:hAnsi="Calibri" w:cs="Calibri"/>
                <w:color w:val="000000"/>
                <w:sz w:val="20"/>
                <w:szCs w:val="20"/>
                <w:lang w:eastAsia="cs-CZ"/>
              </w:rPr>
            </w:pPr>
            <w:r w:rsidRPr="00ED5F5E">
              <w:rPr>
                <w:rFonts w:ascii="Calibri" w:hAnsi="Calibri" w:cs="Calibri"/>
                <w:sz w:val="20"/>
                <w:szCs w:val="20"/>
                <w:lang w:eastAsia="cs-CZ"/>
              </w:rPr>
              <w:t xml:space="preserve">17 664 567 </w:t>
            </w:r>
          </w:p>
        </w:tc>
        <w:tc>
          <w:tcPr>
            <w:tcW w:w="2438" w:type="dxa"/>
            <w:tcBorders>
              <w:top w:val="single" w:sz="4" w:space="0" w:color="auto"/>
              <w:left w:val="single" w:sz="4" w:space="0" w:color="auto"/>
              <w:bottom w:val="single" w:sz="4" w:space="0" w:color="auto"/>
              <w:right w:val="single" w:sz="4" w:space="0" w:color="auto"/>
            </w:tcBorders>
            <w:vAlign w:val="center"/>
            <w:hideMark/>
          </w:tcPr>
          <w:p w14:paraId="6ED3ED0F" w14:textId="31AA33EE" w:rsidR="00DF7F78" w:rsidRPr="00ED5F5E" w:rsidRDefault="00DF7F78" w:rsidP="009E341C">
            <w:pPr>
              <w:ind w:right="409"/>
              <w:jc w:val="right"/>
              <w:rPr>
                <w:rFonts w:ascii="Calibri" w:hAnsi="Calibri" w:cs="Calibri"/>
                <w:color w:val="000000"/>
                <w:sz w:val="20"/>
                <w:szCs w:val="20"/>
                <w:lang w:eastAsia="cs-CZ"/>
              </w:rPr>
            </w:pPr>
            <w:r w:rsidRPr="00ED5F5E">
              <w:rPr>
                <w:rFonts w:ascii="Calibri" w:hAnsi="Calibri" w:cs="Calibri"/>
                <w:sz w:val="20"/>
                <w:szCs w:val="20"/>
                <w:lang w:eastAsia="cs-CZ"/>
              </w:rPr>
              <w:t>5 006 104</w:t>
            </w:r>
          </w:p>
        </w:tc>
        <w:tc>
          <w:tcPr>
            <w:tcW w:w="1474" w:type="dxa"/>
            <w:tcBorders>
              <w:top w:val="single" w:sz="4" w:space="0" w:color="auto"/>
              <w:left w:val="single" w:sz="4" w:space="0" w:color="auto"/>
              <w:bottom w:val="single" w:sz="4" w:space="0" w:color="auto"/>
              <w:right w:val="single" w:sz="4" w:space="0" w:color="auto"/>
            </w:tcBorders>
            <w:shd w:val="clear" w:color="auto" w:fill="F2C6C9"/>
            <w:vAlign w:val="center"/>
            <w:hideMark/>
          </w:tcPr>
          <w:p w14:paraId="533A4432" w14:textId="11AC7548" w:rsidR="00DF7F78" w:rsidRPr="00ED5F5E" w:rsidRDefault="00DF7F78" w:rsidP="009E341C">
            <w:pPr>
              <w:ind w:right="435"/>
              <w:jc w:val="right"/>
              <w:rPr>
                <w:rFonts w:ascii="Calibri" w:hAnsi="Calibri" w:cs="Calibri"/>
                <w:b/>
                <w:color w:val="000000"/>
                <w:sz w:val="20"/>
                <w:szCs w:val="20"/>
                <w:lang w:eastAsia="cs-CZ"/>
              </w:rPr>
            </w:pPr>
            <w:r w:rsidRPr="00ED5F5E">
              <w:rPr>
                <w:rFonts w:ascii="Calibri" w:hAnsi="Calibri" w:cs="Calibri"/>
                <w:b/>
                <w:sz w:val="20"/>
                <w:szCs w:val="20"/>
                <w:lang w:eastAsia="cs-CZ"/>
              </w:rPr>
              <w:t>28</w:t>
            </w:r>
          </w:p>
        </w:tc>
        <w:tc>
          <w:tcPr>
            <w:tcW w:w="927" w:type="dxa"/>
            <w:tcBorders>
              <w:top w:val="single" w:sz="4" w:space="0" w:color="auto"/>
              <w:left w:val="single" w:sz="4" w:space="0" w:color="auto"/>
              <w:bottom w:val="single" w:sz="4" w:space="0" w:color="auto"/>
              <w:right w:val="single" w:sz="4" w:space="0" w:color="auto"/>
            </w:tcBorders>
            <w:vAlign w:val="center"/>
            <w:hideMark/>
          </w:tcPr>
          <w:p w14:paraId="7D5713CB" w14:textId="77777777" w:rsidR="00DF7F78" w:rsidRPr="00ED5F5E" w:rsidRDefault="00DF7F78" w:rsidP="009E341C">
            <w:pPr>
              <w:ind w:right="113"/>
              <w:jc w:val="right"/>
              <w:rPr>
                <w:rFonts w:ascii="Calibri" w:hAnsi="Calibri" w:cs="Calibri"/>
                <w:color w:val="000000"/>
                <w:sz w:val="20"/>
                <w:szCs w:val="20"/>
                <w:lang w:eastAsia="cs-CZ"/>
              </w:rPr>
            </w:pPr>
            <w:r w:rsidRPr="00ED5F5E">
              <w:rPr>
                <w:rFonts w:ascii="Calibri" w:hAnsi="Calibri" w:cs="Calibri"/>
                <w:sz w:val="20"/>
                <w:szCs w:val="20"/>
                <w:lang w:eastAsia="cs-CZ"/>
              </w:rPr>
              <w:t>5</w:t>
            </w:r>
          </w:p>
        </w:tc>
      </w:tr>
      <w:tr w:rsidR="009E341C" w:rsidRPr="00ED5F5E" w14:paraId="75F53473" w14:textId="77777777" w:rsidTr="009E341C">
        <w:trPr>
          <w:trHeight w:val="255"/>
        </w:trPr>
        <w:tc>
          <w:tcPr>
            <w:tcW w:w="1956" w:type="dxa"/>
            <w:tcBorders>
              <w:top w:val="single" w:sz="4" w:space="0" w:color="auto"/>
              <w:left w:val="single" w:sz="4" w:space="0" w:color="auto"/>
              <w:bottom w:val="single" w:sz="4" w:space="0" w:color="auto"/>
              <w:right w:val="single" w:sz="4" w:space="0" w:color="auto"/>
            </w:tcBorders>
            <w:hideMark/>
          </w:tcPr>
          <w:p w14:paraId="121A9474" w14:textId="77777777" w:rsidR="00DF7F78" w:rsidRPr="00ED5F5E" w:rsidRDefault="00DF7F78">
            <w:pPr>
              <w:rPr>
                <w:rFonts w:ascii="Calibri" w:hAnsi="Calibri" w:cs="Calibri"/>
                <w:color w:val="000000"/>
                <w:sz w:val="20"/>
                <w:szCs w:val="20"/>
                <w:lang w:eastAsia="cs-CZ"/>
              </w:rPr>
            </w:pPr>
            <w:r w:rsidRPr="00ED5F5E">
              <w:rPr>
                <w:rFonts w:ascii="Calibri" w:hAnsi="Calibri" w:cs="Calibri"/>
                <w:color w:val="000000"/>
                <w:sz w:val="20"/>
                <w:szCs w:val="20"/>
                <w:lang w:eastAsia="cs-CZ"/>
              </w:rPr>
              <w:t xml:space="preserve">Ústecký kraj </w:t>
            </w:r>
          </w:p>
        </w:tc>
        <w:tc>
          <w:tcPr>
            <w:tcW w:w="2494" w:type="dxa"/>
            <w:tcBorders>
              <w:top w:val="single" w:sz="4" w:space="0" w:color="auto"/>
              <w:left w:val="single" w:sz="4" w:space="0" w:color="auto"/>
              <w:bottom w:val="single" w:sz="4" w:space="0" w:color="auto"/>
              <w:right w:val="single" w:sz="4" w:space="0" w:color="auto"/>
            </w:tcBorders>
            <w:vAlign w:val="center"/>
            <w:hideMark/>
          </w:tcPr>
          <w:p w14:paraId="20BDD4AC" w14:textId="77777777" w:rsidR="00DF7F78" w:rsidRPr="00ED5F5E" w:rsidRDefault="00DF7F78" w:rsidP="009E341C">
            <w:pPr>
              <w:ind w:right="409"/>
              <w:jc w:val="right"/>
              <w:rPr>
                <w:rFonts w:ascii="Calibri" w:hAnsi="Calibri" w:cs="Calibri"/>
                <w:color w:val="000000"/>
                <w:sz w:val="20"/>
                <w:szCs w:val="20"/>
                <w:lang w:eastAsia="cs-CZ"/>
              </w:rPr>
            </w:pPr>
            <w:r w:rsidRPr="00ED5F5E">
              <w:rPr>
                <w:rFonts w:ascii="Calibri" w:hAnsi="Calibri" w:cs="Calibri"/>
                <w:sz w:val="20"/>
                <w:szCs w:val="20"/>
                <w:lang w:eastAsia="cs-CZ"/>
              </w:rPr>
              <w:t xml:space="preserve">31 911 657 </w:t>
            </w:r>
          </w:p>
        </w:tc>
        <w:tc>
          <w:tcPr>
            <w:tcW w:w="2438" w:type="dxa"/>
            <w:tcBorders>
              <w:top w:val="single" w:sz="4" w:space="0" w:color="auto"/>
              <w:left w:val="single" w:sz="4" w:space="0" w:color="auto"/>
              <w:bottom w:val="single" w:sz="4" w:space="0" w:color="auto"/>
              <w:right w:val="single" w:sz="4" w:space="0" w:color="auto"/>
            </w:tcBorders>
            <w:vAlign w:val="center"/>
            <w:hideMark/>
          </w:tcPr>
          <w:p w14:paraId="2D949C9B" w14:textId="2E8E5243" w:rsidR="00DF7F78" w:rsidRPr="00ED5F5E" w:rsidRDefault="00DF7F78" w:rsidP="009E341C">
            <w:pPr>
              <w:ind w:right="409"/>
              <w:jc w:val="right"/>
              <w:rPr>
                <w:rFonts w:ascii="Calibri" w:hAnsi="Calibri" w:cs="Calibri"/>
                <w:color w:val="000000"/>
                <w:sz w:val="20"/>
                <w:szCs w:val="20"/>
                <w:lang w:eastAsia="cs-CZ"/>
              </w:rPr>
            </w:pPr>
            <w:r w:rsidRPr="00ED5F5E">
              <w:rPr>
                <w:rFonts w:ascii="Calibri" w:hAnsi="Calibri" w:cs="Calibri"/>
                <w:sz w:val="20"/>
                <w:szCs w:val="20"/>
                <w:lang w:eastAsia="cs-CZ"/>
              </w:rPr>
              <w:t>2 416 18</w:t>
            </w:r>
            <w:r w:rsidR="0064097D" w:rsidRPr="00ED5F5E">
              <w:rPr>
                <w:rFonts w:ascii="Calibri" w:hAnsi="Calibri" w:cs="Calibri"/>
                <w:sz w:val="20"/>
                <w:szCs w:val="20"/>
                <w:lang w:eastAsia="cs-CZ"/>
              </w:rPr>
              <w:t>2</w:t>
            </w:r>
          </w:p>
        </w:tc>
        <w:tc>
          <w:tcPr>
            <w:tcW w:w="1474" w:type="dxa"/>
            <w:tcBorders>
              <w:top w:val="single" w:sz="4" w:space="0" w:color="auto"/>
              <w:left w:val="single" w:sz="4" w:space="0" w:color="auto"/>
              <w:bottom w:val="single" w:sz="4" w:space="0" w:color="auto"/>
              <w:right w:val="single" w:sz="4" w:space="0" w:color="auto"/>
            </w:tcBorders>
            <w:shd w:val="clear" w:color="auto" w:fill="F2C6C9"/>
            <w:vAlign w:val="center"/>
            <w:hideMark/>
          </w:tcPr>
          <w:p w14:paraId="3948C325" w14:textId="0A689C4E" w:rsidR="00DF7F78" w:rsidRPr="00ED5F5E" w:rsidRDefault="0064097D" w:rsidP="009E341C">
            <w:pPr>
              <w:ind w:right="435"/>
              <w:jc w:val="right"/>
              <w:rPr>
                <w:rFonts w:ascii="Calibri" w:hAnsi="Calibri" w:cs="Calibri"/>
                <w:b/>
                <w:color w:val="000000"/>
                <w:sz w:val="20"/>
                <w:szCs w:val="20"/>
                <w:lang w:eastAsia="cs-CZ"/>
              </w:rPr>
            </w:pPr>
            <w:r w:rsidRPr="00ED5F5E">
              <w:rPr>
                <w:rFonts w:ascii="Calibri" w:hAnsi="Calibri" w:cs="Calibri"/>
                <w:b/>
                <w:color w:val="000000"/>
                <w:sz w:val="20"/>
                <w:szCs w:val="20"/>
                <w:lang w:eastAsia="cs-CZ"/>
              </w:rPr>
              <w:t>8</w:t>
            </w:r>
          </w:p>
        </w:tc>
        <w:tc>
          <w:tcPr>
            <w:tcW w:w="927" w:type="dxa"/>
            <w:tcBorders>
              <w:top w:val="single" w:sz="4" w:space="0" w:color="auto"/>
              <w:left w:val="single" w:sz="4" w:space="0" w:color="auto"/>
              <w:bottom w:val="single" w:sz="4" w:space="0" w:color="auto"/>
              <w:right w:val="single" w:sz="4" w:space="0" w:color="auto"/>
            </w:tcBorders>
            <w:vAlign w:val="center"/>
            <w:hideMark/>
          </w:tcPr>
          <w:p w14:paraId="37733E4E" w14:textId="77777777" w:rsidR="00DF7F78" w:rsidRPr="00ED5F5E" w:rsidRDefault="00DF7F78" w:rsidP="009E341C">
            <w:pPr>
              <w:ind w:right="113"/>
              <w:jc w:val="right"/>
              <w:rPr>
                <w:rFonts w:ascii="Calibri" w:hAnsi="Calibri" w:cs="Calibri"/>
                <w:color w:val="000000"/>
                <w:sz w:val="20"/>
                <w:szCs w:val="20"/>
                <w:lang w:eastAsia="cs-CZ"/>
              </w:rPr>
            </w:pPr>
            <w:r w:rsidRPr="00ED5F5E">
              <w:rPr>
                <w:rFonts w:ascii="Calibri" w:hAnsi="Calibri" w:cs="Calibri"/>
                <w:sz w:val="20"/>
                <w:szCs w:val="20"/>
                <w:lang w:eastAsia="cs-CZ"/>
              </w:rPr>
              <w:t>3</w:t>
            </w:r>
          </w:p>
        </w:tc>
      </w:tr>
      <w:tr w:rsidR="009E341C" w:rsidRPr="00ED5F5E" w14:paraId="12DA5794" w14:textId="77777777" w:rsidTr="009E341C">
        <w:trPr>
          <w:trHeight w:val="255"/>
        </w:trPr>
        <w:tc>
          <w:tcPr>
            <w:tcW w:w="1956" w:type="dxa"/>
            <w:tcBorders>
              <w:top w:val="single" w:sz="4" w:space="0" w:color="auto"/>
              <w:left w:val="single" w:sz="4" w:space="0" w:color="auto"/>
              <w:bottom w:val="single" w:sz="4" w:space="0" w:color="auto"/>
              <w:right w:val="single" w:sz="4" w:space="0" w:color="auto"/>
            </w:tcBorders>
            <w:hideMark/>
          </w:tcPr>
          <w:p w14:paraId="5AEA1E7B" w14:textId="77777777" w:rsidR="00DF7F78" w:rsidRPr="00ED5F5E" w:rsidRDefault="00DF7F78">
            <w:pPr>
              <w:rPr>
                <w:rFonts w:ascii="Calibri" w:hAnsi="Calibri" w:cs="Calibri"/>
                <w:color w:val="000000"/>
                <w:sz w:val="20"/>
                <w:szCs w:val="20"/>
                <w:lang w:eastAsia="cs-CZ"/>
              </w:rPr>
            </w:pPr>
            <w:r w:rsidRPr="00ED5F5E">
              <w:rPr>
                <w:rFonts w:ascii="Calibri" w:hAnsi="Calibri" w:cs="Calibri"/>
                <w:color w:val="000000"/>
                <w:sz w:val="20"/>
                <w:szCs w:val="20"/>
                <w:lang w:eastAsia="cs-CZ"/>
              </w:rPr>
              <w:t xml:space="preserve">Karlovarský kraj </w:t>
            </w:r>
          </w:p>
        </w:tc>
        <w:tc>
          <w:tcPr>
            <w:tcW w:w="2494" w:type="dxa"/>
            <w:tcBorders>
              <w:top w:val="single" w:sz="4" w:space="0" w:color="auto"/>
              <w:left w:val="single" w:sz="4" w:space="0" w:color="auto"/>
              <w:bottom w:val="single" w:sz="4" w:space="0" w:color="auto"/>
              <w:right w:val="single" w:sz="4" w:space="0" w:color="auto"/>
            </w:tcBorders>
            <w:vAlign w:val="center"/>
            <w:hideMark/>
          </w:tcPr>
          <w:p w14:paraId="62A03484" w14:textId="77777777" w:rsidR="00DF7F78" w:rsidRPr="00ED5F5E" w:rsidRDefault="00DF7F78" w:rsidP="009E341C">
            <w:pPr>
              <w:ind w:right="409"/>
              <w:jc w:val="right"/>
              <w:rPr>
                <w:rFonts w:ascii="Calibri" w:hAnsi="Calibri" w:cs="Calibri"/>
                <w:color w:val="000000"/>
                <w:sz w:val="20"/>
                <w:szCs w:val="20"/>
                <w:lang w:eastAsia="cs-CZ"/>
              </w:rPr>
            </w:pPr>
            <w:r w:rsidRPr="00ED5F5E">
              <w:rPr>
                <w:rFonts w:ascii="Calibri" w:hAnsi="Calibri" w:cs="Calibri"/>
                <w:sz w:val="20"/>
                <w:szCs w:val="20"/>
                <w:lang w:eastAsia="cs-CZ"/>
              </w:rPr>
              <w:t xml:space="preserve">24 435 657 </w:t>
            </w:r>
          </w:p>
        </w:tc>
        <w:tc>
          <w:tcPr>
            <w:tcW w:w="2438" w:type="dxa"/>
            <w:tcBorders>
              <w:top w:val="single" w:sz="4" w:space="0" w:color="auto"/>
              <w:left w:val="single" w:sz="4" w:space="0" w:color="auto"/>
              <w:bottom w:val="single" w:sz="4" w:space="0" w:color="auto"/>
              <w:right w:val="single" w:sz="4" w:space="0" w:color="auto"/>
            </w:tcBorders>
            <w:vAlign w:val="center"/>
            <w:hideMark/>
          </w:tcPr>
          <w:p w14:paraId="370B9202" w14:textId="7AC32D47" w:rsidR="00DF7F78" w:rsidRPr="00ED5F5E" w:rsidRDefault="00DF7F78" w:rsidP="009E341C">
            <w:pPr>
              <w:ind w:right="409"/>
              <w:jc w:val="right"/>
              <w:rPr>
                <w:rFonts w:ascii="Calibri" w:hAnsi="Calibri" w:cs="Calibri"/>
                <w:color w:val="000000"/>
                <w:sz w:val="20"/>
                <w:szCs w:val="20"/>
                <w:lang w:eastAsia="cs-CZ"/>
              </w:rPr>
            </w:pPr>
            <w:r w:rsidRPr="00ED5F5E">
              <w:rPr>
                <w:rFonts w:ascii="Calibri" w:hAnsi="Calibri" w:cs="Calibri"/>
                <w:sz w:val="20"/>
                <w:szCs w:val="20"/>
                <w:lang w:eastAsia="cs-CZ"/>
              </w:rPr>
              <w:t>3 379 94</w:t>
            </w:r>
            <w:r w:rsidR="0064097D" w:rsidRPr="00ED5F5E">
              <w:rPr>
                <w:rFonts w:ascii="Calibri" w:hAnsi="Calibri" w:cs="Calibri"/>
                <w:sz w:val="20"/>
                <w:szCs w:val="20"/>
                <w:lang w:eastAsia="cs-CZ"/>
              </w:rPr>
              <w:t>6</w:t>
            </w:r>
          </w:p>
        </w:tc>
        <w:tc>
          <w:tcPr>
            <w:tcW w:w="1474" w:type="dxa"/>
            <w:tcBorders>
              <w:top w:val="single" w:sz="4" w:space="0" w:color="auto"/>
              <w:left w:val="single" w:sz="4" w:space="0" w:color="auto"/>
              <w:bottom w:val="single" w:sz="4" w:space="0" w:color="auto"/>
              <w:right w:val="single" w:sz="4" w:space="0" w:color="auto"/>
            </w:tcBorders>
            <w:shd w:val="clear" w:color="auto" w:fill="F2C6C9"/>
            <w:vAlign w:val="center"/>
            <w:hideMark/>
          </w:tcPr>
          <w:p w14:paraId="51ED1956" w14:textId="01F3CBD6" w:rsidR="00DF7F78" w:rsidRPr="00ED5F5E" w:rsidRDefault="00DF7F78" w:rsidP="009E341C">
            <w:pPr>
              <w:ind w:right="435"/>
              <w:jc w:val="right"/>
              <w:rPr>
                <w:rFonts w:ascii="Calibri" w:hAnsi="Calibri" w:cs="Calibri"/>
                <w:b/>
                <w:color w:val="000000"/>
                <w:sz w:val="20"/>
                <w:szCs w:val="20"/>
                <w:lang w:eastAsia="cs-CZ"/>
              </w:rPr>
            </w:pPr>
            <w:r w:rsidRPr="00ED5F5E">
              <w:rPr>
                <w:rFonts w:ascii="Calibri" w:hAnsi="Calibri" w:cs="Calibri"/>
                <w:b/>
                <w:sz w:val="20"/>
                <w:szCs w:val="20"/>
                <w:lang w:eastAsia="cs-CZ"/>
              </w:rPr>
              <w:t>1</w:t>
            </w:r>
            <w:r w:rsidR="0064097D" w:rsidRPr="00ED5F5E">
              <w:rPr>
                <w:rFonts w:ascii="Calibri" w:hAnsi="Calibri" w:cs="Calibri"/>
                <w:b/>
                <w:sz w:val="20"/>
                <w:szCs w:val="20"/>
                <w:lang w:eastAsia="cs-CZ"/>
              </w:rPr>
              <w:t>4</w:t>
            </w:r>
          </w:p>
        </w:tc>
        <w:tc>
          <w:tcPr>
            <w:tcW w:w="927" w:type="dxa"/>
            <w:tcBorders>
              <w:top w:val="single" w:sz="4" w:space="0" w:color="auto"/>
              <w:left w:val="single" w:sz="4" w:space="0" w:color="auto"/>
              <w:bottom w:val="single" w:sz="4" w:space="0" w:color="auto"/>
              <w:right w:val="single" w:sz="4" w:space="0" w:color="auto"/>
            </w:tcBorders>
            <w:vAlign w:val="center"/>
            <w:hideMark/>
          </w:tcPr>
          <w:p w14:paraId="0FF1E471" w14:textId="77777777" w:rsidR="00DF7F78" w:rsidRPr="00ED5F5E" w:rsidRDefault="00DF7F78" w:rsidP="009E341C">
            <w:pPr>
              <w:ind w:right="113"/>
              <w:jc w:val="right"/>
              <w:rPr>
                <w:rFonts w:ascii="Calibri" w:hAnsi="Calibri" w:cs="Calibri"/>
                <w:color w:val="000000"/>
                <w:sz w:val="20"/>
                <w:szCs w:val="20"/>
                <w:lang w:eastAsia="cs-CZ"/>
              </w:rPr>
            </w:pPr>
            <w:r w:rsidRPr="00ED5F5E">
              <w:rPr>
                <w:rFonts w:ascii="Calibri" w:hAnsi="Calibri" w:cs="Calibri"/>
                <w:sz w:val="20"/>
                <w:szCs w:val="20"/>
                <w:lang w:eastAsia="cs-CZ"/>
              </w:rPr>
              <w:t>3</w:t>
            </w:r>
          </w:p>
        </w:tc>
      </w:tr>
      <w:tr w:rsidR="009E341C" w:rsidRPr="00ED5F5E" w14:paraId="20F01168" w14:textId="77777777" w:rsidTr="009E341C">
        <w:trPr>
          <w:trHeight w:val="255"/>
        </w:trPr>
        <w:tc>
          <w:tcPr>
            <w:tcW w:w="1956" w:type="dxa"/>
            <w:tcBorders>
              <w:top w:val="single" w:sz="4" w:space="0" w:color="auto"/>
              <w:left w:val="single" w:sz="4" w:space="0" w:color="auto"/>
              <w:bottom w:val="single" w:sz="4" w:space="0" w:color="auto"/>
              <w:right w:val="single" w:sz="4" w:space="0" w:color="auto"/>
            </w:tcBorders>
            <w:hideMark/>
          </w:tcPr>
          <w:p w14:paraId="5D5E7FB0" w14:textId="5DAF1E39" w:rsidR="00DF7F78" w:rsidRPr="00ED5F5E" w:rsidRDefault="00DF7F78">
            <w:pPr>
              <w:rPr>
                <w:rFonts w:ascii="Calibri" w:hAnsi="Calibri" w:cs="Calibri"/>
                <w:color w:val="000000"/>
                <w:sz w:val="20"/>
                <w:szCs w:val="20"/>
                <w:lang w:eastAsia="cs-CZ"/>
              </w:rPr>
            </w:pPr>
            <w:r w:rsidRPr="00ED5F5E">
              <w:rPr>
                <w:rFonts w:ascii="Calibri" w:hAnsi="Calibri" w:cs="Calibri"/>
                <w:color w:val="000000"/>
                <w:sz w:val="20"/>
                <w:szCs w:val="20"/>
                <w:lang w:eastAsia="cs-CZ"/>
              </w:rPr>
              <w:t>Hlavní m</w:t>
            </w:r>
            <w:r w:rsidR="004D1C6F" w:rsidRPr="00ED5F5E">
              <w:rPr>
                <w:rFonts w:ascii="Calibri" w:hAnsi="Calibri" w:cs="Calibri"/>
                <w:color w:val="000000"/>
                <w:sz w:val="20"/>
                <w:szCs w:val="20"/>
                <w:lang w:eastAsia="cs-CZ"/>
              </w:rPr>
              <w:t>ěsto</w:t>
            </w:r>
            <w:r w:rsidRPr="00ED5F5E">
              <w:rPr>
                <w:rFonts w:ascii="Calibri" w:hAnsi="Calibri" w:cs="Calibri"/>
                <w:color w:val="000000"/>
                <w:sz w:val="20"/>
                <w:szCs w:val="20"/>
                <w:lang w:eastAsia="cs-CZ"/>
              </w:rPr>
              <w:t xml:space="preserve"> Praha</w:t>
            </w:r>
          </w:p>
        </w:tc>
        <w:tc>
          <w:tcPr>
            <w:tcW w:w="2494" w:type="dxa"/>
            <w:tcBorders>
              <w:top w:val="single" w:sz="4" w:space="0" w:color="auto"/>
              <w:left w:val="single" w:sz="4" w:space="0" w:color="auto"/>
              <w:bottom w:val="single" w:sz="4" w:space="0" w:color="auto"/>
              <w:right w:val="single" w:sz="4" w:space="0" w:color="auto"/>
            </w:tcBorders>
            <w:vAlign w:val="center"/>
            <w:hideMark/>
          </w:tcPr>
          <w:p w14:paraId="0D556240" w14:textId="77777777" w:rsidR="00DF7F78" w:rsidRPr="00ED5F5E" w:rsidRDefault="00DF7F78" w:rsidP="009E341C">
            <w:pPr>
              <w:ind w:right="409"/>
              <w:jc w:val="right"/>
              <w:rPr>
                <w:rFonts w:ascii="Calibri" w:hAnsi="Calibri" w:cs="Calibri"/>
                <w:color w:val="000000"/>
                <w:sz w:val="20"/>
                <w:szCs w:val="20"/>
                <w:lang w:eastAsia="cs-CZ"/>
              </w:rPr>
            </w:pPr>
            <w:r w:rsidRPr="00ED5F5E">
              <w:rPr>
                <w:rFonts w:ascii="Calibri" w:hAnsi="Calibri" w:cs="Calibri"/>
                <w:sz w:val="20"/>
                <w:szCs w:val="20"/>
                <w:lang w:eastAsia="cs-CZ"/>
              </w:rPr>
              <w:t xml:space="preserve">14 863 000 </w:t>
            </w:r>
          </w:p>
        </w:tc>
        <w:tc>
          <w:tcPr>
            <w:tcW w:w="2438" w:type="dxa"/>
            <w:tcBorders>
              <w:top w:val="single" w:sz="4" w:space="0" w:color="auto"/>
              <w:left w:val="single" w:sz="4" w:space="0" w:color="auto"/>
              <w:bottom w:val="single" w:sz="4" w:space="0" w:color="auto"/>
              <w:right w:val="single" w:sz="4" w:space="0" w:color="auto"/>
            </w:tcBorders>
            <w:vAlign w:val="center"/>
            <w:hideMark/>
          </w:tcPr>
          <w:p w14:paraId="1FA6E687" w14:textId="68E4878B" w:rsidR="00DF7F78" w:rsidRPr="00ED5F5E" w:rsidRDefault="00DF7F78" w:rsidP="009E341C">
            <w:pPr>
              <w:ind w:right="409"/>
              <w:jc w:val="right"/>
              <w:rPr>
                <w:rFonts w:ascii="Calibri" w:hAnsi="Calibri" w:cs="Calibri"/>
                <w:color w:val="000000"/>
                <w:sz w:val="20"/>
                <w:szCs w:val="20"/>
                <w:lang w:eastAsia="cs-CZ"/>
              </w:rPr>
            </w:pPr>
            <w:r w:rsidRPr="00ED5F5E">
              <w:rPr>
                <w:rFonts w:ascii="Calibri" w:hAnsi="Calibri" w:cs="Calibri"/>
                <w:color w:val="000000"/>
                <w:sz w:val="20"/>
                <w:szCs w:val="20"/>
                <w:lang w:eastAsia="cs-CZ"/>
              </w:rPr>
              <w:t>0</w:t>
            </w:r>
          </w:p>
        </w:tc>
        <w:tc>
          <w:tcPr>
            <w:tcW w:w="1474" w:type="dxa"/>
            <w:tcBorders>
              <w:top w:val="single" w:sz="4" w:space="0" w:color="auto"/>
              <w:left w:val="single" w:sz="4" w:space="0" w:color="auto"/>
              <w:bottom w:val="single" w:sz="4" w:space="0" w:color="auto"/>
              <w:right w:val="single" w:sz="4" w:space="0" w:color="auto"/>
            </w:tcBorders>
            <w:shd w:val="clear" w:color="auto" w:fill="F2C6C9"/>
            <w:vAlign w:val="center"/>
            <w:hideMark/>
          </w:tcPr>
          <w:p w14:paraId="60E68223" w14:textId="7FC4B104" w:rsidR="00DF7F78" w:rsidRPr="00ED5F5E" w:rsidRDefault="00DF7F78" w:rsidP="009E341C">
            <w:pPr>
              <w:ind w:right="435"/>
              <w:jc w:val="right"/>
              <w:rPr>
                <w:rFonts w:ascii="Calibri" w:hAnsi="Calibri" w:cs="Calibri"/>
                <w:b/>
                <w:color w:val="000000"/>
                <w:sz w:val="20"/>
                <w:szCs w:val="20"/>
                <w:lang w:eastAsia="cs-CZ"/>
              </w:rPr>
            </w:pPr>
            <w:r w:rsidRPr="00ED5F5E">
              <w:rPr>
                <w:rFonts w:ascii="Calibri" w:hAnsi="Calibri" w:cs="Calibri"/>
                <w:b/>
                <w:color w:val="000000"/>
                <w:sz w:val="20"/>
                <w:szCs w:val="20"/>
                <w:lang w:eastAsia="cs-CZ"/>
              </w:rPr>
              <w:t>0</w:t>
            </w:r>
          </w:p>
        </w:tc>
        <w:tc>
          <w:tcPr>
            <w:tcW w:w="927" w:type="dxa"/>
            <w:tcBorders>
              <w:top w:val="single" w:sz="4" w:space="0" w:color="auto"/>
              <w:left w:val="single" w:sz="4" w:space="0" w:color="auto"/>
              <w:bottom w:val="single" w:sz="4" w:space="0" w:color="auto"/>
              <w:right w:val="single" w:sz="4" w:space="0" w:color="auto"/>
            </w:tcBorders>
            <w:vAlign w:val="center"/>
            <w:hideMark/>
          </w:tcPr>
          <w:p w14:paraId="061B624B" w14:textId="37C7E3A9" w:rsidR="00DF7F78" w:rsidRPr="00ED5F5E" w:rsidRDefault="00DF7F78" w:rsidP="009E341C">
            <w:pPr>
              <w:ind w:right="113"/>
              <w:jc w:val="right"/>
              <w:rPr>
                <w:rFonts w:ascii="Calibri" w:hAnsi="Calibri" w:cs="Calibri"/>
                <w:color w:val="000000"/>
                <w:sz w:val="20"/>
                <w:szCs w:val="20"/>
                <w:lang w:eastAsia="cs-CZ"/>
              </w:rPr>
            </w:pPr>
            <w:r w:rsidRPr="00ED5F5E">
              <w:rPr>
                <w:rFonts w:ascii="Calibri" w:hAnsi="Calibri" w:cs="Calibri"/>
                <w:color w:val="000000"/>
                <w:sz w:val="20"/>
                <w:szCs w:val="20"/>
                <w:lang w:eastAsia="cs-CZ"/>
              </w:rPr>
              <w:t>0</w:t>
            </w:r>
          </w:p>
        </w:tc>
      </w:tr>
    </w:tbl>
    <w:p w14:paraId="4CED7C56" w14:textId="31639FE1" w:rsidR="003E37DC" w:rsidRPr="00ED5F5E" w:rsidRDefault="003E37DC" w:rsidP="00ED5F5E">
      <w:pPr>
        <w:pStyle w:val="Default"/>
        <w:spacing w:before="40" w:after="120"/>
        <w:ind w:left="567" w:hanging="567"/>
        <w:jc w:val="both"/>
        <w:rPr>
          <w:b/>
          <w:sz w:val="20"/>
          <w:szCs w:val="20"/>
        </w:rPr>
      </w:pPr>
      <w:r w:rsidRPr="00ED5F5E">
        <w:rPr>
          <w:b/>
          <w:sz w:val="20"/>
          <w:szCs w:val="20"/>
        </w:rPr>
        <w:t>Zdroj:</w:t>
      </w:r>
      <w:r w:rsidRPr="00ED5F5E">
        <w:rPr>
          <w:sz w:val="20"/>
          <w:szCs w:val="20"/>
        </w:rPr>
        <w:t xml:space="preserve"> </w:t>
      </w:r>
      <w:r w:rsidR="00E3453F" w:rsidRPr="006252C2">
        <w:rPr>
          <w:sz w:val="20"/>
          <w:szCs w:val="20"/>
        </w:rPr>
        <w:t>v</w:t>
      </w:r>
      <w:r w:rsidRPr="006252C2">
        <w:rPr>
          <w:sz w:val="20"/>
          <w:szCs w:val="20"/>
        </w:rPr>
        <w:t xml:space="preserve">yhodnocení </w:t>
      </w:r>
      <w:r w:rsidRPr="00ED5F5E">
        <w:rPr>
          <w:i/>
          <w:sz w:val="20"/>
          <w:szCs w:val="20"/>
        </w:rPr>
        <w:t xml:space="preserve">Národního programu podpory cestovního ruchu v regionech </w:t>
      </w:r>
      <w:r w:rsidRPr="006252C2">
        <w:rPr>
          <w:sz w:val="20"/>
          <w:szCs w:val="20"/>
        </w:rPr>
        <w:t>z hlediska věcného odboru (</w:t>
      </w:r>
      <w:r w:rsidR="00E3453F">
        <w:rPr>
          <w:sz w:val="20"/>
          <w:szCs w:val="20"/>
        </w:rPr>
        <w:t>v</w:t>
      </w:r>
      <w:r w:rsidRPr="006252C2">
        <w:rPr>
          <w:sz w:val="20"/>
          <w:szCs w:val="20"/>
        </w:rPr>
        <w:t>ýzvy 2017</w:t>
      </w:r>
      <w:r w:rsidR="00E3453F" w:rsidRPr="006252C2">
        <w:rPr>
          <w:sz w:val="20"/>
          <w:szCs w:val="20"/>
        </w:rPr>
        <w:t>−</w:t>
      </w:r>
      <w:r w:rsidRPr="006252C2">
        <w:rPr>
          <w:sz w:val="20"/>
          <w:szCs w:val="20"/>
        </w:rPr>
        <w:t>2020).</w:t>
      </w:r>
    </w:p>
    <w:sectPr w:rsidR="003E37DC" w:rsidRPr="00ED5F5E" w:rsidSect="00D02D27">
      <w:footerReference w:type="defaul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8CACB" w14:textId="77777777" w:rsidR="000B72B3" w:rsidRDefault="000B72B3" w:rsidP="00FA586B">
      <w:pPr>
        <w:spacing w:after="0" w:line="240" w:lineRule="auto"/>
      </w:pPr>
      <w:r>
        <w:separator/>
      </w:r>
    </w:p>
    <w:p w14:paraId="4258AFD4" w14:textId="77777777" w:rsidR="000B72B3" w:rsidRDefault="000B72B3"/>
  </w:endnote>
  <w:endnote w:type="continuationSeparator" w:id="0">
    <w:p w14:paraId="3A555F9F" w14:textId="77777777" w:rsidR="000B72B3" w:rsidRDefault="000B72B3" w:rsidP="00FA586B">
      <w:pPr>
        <w:spacing w:after="0" w:line="240" w:lineRule="auto"/>
      </w:pPr>
      <w:r>
        <w:continuationSeparator/>
      </w:r>
    </w:p>
    <w:p w14:paraId="784227D5" w14:textId="77777777" w:rsidR="000B72B3" w:rsidRDefault="000B72B3"/>
  </w:endnote>
  <w:endnote w:type="continuationNotice" w:id="1">
    <w:p w14:paraId="7E6602A7" w14:textId="77777777" w:rsidR="000B72B3" w:rsidRDefault="000B72B3">
      <w:pPr>
        <w:spacing w:after="0" w:line="240" w:lineRule="auto"/>
      </w:pPr>
    </w:p>
    <w:p w14:paraId="2A80B6C2" w14:textId="77777777" w:rsidR="000B72B3" w:rsidRDefault="000B72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495414"/>
      <w:docPartObj>
        <w:docPartGallery w:val="Page Numbers (Bottom of Page)"/>
        <w:docPartUnique/>
      </w:docPartObj>
    </w:sdtPr>
    <w:sdtEndPr/>
    <w:sdtContent>
      <w:p w14:paraId="055A2C1D" w14:textId="77777777" w:rsidR="000B72B3" w:rsidRDefault="000B72B3" w:rsidP="0069391C">
        <w:pPr>
          <w:pStyle w:val="Zpat"/>
          <w:jc w:val="center"/>
        </w:pPr>
        <w:r w:rsidRPr="00EF2E1E">
          <w:rPr>
            <w:sz w:val="24"/>
            <w:szCs w:val="24"/>
          </w:rPr>
          <w:fldChar w:fldCharType="begin"/>
        </w:r>
        <w:r w:rsidRPr="00EF2E1E">
          <w:rPr>
            <w:sz w:val="24"/>
            <w:szCs w:val="24"/>
          </w:rPr>
          <w:instrText>PAGE   \* MERGEFORMAT</w:instrText>
        </w:r>
        <w:r w:rsidRPr="00EF2E1E">
          <w:rPr>
            <w:sz w:val="24"/>
            <w:szCs w:val="24"/>
          </w:rPr>
          <w:fldChar w:fldCharType="separate"/>
        </w:r>
        <w:r>
          <w:rPr>
            <w:noProof/>
            <w:sz w:val="24"/>
            <w:szCs w:val="24"/>
          </w:rPr>
          <w:t>31</w:t>
        </w:r>
        <w:r w:rsidRPr="00EF2E1E">
          <w:rPr>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26E0F" w14:textId="77777777" w:rsidR="000B72B3" w:rsidRDefault="000B72B3" w:rsidP="0069391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F5160" w14:textId="77777777" w:rsidR="000B72B3" w:rsidRDefault="000B72B3" w:rsidP="00B15E26">
      <w:pPr>
        <w:spacing w:after="0" w:line="240" w:lineRule="auto"/>
      </w:pPr>
      <w:r>
        <w:separator/>
      </w:r>
    </w:p>
  </w:footnote>
  <w:footnote w:type="continuationSeparator" w:id="0">
    <w:p w14:paraId="56C93469" w14:textId="77777777" w:rsidR="000B72B3" w:rsidRDefault="000B72B3" w:rsidP="00FA586B">
      <w:pPr>
        <w:spacing w:after="0" w:line="240" w:lineRule="auto"/>
      </w:pPr>
      <w:r>
        <w:continuationSeparator/>
      </w:r>
    </w:p>
  </w:footnote>
  <w:footnote w:type="continuationNotice" w:id="1">
    <w:p w14:paraId="2FB15778" w14:textId="77777777" w:rsidR="000B72B3" w:rsidRPr="00B15E26" w:rsidRDefault="000B72B3" w:rsidP="00B15E26">
      <w:pPr>
        <w:pStyle w:val="Zpat"/>
      </w:pPr>
    </w:p>
  </w:footnote>
  <w:footnote w:id="2">
    <w:p w14:paraId="2F8FF6B8" w14:textId="4BFEAF1A" w:rsidR="000B72B3" w:rsidRPr="00EF4B90" w:rsidRDefault="000B72B3" w:rsidP="002C08BB">
      <w:pPr>
        <w:pStyle w:val="Textpoznpodarou"/>
        <w:rPr>
          <w:rFonts w:ascii="Calibri" w:hAnsi="Calibri" w:cs="Calibri"/>
        </w:rPr>
      </w:pPr>
      <w:r w:rsidRPr="00EF4B90">
        <w:rPr>
          <w:rStyle w:val="Znakapoznpodarou"/>
          <w:rFonts w:ascii="Calibri" w:hAnsi="Calibri" w:cs="Calibri"/>
        </w:rPr>
        <w:footnoteRef/>
      </w:r>
      <w:r w:rsidRPr="00EF4B90">
        <w:rPr>
          <w:rFonts w:ascii="Calibri" w:hAnsi="Calibri" w:cs="Calibri"/>
        </w:rPr>
        <w:t xml:space="preserve"> </w:t>
      </w:r>
      <w:r w:rsidRPr="00EF4B90">
        <w:rPr>
          <w:rFonts w:ascii="Calibri" w:hAnsi="Calibri" w:cs="Calibri"/>
        </w:rPr>
        <w:tab/>
      </w:r>
      <w:r w:rsidRPr="006252C2">
        <w:rPr>
          <w:rFonts w:ascii="Calibri" w:hAnsi="Calibri" w:cs="Calibri"/>
          <w:i/>
        </w:rPr>
        <w:t>Národní program podpory cestovního ruchu v regionech</w:t>
      </w:r>
      <w:r w:rsidRPr="00EF4B90">
        <w:rPr>
          <w:rFonts w:ascii="Calibri" w:hAnsi="Calibri" w:cs="Calibri"/>
        </w:rPr>
        <w:t>, stav k 21. 7. 2023.</w:t>
      </w:r>
    </w:p>
  </w:footnote>
  <w:footnote w:id="3">
    <w:p w14:paraId="40F8BEFF" w14:textId="0CABD618" w:rsidR="000B72B3" w:rsidRPr="00EF4B90" w:rsidRDefault="000B72B3" w:rsidP="002C08BB">
      <w:pPr>
        <w:pStyle w:val="Textpoznpodarou"/>
        <w:rPr>
          <w:rFonts w:ascii="Calibri" w:hAnsi="Calibri" w:cs="Calibri"/>
        </w:rPr>
      </w:pPr>
      <w:r w:rsidRPr="00EF4B90">
        <w:rPr>
          <w:rStyle w:val="Znakapoznpodarou"/>
          <w:rFonts w:ascii="Calibri" w:hAnsi="Calibri" w:cs="Calibri"/>
        </w:rPr>
        <w:footnoteRef/>
      </w:r>
      <w:r w:rsidRPr="00EF4B90">
        <w:rPr>
          <w:rFonts w:ascii="Calibri" w:hAnsi="Calibri" w:cs="Calibri"/>
        </w:rPr>
        <w:t xml:space="preserve"> </w:t>
      </w:r>
      <w:r w:rsidRPr="00EF4B90">
        <w:rPr>
          <w:rFonts w:ascii="Calibri" w:hAnsi="Calibri" w:cs="Calibri"/>
        </w:rPr>
        <w:tab/>
        <w:t xml:space="preserve">Podpůrné programy COVID (program </w:t>
      </w:r>
      <w:r w:rsidRPr="006252C2">
        <w:rPr>
          <w:rFonts w:ascii="Calibri" w:hAnsi="Calibri" w:cs="Calibri"/>
          <w:i/>
        </w:rPr>
        <w:t>COVID – Podpora cestovního ruchu</w:t>
      </w:r>
      <w:r w:rsidRPr="00EF4B90">
        <w:rPr>
          <w:rFonts w:ascii="Calibri" w:hAnsi="Calibri" w:cs="Calibri"/>
        </w:rPr>
        <w:t xml:space="preserve">, jehož součástí byly tituly </w:t>
      </w:r>
      <w:r>
        <w:rPr>
          <w:rFonts w:ascii="Calibri" w:hAnsi="Calibri" w:cs="Calibri"/>
        </w:rPr>
        <w:br/>
      </w:r>
      <w:r w:rsidRPr="006252C2">
        <w:rPr>
          <w:rFonts w:ascii="Calibri" w:hAnsi="Calibri" w:cs="Calibri"/>
          <w:i/>
        </w:rPr>
        <w:t>COVID − Cestovní kanceláře</w:t>
      </w:r>
      <w:r w:rsidRPr="00EF4B90">
        <w:rPr>
          <w:rFonts w:ascii="Calibri" w:hAnsi="Calibri" w:cs="Calibri"/>
        </w:rPr>
        <w:t xml:space="preserve">, </w:t>
      </w:r>
      <w:r w:rsidRPr="006252C2">
        <w:rPr>
          <w:rFonts w:ascii="Calibri" w:hAnsi="Calibri" w:cs="Calibri"/>
          <w:i/>
        </w:rPr>
        <w:t>COVID − Cestovní agentury</w:t>
      </w:r>
      <w:r w:rsidRPr="00EF4B90">
        <w:rPr>
          <w:rFonts w:ascii="Calibri" w:hAnsi="Calibri" w:cs="Calibri"/>
        </w:rPr>
        <w:t xml:space="preserve">, </w:t>
      </w:r>
      <w:r w:rsidRPr="006252C2">
        <w:rPr>
          <w:rFonts w:ascii="Calibri" w:hAnsi="Calibri" w:cs="Calibri"/>
          <w:i/>
        </w:rPr>
        <w:t>COVID − Průvodci v cestovním ruchu</w:t>
      </w:r>
      <w:r w:rsidRPr="00EF4B90">
        <w:rPr>
          <w:rFonts w:ascii="Calibri" w:hAnsi="Calibri" w:cs="Calibri"/>
        </w:rPr>
        <w:t xml:space="preserve"> a </w:t>
      </w:r>
      <w:r w:rsidRPr="006252C2">
        <w:rPr>
          <w:rFonts w:ascii="Calibri" w:hAnsi="Calibri" w:cs="Calibri"/>
          <w:i/>
        </w:rPr>
        <w:t>COVID − Cestovní kanceláře II</w:t>
      </w:r>
      <w:r w:rsidRPr="00EF4B90">
        <w:rPr>
          <w:rFonts w:ascii="Calibri" w:hAnsi="Calibri" w:cs="Calibri"/>
        </w:rPr>
        <w:t xml:space="preserve">, programy </w:t>
      </w:r>
      <w:r w:rsidRPr="006252C2">
        <w:rPr>
          <w:rFonts w:ascii="Calibri" w:hAnsi="Calibri" w:cs="Calibri"/>
          <w:i/>
        </w:rPr>
        <w:t>COVID – Lázně</w:t>
      </w:r>
      <w:r w:rsidRPr="00EF4B90">
        <w:rPr>
          <w:rFonts w:ascii="Calibri" w:hAnsi="Calibri" w:cs="Calibri"/>
        </w:rPr>
        <w:t xml:space="preserve"> a </w:t>
      </w:r>
      <w:r w:rsidRPr="006252C2">
        <w:rPr>
          <w:rFonts w:ascii="Calibri" w:hAnsi="Calibri" w:cs="Calibri"/>
          <w:i/>
        </w:rPr>
        <w:t>COVID – Lázně 2021</w:t>
      </w:r>
      <w:r w:rsidRPr="00EF4B90">
        <w:rPr>
          <w:rFonts w:ascii="Calibri" w:hAnsi="Calibri" w:cs="Calibri"/>
        </w:rPr>
        <w:t xml:space="preserve"> a </w:t>
      </w:r>
      <w:proofErr w:type="spellStart"/>
      <w:r w:rsidRPr="00EF4B90">
        <w:rPr>
          <w:rFonts w:ascii="Calibri" w:hAnsi="Calibri" w:cs="Calibri"/>
        </w:rPr>
        <w:t>subtitul</w:t>
      </w:r>
      <w:proofErr w:type="spellEnd"/>
      <w:r w:rsidRPr="00EF4B90">
        <w:rPr>
          <w:rFonts w:ascii="Calibri" w:hAnsi="Calibri" w:cs="Calibri"/>
        </w:rPr>
        <w:t xml:space="preserve"> </w:t>
      </w:r>
      <w:r w:rsidRPr="006252C2">
        <w:rPr>
          <w:rFonts w:ascii="Calibri" w:hAnsi="Calibri" w:cs="Calibri"/>
          <w:i/>
        </w:rPr>
        <w:t>Záruky cestovním kancelářím</w:t>
      </w:r>
      <w:r w:rsidRPr="00EF4B90">
        <w:rPr>
          <w:rFonts w:ascii="Calibri" w:hAnsi="Calibri" w:cs="Calibri"/>
        </w:rPr>
        <w:t>), stav k 21. 7. 2023.</w:t>
      </w:r>
    </w:p>
  </w:footnote>
  <w:footnote w:id="4">
    <w:p w14:paraId="52D72B48" w14:textId="654DF576" w:rsidR="000B72B3" w:rsidRDefault="000B72B3">
      <w:pPr>
        <w:pStyle w:val="Textpoznpodarou"/>
      </w:pPr>
      <w:r>
        <w:rPr>
          <w:rStyle w:val="Znakapoznpodarou"/>
        </w:rPr>
        <w:footnoteRef/>
      </w:r>
      <w:r>
        <w:t xml:space="preserve"> </w:t>
      </w:r>
      <w:r>
        <w:tab/>
        <w:t>Z důvodu nedostatečných informací pro vyhodnocení hospodárnosti u těchto dvou projektů.</w:t>
      </w:r>
    </w:p>
  </w:footnote>
  <w:footnote w:id="5">
    <w:p w14:paraId="42F3F5E0" w14:textId="0B0BC058" w:rsidR="000B72B3" w:rsidRDefault="000B72B3">
      <w:pPr>
        <w:pStyle w:val="Textpoznpodarou"/>
      </w:pPr>
      <w:r>
        <w:rPr>
          <w:rStyle w:val="Znakapoznpodarou"/>
        </w:rPr>
        <w:footnoteRef/>
      </w:r>
      <w:r>
        <w:t xml:space="preserve"> </w:t>
      </w:r>
      <w:r>
        <w:tab/>
        <w:t>Proplacení nezpůsobilých výdajů.</w:t>
      </w:r>
    </w:p>
  </w:footnote>
  <w:footnote w:id="6">
    <w:p w14:paraId="6F6B507F" w14:textId="17799945" w:rsidR="000B72B3" w:rsidRDefault="000B72B3" w:rsidP="002C08BB">
      <w:pPr>
        <w:pStyle w:val="Textpoznpodarou"/>
      </w:pPr>
      <w:r>
        <w:rPr>
          <w:rStyle w:val="Znakapoznpodarou"/>
        </w:rPr>
        <w:footnoteRef/>
      </w:r>
      <w:r>
        <w:t xml:space="preserve"> </w:t>
      </w:r>
      <w:r>
        <w:tab/>
        <w:t>Dle ustanovení § 14 odst. 1 zákona České národní rady č. 2/1969 Sb., o zřízení ministerstev a jiných ústředních orgánů státní správy České republiky.</w:t>
      </w:r>
    </w:p>
  </w:footnote>
  <w:footnote w:id="7">
    <w:p w14:paraId="1D4DCBBB" w14:textId="163844ED" w:rsidR="000B72B3" w:rsidRDefault="000B72B3">
      <w:pPr>
        <w:pStyle w:val="Textpoznpodarou"/>
      </w:pPr>
      <w:r>
        <w:rPr>
          <w:rStyle w:val="Znakapoznpodarou"/>
        </w:rPr>
        <w:footnoteRef/>
      </w:r>
      <w:r>
        <w:t xml:space="preserve"> </w:t>
      </w:r>
      <w:r>
        <w:tab/>
        <w:t>Hrubý domácí produkt.</w:t>
      </w:r>
    </w:p>
  </w:footnote>
  <w:footnote w:id="8">
    <w:p w14:paraId="04AD6278" w14:textId="7649CAA0" w:rsidR="000B72B3" w:rsidRDefault="000B72B3" w:rsidP="002C08BB">
      <w:pPr>
        <w:pStyle w:val="Textpoznpodarou"/>
      </w:pPr>
      <w:r>
        <w:rPr>
          <w:rStyle w:val="Znakapoznpodarou"/>
        </w:rPr>
        <w:footnoteRef/>
      </w:r>
      <w:r>
        <w:t xml:space="preserve"> </w:t>
      </w:r>
      <w:r>
        <w:tab/>
        <w:t>Míra</w:t>
      </w:r>
      <w:r w:rsidRPr="00A27515">
        <w:t xml:space="preserve"> plnění globálních cílů Koncepce </w:t>
      </w:r>
      <w:r>
        <w:t>je</w:t>
      </w:r>
      <w:r w:rsidRPr="00A27515">
        <w:t xml:space="preserve"> sledována prostřednictvím </w:t>
      </w:r>
      <w:r>
        <w:t>kontextových</w:t>
      </w:r>
      <w:r w:rsidRPr="00A27515">
        <w:t xml:space="preserve"> indikátorů</w:t>
      </w:r>
      <w:r>
        <w:t>.</w:t>
      </w:r>
    </w:p>
  </w:footnote>
  <w:footnote w:id="9">
    <w:p w14:paraId="0AA75835" w14:textId="2EBFA859" w:rsidR="000B72B3" w:rsidRDefault="000B72B3" w:rsidP="002C08BB">
      <w:pPr>
        <w:pStyle w:val="Textpoznpodarou"/>
      </w:pPr>
      <w:r>
        <w:rPr>
          <w:rStyle w:val="Znakapoznpodarou"/>
        </w:rPr>
        <w:footnoteRef/>
      </w:r>
      <w:r>
        <w:t xml:space="preserve"> </w:t>
      </w:r>
      <w:r>
        <w:tab/>
      </w:r>
      <w:r w:rsidRPr="006252C2">
        <w:rPr>
          <w:i/>
        </w:rPr>
        <w:t>Podpora nadregionálních aktivit</w:t>
      </w:r>
      <w:r>
        <w:t xml:space="preserve">, </w:t>
      </w:r>
      <w:r w:rsidRPr="006252C2">
        <w:rPr>
          <w:i/>
        </w:rPr>
        <w:t>Marketingové aktivity na oblastní úrovni</w:t>
      </w:r>
      <w:r>
        <w:t xml:space="preserve">, </w:t>
      </w:r>
      <w:r w:rsidRPr="006252C2">
        <w:rPr>
          <w:i/>
        </w:rPr>
        <w:t>Rozvoj veřejné infrastruktury cestovního ruchu</w:t>
      </w:r>
      <w:r>
        <w:t>.</w:t>
      </w:r>
    </w:p>
  </w:footnote>
  <w:footnote w:id="10">
    <w:p w14:paraId="75C599F5" w14:textId="77777777" w:rsidR="000B72B3" w:rsidRDefault="000B72B3" w:rsidP="002C08BB">
      <w:pPr>
        <w:pStyle w:val="Textpoznpodarou"/>
      </w:pPr>
      <w:r>
        <w:rPr>
          <w:rStyle w:val="Znakapoznpodarou"/>
        </w:rPr>
        <w:footnoteRef/>
      </w:r>
      <w:r>
        <w:t xml:space="preserve"> </w:t>
      </w:r>
      <w:r>
        <w:tab/>
        <w:t>Dle ustanovení § 2 písm. o) zákona č. 320/2001 Sb., o finanční kontrole ve veřejné správě a o změně některých zákonů (zákon o finanční kontrole).</w:t>
      </w:r>
    </w:p>
  </w:footnote>
  <w:footnote w:id="11">
    <w:p w14:paraId="609F4D60" w14:textId="67A8FEE5" w:rsidR="000B72B3" w:rsidRPr="00427D41" w:rsidRDefault="000B72B3" w:rsidP="002C08BB">
      <w:pPr>
        <w:pStyle w:val="Textpoznpodarou"/>
      </w:pPr>
      <w:r w:rsidRPr="00427D41">
        <w:rPr>
          <w:rStyle w:val="Znakapoznpodarou"/>
          <w:rFonts w:ascii="Calibri" w:hAnsi="Calibri" w:cs="Calibri"/>
          <w:color w:val="000000" w:themeColor="text1"/>
        </w:rPr>
        <w:footnoteRef/>
      </w:r>
      <w:r w:rsidRPr="00427D41">
        <w:t xml:space="preserve"> </w:t>
      </w:r>
      <w:r>
        <w:tab/>
      </w:r>
      <w:r w:rsidRPr="00427D41">
        <w:t>Dle ustanovení § 2 písm. m) zákona č. 320/200</w:t>
      </w:r>
      <w:r w:rsidR="004442DC">
        <w:t>1</w:t>
      </w:r>
      <w:r w:rsidRPr="00427D41">
        <w:t xml:space="preserve"> Sb., o finanční kontrole ve veřejné správě a o změně některých zákonů (zákon o finanční kontrole).</w:t>
      </w:r>
    </w:p>
  </w:footnote>
  <w:footnote w:id="12">
    <w:p w14:paraId="34D85809" w14:textId="6C9C8B7E" w:rsidR="000B72B3" w:rsidRDefault="000B72B3" w:rsidP="002C08BB">
      <w:pPr>
        <w:pStyle w:val="Textpoznpodarou"/>
      </w:pPr>
      <w:r>
        <w:rPr>
          <w:rStyle w:val="Znakapoznpodarou"/>
        </w:rPr>
        <w:footnoteRef/>
      </w:r>
      <w:r>
        <w:t xml:space="preserve"> </w:t>
      </w:r>
      <w:r>
        <w:tab/>
        <w:t>MMR nastavilo pro NPPCRR pouze parametry, proto je v dalším textu tohoto kontrolního závěru používán pouze tento pojem.</w:t>
      </w:r>
    </w:p>
  </w:footnote>
  <w:footnote w:id="13">
    <w:p w14:paraId="7B0E1E80" w14:textId="4B2D4E63" w:rsidR="000B72B3" w:rsidRDefault="000B72B3" w:rsidP="002C08BB">
      <w:pPr>
        <w:pStyle w:val="Textpoznpodarou"/>
      </w:pPr>
      <w:r>
        <w:rPr>
          <w:rStyle w:val="Znakapoznpodarou"/>
        </w:rPr>
        <w:footnoteRef/>
      </w:r>
      <w:r>
        <w:t xml:space="preserve"> </w:t>
      </w:r>
      <w:r>
        <w:tab/>
      </w:r>
      <w:r>
        <w:rPr>
          <w:lang w:bidi="cs-CZ"/>
        </w:rPr>
        <w:t xml:space="preserve">Schválena </w:t>
      </w:r>
      <w:r w:rsidRPr="00BE15A2">
        <w:rPr>
          <w:rFonts w:cstheme="minorHAnsi"/>
        </w:rPr>
        <w:t>usnesení</w:t>
      </w:r>
      <w:r>
        <w:rPr>
          <w:rFonts w:cstheme="minorHAnsi"/>
        </w:rPr>
        <w:t>m</w:t>
      </w:r>
      <w:r w:rsidRPr="00BE15A2">
        <w:rPr>
          <w:rFonts w:cstheme="minorHAnsi"/>
        </w:rPr>
        <w:t xml:space="preserve"> vlády České republiky ze dne 27. března 2013 č. 220, </w:t>
      </w:r>
      <w:r w:rsidRPr="006252C2">
        <w:rPr>
          <w:rFonts w:cstheme="minorHAnsi"/>
          <w:i/>
        </w:rPr>
        <w:t>o Koncepci státní politiky cestovního ruchu v České republice na období 2014–2020</w:t>
      </w:r>
      <w:r>
        <w:rPr>
          <w:rFonts w:cstheme="minorHAnsi"/>
        </w:rPr>
        <w:t>.</w:t>
      </w:r>
    </w:p>
  </w:footnote>
  <w:footnote w:id="14">
    <w:p w14:paraId="04428D00" w14:textId="557A6582" w:rsidR="000B72B3" w:rsidRDefault="000B72B3">
      <w:pPr>
        <w:pStyle w:val="Textpoznpodarou"/>
      </w:pPr>
      <w:r>
        <w:rPr>
          <w:rStyle w:val="Znakapoznpodarou"/>
        </w:rPr>
        <w:footnoteRef/>
      </w:r>
      <w:r>
        <w:t xml:space="preserve"> </w:t>
      </w:r>
      <w:r>
        <w:tab/>
        <w:t xml:space="preserve">Zákon č. 218/2000 Sb., </w:t>
      </w:r>
      <w:r w:rsidRPr="00511336">
        <w:t>o rozpočtových pravidlech a o změně některých souvisejících zákonů (rozpočtová pravidla).</w:t>
      </w:r>
    </w:p>
  </w:footnote>
  <w:footnote w:id="15">
    <w:p w14:paraId="40C83C4D" w14:textId="107C77B0" w:rsidR="000B72B3" w:rsidRPr="004326A1" w:rsidRDefault="000B72B3" w:rsidP="000A2E72">
      <w:pPr>
        <w:spacing w:after="0" w:line="240" w:lineRule="auto"/>
        <w:ind w:left="284" w:hanging="284"/>
        <w:jc w:val="both"/>
        <w:rPr>
          <w:rFonts w:cstheme="minorHAnsi"/>
          <w:sz w:val="20"/>
          <w:szCs w:val="20"/>
        </w:rPr>
      </w:pPr>
      <w:r>
        <w:rPr>
          <w:rStyle w:val="Znakapoznpodarou"/>
        </w:rPr>
        <w:footnoteRef/>
      </w:r>
      <w:r>
        <w:t xml:space="preserve"> </w:t>
      </w:r>
      <w:r>
        <w:tab/>
      </w:r>
      <w:r w:rsidRPr="004326A1">
        <w:rPr>
          <w:rFonts w:cstheme="minorHAnsi"/>
          <w:sz w:val="20"/>
          <w:szCs w:val="20"/>
        </w:rPr>
        <w:t>K</w:t>
      </w:r>
      <w:r>
        <w:rPr>
          <w:rFonts w:cstheme="minorHAnsi"/>
          <w:sz w:val="20"/>
          <w:szCs w:val="20"/>
        </w:rPr>
        <w:t>raje či obce k</w:t>
      </w:r>
      <w:r w:rsidRPr="004326A1">
        <w:rPr>
          <w:rFonts w:cstheme="minorHAnsi"/>
          <w:sz w:val="20"/>
          <w:szCs w:val="20"/>
        </w:rPr>
        <w:t> potřebnosti</w:t>
      </w:r>
      <w:r>
        <w:rPr>
          <w:rFonts w:cstheme="minorHAnsi"/>
          <w:sz w:val="20"/>
          <w:szCs w:val="20"/>
        </w:rPr>
        <w:t xml:space="preserve"> dokládaly</w:t>
      </w:r>
      <w:r w:rsidRPr="004326A1">
        <w:rPr>
          <w:rFonts w:cstheme="minorHAnsi"/>
          <w:sz w:val="20"/>
          <w:szCs w:val="20"/>
        </w:rPr>
        <w:t xml:space="preserve">: </w:t>
      </w:r>
      <w:r>
        <w:rPr>
          <w:rFonts w:cstheme="minorHAnsi"/>
          <w:sz w:val="20"/>
          <w:szCs w:val="20"/>
        </w:rPr>
        <w:t>s</w:t>
      </w:r>
      <w:r w:rsidRPr="004326A1">
        <w:rPr>
          <w:rFonts w:cstheme="minorHAnsi"/>
          <w:sz w:val="20"/>
          <w:szCs w:val="20"/>
        </w:rPr>
        <w:t xml:space="preserve">tanovisko kraje zpracované prostřednictvím </w:t>
      </w:r>
      <w:r>
        <w:rPr>
          <w:rFonts w:cstheme="minorHAnsi"/>
          <w:sz w:val="20"/>
          <w:szCs w:val="20"/>
        </w:rPr>
        <w:t xml:space="preserve">pracovní skupiny regionální stálé konference pro cestovní ruch, </w:t>
      </w:r>
      <w:r>
        <w:rPr>
          <w:rFonts w:eastAsia="Calibri" w:cstheme="minorHAnsi"/>
          <w:sz w:val="20"/>
          <w:szCs w:val="20"/>
          <w:lang w:eastAsia="cs-CZ"/>
        </w:rPr>
        <w:t>v</w:t>
      </w:r>
      <w:r w:rsidRPr="004326A1">
        <w:rPr>
          <w:rFonts w:eastAsia="Calibri" w:cstheme="minorHAnsi"/>
          <w:sz w:val="20"/>
          <w:szCs w:val="20"/>
          <w:lang w:eastAsia="cs-CZ"/>
        </w:rPr>
        <w:t>yjádření rady / zastupitelstva obce / kraje (žadatel obec, kraj, útvar krajského úřadu mající v gesci cestovní ruch)</w:t>
      </w:r>
      <w:r>
        <w:rPr>
          <w:rFonts w:eastAsia="Calibri" w:cstheme="minorHAnsi"/>
          <w:sz w:val="20"/>
          <w:szCs w:val="20"/>
          <w:lang w:eastAsia="cs-CZ"/>
        </w:rPr>
        <w:t xml:space="preserve"> či </w:t>
      </w:r>
      <w:r>
        <w:rPr>
          <w:rFonts w:cstheme="minorHAnsi"/>
          <w:sz w:val="20"/>
          <w:szCs w:val="20"/>
        </w:rPr>
        <w:t>s</w:t>
      </w:r>
      <w:r w:rsidRPr="004326A1">
        <w:rPr>
          <w:rFonts w:cstheme="minorHAnsi"/>
          <w:sz w:val="20"/>
          <w:szCs w:val="20"/>
        </w:rPr>
        <w:t xml:space="preserve">tanovisko agentury </w:t>
      </w:r>
      <w:proofErr w:type="spellStart"/>
      <w:r w:rsidRPr="004326A1">
        <w:rPr>
          <w:rFonts w:cstheme="minorHAnsi"/>
          <w:sz w:val="20"/>
          <w:szCs w:val="20"/>
        </w:rPr>
        <w:t>CzechTourism</w:t>
      </w:r>
      <w:proofErr w:type="spellEnd"/>
      <w:r w:rsidRPr="004326A1">
        <w:rPr>
          <w:rFonts w:cstheme="minorHAnsi"/>
          <w:sz w:val="20"/>
          <w:szCs w:val="20"/>
        </w:rPr>
        <w:t xml:space="preserve"> (u </w:t>
      </w:r>
      <w:r>
        <w:rPr>
          <w:rFonts w:cstheme="minorHAnsi"/>
          <w:sz w:val="20"/>
          <w:szCs w:val="20"/>
        </w:rPr>
        <w:t>p</w:t>
      </w:r>
      <w:r w:rsidRPr="004326A1">
        <w:rPr>
          <w:rFonts w:cstheme="minorHAnsi"/>
          <w:sz w:val="20"/>
          <w:szCs w:val="20"/>
        </w:rPr>
        <w:t>odprogramu Marketing)</w:t>
      </w:r>
      <w:r>
        <w:rPr>
          <w:rFonts w:cstheme="minorHAnsi"/>
          <w:sz w:val="20"/>
          <w:szCs w:val="20"/>
        </w:rPr>
        <w:t>.</w:t>
      </w:r>
    </w:p>
  </w:footnote>
  <w:footnote w:id="16">
    <w:p w14:paraId="78F1BEBF" w14:textId="7F0C3877" w:rsidR="000B72B3" w:rsidRDefault="000B72B3">
      <w:pPr>
        <w:pStyle w:val="Textpoznpodarou"/>
      </w:pPr>
      <w:r>
        <w:rPr>
          <w:rStyle w:val="Znakapoznpodarou"/>
        </w:rPr>
        <w:footnoteRef/>
      </w:r>
      <w:r>
        <w:t xml:space="preserve"> </w:t>
      </w:r>
      <w:r>
        <w:tab/>
        <w:t>S</w:t>
      </w:r>
      <w:r w:rsidRPr="00804359">
        <w:t>potřeb</w:t>
      </w:r>
      <w:r>
        <w:t>a</w:t>
      </w:r>
      <w:r w:rsidRPr="00804359">
        <w:t xml:space="preserve"> vnitřního </w:t>
      </w:r>
      <w:r>
        <w:t xml:space="preserve">cestovního ruchu = export návštěvníků + výdaje rezidentů na domácí cestovní </w:t>
      </w:r>
      <w:r>
        <w:br/>
        <w:t>ruch + samostatné vládní výdaje na cestovní ruch.</w:t>
      </w:r>
    </w:p>
  </w:footnote>
  <w:footnote w:id="17">
    <w:p w14:paraId="68D85291" w14:textId="30B57645" w:rsidR="000B72B3" w:rsidRDefault="000B72B3">
      <w:pPr>
        <w:pStyle w:val="Textpoznpodarou"/>
      </w:pPr>
      <w:r>
        <w:rPr>
          <w:rStyle w:val="Znakapoznpodarou"/>
        </w:rPr>
        <w:footnoteRef/>
      </w:r>
      <w:r>
        <w:t xml:space="preserve"> </w:t>
      </w:r>
      <w:r>
        <w:tab/>
        <w:t xml:space="preserve">Zákon č. </w:t>
      </w:r>
      <w:r w:rsidRPr="00B0536C">
        <w:t>320/2001 Sb</w:t>
      </w:r>
      <w:r>
        <w:t xml:space="preserve">., </w:t>
      </w:r>
      <w:r w:rsidRPr="0009152A">
        <w:t>o finanční kontrole ve veřejné správě a o změně některých zákonů (zákon o finanční kontrole)</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52136"/>
    <w:multiLevelType w:val="hybridMultilevel"/>
    <w:tmpl w:val="75FA897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274E20"/>
    <w:multiLevelType w:val="hybridMultilevel"/>
    <w:tmpl w:val="B6AA07C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0C041FE"/>
    <w:multiLevelType w:val="hybridMultilevel"/>
    <w:tmpl w:val="4558D2A8"/>
    <w:lvl w:ilvl="0" w:tplc="1AE419F2">
      <w:start w:val="1"/>
      <w:numFmt w:val="decimal"/>
      <w:pStyle w:val="JK1"/>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326A8F"/>
    <w:multiLevelType w:val="multilevel"/>
    <w:tmpl w:val="1DDE0E7E"/>
    <w:lvl w:ilvl="0">
      <w:start w:val="1"/>
      <w:numFmt w:val="upperRoman"/>
      <w:pStyle w:val="lnek1"/>
      <w:suff w:val="nothing"/>
      <w:lvlText w:val="Čl. %1"/>
      <w:lvlJc w:val="left"/>
      <w:pPr>
        <w:ind w:left="486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nek2"/>
      <w:isLgl/>
      <w:lvlText w:val="%1.%2"/>
      <w:lvlJc w:val="left"/>
      <w:pPr>
        <w:tabs>
          <w:tab w:val="num" w:pos="624"/>
        </w:tabs>
        <w:ind w:left="624" w:hanging="624"/>
      </w:pPr>
      <w:rPr>
        <w:rFonts w:ascii="Times New Roman" w:hAnsi="Times New Roman" w:hint="default"/>
        <w:b/>
        <w:i w:val="0"/>
      </w:rPr>
    </w:lvl>
    <w:lvl w:ilvl="2">
      <w:start w:val="1"/>
      <w:numFmt w:val="decimal"/>
      <w:pStyle w:val="lnek3"/>
      <w:isLgl/>
      <w:lvlText w:val="%1.%2.%3"/>
      <w:lvlJc w:val="left"/>
      <w:pPr>
        <w:tabs>
          <w:tab w:val="num" w:pos="1277"/>
        </w:tabs>
        <w:ind w:left="653" w:hanging="113"/>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721"/>
        </w:tabs>
        <w:ind w:left="1721" w:hanging="360"/>
      </w:pPr>
      <w:rPr>
        <w:rFonts w:hint="default"/>
        <w:b/>
        <w:i w:val="0"/>
        <w:sz w:val="28"/>
        <w:szCs w:val="28"/>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2B965CA7"/>
    <w:multiLevelType w:val="hybridMultilevel"/>
    <w:tmpl w:val="8C60A8F0"/>
    <w:lvl w:ilvl="0" w:tplc="0405000D">
      <w:start w:val="1"/>
      <w:numFmt w:val="bullet"/>
      <w:lvlText w:val=""/>
      <w:lvlJc w:val="left"/>
      <w:pPr>
        <w:ind w:left="1429" w:hanging="360"/>
      </w:pPr>
      <w:rPr>
        <w:rFonts w:ascii="Wingdings" w:hAnsi="Wingdings"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5" w15:restartNumberingAfterBreak="0">
    <w:nsid w:val="336B4A5E"/>
    <w:multiLevelType w:val="hybridMultilevel"/>
    <w:tmpl w:val="BD469606"/>
    <w:lvl w:ilvl="0" w:tplc="621A151A">
      <w:start w:val="1"/>
      <w:numFmt w:val="decimal"/>
      <w:pStyle w:val="KPseznamcislo"/>
      <w:lvlText w:val="%1."/>
      <w:lvlJc w:val="left"/>
      <w:pPr>
        <w:ind w:left="1080" w:hanging="360"/>
      </w:pPr>
      <w:rPr>
        <w:b w:val="0"/>
      </w:rPr>
    </w:lvl>
    <w:lvl w:ilvl="1" w:tplc="E2CC618C" w:tentative="1">
      <w:start w:val="1"/>
      <w:numFmt w:val="lowerLetter"/>
      <w:lvlText w:val="%2."/>
      <w:lvlJc w:val="left"/>
      <w:pPr>
        <w:ind w:left="1800" w:hanging="360"/>
      </w:pPr>
    </w:lvl>
    <w:lvl w:ilvl="2" w:tplc="8CAAE5FA" w:tentative="1">
      <w:start w:val="1"/>
      <w:numFmt w:val="lowerRoman"/>
      <w:lvlText w:val="%3."/>
      <w:lvlJc w:val="right"/>
      <w:pPr>
        <w:ind w:left="2520" w:hanging="180"/>
      </w:pPr>
    </w:lvl>
    <w:lvl w:ilvl="3" w:tplc="37FC2320" w:tentative="1">
      <w:start w:val="1"/>
      <w:numFmt w:val="decimal"/>
      <w:lvlText w:val="%4."/>
      <w:lvlJc w:val="left"/>
      <w:pPr>
        <w:ind w:left="3240" w:hanging="360"/>
      </w:pPr>
    </w:lvl>
    <w:lvl w:ilvl="4" w:tplc="F59AAE90" w:tentative="1">
      <w:start w:val="1"/>
      <w:numFmt w:val="lowerLetter"/>
      <w:lvlText w:val="%5."/>
      <w:lvlJc w:val="left"/>
      <w:pPr>
        <w:ind w:left="3960" w:hanging="360"/>
      </w:pPr>
    </w:lvl>
    <w:lvl w:ilvl="5" w:tplc="507ACE60" w:tentative="1">
      <w:start w:val="1"/>
      <w:numFmt w:val="lowerRoman"/>
      <w:lvlText w:val="%6."/>
      <w:lvlJc w:val="right"/>
      <w:pPr>
        <w:ind w:left="4680" w:hanging="180"/>
      </w:pPr>
    </w:lvl>
    <w:lvl w:ilvl="6" w:tplc="DC3A2262" w:tentative="1">
      <w:start w:val="1"/>
      <w:numFmt w:val="decimal"/>
      <w:lvlText w:val="%7."/>
      <w:lvlJc w:val="left"/>
      <w:pPr>
        <w:ind w:left="5400" w:hanging="360"/>
      </w:pPr>
    </w:lvl>
    <w:lvl w:ilvl="7" w:tplc="67045FF4" w:tentative="1">
      <w:start w:val="1"/>
      <w:numFmt w:val="lowerLetter"/>
      <w:lvlText w:val="%8."/>
      <w:lvlJc w:val="left"/>
      <w:pPr>
        <w:ind w:left="6120" w:hanging="360"/>
      </w:pPr>
    </w:lvl>
    <w:lvl w:ilvl="8" w:tplc="9B4A13F4" w:tentative="1">
      <w:start w:val="1"/>
      <w:numFmt w:val="lowerRoman"/>
      <w:lvlText w:val="%9."/>
      <w:lvlJc w:val="right"/>
      <w:pPr>
        <w:ind w:left="6840" w:hanging="180"/>
      </w:pPr>
    </w:lvl>
  </w:abstractNum>
  <w:abstractNum w:abstractNumId="6" w15:restartNumberingAfterBreak="0">
    <w:nsid w:val="34875A30"/>
    <w:multiLevelType w:val="hybridMultilevel"/>
    <w:tmpl w:val="7FC2956C"/>
    <w:lvl w:ilvl="0" w:tplc="C37026E8">
      <w:start w:val="1"/>
      <w:numFmt w:val="decimal"/>
      <w:pStyle w:val="JK2"/>
      <w:lvlText w:val="2.%1"/>
      <w:lvlJc w:val="left"/>
      <w:pPr>
        <w:ind w:left="475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9246D5"/>
    <w:multiLevelType w:val="hybridMultilevel"/>
    <w:tmpl w:val="53DEDD9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486A5258"/>
    <w:multiLevelType w:val="hybridMultilevel"/>
    <w:tmpl w:val="F97481FE"/>
    <w:lvl w:ilvl="0" w:tplc="8CA63348">
      <w:start w:val="1"/>
      <w:numFmt w:val="bullet"/>
      <w:lvlText w:val=""/>
      <w:lvlJc w:val="left"/>
      <w:pPr>
        <w:ind w:left="765" w:hanging="360"/>
      </w:pPr>
      <w:rPr>
        <w:rFonts w:ascii="Symbol" w:hAnsi="Symbol" w:hint="default"/>
      </w:rPr>
    </w:lvl>
    <w:lvl w:ilvl="1" w:tplc="04050003">
      <w:start w:val="1"/>
      <w:numFmt w:val="bullet"/>
      <w:lvlText w:val="o"/>
      <w:lvlJc w:val="left"/>
      <w:pPr>
        <w:ind w:left="1485" w:hanging="360"/>
      </w:pPr>
      <w:rPr>
        <w:rFonts w:ascii="Courier New" w:hAnsi="Courier New" w:cs="Courier New" w:hint="default"/>
      </w:rPr>
    </w:lvl>
    <w:lvl w:ilvl="2" w:tplc="04050005">
      <w:start w:val="1"/>
      <w:numFmt w:val="bullet"/>
      <w:lvlText w:val=""/>
      <w:lvlJc w:val="left"/>
      <w:pPr>
        <w:ind w:left="2205" w:hanging="360"/>
      </w:pPr>
      <w:rPr>
        <w:rFonts w:ascii="Wingdings" w:hAnsi="Wingdings" w:hint="default"/>
      </w:rPr>
    </w:lvl>
    <w:lvl w:ilvl="3" w:tplc="04050001">
      <w:start w:val="1"/>
      <w:numFmt w:val="bullet"/>
      <w:lvlText w:val=""/>
      <w:lvlJc w:val="left"/>
      <w:pPr>
        <w:ind w:left="2925" w:hanging="360"/>
      </w:pPr>
      <w:rPr>
        <w:rFonts w:ascii="Symbol" w:hAnsi="Symbol" w:hint="default"/>
      </w:rPr>
    </w:lvl>
    <w:lvl w:ilvl="4" w:tplc="04050003">
      <w:start w:val="1"/>
      <w:numFmt w:val="bullet"/>
      <w:lvlText w:val="o"/>
      <w:lvlJc w:val="left"/>
      <w:pPr>
        <w:ind w:left="3645" w:hanging="360"/>
      </w:pPr>
      <w:rPr>
        <w:rFonts w:ascii="Courier New" w:hAnsi="Courier New" w:cs="Courier New" w:hint="default"/>
      </w:rPr>
    </w:lvl>
    <w:lvl w:ilvl="5" w:tplc="04050005">
      <w:start w:val="1"/>
      <w:numFmt w:val="bullet"/>
      <w:lvlText w:val=""/>
      <w:lvlJc w:val="left"/>
      <w:pPr>
        <w:ind w:left="4365" w:hanging="360"/>
      </w:pPr>
      <w:rPr>
        <w:rFonts w:ascii="Wingdings" w:hAnsi="Wingdings" w:hint="default"/>
      </w:rPr>
    </w:lvl>
    <w:lvl w:ilvl="6" w:tplc="04050001">
      <w:start w:val="1"/>
      <w:numFmt w:val="bullet"/>
      <w:lvlText w:val=""/>
      <w:lvlJc w:val="left"/>
      <w:pPr>
        <w:ind w:left="5085" w:hanging="360"/>
      </w:pPr>
      <w:rPr>
        <w:rFonts w:ascii="Symbol" w:hAnsi="Symbol" w:hint="default"/>
      </w:rPr>
    </w:lvl>
    <w:lvl w:ilvl="7" w:tplc="04050003">
      <w:start w:val="1"/>
      <w:numFmt w:val="bullet"/>
      <w:lvlText w:val="o"/>
      <w:lvlJc w:val="left"/>
      <w:pPr>
        <w:ind w:left="5805" w:hanging="360"/>
      </w:pPr>
      <w:rPr>
        <w:rFonts w:ascii="Courier New" w:hAnsi="Courier New" w:cs="Courier New" w:hint="default"/>
      </w:rPr>
    </w:lvl>
    <w:lvl w:ilvl="8" w:tplc="04050005">
      <w:start w:val="1"/>
      <w:numFmt w:val="bullet"/>
      <w:lvlText w:val=""/>
      <w:lvlJc w:val="left"/>
      <w:pPr>
        <w:ind w:left="6525" w:hanging="360"/>
      </w:pPr>
      <w:rPr>
        <w:rFonts w:ascii="Wingdings" w:hAnsi="Wingdings" w:hint="default"/>
      </w:rPr>
    </w:lvl>
  </w:abstractNum>
  <w:abstractNum w:abstractNumId="9" w15:restartNumberingAfterBreak="0">
    <w:nsid w:val="4FF121A8"/>
    <w:multiLevelType w:val="hybridMultilevel"/>
    <w:tmpl w:val="F22ABDB6"/>
    <w:lvl w:ilvl="0" w:tplc="9EE2CC0E">
      <w:start w:val="1"/>
      <w:numFmt w:val="bullet"/>
      <w:lvlText w:val=""/>
      <w:lvlJc w:val="left"/>
      <w:pPr>
        <w:ind w:left="720" w:hanging="360"/>
      </w:pPr>
      <w:rPr>
        <w:rFonts w:ascii="Symbol" w:hAnsi="Symbol" w:hint="default"/>
      </w:rPr>
    </w:lvl>
    <w:lvl w:ilvl="1" w:tplc="6248CAB0" w:tentative="1">
      <w:start w:val="1"/>
      <w:numFmt w:val="bullet"/>
      <w:lvlText w:val="o"/>
      <w:lvlJc w:val="left"/>
      <w:pPr>
        <w:ind w:left="1440" w:hanging="360"/>
      </w:pPr>
      <w:rPr>
        <w:rFonts w:ascii="Courier New" w:hAnsi="Courier New" w:cs="Courier New" w:hint="default"/>
      </w:rPr>
    </w:lvl>
    <w:lvl w:ilvl="2" w:tplc="7444D762" w:tentative="1">
      <w:start w:val="1"/>
      <w:numFmt w:val="bullet"/>
      <w:lvlText w:val=""/>
      <w:lvlJc w:val="left"/>
      <w:pPr>
        <w:ind w:left="2160" w:hanging="360"/>
      </w:pPr>
      <w:rPr>
        <w:rFonts w:ascii="Wingdings" w:hAnsi="Wingdings" w:hint="default"/>
      </w:rPr>
    </w:lvl>
    <w:lvl w:ilvl="3" w:tplc="7A92B8F0" w:tentative="1">
      <w:start w:val="1"/>
      <w:numFmt w:val="bullet"/>
      <w:lvlText w:val=""/>
      <w:lvlJc w:val="left"/>
      <w:pPr>
        <w:ind w:left="2880" w:hanging="360"/>
      </w:pPr>
      <w:rPr>
        <w:rFonts w:ascii="Symbol" w:hAnsi="Symbol" w:hint="default"/>
      </w:rPr>
    </w:lvl>
    <w:lvl w:ilvl="4" w:tplc="79AC25A4" w:tentative="1">
      <w:start w:val="1"/>
      <w:numFmt w:val="bullet"/>
      <w:lvlText w:val="o"/>
      <w:lvlJc w:val="left"/>
      <w:pPr>
        <w:ind w:left="3600" w:hanging="360"/>
      </w:pPr>
      <w:rPr>
        <w:rFonts w:ascii="Courier New" w:hAnsi="Courier New" w:cs="Courier New" w:hint="default"/>
      </w:rPr>
    </w:lvl>
    <w:lvl w:ilvl="5" w:tplc="80D63936" w:tentative="1">
      <w:start w:val="1"/>
      <w:numFmt w:val="bullet"/>
      <w:lvlText w:val=""/>
      <w:lvlJc w:val="left"/>
      <w:pPr>
        <w:ind w:left="4320" w:hanging="360"/>
      </w:pPr>
      <w:rPr>
        <w:rFonts w:ascii="Wingdings" w:hAnsi="Wingdings" w:hint="default"/>
      </w:rPr>
    </w:lvl>
    <w:lvl w:ilvl="6" w:tplc="4F68A2E8" w:tentative="1">
      <w:start w:val="1"/>
      <w:numFmt w:val="bullet"/>
      <w:lvlText w:val=""/>
      <w:lvlJc w:val="left"/>
      <w:pPr>
        <w:ind w:left="5040" w:hanging="360"/>
      </w:pPr>
      <w:rPr>
        <w:rFonts w:ascii="Symbol" w:hAnsi="Symbol" w:hint="default"/>
      </w:rPr>
    </w:lvl>
    <w:lvl w:ilvl="7" w:tplc="4BDC9BE0" w:tentative="1">
      <w:start w:val="1"/>
      <w:numFmt w:val="bullet"/>
      <w:lvlText w:val="o"/>
      <w:lvlJc w:val="left"/>
      <w:pPr>
        <w:ind w:left="5760" w:hanging="360"/>
      </w:pPr>
      <w:rPr>
        <w:rFonts w:ascii="Courier New" w:hAnsi="Courier New" w:cs="Courier New" w:hint="default"/>
      </w:rPr>
    </w:lvl>
    <w:lvl w:ilvl="8" w:tplc="52E44E36" w:tentative="1">
      <w:start w:val="1"/>
      <w:numFmt w:val="bullet"/>
      <w:lvlText w:val=""/>
      <w:lvlJc w:val="left"/>
      <w:pPr>
        <w:ind w:left="6480" w:hanging="360"/>
      </w:pPr>
      <w:rPr>
        <w:rFonts w:ascii="Wingdings" w:hAnsi="Wingdings" w:hint="default"/>
      </w:rPr>
    </w:lvl>
  </w:abstractNum>
  <w:abstractNum w:abstractNumId="10" w15:restartNumberingAfterBreak="0">
    <w:nsid w:val="587E1F45"/>
    <w:multiLevelType w:val="hybridMultilevel"/>
    <w:tmpl w:val="F1BEB61C"/>
    <w:lvl w:ilvl="0" w:tplc="BE3A29B0">
      <w:start w:val="1"/>
      <w:numFmt w:val="bullet"/>
      <w:pStyle w:val="KPodrazka1"/>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3562C17"/>
    <w:multiLevelType w:val="hybridMultilevel"/>
    <w:tmpl w:val="A6D01564"/>
    <w:lvl w:ilvl="0" w:tplc="FC36572E">
      <w:start w:val="1"/>
      <w:numFmt w:val="decimal"/>
      <w:pStyle w:val="JK4"/>
      <w:lvlText w:val="4.%1"/>
      <w:lvlJc w:val="left"/>
      <w:pPr>
        <w:ind w:left="347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064EA5"/>
    <w:multiLevelType w:val="hybridMultilevel"/>
    <w:tmpl w:val="8F3C6B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F1B2E71"/>
    <w:multiLevelType w:val="hybridMultilevel"/>
    <w:tmpl w:val="E1DEB978"/>
    <w:lvl w:ilvl="0" w:tplc="A976AE7A">
      <w:start w:val="1"/>
      <w:numFmt w:val="upperRoman"/>
      <w:pStyle w:val="Nadpismsk"/>
      <w:lvlText w:val="%1."/>
      <w:lvlJc w:val="right"/>
      <w:pPr>
        <w:ind w:left="3621" w:hanging="360"/>
      </w:pPr>
      <w:rPr>
        <w:b/>
        <w:sz w:val="32"/>
        <w:szCs w:val="3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5"/>
  </w:num>
  <w:num w:numId="2">
    <w:abstractNumId w:val="2"/>
  </w:num>
  <w:num w:numId="3">
    <w:abstractNumId w:val="13"/>
  </w:num>
  <w:num w:numId="4">
    <w:abstractNumId w:val="6"/>
  </w:num>
  <w:num w:numId="5">
    <w:abstractNumId w:val="11"/>
  </w:num>
  <w:num w:numId="6">
    <w:abstractNumId w:val="10"/>
  </w:num>
  <w:num w:numId="7">
    <w:abstractNumId w:val="0"/>
  </w:num>
  <w:num w:numId="8">
    <w:abstractNumId w:val="1"/>
  </w:num>
  <w:num w:numId="9">
    <w:abstractNumId w:val="12"/>
  </w:num>
  <w:num w:numId="10">
    <w:abstractNumId w:val="3"/>
  </w:num>
  <w:num w:numId="11">
    <w:abstractNumId w:val="9"/>
  </w:num>
  <w:num w:numId="12">
    <w:abstractNumId w:val="4"/>
  </w:num>
  <w:num w:numId="13">
    <w:abstractNumId w:val="11"/>
  </w:num>
  <w:num w:numId="14">
    <w:abstractNumId w:val="11"/>
  </w:num>
  <w:num w:numId="15">
    <w:abstractNumId w:val="11"/>
  </w:num>
  <w:num w:numId="16">
    <w:abstractNumId w:val="11"/>
  </w:num>
  <w:num w:numId="17">
    <w:abstractNumId w:val="2"/>
  </w:num>
  <w:num w:numId="18">
    <w:abstractNumId w:val="2"/>
  </w:num>
  <w:num w:numId="19">
    <w:abstractNumId w:val="2"/>
  </w:num>
  <w:num w:numId="20">
    <w:abstractNumId w:val="2"/>
  </w:num>
  <w:num w:numId="21">
    <w:abstractNumId w:val="2"/>
  </w:num>
  <w:num w:numId="22">
    <w:abstractNumId w:val="11"/>
  </w:num>
  <w:num w:numId="23">
    <w:abstractNumId w:val="11"/>
  </w:num>
  <w:num w:numId="24">
    <w:abstractNumId w:val="2"/>
  </w:num>
  <w:num w:numId="25">
    <w:abstractNumId w:val="2"/>
  </w:num>
  <w:num w:numId="26">
    <w:abstractNumId w:val="2"/>
  </w:num>
  <w:num w:numId="27">
    <w:abstractNumId w:val="10"/>
  </w:num>
  <w:num w:numId="28">
    <w:abstractNumId w:val="2"/>
  </w:num>
  <w:num w:numId="29">
    <w:abstractNumId w:val="2"/>
  </w:num>
  <w:num w:numId="30">
    <w:abstractNumId w:val="2"/>
  </w:num>
  <w:num w:numId="31">
    <w:abstractNumId w:val="2"/>
  </w:num>
  <w:num w:numId="32">
    <w:abstractNumId w:val="2"/>
  </w:num>
  <w:num w:numId="33">
    <w:abstractNumId w:val="2"/>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1"/>
  </w:num>
  <w:num w:numId="37">
    <w:abstractNumId w:val="8"/>
  </w:num>
  <w:num w:numId="38">
    <w:abstractNumId w:val="11"/>
  </w:num>
  <w:num w:numId="39">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9"/>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92F"/>
    <w:rsid w:val="000000BA"/>
    <w:rsid w:val="00000728"/>
    <w:rsid w:val="00000741"/>
    <w:rsid w:val="00001120"/>
    <w:rsid w:val="000012BE"/>
    <w:rsid w:val="00001A74"/>
    <w:rsid w:val="00001B30"/>
    <w:rsid w:val="000028A7"/>
    <w:rsid w:val="000028E7"/>
    <w:rsid w:val="00003232"/>
    <w:rsid w:val="00003D2A"/>
    <w:rsid w:val="000046DF"/>
    <w:rsid w:val="00004933"/>
    <w:rsid w:val="00005330"/>
    <w:rsid w:val="0000541F"/>
    <w:rsid w:val="000056E1"/>
    <w:rsid w:val="00005AD0"/>
    <w:rsid w:val="00005B06"/>
    <w:rsid w:val="00005B0E"/>
    <w:rsid w:val="0000608B"/>
    <w:rsid w:val="000060B4"/>
    <w:rsid w:val="0000655E"/>
    <w:rsid w:val="0000665B"/>
    <w:rsid w:val="000068DA"/>
    <w:rsid w:val="00006B62"/>
    <w:rsid w:val="0000712B"/>
    <w:rsid w:val="0000724C"/>
    <w:rsid w:val="00007D61"/>
    <w:rsid w:val="00010371"/>
    <w:rsid w:val="000103ED"/>
    <w:rsid w:val="00011530"/>
    <w:rsid w:val="00011841"/>
    <w:rsid w:val="00011AEC"/>
    <w:rsid w:val="00011B6F"/>
    <w:rsid w:val="00012127"/>
    <w:rsid w:val="000129E9"/>
    <w:rsid w:val="00012DFB"/>
    <w:rsid w:val="0001353C"/>
    <w:rsid w:val="00013910"/>
    <w:rsid w:val="0001410B"/>
    <w:rsid w:val="00014C30"/>
    <w:rsid w:val="0001562E"/>
    <w:rsid w:val="00015A55"/>
    <w:rsid w:val="00015DB1"/>
    <w:rsid w:val="000164AF"/>
    <w:rsid w:val="0001722B"/>
    <w:rsid w:val="00017322"/>
    <w:rsid w:val="000173E4"/>
    <w:rsid w:val="0001771B"/>
    <w:rsid w:val="00017796"/>
    <w:rsid w:val="0002092B"/>
    <w:rsid w:val="00020B96"/>
    <w:rsid w:val="00020FE0"/>
    <w:rsid w:val="00022133"/>
    <w:rsid w:val="0002263F"/>
    <w:rsid w:val="00022BCB"/>
    <w:rsid w:val="00022CA4"/>
    <w:rsid w:val="00023803"/>
    <w:rsid w:val="000240E3"/>
    <w:rsid w:val="0002430A"/>
    <w:rsid w:val="00024AC7"/>
    <w:rsid w:val="00024B1E"/>
    <w:rsid w:val="000250A9"/>
    <w:rsid w:val="000254ED"/>
    <w:rsid w:val="0002583C"/>
    <w:rsid w:val="0002617D"/>
    <w:rsid w:val="0002619E"/>
    <w:rsid w:val="00026531"/>
    <w:rsid w:val="00026CE2"/>
    <w:rsid w:val="00026EA1"/>
    <w:rsid w:val="00027C84"/>
    <w:rsid w:val="00027E25"/>
    <w:rsid w:val="0003080C"/>
    <w:rsid w:val="000309B6"/>
    <w:rsid w:val="000313DA"/>
    <w:rsid w:val="00031515"/>
    <w:rsid w:val="00031ED9"/>
    <w:rsid w:val="000321FD"/>
    <w:rsid w:val="0003276F"/>
    <w:rsid w:val="00032FC2"/>
    <w:rsid w:val="0003337C"/>
    <w:rsid w:val="000337C4"/>
    <w:rsid w:val="00033ACC"/>
    <w:rsid w:val="00033C61"/>
    <w:rsid w:val="00033D94"/>
    <w:rsid w:val="00033DBA"/>
    <w:rsid w:val="0003492F"/>
    <w:rsid w:val="00035976"/>
    <w:rsid w:val="00035D16"/>
    <w:rsid w:val="00035EF9"/>
    <w:rsid w:val="0003629A"/>
    <w:rsid w:val="00036B5A"/>
    <w:rsid w:val="00036C5A"/>
    <w:rsid w:val="00036DCF"/>
    <w:rsid w:val="0003727C"/>
    <w:rsid w:val="00037347"/>
    <w:rsid w:val="0003778F"/>
    <w:rsid w:val="000379A1"/>
    <w:rsid w:val="0004155E"/>
    <w:rsid w:val="00041DA3"/>
    <w:rsid w:val="0004213C"/>
    <w:rsid w:val="000424D9"/>
    <w:rsid w:val="000428CC"/>
    <w:rsid w:val="000429B7"/>
    <w:rsid w:val="00042DA9"/>
    <w:rsid w:val="0004311B"/>
    <w:rsid w:val="0004317C"/>
    <w:rsid w:val="00043A0C"/>
    <w:rsid w:val="00043A2F"/>
    <w:rsid w:val="00043B01"/>
    <w:rsid w:val="00044246"/>
    <w:rsid w:val="0004455C"/>
    <w:rsid w:val="000449A5"/>
    <w:rsid w:val="00045B1E"/>
    <w:rsid w:val="00045D0D"/>
    <w:rsid w:val="000460B7"/>
    <w:rsid w:val="00046F3E"/>
    <w:rsid w:val="00047BFD"/>
    <w:rsid w:val="000501FE"/>
    <w:rsid w:val="000505BA"/>
    <w:rsid w:val="00052AF6"/>
    <w:rsid w:val="00052C02"/>
    <w:rsid w:val="000530F1"/>
    <w:rsid w:val="00053660"/>
    <w:rsid w:val="00053C73"/>
    <w:rsid w:val="000547BA"/>
    <w:rsid w:val="000547D6"/>
    <w:rsid w:val="0005481B"/>
    <w:rsid w:val="000558A0"/>
    <w:rsid w:val="00055C1F"/>
    <w:rsid w:val="00055C31"/>
    <w:rsid w:val="00055C56"/>
    <w:rsid w:val="00055C64"/>
    <w:rsid w:val="00056F3B"/>
    <w:rsid w:val="00057640"/>
    <w:rsid w:val="0005776D"/>
    <w:rsid w:val="00057B14"/>
    <w:rsid w:val="000602CB"/>
    <w:rsid w:val="000603BC"/>
    <w:rsid w:val="000603DC"/>
    <w:rsid w:val="000605A7"/>
    <w:rsid w:val="00060682"/>
    <w:rsid w:val="00060B90"/>
    <w:rsid w:val="00060DCD"/>
    <w:rsid w:val="000610EC"/>
    <w:rsid w:val="000614F2"/>
    <w:rsid w:val="00061F1F"/>
    <w:rsid w:val="000624C9"/>
    <w:rsid w:val="00063054"/>
    <w:rsid w:val="00063507"/>
    <w:rsid w:val="00063AEE"/>
    <w:rsid w:val="00063BA3"/>
    <w:rsid w:val="00063C9E"/>
    <w:rsid w:val="00063F2D"/>
    <w:rsid w:val="0006470A"/>
    <w:rsid w:val="000659A2"/>
    <w:rsid w:val="00065C15"/>
    <w:rsid w:val="00067064"/>
    <w:rsid w:val="00067187"/>
    <w:rsid w:val="00070871"/>
    <w:rsid w:val="000710D3"/>
    <w:rsid w:val="000716CE"/>
    <w:rsid w:val="00071985"/>
    <w:rsid w:val="00071A63"/>
    <w:rsid w:val="00071B2B"/>
    <w:rsid w:val="000730B8"/>
    <w:rsid w:val="00073149"/>
    <w:rsid w:val="000731DE"/>
    <w:rsid w:val="00073294"/>
    <w:rsid w:val="00073C30"/>
    <w:rsid w:val="00073F5F"/>
    <w:rsid w:val="0007424F"/>
    <w:rsid w:val="000752CF"/>
    <w:rsid w:val="00076583"/>
    <w:rsid w:val="00076B5D"/>
    <w:rsid w:val="00076EC4"/>
    <w:rsid w:val="000773BD"/>
    <w:rsid w:val="00077561"/>
    <w:rsid w:val="00077620"/>
    <w:rsid w:val="00077C76"/>
    <w:rsid w:val="00077FD6"/>
    <w:rsid w:val="000800A9"/>
    <w:rsid w:val="000803EE"/>
    <w:rsid w:val="0008087D"/>
    <w:rsid w:val="00080D05"/>
    <w:rsid w:val="00081120"/>
    <w:rsid w:val="000816C1"/>
    <w:rsid w:val="0008192C"/>
    <w:rsid w:val="000820E1"/>
    <w:rsid w:val="0008249C"/>
    <w:rsid w:val="00082603"/>
    <w:rsid w:val="000827F4"/>
    <w:rsid w:val="00082DB1"/>
    <w:rsid w:val="00083C6A"/>
    <w:rsid w:val="00084ADD"/>
    <w:rsid w:val="000852EF"/>
    <w:rsid w:val="00085E27"/>
    <w:rsid w:val="000863A2"/>
    <w:rsid w:val="00086634"/>
    <w:rsid w:val="00086835"/>
    <w:rsid w:val="000904F4"/>
    <w:rsid w:val="00090C44"/>
    <w:rsid w:val="00090EA1"/>
    <w:rsid w:val="0009152A"/>
    <w:rsid w:val="000916FC"/>
    <w:rsid w:val="00091AF6"/>
    <w:rsid w:val="00091D11"/>
    <w:rsid w:val="00091D14"/>
    <w:rsid w:val="00092508"/>
    <w:rsid w:val="000925FA"/>
    <w:rsid w:val="00092696"/>
    <w:rsid w:val="00092828"/>
    <w:rsid w:val="00092DD2"/>
    <w:rsid w:val="00093269"/>
    <w:rsid w:val="000934CF"/>
    <w:rsid w:val="00093C66"/>
    <w:rsid w:val="00093D28"/>
    <w:rsid w:val="00094142"/>
    <w:rsid w:val="00094B54"/>
    <w:rsid w:val="0009515D"/>
    <w:rsid w:val="00095E59"/>
    <w:rsid w:val="00095F83"/>
    <w:rsid w:val="000961C8"/>
    <w:rsid w:val="00096A0D"/>
    <w:rsid w:val="00097220"/>
    <w:rsid w:val="000979BB"/>
    <w:rsid w:val="00097C11"/>
    <w:rsid w:val="000A08D0"/>
    <w:rsid w:val="000A1059"/>
    <w:rsid w:val="000A2139"/>
    <w:rsid w:val="000A2810"/>
    <w:rsid w:val="000A2E1D"/>
    <w:rsid w:val="000A2E72"/>
    <w:rsid w:val="000A308E"/>
    <w:rsid w:val="000A30D1"/>
    <w:rsid w:val="000A360F"/>
    <w:rsid w:val="000A3889"/>
    <w:rsid w:val="000A3FCC"/>
    <w:rsid w:val="000A4B0A"/>
    <w:rsid w:val="000A4B20"/>
    <w:rsid w:val="000A618E"/>
    <w:rsid w:val="000A628C"/>
    <w:rsid w:val="000A62C0"/>
    <w:rsid w:val="000A6DD9"/>
    <w:rsid w:val="000A6DDA"/>
    <w:rsid w:val="000A6DF3"/>
    <w:rsid w:val="000B028F"/>
    <w:rsid w:val="000B06C2"/>
    <w:rsid w:val="000B0B98"/>
    <w:rsid w:val="000B112B"/>
    <w:rsid w:val="000B14C9"/>
    <w:rsid w:val="000B191F"/>
    <w:rsid w:val="000B1F8A"/>
    <w:rsid w:val="000B2246"/>
    <w:rsid w:val="000B2370"/>
    <w:rsid w:val="000B23BB"/>
    <w:rsid w:val="000B28A1"/>
    <w:rsid w:val="000B3235"/>
    <w:rsid w:val="000B3EAF"/>
    <w:rsid w:val="000B423F"/>
    <w:rsid w:val="000B4766"/>
    <w:rsid w:val="000B4844"/>
    <w:rsid w:val="000B4894"/>
    <w:rsid w:val="000B4AAE"/>
    <w:rsid w:val="000B54DB"/>
    <w:rsid w:val="000B5892"/>
    <w:rsid w:val="000B5CB3"/>
    <w:rsid w:val="000B6EE9"/>
    <w:rsid w:val="000B72B3"/>
    <w:rsid w:val="000B74FB"/>
    <w:rsid w:val="000B79FE"/>
    <w:rsid w:val="000B7A47"/>
    <w:rsid w:val="000B7B73"/>
    <w:rsid w:val="000B7F0B"/>
    <w:rsid w:val="000B7F52"/>
    <w:rsid w:val="000C0353"/>
    <w:rsid w:val="000C0407"/>
    <w:rsid w:val="000C16C7"/>
    <w:rsid w:val="000C1722"/>
    <w:rsid w:val="000C1A09"/>
    <w:rsid w:val="000C263E"/>
    <w:rsid w:val="000C2756"/>
    <w:rsid w:val="000C2D09"/>
    <w:rsid w:val="000C3B99"/>
    <w:rsid w:val="000C3C92"/>
    <w:rsid w:val="000C3E4A"/>
    <w:rsid w:val="000C3EF0"/>
    <w:rsid w:val="000C40C6"/>
    <w:rsid w:val="000C4DAB"/>
    <w:rsid w:val="000C519B"/>
    <w:rsid w:val="000C639B"/>
    <w:rsid w:val="000C6947"/>
    <w:rsid w:val="000C6BF0"/>
    <w:rsid w:val="000C6E66"/>
    <w:rsid w:val="000D00CA"/>
    <w:rsid w:val="000D12E4"/>
    <w:rsid w:val="000D14D6"/>
    <w:rsid w:val="000D164F"/>
    <w:rsid w:val="000D18D2"/>
    <w:rsid w:val="000D1931"/>
    <w:rsid w:val="000D1994"/>
    <w:rsid w:val="000D2028"/>
    <w:rsid w:val="000D21A2"/>
    <w:rsid w:val="000D2AD1"/>
    <w:rsid w:val="000D3712"/>
    <w:rsid w:val="000D4265"/>
    <w:rsid w:val="000D4E94"/>
    <w:rsid w:val="000D52BB"/>
    <w:rsid w:val="000D5A75"/>
    <w:rsid w:val="000D5CA8"/>
    <w:rsid w:val="000D6030"/>
    <w:rsid w:val="000D70F0"/>
    <w:rsid w:val="000D7221"/>
    <w:rsid w:val="000D73BD"/>
    <w:rsid w:val="000D7853"/>
    <w:rsid w:val="000D7D3D"/>
    <w:rsid w:val="000D7D57"/>
    <w:rsid w:val="000D7E53"/>
    <w:rsid w:val="000D7F8F"/>
    <w:rsid w:val="000E03AC"/>
    <w:rsid w:val="000E05AF"/>
    <w:rsid w:val="000E0985"/>
    <w:rsid w:val="000E0AA1"/>
    <w:rsid w:val="000E137C"/>
    <w:rsid w:val="000E13C8"/>
    <w:rsid w:val="000E1429"/>
    <w:rsid w:val="000E1B3B"/>
    <w:rsid w:val="000E2745"/>
    <w:rsid w:val="000E366F"/>
    <w:rsid w:val="000E4525"/>
    <w:rsid w:val="000E47DF"/>
    <w:rsid w:val="000E4F6E"/>
    <w:rsid w:val="000E51B7"/>
    <w:rsid w:val="000E5AFE"/>
    <w:rsid w:val="000E624F"/>
    <w:rsid w:val="000E738B"/>
    <w:rsid w:val="000E7A7A"/>
    <w:rsid w:val="000E7AC3"/>
    <w:rsid w:val="000F06BE"/>
    <w:rsid w:val="000F082E"/>
    <w:rsid w:val="000F0848"/>
    <w:rsid w:val="000F0E87"/>
    <w:rsid w:val="000F14BD"/>
    <w:rsid w:val="000F1DB4"/>
    <w:rsid w:val="000F1DBE"/>
    <w:rsid w:val="000F2CF9"/>
    <w:rsid w:val="000F2ED7"/>
    <w:rsid w:val="000F387D"/>
    <w:rsid w:val="000F3F8D"/>
    <w:rsid w:val="000F42AB"/>
    <w:rsid w:val="000F42FE"/>
    <w:rsid w:val="000F4969"/>
    <w:rsid w:val="000F4AC4"/>
    <w:rsid w:val="000F4E26"/>
    <w:rsid w:val="000F583B"/>
    <w:rsid w:val="000F65FA"/>
    <w:rsid w:val="000F6985"/>
    <w:rsid w:val="000F69CD"/>
    <w:rsid w:val="000F6F6A"/>
    <w:rsid w:val="000F7038"/>
    <w:rsid w:val="000F75C5"/>
    <w:rsid w:val="000F77E0"/>
    <w:rsid w:val="000F7A70"/>
    <w:rsid w:val="00102240"/>
    <w:rsid w:val="0010386B"/>
    <w:rsid w:val="00103AC5"/>
    <w:rsid w:val="00103FB9"/>
    <w:rsid w:val="00104217"/>
    <w:rsid w:val="00104397"/>
    <w:rsid w:val="001046D7"/>
    <w:rsid w:val="00104800"/>
    <w:rsid w:val="001049BE"/>
    <w:rsid w:val="00104ADD"/>
    <w:rsid w:val="00104D55"/>
    <w:rsid w:val="00105172"/>
    <w:rsid w:val="00105744"/>
    <w:rsid w:val="00105CAC"/>
    <w:rsid w:val="00105D87"/>
    <w:rsid w:val="00106CF1"/>
    <w:rsid w:val="00107203"/>
    <w:rsid w:val="0010734C"/>
    <w:rsid w:val="00107D3E"/>
    <w:rsid w:val="00107EC1"/>
    <w:rsid w:val="00107F3F"/>
    <w:rsid w:val="001104C0"/>
    <w:rsid w:val="00110BC6"/>
    <w:rsid w:val="00110BDC"/>
    <w:rsid w:val="00111060"/>
    <w:rsid w:val="001117D6"/>
    <w:rsid w:val="00111E74"/>
    <w:rsid w:val="001124C7"/>
    <w:rsid w:val="00112759"/>
    <w:rsid w:val="0011468C"/>
    <w:rsid w:val="0011587B"/>
    <w:rsid w:val="00115D58"/>
    <w:rsid w:val="001162CD"/>
    <w:rsid w:val="00116A13"/>
    <w:rsid w:val="001177B8"/>
    <w:rsid w:val="00117AC4"/>
    <w:rsid w:val="00117EE4"/>
    <w:rsid w:val="00120076"/>
    <w:rsid w:val="00120416"/>
    <w:rsid w:val="00120A44"/>
    <w:rsid w:val="00120A94"/>
    <w:rsid w:val="00121186"/>
    <w:rsid w:val="001216A2"/>
    <w:rsid w:val="001216C6"/>
    <w:rsid w:val="00121A98"/>
    <w:rsid w:val="00121E51"/>
    <w:rsid w:val="0012202E"/>
    <w:rsid w:val="0012269D"/>
    <w:rsid w:val="00122E79"/>
    <w:rsid w:val="0012311F"/>
    <w:rsid w:val="00123258"/>
    <w:rsid w:val="00124B87"/>
    <w:rsid w:val="001261FD"/>
    <w:rsid w:val="0012624A"/>
    <w:rsid w:val="001267EA"/>
    <w:rsid w:val="00126A93"/>
    <w:rsid w:val="00126C06"/>
    <w:rsid w:val="00126D6D"/>
    <w:rsid w:val="00126EB3"/>
    <w:rsid w:val="00126F9F"/>
    <w:rsid w:val="001271C5"/>
    <w:rsid w:val="00127CB9"/>
    <w:rsid w:val="00130247"/>
    <w:rsid w:val="00130A3E"/>
    <w:rsid w:val="00130C1C"/>
    <w:rsid w:val="0013182C"/>
    <w:rsid w:val="00132133"/>
    <w:rsid w:val="001323A4"/>
    <w:rsid w:val="001323D5"/>
    <w:rsid w:val="0013268C"/>
    <w:rsid w:val="001326D9"/>
    <w:rsid w:val="00132E22"/>
    <w:rsid w:val="00132E86"/>
    <w:rsid w:val="0013315E"/>
    <w:rsid w:val="001346D5"/>
    <w:rsid w:val="001350B1"/>
    <w:rsid w:val="00135876"/>
    <w:rsid w:val="0013593F"/>
    <w:rsid w:val="00135F24"/>
    <w:rsid w:val="00135F5B"/>
    <w:rsid w:val="0013604F"/>
    <w:rsid w:val="00136C64"/>
    <w:rsid w:val="00136C6E"/>
    <w:rsid w:val="00136C8A"/>
    <w:rsid w:val="00137642"/>
    <w:rsid w:val="0014004B"/>
    <w:rsid w:val="00140C4A"/>
    <w:rsid w:val="00141236"/>
    <w:rsid w:val="00141937"/>
    <w:rsid w:val="00141967"/>
    <w:rsid w:val="001420DC"/>
    <w:rsid w:val="00142CBC"/>
    <w:rsid w:val="001436D2"/>
    <w:rsid w:val="00143957"/>
    <w:rsid w:val="00143B6F"/>
    <w:rsid w:val="00144085"/>
    <w:rsid w:val="00144ADB"/>
    <w:rsid w:val="0014529B"/>
    <w:rsid w:val="001458F2"/>
    <w:rsid w:val="00146BAD"/>
    <w:rsid w:val="00146F7E"/>
    <w:rsid w:val="001471F4"/>
    <w:rsid w:val="001472D8"/>
    <w:rsid w:val="001472E4"/>
    <w:rsid w:val="00147D31"/>
    <w:rsid w:val="00147DEA"/>
    <w:rsid w:val="00150171"/>
    <w:rsid w:val="001508BA"/>
    <w:rsid w:val="00150DB4"/>
    <w:rsid w:val="00150EB9"/>
    <w:rsid w:val="001515A5"/>
    <w:rsid w:val="0015171B"/>
    <w:rsid w:val="00151C56"/>
    <w:rsid w:val="00151EF6"/>
    <w:rsid w:val="001520C9"/>
    <w:rsid w:val="00152287"/>
    <w:rsid w:val="00152623"/>
    <w:rsid w:val="001527E1"/>
    <w:rsid w:val="001529F1"/>
    <w:rsid w:val="00154084"/>
    <w:rsid w:val="00154502"/>
    <w:rsid w:val="001554CE"/>
    <w:rsid w:val="00155AF2"/>
    <w:rsid w:val="00155EBD"/>
    <w:rsid w:val="00156838"/>
    <w:rsid w:val="00156C1F"/>
    <w:rsid w:val="00156F84"/>
    <w:rsid w:val="00157388"/>
    <w:rsid w:val="001575DD"/>
    <w:rsid w:val="00160896"/>
    <w:rsid w:val="00161D05"/>
    <w:rsid w:val="00161F59"/>
    <w:rsid w:val="00162DD3"/>
    <w:rsid w:val="00163712"/>
    <w:rsid w:val="00163BCC"/>
    <w:rsid w:val="001641DA"/>
    <w:rsid w:val="00164F1C"/>
    <w:rsid w:val="00164F87"/>
    <w:rsid w:val="0016544D"/>
    <w:rsid w:val="00165522"/>
    <w:rsid w:val="00165822"/>
    <w:rsid w:val="00165D22"/>
    <w:rsid w:val="0016607C"/>
    <w:rsid w:val="001660DA"/>
    <w:rsid w:val="00166A68"/>
    <w:rsid w:val="00166E32"/>
    <w:rsid w:val="001677A3"/>
    <w:rsid w:val="00167A6A"/>
    <w:rsid w:val="00167B68"/>
    <w:rsid w:val="00170060"/>
    <w:rsid w:val="0017015A"/>
    <w:rsid w:val="0017090C"/>
    <w:rsid w:val="00170DFF"/>
    <w:rsid w:val="00171283"/>
    <w:rsid w:val="001712EC"/>
    <w:rsid w:val="0017162E"/>
    <w:rsid w:val="0017199F"/>
    <w:rsid w:val="00172319"/>
    <w:rsid w:val="00172695"/>
    <w:rsid w:val="00172704"/>
    <w:rsid w:val="00172833"/>
    <w:rsid w:val="001728A9"/>
    <w:rsid w:val="00172F29"/>
    <w:rsid w:val="001737B0"/>
    <w:rsid w:val="001737C3"/>
    <w:rsid w:val="00173C67"/>
    <w:rsid w:val="00174B9D"/>
    <w:rsid w:val="00174EED"/>
    <w:rsid w:val="00175176"/>
    <w:rsid w:val="00175310"/>
    <w:rsid w:val="001758C5"/>
    <w:rsid w:val="001759B5"/>
    <w:rsid w:val="00175E80"/>
    <w:rsid w:val="001761BB"/>
    <w:rsid w:val="00176EFE"/>
    <w:rsid w:val="00176F0F"/>
    <w:rsid w:val="00177101"/>
    <w:rsid w:val="00177445"/>
    <w:rsid w:val="0017771C"/>
    <w:rsid w:val="001778DD"/>
    <w:rsid w:val="00177A34"/>
    <w:rsid w:val="001805E9"/>
    <w:rsid w:val="00180A75"/>
    <w:rsid w:val="001810BA"/>
    <w:rsid w:val="0018196A"/>
    <w:rsid w:val="00181EB1"/>
    <w:rsid w:val="0018202D"/>
    <w:rsid w:val="00182673"/>
    <w:rsid w:val="001832DE"/>
    <w:rsid w:val="00183502"/>
    <w:rsid w:val="00183A1F"/>
    <w:rsid w:val="001841BF"/>
    <w:rsid w:val="0018424F"/>
    <w:rsid w:val="00184413"/>
    <w:rsid w:val="001844C1"/>
    <w:rsid w:val="001856BF"/>
    <w:rsid w:val="001856E8"/>
    <w:rsid w:val="001859F4"/>
    <w:rsid w:val="001860D0"/>
    <w:rsid w:val="001861C2"/>
    <w:rsid w:val="0018643E"/>
    <w:rsid w:val="0018662D"/>
    <w:rsid w:val="00186ABB"/>
    <w:rsid w:val="00186CEF"/>
    <w:rsid w:val="00187913"/>
    <w:rsid w:val="00187EC4"/>
    <w:rsid w:val="001901B6"/>
    <w:rsid w:val="00190839"/>
    <w:rsid w:val="00190CEB"/>
    <w:rsid w:val="0019169B"/>
    <w:rsid w:val="001919D3"/>
    <w:rsid w:val="001919F8"/>
    <w:rsid w:val="00192467"/>
    <w:rsid w:val="00192786"/>
    <w:rsid w:val="00192CF9"/>
    <w:rsid w:val="00193003"/>
    <w:rsid w:val="001931E0"/>
    <w:rsid w:val="00193713"/>
    <w:rsid w:val="00193836"/>
    <w:rsid w:val="00194270"/>
    <w:rsid w:val="001943EF"/>
    <w:rsid w:val="0019451C"/>
    <w:rsid w:val="00194EBD"/>
    <w:rsid w:val="0019532F"/>
    <w:rsid w:val="001953BF"/>
    <w:rsid w:val="00196235"/>
    <w:rsid w:val="0019650E"/>
    <w:rsid w:val="001968D7"/>
    <w:rsid w:val="00196AA2"/>
    <w:rsid w:val="001978BA"/>
    <w:rsid w:val="00197E5E"/>
    <w:rsid w:val="001A0686"/>
    <w:rsid w:val="001A0B55"/>
    <w:rsid w:val="001A0C1D"/>
    <w:rsid w:val="001A0C27"/>
    <w:rsid w:val="001A11A3"/>
    <w:rsid w:val="001A1DD1"/>
    <w:rsid w:val="001A2846"/>
    <w:rsid w:val="001A29D6"/>
    <w:rsid w:val="001A2B53"/>
    <w:rsid w:val="001A3570"/>
    <w:rsid w:val="001A42F7"/>
    <w:rsid w:val="001A51F5"/>
    <w:rsid w:val="001A54A9"/>
    <w:rsid w:val="001A61F5"/>
    <w:rsid w:val="001A6A73"/>
    <w:rsid w:val="001A70CA"/>
    <w:rsid w:val="001A745E"/>
    <w:rsid w:val="001A7983"/>
    <w:rsid w:val="001A7EAE"/>
    <w:rsid w:val="001B06E9"/>
    <w:rsid w:val="001B0EF2"/>
    <w:rsid w:val="001B1309"/>
    <w:rsid w:val="001B1E78"/>
    <w:rsid w:val="001B2366"/>
    <w:rsid w:val="001B269D"/>
    <w:rsid w:val="001B26B3"/>
    <w:rsid w:val="001B3BAD"/>
    <w:rsid w:val="001B3D84"/>
    <w:rsid w:val="001B3F22"/>
    <w:rsid w:val="001B46CE"/>
    <w:rsid w:val="001B49D1"/>
    <w:rsid w:val="001B4E4A"/>
    <w:rsid w:val="001B5376"/>
    <w:rsid w:val="001B6ACD"/>
    <w:rsid w:val="001B7C66"/>
    <w:rsid w:val="001B7EA6"/>
    <w:rsid w:val="001B7F4A"/>
    <w:rsid w:val="001C0582"/>
    <w:rsid w:val="001C0F3D"/>
    <w:rsid w:val="001C106D"/>
    <w:rsid w:val="001C1935"/>
    <w:rsid w:val="001C1984"/>
    <w:rsid w:val="001C1AF4"/>
    <w:rsid w:val="001C1E3E"/>
    <w:rsid w:val="001C220E"/>
    <w:rsid w:val="001C24E8"/>
    <w:rsid w:val="001C2A3E"/>
    <w:rsid w:val="001C2B73"/>
    <w:rsid w:val="001C2ECE"/>
    <w:rsid w:val="001C3187"/>
    <w:rsid w:val="001C3A2B"/>
    <w:rsid w:val="001C4632"/>
    <w:rsid w:val="001C4A40"/>
    <w:rsid w:val="001C4FA9"/>
    <w:rsid w:val="001C5850"/>
    <w:rsid w:val="001C621E"/>
    <w:rsid w:val="001C6297"/>
    <w:rsid w:val="001C645F"/>
    <w:rsid w:val="001C68F4"/>
    <w:rsid w:val="001C6C11"/>
    <w:rsid w:val="001D0785"/>
    <w:rsid w:val="001D0A42"/>
    <w:rsid w:val="001D1093"/>
    <w:rsid w:val="001D12B9"/>
    <w:rsid w:val="001D21CC"/>
    <w:rsid w:val="001D28E0"/>
    <w:rsid w:val="001D3156"/>
    <w:rsid w:val="001D434A"/>
    <w:rsid w:val="001D4FAD"/>
    <w:rsid w:val="001D53B5"/>
    <w:rsid w:val="001D548E"/>
    <w:rsid w:val="001D5CA4"/>
    <w:rsid w:val="001D5DD4"/>
    <w:rsid w:val="001D615F"/>
    <w:rsid w:val="001D6BA7"/>
    <w:rsid w:val="001D6E1D"/>
    <w:rsid w:val="001D6FBF"/>
    <w:rsid w:val="001D7048"/>
    <w:rsid w:val="001D70DF"/>
    <w:rsid w:val="001D7328"/>
    <w:rsid w:val="001D759E"/>
    <w:rsid w:val="001D793B"/>
    <w:rsid w:val="001D7DBE"/>
    <w:rsid w:val="001E015D"/>
    <w:rsid w:val="001E0A3E"/>
    <w:rsid w:val="001E1065"/>
    <w:rsid w:val="001E11F3"/>
    <w:rsid w:val="001E1579"/>
    <w:rsid w:val="001E1728"/>
    <w:rsid w:val="001E19CB"/>
    <w:rsid w:val="001E1A17"/>
    <w:rsid w:val="001E21F5"/>
    <w:rsid w:val="001E2499"/>
    <w:rsid w:val="001E337E"/>
    <w:rsid w:val="001E39B4"/>
    <w:rsid w:val="001E45D4"/>
    <w:rsid w:val="001E500B"/>
    <w:rsid w:val="001E51A0"/>
    <w:rsid w:val="001E5276"/>
    <w:rsid w:val="001E55CC"/>
    <w:rsid w:val="001E59AF"/>
    <w:rsid w:val="001E63EF"/>
    <w:rsid w:val="001E657B"/>
    <w:rsid w:val="001E657F"/>
    <w:rsid w:val="001E6613"/>
    <w:rsid w:val="001E756E"/>
    <w:rsid w:val="001E7B3D"/>
    <w:rsid w:val="001E7E41"/>
    <w:rsid w:val="001F016A"/>
    <w:rsid w:val="001F0B2C"/>
    <w:rsid w:val="001F0B33"/>
    <w:rsid w:val="001F21D1"/>
    <w:rsid w:val="001F220E"/>
    <w:rsid w:val="001F2332"/>
    <w:rsid w:val="001F2794"/>
    <w:rsid w:val="001F2B23"/>
    <w:rsid w:val="001F2E69"/>
    <w:rsid w:val="001F3105"/>
    <w:rsid w:val="001F326C"/>
    <w:rsid w:val="001F35E0"/>
    <w:rsid w:val="001F3867"/>
    <w:rsid w:val="001F386E"/>
    <w:rsid w:val="001F3BB2"/>
    <w:rsid w:val="001F4B53"/>
    <w:rsid w:val="001F4F13"/>
    <w:rsid w:val="001F5DD0"/>
    <w:rsid w:val="001F5E7B"/>
    <w:rsid w:val="001F61F2"/>
    <w:rsid w:val="001F6321"/>
    <w:rsid w:val="001F6633"/>
    <w:rsid w:val="001F6A32"/>
    <w:rsid w:val="001F7081"/>
    <w:rsid w:val="001F776C"/>
    <w:rsid w:val="001F782C"/>
    <w:rsid w:val="002001AF"/>
    <w:rsid w:val="00200E5D"/>
    <w:rsid w:val="00200FB8"/>
    <w:rsid w:val="002011FA"/>
    <w:rsid w:val="002015CB"/>
    <w:rsid w:val="00201994"/>
    <w:rsid w:val="00201A4D"/>
    <w:rsid w:val="00201C79"/>
    <w:rsid w:val="002025FD"/>
    <w:rsid w:val="00202701"/>
    <w:rsid w:val="00202CD3"/>
    <w:rsid w:val="00203899"/>
    <w:rsid w:val="00203B76"/>
    <w:rsid w:val="00203BCA"/>
    <w:rsid w:val="00203DE9"/>
    <w:rsid w:val="00203FE7"/>
    <w:rsid w:val="0020406A"/>
    <w:rsid w:val="0020420E"/>
    <w:rsid w:val="00204567"/>
    <w:rsid w:val="00205390"/>
    <w:rsid w:val="00205729"/>
    <w:rsid w:val="00205819"/>
    <w:rsid w:val="00205EE0"/>
    <w:rsid w:val="002064AB"/>
    <w:rsid w:val="002073C4"/>
    <w:rsid w:val="00207928"/>
    <w:rsid w:val="00207E3E"/>
    <w:rsid w:val="0021036B"/>
    <w:rsid w:val="00210484"/>
    <w:rsid w:val="0021060E"/>
    <w:rsid w:val="00211D82"/>
    <w:rsid w:val="00212113"/>
    <w:rsid w:val="00212382"/>
    <w:rsid w:val="002129E8"/>
    <w:rsid w:val="00212BC1"/>
    <w:rsid w:val="00213AC2"/>
    <w:rsid w:val="00213C36"/>
    <w:rsid w:val="00214DB3"/>
    <w:rsid w:val="00214F11"/>
    <w:rsid w:val="002155CA"/>
    <w:rsid w:val="00216477"/>
    <w:rsid w:val="002165F8"/>
    <w:rsid w:val="00217150"/>
    <w:rsid w:val="002174C7"/>
    <w:rsid w:val="002179E8"/>
    <w:rsid w:val="00217BE6"/>
    <w:rsid w:val="00217F16"/>
    <w:rsid w:val="00220AA4"/>
    <w:rsid w:val="00220CB0"/>
    <w:rsid w:val="00220D2D"/>
    <w:rsid w:val="002211EE"/>
    <w:rsid w:val="00221A24"/>
    <w:rsid w:val="00221C32"/>
    <w:rsid w:val="00221C5E"/>
    <w:rsid w:val="00222667"/>
    <w:rsid w:val="00222A92"/>
    <w:rsid w:val="002230AB"/>
    <w:rsid w:val="00223819"/>
    <w:rsid w:val="00223AEF"/>
    <w:rsid w:val="00224B59"/>
    <w:rsid w:val="00224FE8"/>
    <w:rsid w:val="0022511D"/>
    <w:rsid w:val="0022561F"/>
    <w:rsid w:val="002256E5"/>
    <w:rsid w:val="00225762"/>
    <w:rsid w:val="002265C3"/>
    <w:rsid w:val="00226DAA"/>
    <w:rsid w:val="00227D07"/>
    <w:rsid w:val="00227EA0"/>
    <w:rsid w:val="00230065"/>
    <w:rsid w:val="00230333"/>
    <w:rsid w:val="00230563"/>
    <w:rsid w:val="00230EB0"/>
    <w:rsid w:val="00230F4D"/>
    <w:rsid w:val="00231917"/>
    <w:rsid w:val="00231C91"/>
    <w:rsid w:val="00231F35"/>
    <w:rsid w:val="00232735"/>
    <w:rsid w:val="00232EB7"/>
    <w:rsid w:val="002332F5"/>
    <w:rsid w:val="002334DF"/>
    <w:rsid w:val="002336DC"/>
    <w:rsid w:val="00233B62"/>
    <w:rsid w:val="00233BD2"/>
    <w:rsid w:val="00233CFB"/>
    <w:rsid w:val="002348E1"/>
    <w:rsid w:val="00234ED4"/>
    <w:rsid w:val="00235536"/>
    <w:rsid w:val="0023553E"/>
    <w:rsid w:val="00235B6E"/>
    <w:rsid w:val="00235F0C"/>
    <w:rsid w:val="00235F33"/>
    <w:rsid w:val="00236117"/>
    <w:rsid w:val="00236305"/>
    <w:rsid w:val="002366EB"/>
    <w:rsid w:val="002375AF"/>
    <w:rsid w:val="002377C5"/>
    <w:rsid w:val="00237A67"/>
    <w:rsid w:val="00237B9B"/>
    <w:rsid w:val="00237FE9"/>
    <w:rsid w:val="002404D9"/>
    <w:rsid w:val="0024063C"/>
    <w:rsid w:val="00240861"/>
    <w:rsid w:val="00241708"/>
    <w:rsid w:val="00241984"/>
    <w:rsid w:val="00241993"/>
    <w:rsid w:val="00242BF7"/>
    <w:rsid w:val="00243083"/>
    <w:rsid w:val="00243477"/>
    <w:rsid w:val="00243B62"/>
    <w:rsid w:val="00243DC4"/>
    <w:rsid w:val="00245505"/>
    <w:rsid w:val="00246013"/>
    <w:rsid w:val="00246466"/>
    <w:rsid w:val="00247230"/>
    <w:rsid w:val="002474EC"/>
    <w:rsid w:val="00247995"/>
    <w:rsid w:val="00247A50"/>
    <w:rsid w:val="00247C8C"/>
    <w:rsid w:val="00247EA1"/>
    <w:rsid w:val="00250BC9"/>
    <w:rsid w:val="00250E8F"/>
    <w:rsid w:val="00251792"/>
    <w:rsid w:val="0025182E"/>
    <w:rsid w:val="002524D7"/>
    <w:rsid w:val="0025340F"/>
    <w:rsid w:val="00254219"/>
    <w:rsid w:val="0025482D"/>
    <w:rsid w:val="00254DA1"/>
    <w:rsid w:val="0025602D"/>
    <w:rsid w:val="00256246"/>
    <w:rsid w:val="00256302"/>
    <w:rsid w:val="002563AB"/>
    <w:rsid w:val="00256FEC"/>
    <w:rsid w:val="002603CD"/>
    <w:rsid w:val="00260B47"/>
    <w:rsid w:val="00261377"/>
    <w:rsid w:val="00261673"/>
    <w:rsid w:val="002616C0"/>
    <w:rsid w:val="00261858"/>
    <w:rsid w:val="00261D85"/>
    <w:rsid w:val="00261D99"/>
    <w:rsid w:val="00261FBD"/>
    <w:rsid w:val="00262748"/>
    <w:rsid w:val="00262AE0"/>
    <w:rsid w:val="002630BA"/>
    <w:rsid w:val="002631A8"/>
    <w:rsid w:val="00263249"/>
    <w:rsid w:val="00263705"/>
    <w:rsid w:val="00263901"/>
    <w:rsid w:val="00263CAF"/>
    <w:rsid w:val="00263E14"/>
    <w:rsid w:val="00263E38"/>
    <w:rsid w:val="00264A0B"/>
    <w:rsid w:val="00264A35"/>
    <w:rsid w:val="00264D70"/>
    <w:rsid w:val="00264EBE"/>
    <w:rsid w:val="00265AB2"/>
    <w:rsid w:val="002666AF"/>
    <w:rsid w:val="00266891"/>
    <w:rsid w:val="00267921"/>
    <w:rsid w:val="00267BAE"/>
    <w:rsid w:val="00267DA5"/>
    <w:rsid w:val="00267EB0"/>
    <w:rsid w:val="00267F50"/>
    <w:rsid w:val="00270899"/>
    <w:rsid w:val="002709D7"/>
    <w:rsid w:val="00271B62"/>
    <w:rsid w:val="002728B3"/>
    <w:rsid w:val="002728B4"/>
    <w:rsid w:val="0027290E"/>
    <w:rsid w:val="00273003"/>
    <w:rsid w:val="00273102"/>
    <w:rsid w:val="002735F5"/>
    <w:rsid w:val="0027378C"/>
    <w:rsid w:val="00273859"/>
    <w:rsid w:val="00273DFB"/>
    <w:rsid w:val="002757F4"/>
    <w:rsid w:val="00275868"/>
    <w:rsid w:val="00275BEF"/>
    <w:rsid w:val="002763C3"/>
    <w:rsid w:val="00276555"/>
    <w:rsid w:val="00277CE0"/>
    <w:rsid w:val="00280471"/>
    <w:rsid w:val="0028059A"/>
    <w:rsid w:val="0028084F"/>
    <w:rsid w:val="00281755"/>
    <w:rsid w:val="00281A57"/>
    <w:rsid w:val="00281AF5"/>
    <w:rsid w:val="00281C2D"/>
    <w:rsid w:val="00281EED"/>
    <w:rsid w:val="00282685"/>
    <w:rsid w:val="002826F9"/>
    <w:rsid w:val="0028308B"/>
    <w:rsid w:val="00283221"/>
    <w:rsid w:val="00283924"/>
    <w:rsid w:val="00284276"/>
    <w:rsid w:val="002844ED"/>
    <w:rsid w:val="00284CC2"/>
    <w:rsid w:val="00285033"/>
    <w:rsid w:val="00285148"/>
    <w:rsid w:val="002852F0"/>
    <w:rsid w:val="00285969"/>
    <w:rsid w:val="002863F6"/>
    <w:rsid w:val="00286754"/>
    <w:rsid w:val="00286F14"/>
    <w:rsid w:val="00286FF1"/>
    <w:rsid w:val="002876C3"/>
    <w:rsid w:val="00287954"/>
    <w:rsid w:val="00290220"/>
    <w:rsid w:val="002910DD"/>
    <w:rsid w:val="00291586"/>
    <w:rsid w:val="00291C11"/>
    <w:rsid w:val="00291D16"/>
    <w:rsid w:val="00291DCC"/>
    <w:rsid w:val="0029266B"/>
    <w:rsid w:val="00292790"/>
    <w:rsid w:val="00292850"/>
    <w:rsid w:val="00292957"/>
    <w:rsid w:val="00292A00"/>
    <w:rsid w:val="00292CEB"/>
    <w:rsid w:val="002931ED"/>
    <w:rsid w:val="00293C94"/>
    <w:rsid w:val="00293D77"/>
    <w:rsid w:val="00293E0D"/>
    <w:rsid w:val="002946E6"/>
    <w:rsid w:val="002946E7"/>
    <w:rsid w:val="002948EA"/>
    <w:rsid w:val="00294990"/>
    <w:rsid w:val="002950C8"/>
    <w:rsid w:val="0029527C"/>
    <w:rsid w:val="0029531C"/>
    <w:rsid w:val="00295378"/>
    <w:rsid w:val="002959D6"/>
    <w:rsid w:val="00295A79"/>
    <w:rsid w:val="0029627E"/>
    <w:rsid w:val="002962DA"/>
    <w:rsid w:val="002963C1"/>
    <w:rsid w:val="00296C25"/>
    <w:rsid w:val="002970B3"/>
    <w:rsid w:val="00297C21"/>
    <w:rsid w:val="00297EA0"/>
    <w:rsid w:val="00297ED2"/>
    <w:rsid w:val="002A12ED"/>
    <w:rsid w:val="002A140D"/>
    <w:rsid w:val="002A1BD7"/>
    <w:rsid w:val="002A2059"/>
    <w:rsid w:val="002A22D2"/>
    <w:rsid w:val="002A3B80"/>
    <w:rsid w:val="002A3C21"/>
    <w:rsid w:val="002A424A"/>
    <w:rsid w:val="002A433D"/>
    <w:rsid w:val="002A48BB"/>
    <w:rsid w:val="002A4C8E"/>
    <w:rsid w:val="002A4DBE"/>
    <w:rsid w:val="002A5454"/>
    <w:rsid w:val="002A55C3"/>
    <w:rsid w:val="002A5734"/>
    <w:rsid w:val="002A5EA9"/>
    <w:rsid w:val="002A611C"/>
    <w:rsid w:val="002A65AC"/>
    <w:rsid w:val="002A69A3"/>
    <w:rsid w:val="002A6A2A"/>
    <w:rsid w:val="002A7223"/>
    <w:rsid w:val="002A74C9"/>
    <w:rsid w:val="002A74EC"/>
    <w:rsid w:val="002A774F"/>
    <w:rsid w:val="002A7D0B"/>
    <w:rsid w:val="002A7D7E"/>
    <w:rsid w:val="002A7F47"/>
    <w:rsid w:val="002B09E2"/>
    <w:rsid w:val="002B0D31"/>
    <w:rsid w:val="002B10A3"/>
    <w:rsid w:val="002B18FB"/>
    <w:rsid w:val="002B1917"/>
    <w:rsid w:val="002B2740"/>
    <w:rsid w:val="002B28E1"/>
    <w:rsid w:val="002B2DFA"/>
    <w:rsid w:val="002B3661"/>
    <w:rsid w:val="002B3D7F"/>
    <w:rsid w:val="002B46D4"/>
    <w:rsid w:val="002B481B"/>
    <w:rsid w:val="002B5F65"/>
    <w:rsid w:val="002B62B5"/>
    <w:rsid w:val="002B6BD1"/>
    <w:rsid w:val="002B78AD"/>
    <w:rsid w:val="002C022B"/>
    <w:rsid w:val="002C0469"/>
    <w:rsid w:val="002C0556"/>
    <w:rsid w:val="002C0758"/>
    <w:rsid w:val="002C08BB"/>
    <w:rsid w:val="002C093E"/>
    <w:rsid w:val="002C1445"/>
    <w:rsid w:val="002C150C"/>
    <w:rsid w:val="002C1587"/>
    <w:rsid w:val="002C161C"/>
    <w:rsid w:val="002C1B6A"/>
    <w:rsid w:val="002C1E27"/>
    <w:rsid w:val="002C270D"/>
    <w:rsid w:val="002C2D32"/>
    <w:rsid w:val="002C2D43"/>
    <w:rsid w:val="002C2EEF"/>
    <w:rsid w:val="002C32B3"/>
    <w:rsid w:val="002C3E08"/>
    <w:rsid w:val="002C3F74"/>
    <w:rsid w:val="002C41DC"/>
    <w:rsid w:val="002C41EF"/>
    <w:rsid w:val="002C5154"/>
    <w:rsid w:val="002C51D6"/>
    <w:rsid w:val="002C5885"/>
    <w:rsid w:val="002C5E56"/>
    <w:rsid w:val="002C64C4"/>
    <w:rsid w:val="002C6537"/>
    <w:rsid w:val="002C6B9C"/>
    <w:rsid w:val="002C6F62"/>
    <w:rsid w:val="002C7699"/>
    <w:rsid w:val="002D0221"/>
    <w:rsid w:val="002D0E4D"/>
    <w:rsid w:val="002D11E3"/>
    <w:rsid w:val="002D165B"/>
    <w:rsid w:val="002D18E3"/>
    <w:rsid w:val="002D1D96"/>
    <w:rsid w:val="002D1DB5"/>
    <w:rsid w:val="002D1DE3"/>
    <w:rsid w:val="002D1F88"/>
    <w:rsid w:val="002D219B"/>
    <w:rsid w:val="002D25BE"/>
    <w:rsid w:val="002D34C9"/>
    <w:rsid w:val="002D3C59"/>
    <w:rsid w:val="002D40D4"/>
    <w:rsid w:val="002D46E6"/>
    <w:rsid w:val="002D4BFF"/>
    <w:rsid w:val="002D4CDC"/>
    <w:rsid w:val="002D4FB8"/>
    <w:rsid w:val="002D528B"/>
    <w:rsid w:val="002D5AC0"/>
    <w:rsid w:val="002D61E6"/>
    <w:rsid w:val="002D7192"/>
    <w:rsid w:val="002D73F0"/>
    <w:rsid w:val="002D7C92"/>
    <w:rsid w:val="002D7CA7"/>
    <w:rsid w:val="002D7D18"/>
    <w:rsid w:val="002E02EB"/>
    <w:rsid w:val="002E06DF"/>
    <w:rsid w:val="002E0F4D"/>
    <w:rsid w:val="002E170E"/>
    <w:rsid w:val="002E17BB"/>
    <w:rsid w:val="002E1A8A"/>
    <w:rsid w:val="002E1C1B"/>
    <w:rsid w:val="002E2CD9"/>
    <w:rsid w:val="002E3018"/>
    <w:rsid w:val="002E32D5"/>
    <w:rsid w:val="002E335C"/>
    <w:rsid w:val="002E3A32"/>
    <w:rsid w:val="002E3EFD"/>
    <w:rsid w:val="002E401D"/>
    <w:rsid w:val="002E43BD"/>
    <w:rsid w:val="002E44EF"/>
    <w:rsid w:val="002E49F8"/>
    <w:rsid w:val="002E4D85"/>
    <w:rsid w:val="002E5B85"/>
    <w:rsid w:val="002E6231"/>
    <w:rsid w:val="002E6886"/>
    <w:rsid w:val="002E68AB"/>
    <w:rsid w:val="002E6ABF"/>
    <w:rsid w:val="002E7017"/>
    <w:rsid w:val="002E77FA"/>
    <w:rsid w:val="002F06BB"/>
    <w:rsid w:val="002F0749"/>
    <w:rsid w:val="002F0C65"/>
    <w:rsid w:val="002F17FF"/>
    <w:rsid w:val="002F1A42"/>
    <w:rsid w:val="002F1FE0"/>
    <w:rsid w:val="002F36EC"/>
    <w:rsid w:val="002F3FCA"/>
    <w:rsid w:val="002F40DE"/>
    <w:rsid w:val="002F415F"/>
    <w:rsid w:val="002F4BE7"/>
    <w:rsid w:val="002F521B"/>
    <w:rsid w:val="002F567A"/>
    <w:rsid w:val="002F5E7B"/>
    <w:rsid w:val="002F60FB"/>
    <w:rsid w:val="002F61AE"/>
    <w:rsid w:val="002F6C7F"/>
    <w:rsid w:val="002F6F77"/>
    <w:rsid w:val="002F6FA3"/>
    <w:rsid w:val="002F710F"/>
    <w:rsid w:val="002F7243"/>
    <w:rsid w:val="002F7AC3"/>
    <w:rsid w:val="003003FE"/>
    <w:rsid w:val="00300415"/>
    <w:rsid w:val="00300CAA"/>
    <w:rsid w:val="00300D8F"/>
    <w:rsid w:val="00300E0A"/>
    <w:rsid w:val="00300EA8"/>
    <w:rsid w:val="00301023"/>
    <w:rsid w:val="003026AC"/>
    <w:rsid w:val="00302D61"/>
    <w:rsid w:val="00302F7A"/>
    <w:rsid w:val="00303489"/>
    <w:rsid w:val="0030356A"/>
    <w:rsid w:val="00303900"/>
    <w:rsid w:val="00303D47"/>
    <w:rsid w:val="003041FD"/>
    <w:rsid w:val="00304BCC"/>
    <w:rsid w:val="00304E70"/>
    <w:rsid w:val="00304F86"/>
    <w:rsid w:val="00305039"/>
    <w:rsid w:val="0030504B"/>
    <w:rsid w:val="00305699"/>
    <w:rsid w:val="00305742"/>
    <w:rsid w:val="003066A4"/>
    <w:rsid w:val="00306874"/>
    <w:rsid w:val="00306DD0"/>
    <w:rsid w:val="00307756"/>
    <w:rsid w:val="00307F79"/>
    <w:rsid w:val="003107E1"/>
    <w:rsid w:val="00310BFC"/>
    <w:rsid w:val="00310DD7"/>
    <w:rsid w:val="00310DF4"/>
    <w:rsid w:val="003114CF"/>
    <w:rsid w:val="00311553"/>
    <w:rsid w:val="0031179A"/>
    <w:rsid w:val="003118F9"/>
    <w:rsid w:val="00311F39"/>
    <w:rsid w:val="00312974"/>
    <w:rsid w:val="00313B39"/>
    <w:rsid w:val="00313CB5"/>
    <w:rsid w:val="00313ED6"/>
    <w:rsid w:val="003145D5"/>
    <w:rsid w:val="00314846"/>
    <w:rsid w:val="00315360"/>
    <w:rsid w:val="00315428"/>
    <w:rsid w:val="003158A9"/>
    <w:rsid w:val="00315D55"/>
    <w:rsid w:val="00315E87"/>
    <w:rsid w:val="003165DA"/>
    <w:rsid w:val="0031669B"/>
    <w:rsid w:val="00316C94"/>
    <w:rsid w:val="00316CFE"/>
    <w:rsid w:val="00316DF0"/>
    <w:rsid w:val="003177D1"/>
    <w:rsid w:val="00317AAC"/>
    <w:rsid w:val="00317DB1"/>
    <w:rsid w:val="003209F1"/>
    <w:rsid w:val="00320CBA"/>
    <w:rsid w:val="00321078"/>
    <w:rsid w:val="003219B2"/>
    <w:rsid w:val="00321DEA"/>
    <w:rsid w:val="00321FB5"/>
    <w:rsid w:val="00322752"/>
    <w:rsid w:val="00322F34"/>
    <w:rsid w:val="003247D2"/>
    <w:rsid w:val="00324977"/>
    <w:rsid w:val="003256BD"/>
    <w:rsid w:val="00325AA4"/>
    <w:rsid w:val="003260E5"/>
    <w:rsid w:val="0032615D"/>
    <w:rsid w:val="00326CBC"/>
    <w:rsid w:val="00326E4E"/>
    <w:rsid w:val="00327421"/>
    <w:rsid w:val="0032773A"/>
    <w:rsid w:val="00327C5F"/>
    <w:rsid w:val="00330359"/>
    <w:rsid w:val="003309AE"/>
    <w:rsid w:val="003312CE"/>
    <w:rsid w:val="00331F71"/>
    <w:rsid w:val="003322BD"/>
    <w:rsid w:val="00332480"/>
    <w:rsid w:val="003328C6"/>
    <w:rsid w:val="00332A96"/>
    <w:rsid w:val="00332BB7"/>
    <w:rsid w:val="00332C99"/>
    <w:rsid w:val="0033362D"/>
    <w:rsid w:val="003342C3"/>
    <w:rsid w:val="00334B1B"/>
    <w:rsid w:val="00334F58"/>
    <w:rsid w:val="0033511D"/>
    <w:rsid w:val="0033525D"/>
    <w:rsid w:val="00335757"/>
    <w:rsid w:val="00335A32"/>
    <w:rsid w:val="00335DE5"/>
    <w:rsid w:val="00335F78"/>
    <w:rsid w:val="00335FED"/>
    <w:rsid w:val="003361A5"/>
    <w:rsid w:val="00336401"/>
    <w:rsid w:val="0033671E"/>
    <w:rsid w:val="00337347"/>
    <w:rsid w:val="00337D88"/>
    <w:rsid w:val="00341087"/>
    <w:rsid w:val="00341612"/>
    <w:rsid w:val="00341D81"/>
    <w:rsid w:val="00342359"/>
    <w:rsid w:val="00342684"/>
    <w:rsid w:val="003426F9"/>
    <w:rsid w:val="00342878"/>
    <w:rsid w:val="00342B25"/>
    <w:rsid w:val="003431DC"/>
    <w:rsid w:val="00343308"/>
    <w:rsid w:val="00343749"/>
    <w:rsid w:val="00343AEB"/>
    <w:rsid w:val="00343CE6"/>
    <w:rsid w:val="00344233"/>
    <w:rsid w:val="0034425A"/>
    <w:rsid w:val="003450FC"/>
    <w:rsid w:val="00345482"/>
    <w:rsid w:val="00345783"/>
    <w:rsid w:val="00345B2F"/>
    <w:rsid w:val="00345FEC"/>
    <w:rsid w:val="003460AD"/>
    <w:rsid w:val="0034616E"/>
    <w:rsid w:val="00346484"/>
    <w:rsid w:val="00346BB5"/>
    <w:rsid w:val="003474C1"/>
    <w:rsid w:val="00347904"/>
    <w:rsid w:val="003502A7"/>
    <w:rsid w:val="00350328"/>
    <w:rsid w:val="00350F9B"/>
    <w:rsid w:val="0035100E"/>
    <w:rsid w:val="00351069"/>
    <w:rsid w:val="00351435"/>
    <w:rsid w:val="00351863"/>
    <w:rsid w:val="00351C5B"/>
    <w:rsid w:val="0035274D"/>
    <w:rsid w:val="003527A4"/>
    <w:rsid w:val="00352A3C"/>
    <w:rsid w:val="00353348"/>
    <w:rsid w:val="0035382B"/>
    <w:rsid w:val="003538E0"/>
    <w:rsid w:val="003539A2"/>
    <w:rsid w:val="00353C94"/>
    <w:rsid w:val="003541EE"/>
    <w:rsid w:val="0035476F"/>
    <w:rsid w:val="003553BD"/>
    <w:rsid w:val="00355AE9"/>
    <w:rsid w:val="0035626C"/>
    <w:rsid w:val="00356333"/>
    <w:rsid w:val="003564B4"/>
    <w:rsid w:val="00356578"/>
    <w:rsid w:val="00356E07"/>
    <w:rsid w:val="003573E1"/>
    <w:rsid w:val="00357595"/>
    <w:rsid w:val="00357C61"/>
    <w:rsid w:val="00357FEE"/>
    <w:rsid w:val="00360DC5"/>
    <w:rsid w:val="00361301"/>
    <w:rsid w:val="0036137E"/>
    <w:rsid w:val="0036178E"/>
    <w:rsid w:val="00361B09"/>
    <w:rsid w:val="00361B7A"/>
    <w:rsid w:val="0036206D"/>
    <w:rsid w:val="0036334B"/>
    <w:rsid w:val="003635C5"/>
    <w:rsid w:val="003635DC"/>
    <w:rsid w:val="00363B45"/>
    <w:rsid w:val="00363F0A"/>
    <w:rsid w:val="00363FEF"/>
    <w:rsid w:val="003644C7"/>
    <w:rsid w:val="00364870"/>
    <w:rsid w:val="00364DCE"/>
    <w:rsid w:val="0036553E"/>
    <w:rsid w:val="003658EE"/>
    <w:rsid w:val="00365E7E"/>
    <w:rsid w:val="00367524"/>
    <w:rsid w:val="0036765A"/>
    <w:rsid w:val="00367E20"/>
    <w:rsid w:val="00367E48"/>
    <w:rsid w:val="0037053E"/>
    <w:rsid w:val="0037076A"/>
    <w:rsid w:val="00370CAE"/>
    <w:rsid w:val="00370D3B"/>
    <w:rsid w:val="00371178"/>
    <w:rsid w:val="0037124B"/>
    <w:rsid w:val="0037152B"/>
    <w:rsid w:val="0037166F"/>
    <w:rsid w:val="003719E9"/>
    <w:rsid w:val="00372611"/>
    <w:rsid w:val="0037293B"/>
    <w:rsid w:val="00373433"/>
    <w:rsid w:val="00373806"/>
    <w:rsid w:val="00373FF0"/>
    <w:rsid w:val="00374436"/>
    <w:rsid w:val="00374EC7"/>
    <w:rsid w:val="00374FA2"/>
    <w:rsid w:val="00375091"/>
    <w:rsid w:val="00375917"/>
    <w:rsid w:val="00375F54"/>
    <w:rsid w:val="00376126"/>
    <w:rsid w:val="0037613D"/>
    <w:rsid w:val="00376ECF"/>
    <w:rsid w:val="00377058"/>
    <w:rsid w:val="003778F7"/>
    <w:rsid w:val="0037793E"/>
    <w:rsid w:val="00377ADD"/>
    <w:rsid w:val="0038009C"/>
    <w:rsid w:val="003806A1"/>
    <w:rsid w:val="00380A67"/>
    <w:rsid w:val="00380CAB"/>
    <w:rsid w:val="00381A6B"/>
    <w:rsid w:val="00381BD2"/>
    <w:rsid w:val="00381CD8"/>
    <w:rsid w:val="00381E56"/>
    <w:rsid w:val="00381EFD"/>
    <w:rsid w:val="0038211D"/>
    <w:rsid w:val="0038212E"/>
    <w:rsid w:val="00382618"/>
    <w:rsid w:val="00382682"/>
    <w:rsid w:val="003826C7"/>
    <w:rsid w:val="003831CE"/>
    <w:rsid w:val="00383EE4"/>
    <w:rsid w:val="00384709"/>
    <w:rsid w:val="00384B57"/>
    <w:rsid w:val="00384F4B"/>
    <w:rsid w:val="0038542A"/>
    <w:rsid w:val="0038542F"/>
    <w:rsid w:val="00385898"/>
    <w:rsid w:val="00385AEE"/>
    <w:rsid w:val="00385CA0"/>
    <w:rsid w:val="00385D98"/>
    <w:rsid w:val="00386123"/>
    <w:rsid w:val="00386E7B"/>
    <w:rsid w:val="00387A3E"/>
    <w:rsid w:val="00387B59"/>
    <w:rsid w:val="00387F29"/>
    <w:rsid w:val="00387FB6"/>
    <w:rsid w:val="00390328"/>
    <w:rsid w:val="00390A71"/>
    <w:rsid w:val="003914FB"/>
    <w:rsid w:val="003916FA"/>
    <w:rsid w:val="003917BB"/>
    <w:rsid w:val="00391A61"/>
    <w:rsid w:val="00391D0C"/>
    <w:rsid w:val="00392821"/>
    <w:rsid w:val="003929E5"/>
    <w:rsid w:val="00392B4B"/>
    <w:rsid w:val="00392FA3"/>
    <w:rsid w:val="00393891"/>
    <w:rsid w:val="00393FEF"/>
    <w:rsid w:val="003940FD"/>
    <w:rsid w:val="00394310"/>
    <w:rsid w:val="00394505"/>
    <w:rsid w:val="00394DBC"/>
    <w:rsid w:val="00394DDC"/>
    <w:rsid w:val="00395A8F"/>
    <w:rsid w:val="00396135"/>
    <w:rsid w:val="003965B0"/>
    <w:rsid w:val="00396733"/>
    <w:rsid w:val="00397524"/>
    <w:rsid w:val="00397B0B"/>
    <w:rsid w:val="00397F25"/>
    <w:rsid w:val="00397FC5"/>
    <w:rsid w:val="00397FE6"/>
    <w:rsid w:val="003A05F5"/>
    <w:rsid w:val="003A09E5"/>
    <w:rsid w:val="003A0FD8"/>
    <w:rsid w:val="003A1349"/>
    <w:rsid w:val="003A202A"/>
    <w:rsid w:val="003A2048"/>
    <w:rsid w:val="003A2255"/>
    <w:rsid w:val="003A23D5"/>
    <w:rsid w:val="003A2809"/>
    <w:rsid w:val="003A288E"/>
    <w:rsid w:val="003A2B05"/>
    <w:rsid w:val="003A3A21"/>
    <w:rsid w:val="003A3E1E"/>
    <w:rsid w:val="003A3E8E"/>
    <w:rsid w:val="003A42EF"/>
    <w:rsid w:val="003A4F11"/>
    <w:rsid w:val="003A54E4"/>
    <w:rsid w:val="003A55A4"/>
    <w:rsid w:val="003A55DB"/>
    <w:rsid w:val="003A59F4"/>
    <w:rsid w:val="003A62F0"/>
    <w:rsid w:val="003A662C"/>
    <w:rsid w:val="003A6CE2"/>
    <w:rsid w:val="003A6E5D"/>
    <w:rsid w:val="003A7349"/>
    <w:rsid w:val="003A7441"/>
    <w:rsid w:val="003A795B"/>
    <w:rsid w:val="003A79E5"/>
    <w:rsid w:val="003A7F2F"/>
    <w:rsid w:val="003B0925"/>
    <w:rsid w:val="003B14D3"/>
    <w:rsid w:val="003B154C"/>
    <w:rsid w:val="003B1BC3"/>
    <w:rsid w:val="003B1ECD"/>
    <w:rsid w:val="003B25C2"/>
    <w:rsid w:val="003B2A9C"/>
    <w:rsid w:val="003B31B9"/>
    <w:rsid w:val="003B3708"/>
    <w:rsid w:val="003B38A8"/>
    <w:rsid w:val="003B454A"/>
    <w:rsid w:val="003B4A3E"/>
    <w:rsid w:val="003B4AD5"/>
    <w:rsid w:val="003B4F76"/>
    <w:rsid w:val="003B50C8"/>
    <w:rsid w:val="003B535B"/>
    <w:rsid w:val="003B544A"/>
    <w:rsid w:val="003B5868"/>
    <w:rsid w:val="003B5A0D"/>
    <w:rsid w:val="003B5A41"/>
    <w:rsid w:val="003B5CDE"/>
    <w:rsid w:val="003B5D3D"/>
    <w:rsid w:val="003B620A"/>
    <w:rsid w:val="003B667C"/>
    <w:rsid w:val="003B677B"/>
    <w:rsid w:val="003B6B57"/>
    <w:rsid w:val="003B708B"/>
    <w:rsid w:val="003B74E6"/>
    <w:rsid w:val="003B7A3C"/>
    <w:rsid w:val="003B7CBA"/>
    <w:rsid w:val="003B7DC6"/>
    <w:rsid w:val="003C0434"/>
    <w:rsid w:val="003C0B8A"/>
    <w:rsid w:val="003C0F08"/>
    <w:rsid w:val="003C1C0D"/>
    <w:rsid w:val="003C1D61"/>
    <w:rsid w:val="003C24F0"/>
    <w:rsid w:val="003C2849"/>
    <w:rsid w:val="003C2EB0"/>
    <w:rsid w:val="003C36F2"/>
    <w:rsid w:val="003C3BCA"/>
    <w:rsid w:val="003C3E5C"/>
    <w:rsid w:val="003C4DD3"/>
    <w:rsid w:val="003C4E2E"/>
    <w:rsid w:val="003C53BA"/>
    <w:rsid w:val="003C5CC7"/>
    <w:rsid w:val="003C61C3"/>
    <w:rsid w:val="003C624E"/>
    <w:rsid w:val="003C67C7"/>
    <w:rsid w:val="003C67D4"/>
    <w:rsid w:val="003C681C"/>
    <w:rsid w:val="003C68A3"/>
    <w:rsid w:val="003C6BC0"/>
    <w:rsid w:val="003C6E3A"/>
    <w:rsid w:val="003C6F11"/>
    <w:rsid w:val="003C719D"/>
    <w:rsid w:val="003C7247"/>
    <w:rsid w:val="003C734D"/>
    <w:rsid w:val="003D08BF"/>
    <w:rsid w:val="003D099F"/>
    <w:rsid w:val="003D153C"/>
    <w:rsid w:val="003D182B"/>
    <w:rsid w:val="003D1AAE"/>
    <w:rsid w:val="003D1BE3"/>
    <w:rsid w:val="003D2730"/>
    <w:rsid w:val="003D285F"/>
    <w:rsid w:val="003D4957"/>
    <w:rsid w:val="003D49E5"/>
    <w:rsid w:val="003D57A8"/>
    <w:rsid w:val="003D5A9C"/>
    <w:rsid w:val="003D64F1"/>
    <w:rsid w:val="003D6D11"/>
    <w:rsid w:val="003D7502"/>
    <w:rsid w:val="003E03DB"/>
    <w:rsid w:val="003E10E0"/>
    <w:rsid w:val="003E1CCB"/>
    <w:rsid w:val="003E1D2C"/>
    <w:rsid w:val="003E26E2"/>
    <w:rsid w:val="003E32F2"/>
    <w:rsid w:val="003E37DC"/>
    <w:rsid w:val="003E3A9A"/>
    <w:rsid w:val="003E4055"/>
    <w:rsid w:val="003E41CC"/>
    <w:rsid w:val="003E52C8"/>
    <w:rsid w:val="003E5A4C"/>
    <w:rsid w:val="003E6441"/>
    <w:rsid w:val="003E6A2D"/>
    <w:rsid w:val="003E6C53"/>
    <w:rsid w:val="003E6E74"/>
    <w:rsid w:val="003E7095"/>
    <w:rsid w:val="003E745C"/>
    <w:rsid w:val="003E7925"/>
    <w:rsid w:val="003E795E"/>
    <w:rsid w:val="003E7F45"/>
    <w:rsid w:val="003F002B"/>
    <w:rsid w:val="003F0114"/>
    <w:rsid w:val="003F055C"/>
    <w:rsid w:val="003F06AB"/>
    <w:rsid w:val="003F0833"/>
    <w:rsid w:val="003F0A9B"/>
    <w:rsid w:val="003F1B10"/>
    <w:rsid w:val="003F1DC4"/>
    <w:rsid w:val="003F1E97"/>
    <w:rsid w:val="003F2750"/>
    <w:rsid w:val="003F27F2"/>
    <w:rsid w:val="003F606E"/>
    <w:rsid w:val="003F6B4D"/>
    <w:rsid w:val="003F6CF5"/>
    <w:rsid w:val="003F79E6"/>
    <w:rsid w:val="003F7C64"/>
    <w:rsid w:val="0040017E"/>
    <w:rsid w:val="00400309"/>
    <w:rsid w:val="00400675"/>
    <w:rsid w:val="004007C6"/>
    <w:rsid w:val="004008BB"/>
    <w:rsid w:val="00400AEC"/>
    <w:rsid w:val="00400CD3"/>
    <w:rsid w:val="00401071"/>
    <w:rsid w:val="00401893"/>
    <w:rsid w:val="00401E0B"/>
    <w:rsid w:val="00402074"/>
    <w:rsid w:val="004034C4"/>
    <w:rsid w:val="004034E1"/>
    <w:rsid w:val="004036EC"/>
    <w:rsid w:val="0040372C"/>
    <w:rsid w:val="00403960"/>
    <w:rsid w:val="0040431F"/>
    <w:rsid w:val="004052E2"/>
    <w:rsid w:val="004053FF"/>
    <w:rsid w:val="004054AF"/>
    <w:rsid w:val="004057A9"/>
    <w:rsid w:val="004057F7"/>
    <w:rsid w:val="00405D2B"/>
    <w:rsid w:val="00405F0F"/>
    <w:rsid w:val="004064D7"/>
    <w:rsid w:val="00406658"/>
    <w:rsid w:val="0040706D"/>
    <w:rsid w:val="00407318"/>
    <w:rsid w:val="00407531"/>
    <w:rsid w:val="00410C3E"/>
    <w:rsid w:val="00410E7C"/>
    <w:rsid w:val="00411D3A"/>
    <w:rsid w:val="00412021"/>
    <w:rsid w:val="00412277"/>
    <w:rsid w:val="00412C77"/>
    <w:rsid w:val="004133F0"/>
    <w:rsid w:val="0041356B"/>
    <w:rsid w:val="00413887"/>
    <w:rsid w:val="00413997"/>
    <w:rsid w:val="00413A78"/>
    <w:rsid w:val="00413D8B"/>
    <w:rsid w:val="00413DAF"/>
    <w:rsid w:val="00414639"/>
    <w:rsid w:val="00414685"/>
    <w:rsid w:val="00414C5D"/>
    <w:rsid w:val="00414D46"/>
    <w:rsid w:val="00415AF7"/>
    <w:rsid w:val="00415D64"/>
    <w:rsid w:val="00415EEF"/>
    <w:rsid w:val="00416801"/>
    <w:rsid w:val="00416864"/>
    <w:rsid w:val="0041690F"/>
    <w:rsid w:val="00417190"/>
    <w:rsid w:val="0041751A"/>
    <w:rsid w:val="00417557"/>
    <w:rsid w:val="00420DDD"/>
    <w:rsid w:val="00421300"/>
    <w:rsid w:val="00421791"/>
    <w:rsid w:val="004221BB"/>
    <w:rsid w:val="004236FA"/>
    <w:rsid w:val="00423B61"/>
    <w:rsid w:val="00424902"/>
    <w:rsid w:val="00424D39"/>
    <w:rsid w:val="0042526A"/>
    <w:rsid w:val="004254D1"/>
    <w:rsid w:val="00425A9F"/>
    <w:rsid w:val="00425B07"/>
    <w:rsid w:val="004260FD"/>
    <w:rsid w:val="0042662A"/>
    <w:rsid w:val="004266B6"/>
    <w:rsid w:val="0042674E"/>
    <w:rsid w:val="00426B9B"/>
    <w:rsid w:val="00426D3A"/>
    <w:rsid w:val="004278EF"/>
    <w:rsid w:val="00427A4E"/>
    <w:rsid w:val="00427CB3"/>
    <w:rsid w:val="0043191A"/>
    <w:rsid w:val="004326A1"/>
    <w:rsid w:val="004326E2"/>
    <w:rsid w:val="00433482"/>
    <w:rsid w:val="00434A71"/>
    <w:rsid w:val="00434CF4"/>
    <w:rsid w:val="00434DF9"/>
    <w:rsid w:val="0043570A"/>
    <w:rsid w:val="00435771"/>
    <w:rsid w:val="00435CFA"/>
    <w:rsid w:val="004378B9"/>
    <w:rsid w:val="0044002F"/>
    <w:rsid w:val="004403D9"/>
    <w:rsid w:val="00441584"/>
    <w:rsid w:val="00441589"/>
    <w:rsid w:val="004424F6"/>
    <w:rsid w:val="004424F8"/>
    <w:rsid w:val="00442C0F"/>
    <w:rsid w:val="0044394A"/>
    <w:rsid w:val="00443B7E"/>
    <w:rsid w:val="00443EBF"/>
    <w:rsid w:val="004442DC"/>
    <w:rsid w:val="004443C0"/>
    <w:rsid w:val="00444786"/>
    <w:rsid w:val="004458A9"/>
    <w:rsid w:val="00445912"/>
    <w:rsid w:val="00446324"/>
    <w:rsid w:val="004463B4"/>
    <w:rsid w:val="004477BD"/>
    <w:rsid w:val="00447C43"/>
    <w:rsid w:val="00450268"/>
    <w:rsid w:val="0045037F"/>
    <w:rsid w:val="0045046D"/>
    <w:rsid w:val="00450EC2"/>
    <w:rsid w:val="00451B60"/>
    <w:rsid w:val="0045241C"/>
    <w:rsid w:val="00452BEA"/>
    <w:rsid w:val="00452CB6"/>
    <w:rsid w:val="00452F84"/>
    <w:rsid w:val="00453BD8"/>
    <w:rsid w:val="00453E78"/>
    <w:rsid w:val="004541CC"/>
    <w:rsid w:val="0045469E"/>
    <w:rsid w:val="0045538E"/>
    <w:rsid w:val="004553C8"/>
    <w:rsid w:val="00455495"/>
    <w:rsid w:val="004555C5"/>
    <w:rsid w:val="00455DE5"/>
    <w:rsid w:val="0045610B"/>
    <w:rsid w:val="00456370"/>
    <w:rsid w:val="00456429"/>
    <w:rsid w:val="00456521"/>
    <w:rsid w:val="00456800"/>
    <w:rsid w:val="0045693B"/>
    <w:rsid w:val="0045698F"/>
    <w:rsid w:val="00456A66"/>
    <w:rsid w:val="004603B6"/>
    <w:rsid w:val="00460F00"/>
    <w:rsid w:val="00461558"/>
    <w:rsid w:val="004623D6"/>
    <w:rsid w:val="00462679"/>
    <w:rsid w:val="00462B07"/>
    <w:rsid w:val="00463412"/>
    <w:rsid w:val="004641E1"/>
    <w:rsid w:val="004645BA"/>
    <w:rsid w:val="00464602"/>
    <w:rsid w:val="00464619"/>
    <w:rsid w:val="00464DDC"/>
    <w:rsid w:val="00465412"/>
    <w:rsid w:val="00465418"/>
    <w:rsid w:val="0046590B"/>
    <w:rsid w:val="00466534"/>
    <w:rsid w:val="0046728D"/>
    <w:rsid w:val="00467639"/>
    <w:rsid w:val="00467B9E"/>
    <w:rsid w:val="00470EBC"/>
    <w:rsid w:val="00471A0E"/>
    <w:rsid w:val="00471D7E"/>
    <w:rsid w:val="004730A1"/>
    <w:rsid w:val="004736D6"/>
    <w:rsid w:val="004740E3"/>
    <w:rsid w:val="00474903"/>
    <w:rsid w:val="00474907"/>
    <w:rsid w:val="00474DD7"/>
    <w:rsid w:val="00474EFE"/>
    <w:rsid w:val="00475086"/>
    <w:rsid w:val="004761E3"/>
    <w:rsid w:val="004766D0"/>
    <w:rsid w:val="004767E4"/>
    <w:rsid w:val="004776A5"/>
    <w:rsid w:val="004779EF"/>
    <w:rsid w:val="00477CA8"/>
    <w:rsid w:val="00480405"/>
    <w:rsid w:val="00480806"/>
    <w:rsid w:val="004819F6"/>
    <w:rsid w:val="00482193"/>
    <w:rsid w:val="00482532"/>
    <w:rsid w:val="00482FEE"/>
    <w:rsid w:val="00483699"/>
    <w:rsid w:val="00483A4E"/>
    <w:rsid w:val="004842D6"/>
    <w:rsid w:val="00484420"/>
    <w:rsid w:val="004847A4"/>
    <w:rsid w:val="00484BEB"/>
    <w:rsid w:val="00484E7F"/>
    <w:rsid w:val="00485260"/>
    <w:rsid w:val="00485F74"/>
    <w:rsid w:val="00486072"/>
    <w:rsid w:val="00486FFD"/>
    <w:rsid w:val="004871B1"/>
    <w:rsid w:val="004872D9"/>
    <w:rsid w:val="00487B86"/>
    <w:rsid w:val="00487D2D"/>
    <w:rsid w:val="00487D9F"/>
    <w:rsid w:val="0049003B"/>
    <w:rsid w:val="00490CAD"/>
    <w:rsid w:val="00490FC0"/>
    <w:rsid w:val="00491C05"/>
    <w:rsid w:val="00491C57"/>
    <w:rsid w:val="00491DF9"/>
    <w:rsid w:val="004920BA"/>
    <w:rsid w:val="00492167"/>
    <w:rsid w:val="00492857"/>
    <w:rsid w:val="00492CC4"/>
    <w:rsid w:val="00493514"/>
    <w:rsid w:val="00493AB2"/>
    <w:rsid w:val="00494E08"/>
    <w:rsid w:val="00495E33"/>
    <w:rsid w:val="00495E3F"/>
    <w:rsid w:val="00496E17"/>
    <w:rsid w:val="004970A8"/>
    <w:rsid w:val="004976CF"/>
    <w:rsid w:val="00497BB0"/>
    <w:rsid w:val="00497BF3"/>
    <w:rsid w:val="00497E32"/>
    <w:rsid w:val="004A01AB"/>
    <w:rsid w:val="004A0257"/>
    <w:rsid w:val="004A026B"/>
    <w:rsid w:val="004A1A06"/>
    <w:rsid w:val="004A1A74"/>
    <w:rsid w:val="004A1C8A"/>
    <w:rsid w:val="004A1F6B"/>
    <w:rsid w:val="004A214A"/>
    <w:rsid w:val="004A2A6D"/>
    <w:rsid w:val="004A2C83"/>
    <w:rsid w:val="004A42DA"/>
    <w:rsid w:val="004A44D6"/>
    <w:rsid w:val="004A45BC"/>
    <w:rsid w:val="004A4EFB"/>
    <w:rsid w:val="004A5171"/>
    <w:rsid w:val="004A542F"/>
    <w:rsid w:val="004A5521"/>
    <w:rsid w:val="004A56AE"/>
    <w:rsid w:val="004A64B7"/>
    <w:rsid w:val="004A6E68"/>
    <w:rsid w:val="004A6E74"/>
    <w:rsid w:val="004A6F04"/>
    <w:rsid w:val="004B0DD0"/>
    <w:rsid w:val="004B0E83"/>
    <w:rsid w:val="004B1731"/>
    <w:rsid w:val="004B1A49"/>
    <w:rsid w:val="004B222D"/>
    <w:rsid w:val="004B25CE"/>
    <w:rsid w:val="004B26C6"/>
    <w:rsid w:val="004B2777"/>
    <w:rsid w:val="004B282D"/>
    <w:rsid w:val="004B2968"/>
    <w:rsid w:val="004B29F8"/>
    <w:rsid w:val="004B2A13"/>
    <w:rsid w:val="004B372B"/>
    <w:rsid w:val="004B4D61"/>
    <w:rsid w:val="004B4EA2"/>
    <w:rsid w:val="004B537D"/>
    <w:rsid w:val="004B58FA"/>
    <w:rsid w:val="004B5AE2"/>
    <w:rsid w:val="004B625D"/>
    <w:rsid w:val="004B63DB"/>
    <w:rsid w:val="004B6578"/>
    <w:rsid w:val="004B66D7"/>
    <w:rsid w:val="004B69CE"/>
    <w:rsid w:val="004B6A3E"/>
    <w:rsid w:val="004B6D8B"/>
    <w:rsid w:val="004B7875"/>
    <w:rsid w:val="004C15F8"/>
    <w:rsid w:val="004C16CC"/>
    <w:rsid w:val="004C16FB"/>
    <w:rsid w:val="004C1C02"/>
    <w:rsid w:val="004C1F16"/>
    <w:rsid w:val="004C2724"/>
    <w:rsid w:val="004C2B80"/>
    <w:rsid w:val="004C2CF3"/>
    <w:rsid w:val="004C2E92"/>
    <w:rsid w:val="004C36C2"/>
    <w:rsid w:val="004C39FF"/>
    <w:rsid w:val="004C3C04"/>
    <w:rsid w:val="004C572D"/>
    <w:rsid w:val="004C58ED"/>
    <w:rsid w:val="004C5920"/>
    <w:rsid w:val="004C5F04"/>
    <w:rsid w:val="004C663F"/>
    <w:rsid w:val="004C7156"/>
    <w:rsid w:val="004C73B7"/>
    <w:rsid w:val="004C79DC"/>
    <w:rsid w:val="004C7A15"/>
    <w:rsid w:val="004C7A6F"/>
    <w:rsid w:val="004C7E5F"/>
    <w:rsid w:val="004D0011"/>
    <w:rsid w:val="004D0171"/>
    <w:rsid w:val="004D1333"/>
    <w:rsid w:val="004D18DE"/>
    <w:rsid w:val="004D1C6F"/>
    <w:rsid w:val="004D1C73"/>
    <w:rsid w:val="004D24AC"/>
    <w:rsid w:val="004D288F"/>
    <w:rsid w:val="004D28DB"/>
    <w:rsid w:val="004D292E"/>
    <w:rsid w:val="004D2B25"/>
    <w:rsid w:val="004D2F8F"/>
    <w:rsid w:val="004D36BB"/>
    <w:rsid w:val="004D467B"/>
    <w:rsid w:val="004D4736"/>
    <w:rsid w:val="004D4FBC"/>
    <w:rsid w:val="004D50D4"/>
    <w:rsid w:val="004D580B"/>
    <w:rsid w:val="004D5ACC"/>
    <w:rsid w:val="004D5B9D"/>
    <w:rsid w:val="004D6D22"/>
    <w:rsid w:val="004D75C0"/>
    <w:rsid w:val="004E0724"/>
    <w:rsid w:val="004E1D2B"/>
    <w:rsid w:val="004E1E7B"/>
    <w:rsid w:val="004E1F3E"/>
    <w:rsid w:val="004E2151"/>
    <w:rsid w:val="004E228C"/>
    <w:rsid w:val="004E24A0"/>
    <w:rsid w:val="004E2C93"/>
    <w:rsid w:val="004E30DE"/>
    <w:rsid w:val="004E4597"/>
    <w:rsid w:val="004E4B52"/>
    <w:rsid w:val="004E4DDA"/>
    <w:rsid w:val="004E57C2"/>
    <w:rsid w:val="004E5C0C"/>
    <w:rsid w:val="004E64AE"/>
    <w:rsid w:val="004E7178"/>
    <w:rsid w:val="004E7999"/>
    <w:rsid w:val="004E7AC6"/>
    <w:rsid w:val="004F0103"/>
    <w:rsid w:val="004F0C31"/>
    <w:rsid w:val="004F1031"/>
    <w:rsid w:val="004F1BA0"/>
    <w:rsid w:val="004F21B7"/>
    <w:rsid w:val="004F2A57"/>
    <w:rsid w:val="004F2B40"/>
    <w:rsid w:val="004F2C13"/>
    <w:rsid w:val="004F3158"/>
    <w:rsid w:val="004F31AE"/>
    <w:rsid w:val="004F3466"/>
    <w:rsid w:val="004F45B4"/>
    <w:rsid w:val="004F4E11"/>
    <w:rsid w:val="004F4E99"/>
    <w:rsid w:val="004F55D0"/>
    <w:rsid w:val="004F6818"/>
    <w:rsid w:val="004F6965"/>
    <w:rsid w:val="004F717E"/>
    <w:rsid w:val="004F7190"/>
    <w:rsid w:val="004F742C"/>
    <w:rsid w:val="005000E2"/>
    <w:rsid w:val="00500121"/>
    <w:rsid w:val="00500368"/>
    <w:rsid w:val="0050101C"/>
    <w:rsid w:val="00501DA0"/>
    <w:rsid w:val="005021A8"/>
    <w:rsid w:val="0050276F"/>
    <w:rsid w:val="005036AA"/>
    <w:rsid w:val="00503959"/>
    <w:rsid w:val="005040E0"/>
    <w:rsid w:val="0050415B"/>
    <w:rsid w:val="00504505"/>
    <w:rsid w:val="00504823"/>
    <w:rsid w:val="005048BF"/>
    <w:rsid w:val="00504B57"/>
    <w:rsid w:val="00504C42"/>
    <w:rsid w:val="00504CF4"/>
    <w:rsid w:val="005054EB"/>
    <w:rsid w:val="00505B27"/>
    <w:rsid w:val="00506024"/>
    <w:rsid w:val="00506074"/>
    <w:rsid w:val="0050670F"/>
    <w:rsid w:val="005068F6"/>
    <w:rsid w:val="005068F9"/>
    <w:rsid w:val="005070F8"/>
    <w:rsid w:val="00507194"/>
    <w:rsid w:val="00510403"/>
    <w:rsid w:val="0051057E"/>
    <w:rsid w:val="00510A6C"/>
    <w:rsid w:val="00511282"/>
    <w:rsid w:val="00511336"/>
    <w:rsid w:val="00511BF4"/>
    <w:rsid w:val="0051275F"/>
    <w:rsid w:val="0051300D"/>
    <w:rsid w:val="00513AE2"/>
    <w:rsid w:val="00514107"/>
    <w:rsid w:val="00514348"/>
    <w:rsid w:val="00514AA1"/>
    <w:rsid w:val="00515050"/>
    <w:rsid w:val="0051522A"/>
    <w:rsid w:val="00515A6A"/>
    <w:rsid w:val="0051644F"/>
    <w:rsid w:val="00516476"/>
    <w:rsid w:val="00516563"/>
    <w:rsid w:val="00517561"/>
    <w:rsid w:val="005176AC"/>
    <w:rsid w:val="00517A9B"/>
    <w:rsid w:val="00517C03"/>
    <w:rsid w:val="00517E8E"/>
    <w:rsid w:val="00517FCA"/>
    <w:rsid w:val="00517FFC"/>
    <w:rsid w:val="00520123"/>
    <w:rsid w:val="00520633"/>
    <w:rsid w:val="0052067A"/>
    <w:rsid w:val="00520830"/>
    <w:rsid w:val="00520D7B"/>
    <w:rsid w:val="00521119"/>
    <w:rsid w:val="0052116D"/>
    <w:rsid w:val="00521722"/>
    <w:rsid w:val="00521E6B"/>
    <w:rsid w:val="005221C8"/>
    <w:rsid w:val="00522412"/>
    <w:rsid w:val="00523058"/>
    <w:rsid w:val="005237D6"/>
    <w:rsid w:val="00523ACD"/>
    <w:rsid w:val="00523D25"/>
    <w:rsid w:val="00523D67"/>
    <w:rsid w:val="00523F57"/>
    <w:rsid w:val="00524288"/>
    <w:rsid w:val="00524295"/>
    <w:rsid w:val="00524961"/>
    <w:rsid w:val="00524A6D"/>
    <w:rsid w:val="00524C41"/>
    <w:rsid w:val="00524D37"/>
    <w:rsid w:val="00525473"/>
    <w:rsid w:val="005255C4"/>
    <w:rsid w:val="00525AA5"/>
    <w:rsid w:val="00525D87"/>
    <w:rsid w:val="00526265"/>
    <w:rsid w:val="005266AF"/>
    <w:rsid w:val="00526CDB"/>
    <w:rsid w:val="005277B2"/>
    <w:rsid w:val="00527960"/>
    <w:rsid w:val="00527EE1"/>
    <w:rsid w:val="0053043D"/>
    <w:rsid w:val="005304BA"/>
    <w:rsid w:val="005314AE"/>
    <w:rsid w:val="0053158B"/>
    <w:rsid w:val="00531886"/>
    <w:rsid w:val="005318F5"/>
    <w:rsid w:val="00531D40"/>
    <w:rsid w:val="00531EEA"/>
    <w:rsid w:val="00532045"/>
    <w:rsid w:val="005326C8"/>
    <w:rsid w:val="00532A49"/>
    <w:rsid w:val="00533169"/>
    <w:rsid w:val="00533578"/>
    <w:rsid w:val="005337CF"/>
    <w:rsid w:val="00533C54"/>
    <w:rsid w:val="005344D0"/>
    <w:rsid w:val="0053504C"/>
    <w:rsid w:val="00535068"/>
    <w:rsid w:val="00535B35"/>
    <w:rsid w:val="00535FFC"/>
    <w:rsid w:val="0053615F"/>
    <w:rsid w:val="00536632"/>
    <w:rsid w:val="00536F17"/>
    <w:rsid w:val="0053735C"/>
    <w:rsid w:val="00537481"/>
    <w:rsid w:val="00537615"/>
    <w:rsid w:val="00537C07"/>
    <w:rsid w:val="0054030F"/>
    <w:rsid w:val="00540A00"/>
    <w:rsid w:val="00540F79"/>
    <w:rsid w:val="005414FE"/>
    <w:rsid w:val="005415CE"/>
    <w:rsid w:val="005427BB"/>
    <w:rsid w:val="0054312F"/>
    <w:rsid w:val="00543561"/>
    <w:rsid w:val="005435FA"/>
    <w:rsid w:val="00543627"/>
    <w:rsid w:val="0054396B"/>
    <w:rsid w:val="00543E16"/>
    <w:rsid w:val="005442CC"/>
    <w:rsid w:val="005445F8"/>
    <w:rsid w:val="0054488E"/>
    <w:rsid w:val="0054497F"/>
    <w:rsid w:val="005453CB"/>
    <w:rsid w:val="005454BC"/>
    <w:rsid w:val="005458E7"/>
    <w:rsid w:val="00546852"/>
    <w:rsid w:val="00550728"/>
    <w:rsid w:val="00551093"/>
    <w:rsid w:val="00551544"/>
    <w:rsid w:val="00551E5F"/>
    <w:rsid w:val="00551EB6"/>
    <w:rsid w:val="00552205"/>
    <w:rsid w:val="00552F30"/>
    <w:rsid w:val="00553EA0"/>
    <w:rsid w:val="00554427"/>
    <w:rsid w:val="005548AD"/>
    <w:rsid w:val="00554C84"/>
    <w:rsid w:val="00554E16"/>
    <w:rsid w:val="00554E88"/>
    <w:rsid w:val="005561CE"/>
    <w:rsid w:val="005562DB"/>
    <w:rsid w:val="00556BE4"/>
    <w:rsid w:val="00556DA0"/>
    <w:rsid w:val="00557232"/>
    <w:rsid w:val="005572BB"/>
    <w:rsid w:val="00557370"/>
    <w:rsid w:val="005578D2"/>
    <w:rsid w:val="005600CA"/>
    <w:rsid w:val="005600EF"/>
    <w:rsid w:val="00560DBD"/>
    <w:rsid w:val="005611EE"/>
    <w:rsid w:val="00562001"/>
    <w:rsid w:val="00562E03"/>
    <w:rsid w:val="0056319F"/>
    <w:rsid w:val="00563E7E"/>
    <w:rsid w:val="005642ED"/>
    <w:rsid w:val="005645A5"/>
    <w:rsid w:val="005648F9"/>
    <w:rsid w:val="005649E5"/>
    <w:rsid w:val="005649F1"/>
    <w:rsid w:val="00564AE2"/>
    <w:rsid w:val="00564B68"/>
    <w:rsid w:val="00564CC0"/>
    <w:rsid w:val="00565558"/>
    <w:rsid w:val="00565A52"/>
    <w:rsid w:val="00565CC8"/>
    <w:rsid w:val="00565CF3"/>
    <w:rsid w:val="005662A6"/>
    <w:rsid w:val="00566392"/>
    <w:rsid w:val="00566BCF"/>
    <w:rsid w:val="005677CC"/>
    <w:rsid w:val="00567ABF"/>
    <w:rsid w:val="00571445"/>
    <w:rsid w:val="005719EC"/>
    <w:rsid w:val="00571EAA"/>
    <w:rsid w:val="0057230D"/>
    <w:rsid w:val="005723E2"/>
    <w:rsid w:val="005725BA"/>
    <w:rsid w:val="005726ED"/>
    <w:rsid w:val="00572EA4"/>
    <w:rsid w:val="00573338"/>
    <w:rsid w:val="00573D7C"/>
    <w:rsid w:val="005741F9"/>
    <w:rsid w:val="00574C74"/>
    <w:rsid w:val="00574EB2"/>
    <w:rsid w:val="005750DD"/>
    <w:rsid w:val="00575448"/>
    <w:rsid w:val="005755F5"/>
    <w:rsid w:val="00575DFD"/>
    <w:rsid w:val="00576643"/>
    <w:rsid w:val="005768A8"/>
    <w:rsid w:val="00577106"/>
    <w:rsid w:val="00577523"/>
    <w:rsid w:val="00577F25"/>
    <w:rsid w:val="00577F84"/>
    <w:rsid w:val="005800A9"/>
    <w:rsid w:val="005801D8"/>
    <w:rsid w:val="005802D6"/>
    <w:rsid w:val="00580E36"/>
    <w:rsid w:val="00581862"/>
    <w:rsid w:val="0058229E"/>
    <w:rsid w:val="00582B29"/>
    <w:rsid w:val="00582DCB"/>
    <w:rsid w:val="005833D3"/>
    <w:rsid w:val="0058343E"/>
    <w:rsid w:val="0058352B"/>
    <w:rsid w:val="00583A31"/>
    <w:rsid w:val="005841C4"/>
    <w:rsid w:val="005846CC"/>
    <w:rsid w:val="005847F5"/>
    <w:rsid w:val="00585103"/>
    <w:rsid w:val="00585980"/>
    <w:rsid w:val="00585BBB"/>
    <w:rsid w:val="00585F49"/>
    <w:rsid w:val="00586974"/>
    <w:rsid w:val="00586CC0"/>
    <w:rsid w:val="00586FBC"/>
    <w:rsid w:val="005873B4"/>
    <w:rsid w:val="0058779B"/>
    <w:rsid w:val="005906AE"/>
    <w:rsid w:val="00590AA0"/>
    <w:rsid w:val="00590BD7"/>
    <w:rsid w:val="00590CA6"/>
    <w:rsid w:val="00591C67"/>
    <w:rsid w:val="00591CCE"/>
    <w:rsid w:val="00592193"/>
    <w:rsid w:val="005921DB"/>
    <w:rsid w:val="005922E5"/>
    <w:rsid w:val="00592395"/>
    <w:rsid w:val="005927E2"/>
    <w:rsid w:val="00592A71"/>
    <w:rsid w:val="00592AF3"/>
    <w:rsid w:val="0059372D"/>
    <w:rsid w:val="00593F87"/>
    <w:rsid w:val="0059453B"/>
    <w:rsid w:val="005954C7"/>
    <w:rsid w:val="005962D2"/>
    <w:rsid w:val="0059668A"/>
    <w:rsid w:val="0059747F"/>
    <w:rsid w:val="005A08ED"/>
    <w:rsid w:val="005A1017"/>
    <w:rsid w:val="005A10E5"/>
    <w:rsid w:val="005A167D"/>
    <w:rsid w:val="005A1AB7"/>
    <w:rsid w:val="005A2D84"/>
    <w:rsid w:val="005A2E5D"/>
    <w:rsid w:val="005A3166"/>
    <w:rsid w:val="005A3274"/>
    <w:rsid w:val="005A446E"/>
    <w:rsid w:val="005A45F9"/>
    <w:rsid w:val="005A619D"/>
    <w:rsid w:val="005A6979"/>
    <w:rsid w:val="005A6A3D"/>
    <w:rsid w:val="005A7269"/>
    <w:rsid w:val="005A72A2"/>
    <w:rsid w:val="005A7C99"/>
    <w:rsid w:val="005A7F3C"/>
    <w:rsid w:val="005B01B2"/>
    <w:rsid w:val="005B0A22"/>
    <w:rsid w:val="005B0AA2"/>
    <w:rsid w:val="005B0AB2"/>
    <w:rsid w:val="005B1056"/>
    <w:rsid w:val="005B125F"/>
    <w:rsid w:val="005B1484"/>
    <w:rsid w:val="005B1922"/>
    <w:rsid w:val="005B1B88"/>
    <w:rsid w:val="005B1FAC"/>
    <w:rsid w:val="005B20BF"/>
    <w:rsid w:val="005B2530"/>
    <w:rsid w:val="005B3BC1"/>
    <w:rsid w:val="005B4076"/>
    <w:rsid w:val="005B433E"/>
    <w:rsid w:val="005B4585"/>
    <w:rsid w:val="005B4792"/>
    <w:rsid w:val="005B48AA"/>
    <w:rsid w:val="005B5CA0"/>
    <w:rsid w:val="005B688A"/>
    <w:rsid w:val="005B6FA4"/>
    <w:rsid w:val="005B770A"/>
    <w:rsid w:val="005C01CB"/>
    <w:rsid w:val="005C0C06"/>
    <w:rsid w:val="005C14B8"/>
    <w:rsid w:val="005C1AF1"/>
    <w:rsid w:val="005C1E6B"/>
    <w:rsid w:val="005C208E"/>
    <w:rsid w:val="005C25B4"/>
    <w:rsid w:val="005C270D"/>
    <w:rsid w:val="005C30A5"/>
    <w:rsid w:val="005C3231"/>
    <w:rsid w:val="005C3489"/>
    <w:rsid w:val="005C3657"/>
    <w:rsid w:val="005C3938"/>
    <w:rsid w:val="005C3A77"/>
    <w:rsid w:val="005C4949"/>
    <w:rsid w:val="005C5090"/>
    <w:rsid w:val="005C5148"/>
    <w:rsid w:val="005C55F9"/>
    <w:rsid w:val="005C70B5"/>
    <w:rsid w:val="005C7683"/>
    <w:rsid w:val="005C7CAA"/>
    <w:rsid w:val="005C7E1A"/>
    <w:rsid w:val="005D0695"/>
    <w:rsid w:val="005D096E"/>
    <w:rsid w:val="005D0FFA"/>
    <w:rsid w:val="005D15BF"/>
    <w:rsid w:val="005D172B"/>
    <w:rsid w:val="005D177C"/>
    <w:rsid w:val="005D179B"/>
    <w:rsid w:val="005D2A47"/>
    <w:rsid w:val="005D2EF5"/>
    <w:rsid w:val="005D3BB7"/>
    <w:rsid w:val="005D3C4D"/>
    <w:rsid w:val="005D3F65"/>
    <w:rsid w:val="005D45BC"/>
    <w:rsid w:val="005D49D6"/>
    <w:rsid w:val="005D4CC9"/>
    <w:rsid w:val="005D4E2A"/>
    <w:rsid w:val="005D5BFE"/>
    <w:rsid w:val="005D67A0"/>
    <w:rsid w:val="005D70CB"/>
    <w:rsid w:val="005D7606"/>
    <w:rsid w:val="005D7DA0"/>
    <w:rsid w:val="005D7DD4"/>
    <w:rsid w:val="005D7F57"/>
    <w:rsid w:val="005E01D4"/>
    <w:rsid w:val="005E0434"/>
    <w:rsid w:val="005E0AD7"/>
    <w:rsid w:val="005E0F4A"/>
    <w:rsid w:val="005E12BF"/>
    <w:rsid w:val="005E1410"/>
    <w:rsid w:val="005E1A2B"/>
    <w:rsid w:val="005E1C52"/>
    <w:rsid w:val="005E292E"/>
    <w:rsid w:val="005E347C"/>
    <w:rsid w:val="005E3AD9"/>
    <w:rsid w:val="005E3D48"/>
    <w:rsid w:val="005E4347"/>
    <w:rsid w:val="005E4435"/>
    <w:rsid w:val="005E44C9"/>
    <w:rsid w:val="005E4718"/>
    <w:rsid w:val="005E48EF"/>
    <w:rsid w:val="005E4B45"/>
    <w:rsid w:val="005E5010"/>
    <w:rsid w:val="005E5939"/>
    <w:rsid w:val="005E6084"/>
    <w:rsid w:val="005E61FF"/>
    <w:rsid w:val="005E63C5"/>
    <w:rsid w:val="005E66A3"/>
    <w:rsid w:val="005E685D"/>
    <w:rsid w:val="005E6BF0"/>
    <w:rsid w:val="005F019A"/>
    <w:rsid w:val="005F0942"/>
    <w:rsid w:val="005F2AE5"/>
    <w:rsid w:val="005F2B3E"/>
    <w:rsid w:val="005F2E6D"/>
    <w:rsid w:val="005F32EF"/>
    <w:rsid w:val="005F3AFB"/>
    <w:rsid w:val="005F4501"/>
    <w:rsid w:val="005F4662"/>
    <w:rsid w:val="005F46C9"/>
    <w:rsid w:val="005F4A50"/>
    <w:rsid w:val="005F54FC"/>
    <w:rsid w:val="005F6394"/>
    <w:rsid w:val="005F6418"/>
    <w:rsid w:val="005F6587"/>
    <w:rsid w:val="005F6B34"/>
    <w:rsid w:val="005F6EEF"/>
    <w:rsid w:val="005F7083"/>
    <w:rsid w:val="005F73E9"/>
    <w:rsid w:val="005F7406"/>
    <w:rsid w:val="005F746B"/>
    <w:rsid w:val="005F79F7"/>
    <w:rsid w:val="0060014B"/>
    <w:rsid w:val="006003CB"/>
    <w:rsid w:val="00600D66"/>
    <w:rsid w:val="00600E47"/>
    <w:rsid w:val="00601796"/>
    <w:rsid w:val="0060190F"/>
    <w:rsid w:val="00601E8F"/>
    <w:rsid w:val="00602AD9"/>
    <w:rsid w:val="00602F73"/>
    <w:rsid w:val="00602F7A"/>
    <w:rsid w:val="006043FD"/>
    <w:rsid w:val="00604917"/>
    <w:rsid w:val="00604F44"/>
    <w:rsid w:val="00605576"/>
    <w:rsid w:val="00605817"/>
    <w:rsid w:val="00605A98"/>
    <w:rsid w:val="00606A20"/>
    <w:rsid w:val="00607318"/>
    <w:rsid w:val="00607358"/>
    <w:rsid w:val="00607403"/>
    <w:rsid w:val="0060749A"/>
    <w:rsid w:val="00607598"/>
    <w:rsid w:val="00610198"/>
    <w:rsid w:val="0061036B"/>
    <w:rsid w:val="00610745"/>
    <w:rsid w:val="00610831"/>
    <w:rsid w:val="00610D2D"/>
    <w:rsid w:val="0061114B"/>
    <w:rsid w:val="00611A8B"/>
    <w:rsid w:val="00611FF7"/>
    <w:rsid w:val="006120C9"/>
    <w:rsid w:val="006125FD"/>
    <w:rsid w:val="0061340C"/>
    <w:rsid w:val="006134B8"/>
    <w:rsid w:val="00613C80"/>
    <w:rsid w:val="0061401F"/>
    <w:rsid w:val="00614133"/>
    <w:rsid w:val="006149BE"/>
    <w:rsid w:val="00614EB4"/>
    <w:rsid w:val="00615449"/>
    <w:rsid w:val="00616665"/>
    <w:rsid w:val="00616888"/>
    <w:rsid w:val="00616999"/>
    <w:rsid w:val="00616BBE"/>
    <w:rsid w:val="00616C35"/>
    <w:rsid w:val="00616E0F"/>
    <w:rsid w:val="00616F75"/>
    <w:rsid w:val="006171F5"/>
    <w:rsid w:val="0061720A"/>
    <w:rsid w:val="006172AA"/>
    <w:rsid w:val="00617EBD"/>
    <w:rsid w:val="006207D5"/>
    <w:rsid w:val="00620F0B"/>
    <w:rsid w:val="0062127C"/>
    <w:rsid w:val="006218C4"/>
    <w:rsid w:val="00621CB3"/>
    <w:rsid w:val="00621D3C"/>
    <w:rsid w:val="00622034"/>
    <w:rsid w:val="006220D0"/>
    <w:rsid w:val="006224E5"/>
    <w:rsid w:val="00622701"/>
    <w:rsid w:val="00622FB4"/>
    <w:rsid w:val="0062348E"/>
    <w:rsid w:val="006235B2"/>
    <w:rsid w:val="00623894"/>
    <w:rsid w:val="00623F9A"/>
    <w:rsid w:val="00624120"/>
    <w:rsid w:val="00624198"/>
    <w:rsid w:val="0062453A"/>
    <w:rsid w:val="00624553"/>
    <w:rsid w:val="006246F2"/>
    <w:rsid w:val="0062484D"/>
    <w:rsid w:val="00624B6D"/>
    <w:rsid w:val="006252C2"/>
    <w:rsid w:val="00625C23"/>
    <w:rsid w:val="006261DD"/>
    <w:rsid w:val="0062638F"/>
    <w:rsid w:val="006266E8"/>
    <w:rsid w:val="00626958"/>
    <w:rsid w:val="00626DFD"/>
    <w:rsid w:val="00626FBD"/>
    <w:rsid w:val="00626FD0"/>
    <w:rsid w:val="0062768F"/>
    <w:rsid w:val="00627BD1"/>
    <w:rsid w:val="00630208"/>
    <w:rsid w:val="00630703"/>
    <w:rsid w:val="006311ED"/>
    <w:rsid w:val="006312A7"/>
    <w:rsid w:val="0063191C"/>
    <w:rsid w:val="00632155"/>
    <w:rsid w:val="00632F30"/>
    <w:rsid w:val="006333E3"/>
    <w:rsid w:val="00633BF6"/>
    <w:rsid w:val="006340FE"/>
    <w:rsid w:val="006343D3"/>
    <w:rsid w:val="00634817"/>
    <w:rsid w:val="00634C5A"/>
    <w:rsid w:val="0063564E"/>
    <w:rsid w:val="00635769"/>
    <w:rsid w:val="00635810"/>
    <w:rsid w:val="00636025"/>
    <w:rsid w:val="00636212"/>
    <w:rsid w:val="0063665B"/>
    <w:rsid w:val="00636E1C"/>
    <w:rsid w:val="00636EA4"/>
    <w:rsid w:val="0063703B"/>
    <w:rsid w:val="0063709A"/>
    <w:rsid w:val="006371F0"/>
    <w:rsid w:val="00637C7F"/>
    <w:rsid w:val="00637CD9"/>
    <w:rsid w:val="00637CE2"/>
    <w:rsid w:val="00637CE3"/>
    <w:rsid w:val="00640116"/>
    <w:rsid w:val="00640167"/>
    <w:rsid w:val="006403A9"/>
    <w:rsid w:val="0064097D"/>
    <w:rsid w:val="00640AF4"/>
    <w:rsid w:val="00641968"/>
    <w:rsid w:val="0064266C"/>
    <w:rsid w:val="0064294C"/>
    <w:rsid w:val="0064322D"/>
    <w:rsid w:val="00643441"/>
    <w:rsid w:val="006439A1"/>
    <w:rsid w:val="00644D18"/>
    <w:rsid w:val="006459BE"/>
    <w:rsid w:val="00645EF1"/>
    <w:rsid w:val="00646562"/>
    <w:rsid w:val="00646FB1"/>
    <w:rsid w:val="0064714D"/>
    <w:rsid w:val="00647168"/>
    <w:rsid w:val="00647521"/>
    <w:rsid w:val="00650019"/>
    <w:rsid w:val="00650451"/>
    <w:rsid w:val="0065049D"/>
    <w:rsid w:val="0065077C"/>
    <w:rsid w:val="00651921"/>
    <w:rsid w:val="006519AC"/>
    <w:rsid w:val="0065225B"/>
    <w:rsid w:val="006522F2"/>
    <w:rsid w:val="0065245E"/>
    <w:rsid w:val="006526BE"/>
    <w:rsid w:val="006532B0"/>
    <w:rsid w:val="006533B3"/>
    <w:rsid w:val="00653492"/>
    <w:rsid w:val="0065364F"/>
    <w:rsid w:val="00653727"/>
    <w:rsid w:val="00653778"/>
    <w:rsid w:val="0065394F"/>
    <w:rsid w:val="00654754"/>
    <w:rsid w:val="00654774"/>
    <w:rsid w:val="0065492B"/>
    <w:rsid w:val="00654B54"/>
    <w:rsid w:val="006561C4"/>
    <w:rsid w:val="00656227"/>
    <w:rsid w:val="0065634C"/>
    <w:rsid w:val="00656B26"/>
    <w:rsid w:val="00656E9A"/>
    <w:rsid w:val="00656EC9"/>
    <w:rsid w:val="006606D0"/>
    <w:rsid w:val="00660F38"/>
    <w:rsid w:val="00660FC8"/>
    <w:rsid w:val="006613E1"/>
    <w:rsid w:val="006619C5"/>
    <w:rsid w:val="006621FE"/>
    <w:rsid w:val="00662355"/>
    <w:rsid w:val="00662E45"/>
    <w:rsid w:val="0066351A"/>
    <w:rsid w:val="006636C7"/>
    <w:rsid w:val="006637A0"/>
    <w:rsid w:val="00663DF6"/>
    <w:rsid w:val="00663F47"/>
    <w:rsid w:val="00664A11"/>
    <w:rsid w:val="00665B6E"/>
    <w:rsid w:val="00665D33"/>
    <w:rsid w:val="00665FF4"/>
    <w:rsid w:val="0066618F"/>
    <w:rsid w:val="006665BA"/>
    <w:rsid w:val="00666AC4"/>
    <w:rsid w:val="00666BEE"/>
    <w:rsid w:val="00666F08"/>
    <w:rsid w:val="00666FAD"/>
    <w:rsid w:val="0066762D"/>
    <w:rsid w:val="006676BF"/>
    <w:rsid w:val="00667B0C"/>
    <w:rsid w:val="00671252"/>
    <w:rsid w:val="006717B1"/>
    <w:rsid w:val="006717FC"/>
    <w:rsid w:val="0067216C"/>
    <w:rsid w:val="00672A12"/>
    <w:rsid w:val="00672B05"/>
    <w:rsid w:val="00672D64"/>
    <w:rsid w:val="006734E0"/>
    <w:rsid w:val="0067372B"/>
    <w:rsid w:val="006739BE"/>
    <w:rsid w:val="00673F13"/>
    <w:rsid w:val="00673F9B"/>
    <w:rsid w:val="0067434F"/>
    <w:rsid w:val="006747C9"/>
    <w:rsid w:val="0067549A"/>
    <w:rsid w:val="006756A0"/>
    <w:rsid w:val="0067573A"/>
    <w:rsid w:val="00675CD2"/>
    <w:rsid w:val="00675EC2"/>
    <w:rsid w:val="006768FA"/>
    <w:rsid w:val="00676D2F"/>
    <w:rsid w:val="006801E4"/>
    <w:rsid w:val="00680658"/>
    <w:rsid w:val="00680E9F"/>
    <w:rsid w:val="00681059"/>
    <w:rsid w:val="00681526"/>
    <w:rsid w:val="00681720"/>
    <w:rsid w:val="006817E8"/>
    <w:rsid w:val="00681F36"/>
    <w:rsid w:val="0068249A"/>
    <w:rsid w:val="0068297C"/>
    <w:rsid w:val="00682D93"/>
    <w:rsid w:val="0068393B"/>
    <w:rsid w:val="00684107"/>
    <w:rsid w:val="00684B7D"/>
    <w:rsid w:val="00684D57"/>
    <w:rsid w:val="006861C5"/>
    <w:rsid w:val="00686383"/>
    <w:rsid w:val="006868D6"/>
    <w:rsid w:val="00686CA4"/>
    <w:rsid w:val="00687903"/>
    <w:rsid w:val="00687A18"/>
    <w:rsid w:val="00687A90"/>
    <w:rsid w:val="00687CC7"/>
    <w:rsid w:val="00687DC4"/>
    <w:rsid w:val="0069020E"/>
    <w:rsid w:val="0069026F"/>
    <w:rsid w:val="006907BC"/>
    <w:rsid w:val="00691A54"/>
    <w:rsid w:val="00692122"/>
    <w:rsid w:val="006931FA"/>
    <w:rsid w:val="00693216"/>
    <w:rsid w:val="00693507"/>
    <w:rsid w:val="0069391C"/>
    <w:rsid w:val="00693D39"/>
    <w:rsid w:val="00694734"/>
    <w:rsid w:val="00694C44"/>
    <w:rsid w:val="00694D0B"/>
    <w:rsid w:val="00694EAD"/>
    <w:rsid w:val="006952C4"/>
    <w:rsid w:val="006956E6"/>
    <w:rsid w:val="00695C0A"/>
    <w:rsid w:val="00695C2C"/>
    <w:rsid w:val="0069600C"/>
    <w:rsid w:val="0069622D"/>
    <w:rsid w:val="006968FC"/>
    <w:rsid w:val="00696C5F"/>
    <w:rsid w:val="006971B5"/>
    <w:rsid w:val="00697266"/>
    <w:rsid w:val="00697893"/>
    <w:rsid w:val="006978B8"/>
    <w:rsid w:val="006A16FF"/>
    <w:rsid w:val="006A190C"/>
    <w:rsid w:val="006A2236"/>
    <w:rsid w:val="006A29FB"/>
    <w:rsid w:val="006A3F08"/>
    <w:rsid w:val="006A462F"/>
    <w:rsid w:val="006A4764"/>
    <w:rsid w:val="006A49A3"/>
    <w:rsid w:val="006A4CDF"/>
    <w:rsid w:val="006A54CE"/>
    <w:rsid w:val="006A5503"/>
    <w:rsid w:val="006A61AF"/>
    <w:rsid w:val="006A65FF"/>
    <w:rsid w:val="006A686A"/>
    <w:rsid w:val="006A6BA0"/>
    <w:rsid w:val="006A6D67"/>
    <w:rsid w:val="006A7143"/>
    <w:rsid w:val="006A786C"/>
    <w:rsid w:val="006A7884"/>
    <w:rsid w:val="006A799F"/>
    <w:rsid w:val="006A7C8E"/>
    <w:rsid w:val="006A7D79"/>
    <w:rsid w:val="006B02C5"/>
    <w:rsid w:val="006B032B"/>
    <w:rsid w:val="006B03A5"/>
    <w:rsid w:val="006B03C0"/>
    <w:rsid w:val="006B051D"/>
    <w:rsid w:val="006B05D8"/>
    <w:rsid w:val="006B1679"/>
    <w:rsid w:val="006B184C"/>
    <w:rsid w:val="006B1BCE"/>
    <w:rsid w:val="006B1D9A"/>
    <w:rsid w:val="006B2CF1"/>
    <w:rsid w:val="006B2D3E"/>
    <w:rsid w:val="006B2F7C"/>
    <w:rsid w:val="006B3647"/>
    <w:rsid w:val="006B39C6"/>
    <w:rsid w:val="006B42D3"/>
    <w:rsid w:val="006B437B"/>
    <w:rsid w:val="006B4537"/>
    <w:rsid w:val="006B516A"/>
    <w:rsid w:val="006B5411"/>
    <w:rsid w:val="006B617C"/>
    <w:rsid w:val="006B6923"/>
    <w:rsid w:val="006B6C17"/>
    <w:rsid w:val="006B6E05"/>
    <w:rsid w:val="006B6EDB"/>
    <w:rsid w:val="006B6EDC"/>
    <w:rsid w:val="006B6EE5"/>
    <w:rsid w:val="006C00AD"/>
    <w:rsid w:val="006C0C6A"/>
    <w:rsid w:val="006C161A"/>
    <w:rsid w:val="006C1A18"/>
    <w:rsid w:val="006C1AB1"/>
    <w:rsid w:val="006C2200"/>
    <w:rsid w:val="006C27DB"/>
    <w:rsid w:val="006C2DEE"/>
    <w:rsid w:val="006C3083"/>
    <w:rsid w:val="006C40F7"/>
    <w:rsid w:val="006C4C1B"/>
    <w:rsid w:val="006C510A"/>
    <w:rsid w:val="006C535E"/>
    <w:rsid w:val="006C567F"/>
    <w:rsid w:val="006C5749"/>
    <w:rsid w:val="006C5A97"/>
    <w:rsid w:val="006C5F7C"/>
    <w:rsid w:val="006C6A0B"/>
    <w:rsid w:val="006C6DC1"/>
    <w:rsid w:val="006C6EF0"/>
    <w:rsid w:val="006C75F3"/>
    <w:rsid w:val="006C7B07"/>
    <w:rsid w:val="006D10F5"/>
    <w:rsid w:val="006D198D"/>
    <w:rsid w:val="006D3EB8"/>
    <w:rsid w:val="006D42B3"/>
    <w:rsid w:val="006D52EE"/>
    <w:rsid w:val="006D6219"/>
    <w:rsid w:val="006D65CB"/>
    <w:rsid w:val="006D6790"/>
    <w:rsid w:val="006D791D"/>
    <w:rsid w:val="006D79B0"/>
    <w:rsid w:val="006D79FD"/>
    <w:rsid w:val="006E0CAE"/>
    <w:rsid w:val="006E0F0D"/>
    <w:rsid w:val="006E1203"/>
    <w:rsid w:val="006E1294"/>
    <w:rsid w:val="006E1555"/>
    <w:rsid w:val="006E156E"/>
    <w:rsid w:val="006E1A28"/>
    <w:rsid w:val="006E1DF4"/>
    <w:rsid w:val="006E2188"/>
    <w:rsid w:val="006E256E"/>
    <w:rsid w:val="006E2803"/>
    <w:rsid w:val="006E31BD"/>
    <w:rsid w:val="006E4270"/>
    <w:rsid w:val="006E43CD"/>
    <w:rsid w:val="006E4765"/>
    <w:rsid w:val="006E4900"/>
    <w:rsid w:val="006E49EC"/>
    <w:rsid w:val="006E4E8A"/>
    <w:rsid w:val="006E507A"/>
    <w:rsid w:val="006E5152"/>
    <w:rsid w:val="006E53B8"/>
    <w:rsid w:val="006E66B2"/>
    <w:rsid w:val="006E6EE4"/>
    <w:rsid w:val="006E723E"/>
    <w:rsid w:val="006E75D9"/>
    <w:rsid w:val="006E785B"/>
    <w:rsid w:val="006E7F5E"/>
    <w:rsid w:val="006F011A"/>
    <w:rsid w:val="006F028A"/>
    <w:rsid w:val="006F03F0"/>
    <w:rsid w:val="006F04C7"/>
    <w:rsid w:val="006F076F"/>
    <w:rsid w:val="006F174B"/>
    <w:rsid w:val="006F1B08"/>
    <w:rsid w:val="006F1C6D"/>
    <w:rsid w:val="006F1CB5"/>
    <w:rsid w:val="006F1E98"/>
    <w:rsid w:val="006F217F"/>
    <w:rsid w:val="006F21DC"/>
    <w:rsid w:val="006F25BD"/>
    <w:rsid w:val="006F2B91"/>
    <w:rsid w:val="006F2C9D"/>
    <w:rsid w:val="006F300E"/>
    <w:rsid w:val="006F3423"/>
    <w:rsid w:val="006F369B"/>
    <w:rsid w:val="006F3959"/>
    <w:rsid w:val="006F39F0"/>
    <w:rsid w:val="006F4215"/>
    <w:rsid w:val="006F42FA"/>
    <w:rsid w:val="006F43C7"/>
    <w:rsid w:val="006F4CCB"/>
    <w:rsid w:val="006F54D9"/>
    <w:rsid w:val="006F5B51"/>
    <w:rsid w:val="006F5DE3"/>
    <w:rsid w:val="006F6DEB"/>
    <w:rsid w:val="006F717D"/>
    <w:rsid w:val="006F71FD"/>
    <w:rsid w:val="006F7AE5"/>
    <w:rsid w:val="006F7E44"/>
    <w:rsid w:val="006F7F25"/>
    <w:rsid w:val="007003EA"/>
    <w:rsid w:val="00700673"/>
    <w:rsid w:val="007006A9"/>
    <w:rsid w:val="0070131F"/>
    <w:rsid w:val="007016FA"/>
    <w:rsid w:val="0070322D"/>
    <w:rsid w:val="0070324A"/>
    <w:rsid w:val="00703299"/>
    <w:rsid w:val="00704062"/>
    <w:rsid w:val="00704413"/>
    <w:rsid w:val="00704C94"/>
    <w:rsid w:val="007052A3"/>
    <w:rsid w:val="0070579C"/>
    <w:rsid w:val="00705C69"/>
    <w:rsid w:val="00705CF0"/>
    <w:rsid w:val="007065DD"/>
    <w:rsid w:val="00706898"/>
    <w:rsid w:val="007071C1"/>
    <w:rsid w:val="00707826"/>
    <w:rsid w:val="00707EAE"/>
    <w:rsid w:val="00710BAC"/>
    <w:rsid w:val="00710BD1"/>
    <w:rsid w:val="00711442"/>
    <w:rsid w:val="007114A7"/>
    <w:rsid w:val="007118FE"/>
    <w:rsid w:val="00711E0D"/>
    <w:rsid w:val="007121C5"/>
    <w:rsid w:val="00712240"/>
    <w:rsid w:val="007122EC"/>
    <w:rsid w:val="007122F1"/>
    <w:rsid w:val="007128C5"/>
    <w:rsid w:val="00712D64"/>
    <w:rsid w:val="00713844"/>
    <w:rsid w:val="007141B4"/>
    <w:rsid w:val="007144E5"/>
    <w:rsid w:val="00714616"/>
    <w:rsid w:val="007146CB"/>
    <w:rsid w:val="00714DDC"/>
    <w:rsid w:val="00715843"/>
    <w:rsid w:val="00715BD7"/>
    <w:rsid w:val="007160F9"/>
    <w:rsid w:val="00716287"/>
    <w:rsid w:val="0071710A"/>
    <w:rsid w:val="00717AB5"/>
    <w:rsid w:val="00720429"/>
    <w:rsid w:val="00720777"/>
    <w:rsid w:val="00720CBA"/>
    <w:rsid w:val="007211C2"/>
    <w:rsid w:val="007216A8"/>
    <w:rsid w:val="00722741"/>
    <w:rsid w:val="00722B7A"/>
    <w:rsid w:val="00722E01"/>
    <w:rsid w:val="00723177"/>
    <w:rsid w:val="00723B7E"/>
    <w:rsid w:val="00724529"/>
    <w:rsid w:val="00724F17"/>
    <w:rsid w:val="007254E0"/>
    <w:rsid w:val="00725773"/>
    <w:rsid w:val="007257E7"/>
    <w:rsid w:val="00726343"/>
    <w:rsid w:val="00726A00"/>
    <w:rsid w:val="00726B2E"/>
    <w:rsid w:val="007273A4"/>
    <w:rsid w:val="00727CC8"/>
    <w:rsid w:val="00727F9B"/>
    <w:rsid w:val="007301E4"/>
    <w:rsid w:val="00730796"/>
    <w:rsid w:val="00731936"/>
    <w:rsid w:val="0073199E"/>
    <w:rsid w:val="00731B69"/>
    <w:rsid w:val="00731E7D"/>
    <w:rsid w:val="007329B9"/>
    <w:rsid w:val="00733CAC"/>
    <w:rsid w:val="0073424B"/>
    <w:rsid w:val="0073429C"/>
    <w:rsid w:val="007342B7"/>
    <w:rsid w:val="00734703"/>
    <w:rsid w:val="007348CB"/>
    <w:rsid w:val="00734C8D"/>
    <w:rsid w:val="007352A7"/>
    <w:rsid w:val="0073549F"/>
    <w:rsid w:val="00735A29"/>
    <w:rsid w:val="00735D42"/>
    <w:rsid w:val="007361F2"/>
    <w:rsid w:val="007364FB"/>
    <w:rsid w:val="00736F4A"/>
    <w:rsid w:val="007370B4"/>
    <w:rsid w:val="007373E6"/>
    <w:rsid w:val="00737638"/>
    <w:rsid w:val="007401EE"/>
    <w:rsid w:val="007405E3"/>
    <w:rsid w:val="00741764"/>
    <w:rsid w:val="0074188C"/>
    <w:rsid w:val="00741BFC"/>
    <w:rsid w:val="00741C63"/>
    <w:rsid w:val="007437F6"/>
    <w:rsid w:val="00743F13"/>
    <w:rsid w:val="00744915"/>
    <w:rsid w:val="00744BE8"/>
    <w:rsid w:val="00744F1F"/>
    <w:rsid w:val="00746716"/>
    <w:rsid w:val="00747020"/>
    <w:rsid w:val="00747867"/>
    <w:rsid w:val="0075092D"/>
    <w:rsid w:val="00750C55"/>
    <w:rsid w:val="00750D17"/>
    <w:rsid w:val="00750F4A"/>
    <w:rsid w:val="00751D7D"/>
    <w:rsid w:val="00752299"/>
    <w:rsid w:val="007526FB"/>
    <w:rsid w:val="00752B59"/>
    <w:rsid w:val="00752D95"/>
    <w:rsid w:val="00753729"/>
    <w:rsid w:val="00753E81"/>
    <w:rsid w:val="00754131"/>
    <w:rsid w:val="007546A5"/>
    <w:rsid w:val="00754874"/>
    <w:rsid w:val="00754B0D"/>
    <w:rsid w:val="00754C44"/>
    <w:rsid w:val="00754EF9"/>
    <w:rsid w:val="00755405"/>
    <w:rsid w:val="00756A50"/>
    <w:rsid w:val="00757057"/>
    <w:rsid w:val="0075760A"/>
    <w:rsid w:val="007578A1"/>
    <w:rsid w:val="0076032F"/>
    <w:rsid w:val="007603F8"/>
    <w:rsid w:val="00760737"/>
    <w:rsid w:val="007610B1"/>
    <w:rsid w:val="007613EC"/>
    <w:rsid w:val="00761E4C"/>
    <w:rsid w:val="00761FEB"/>
    <w:rsid w:val="0076260D"/>
    <w:rsid w:val="00763CAB"/>
    <w:rsid w:val="00764AA8"/>
    <w:rsid w:val="00765332"/>
    <w:rsid w:val="0076556B"/>
    <w:rsid w:val="0076635A"/>
    <w:rsid w:val="007664DC"/>
    <w:rsid w:val="00766785"/>
    <w:rsid w:val="00766F90"/>
    <w:rsid w:val="00767AFF"/>
    <w:rsid w:val="007700AF"/>
    <w:rsid w:val="00770760"/>
    <w:rsid w:val="00770CBA"/>
    <w:rsid w:val="007712B5"/>
    <w:rsid w:val="00771CD5"/>
    <w:rsid w:val="0077271C"/>
    <w:rsid w:val="00773923"/>
    <w:rsid w:val="00774346"/>
    <w:rsid w:val="00774BD7"/>
    <w:rsid w:val="0077521E"/>
    <w:rsid w:val="00775976"/>
    <w:rsid w:val="007759BF"/>
    <w:rsid w:val="00776085"/>
    <w:rsid w:val="007762B6"/>
    <w:rsid w:val="0077650D"/>
    <w:rsid w:val="00776747"/>
    <w:rsid w:val="007768E0"/>
    <w:rsid w:val="00776DD8"/>
    <w:rsid w:val="007772CE"/>
    <w:rsid w:val="007776B4"/>
    <w:rsid w:val="00777925"/>
    <w:rsid w:val="00777BAD"/>
    <w:rsid w:val="0078044E"/>
    <w:rsid w:val="00780C15"/>
    <w:rsid w:val="00780F96"/>
    <w:rsid w:val="00781909"/>
    <w:rsid w:val="00781EA4"/>
    <w:rsid w:val="007824DA"/>
    <w:rsid w:val="00783359"/>
    <w:rsid w:val="00783598"/>
    <w:rsid w:val="0078382E"/>
    <w:rsid w:val="00783A61"/>
    <w:rsid w:val="00783FF4"/>
    <w:rsid w:val="00784220"/>
    <w:rsid w:val="007846F9"/>
    <w:rsid w:val="00784B3F"/>
    <w:rsid w:val="00784FC2"/>
    <w:rsid w:val="0078536A"/>
    <w:rsid w:val="00785933"/>
    <w:rsid w:val="00786463"/>
    <w:rsid w:val="007865B9"/>
    <w:rsid w:val="00786610"/>
    <w:rsid w:val="00786D7C"/>
    <w:rsid w:val="00786D9A"/>
    <w:rsid w:val="0078733F"/>
    <w:rsid w:val="00787A0A"/>
    <w:rsid w:val="00787BAB"/>
    <w:rsid w:val="00787E0A"/>
    <w:rsid w:val="00787E0B"/>
    <w:rsid w:val="00790108"/>
    <w:rsid w:val="00791BCB"/>
    <w:rsid w:val="0079243F"/>
    <w:rsid w:val="007929CF"/>
    <w:rsid w:val="00794108"/>
    <w:rsid w:val="007942C3"/>
    <w:rsid w:val="007943B3"/>
    <w:rsid w:val="0079442B"/>
    <w:rsid w:val="007956B1"/>
    <w:rsid w:val="00796F21"/>
    <w:rsid w:val="00797773"/>
    <w:rsid w:val="007A08B9"/>
    <w:rsid w:val="007A2810"/>
    <w:rsid w:val="007A3012"/>
    <w:rsid w:val="007A36FF"/>
    <w:rsid w:val="007A3737"/>
    <w:rsid w:val="007A4028"/>
    <w:rsid w:val="007A47B9"/>
    <w:rsid w:val="007A4CBD"/>
    <w:rsid w:val="007A56D8"/>
    <w:rsid w:val="007A633F"/>
    <w:rsid w:val="007A66B0"/>
    <w:rsid w:val="007A6741"/>
    <w:rsid w:val="007A6EC6"/>
    <w:rsid w:val="007A73FD"/>
    <w:rsid w:val="007A7A32"/>
    <w:rsid w:val="007A7B42"/>
    <w:rsid w:val="007B0273"/>
    <w:rsid w:val="007B02B2"/>
    <w:rsid w:val="007B0702"/>
    <w:rsid w:val="007B147B"/>
    <w:rsid w:val="007B1531"/>
    <w:rsid w:val="007B15B1"/>
    <w:rsid w:val="007B23F8"/>
    <w:rsid w:val="007B31E9"/>
    <w:rsid w:val="007B35FA"/>
    <w:rsid w:val="007B42CD"/>
    <w:rsid w:val="007B462A"/>
    <w:rsid w:val="007B4BFE"/>
    <w:rsid w:val="007B4DB2"/>
    <w:rsid w:val="007B5077"/>
    <w:rsid w:val="007B5828"/>
    <w:rsid w:val="007B5ACB"/>
    <w:rsid w:val="007B669C"/>
    <w:rsid w:val="007B6AA6"/>
    <w:rsid w:val="007B6BF5"/>
    <w:rsid w:val="007B7348"/>
    <w:rsid w:val="007B75AB"/>
    <w:rsid w:val="007B7924"/>
    <w:rsid w:val="007B7B56"/>
    <w:rsid w:val="007B7C1E"/>
    <w:rsid w:val="007B7D0A"/>
    <w:rsid w:val="007C0D05"/>
    <w:rsid w:val="007C14C0"/>
    <w:rsid w:val="007C18E9"/>
    <w:rsid w:val="007C1922"/>
    <w:rsid w:val="007C1935"/>
    <w:rsid w:val="007C1C7F"/>
    <w:rsid w:val="007C1CA5"/>
    <w:rsid w:val="007C1CB5"/>
    <w:rsid w:val="007C2152"/>
    <w:rsid w:val="007C2718"/>
    <w:rsid w:val="007C2C91"/>
    <w:rsid w:val="007C2FB9"/>
    <w:rsid w:val="007C31AF"/>
    <w:rsid w:val="007C3FAA"/>
    <w:rsid w:val="007C42F0"/>
    <w:rsid w:val="007C4501"/>
    <w:rsid w:val="007C479E"/>
    <w:rsid w:val="007C4C7C"/>
    <w:rsid w:val="007C55EA"/>
    <w:rsid w:val="007C58F2"/>
    <w:rsid w:val="007C5B70"/>
    <w:rsid w:val="007C6439"/>
    <w:rsid w:val="007C64E0"/>
    <w:rsid w:val="007C65C1"/>
    <w:rsid w:val="007C6C67"/>
    <w:rsid w:val="007C6D65"/>
    <w:rsid w:val="007C7025"/>
    <w:rsid w:val="007D0A3A"/>
    <w:rsid w:val="007D0A64"/>
    <w:rsid w:val="007D0B08"/>
    <w:rsid w:val="007D159B"/>
    <w:rsid w:val="007D180A"/>
    <w:rsid w:val="007D1A73"/>
    <w:rsid w:val="007D1AE0"/>
    <w:rsid w:val="007D1EF6"/>
    <w:rsid w:val="007D2095"/>
    <w:rsid w:val="007D2186"/>
    <w:rsid w:val="007D24D5"/>
    <w:rsid w:val="007D2B98"/>
    <w:rsid w:val="007D3C25"/>
    <w:rsid w:val="007D3CBB"/>
    <w:rsid w:val="007D3D39"/>
    <w:rsid w:val="007D48EC"/>
    <w:rsid w:val="007D6129"/>
    <w:rsid w:val="007D6390"/>
    <w:rsid w:val="007D6517"/>
    <w:rsid w:val="007D6684"/>
    <w:rsid w:val="007D66DD"/>
    <w:rsid w:val="007D789A"/>
    <w:rsid w:val="007D7DA2"/>
    <w:rsid w:val="007E00D1"/>
    <w:rsid w:val="007E01B5"/>
    <w:rsid w:val="007E027C"/>
    <w:rsid w:val="007E0508"/>
    <w:rsid w:val="007E164F"/>
    <w:rsid w:val="007E16E6"/>
    <w:rsid w:val="007E1B1B"/>
    <w:rsid w:val="007E2D5A"/>
    <w:rsid w:val="007E34D6"/>
    <w:rsid w:val="007E39DA"/>
    <w:rsid w:val="007E4D0C"/>
    <w:rsid w:val="007E5F38"/>
    <w:rsid w:val="007E5F82"/>
    <w:rsid w:val="007E66F2"/>
    <w:rsid w:val="007E6D0B"/>
    <w:rsid w:val="007E78A7"/>
    <w:rsid w:val="007E7A20"/>
    <w:rsid w:val="007E7B72"/>
    <w:rsid w:val="007E7EB0"/>
    <w:rsid w:val="007F02F0"/>
    <w:rsid w:val="007F05BB"/>
    <w:rsid w:val="007F08EA"/>
    <w:rsid w:val="007F1A1B"/>
    <w:rsid w:val="007F1AE0"/>
    <w:rsid w:val="007F20B5"/>
    <w:rsid w:val="007F2118"/>
    <w:rsid w:val="007F26BE"/>
    <w:rsid w:val="007F2D0D"/>
    <w:rsid w:val="007F3316"/>
    <w:rsid w:val="007F3C70"/>
    <w:rsid w:val="007F3CA5"/>
    <w:rsid w:val="007F3DF3"/>
    <w:rsid w:val="007F5152"/>
    <w:rsid w:val="007F5247"/>
    <w:rsid w:val="007F57F9"/>
    <w:rsid w:val="007F5E32"/>
    <w:rsid w:val="007F6DD6"/>
    <w:rsid w:val="007F7CFD"/>
    <w:rsid w:val="00800522"/>
    <w:rsid w:val="00801106"/>
    <w:rsid w:val="0080174E"/>
    <w:rsid w:val="00801C59"/>
    <w:rsid w:val="00802181"/>
    <w:rsid w:val="008023B4"/>
    <w:rsid w:val="00802428"/>
    <w:rsid w:val="008025E1"/>
    <w:rsid w:val="0080278A"/>
    <w:rsid w:val="00804896"/>
    <w:rsid w:val="00804FD2"/>
    <w:rsid w:val="008050C0"/>
    <w:rsid w:val="0080580C"/>
    <w:rsid w:val="00805948"/>
    <w:rsid w:val="00805A05"/>
    <w:rsid w:val="00805B5B"/>
    <w:rsid w:val="00805F21"/>
    <w:rsid w:val="0080668F"/>
    <w:rsid w:val="00806DDC"/>
    <w:rsid w:val="00807330"/>
    <w:rsid w:val="008079BB"/>
    <w:rsid w:val="00807BDF"/>
    <w:rsid w:val="00807E55"/>
    <w:rsid w:val="008102EB"/>
    <w:rsid w:val="008106E8"/>
    <w:rsid w:val="00810A9E"/>
    <w:rsid w:val="00810AAE"/>
    <w:rsid w:val="00810B93"/>
    <w:rsid w:val="00811221"/>
    <w:rsid w:val="00811273"/>
    <w:rsid w:val="0081128A"/>
    <w:rsid w:val="008114EF"/>
    <w:rsid w:val="008115BD"/>
    <w:rsid w:val="008116E0"/>
    <w:rsid w:val="00812577"/>
    <w:rsid w:val="0081294E"/>
    <w:rsid w:val="00813243"/>
    <w:rsid w:val="00813D88"/>
    <w:rsid w:val="008146A8"/>
    <w:rsid w:val="00814A0C"/>
    <w:rsid w:val="00815116"/>
    <w:rsid w:val="0081594E"/>
    <w:rsid w:val="00815A2D"/>
    <w:rsid w:val="00815AD7"/>
    <w:rsid w:val="00815B01"/>
    <w:rsid w:val="00815D7D"/>
    <w:rsid w:val="00815FDB"/>
    <w:rsid w:val="0081601A"/>
    <w:rsid w:val="008160B2"/>
    <w:rsid w:val="0081637D"/>
    <w:rsid w:val="00816483"/>
    <w:rsid w:val="008165B7"/>
    <w:rsid w:val="008166B3"/>
    <w:rsid w:val="00816A82"/>
    <w:rsid w:val="008171E6"/>
    <w:rsid w:val="00821904"/>
    <w:rsid w:val="00821CBB"/>
    <w:rsid w:val="00821D5A"/>
    <w:rsid w:val="00822DD6"/>
    <w:rsid w:val="00822ED7"/>
    <w:rsid w:val="008234AA"/>
    <w:rsid w:val="008234FB"/>
    <w:rsid w:val="00823B58"/>
    <w:rsid w:val="0082453A"/>
    <w:rsid w:val="00824942"/>
    <w:rsid w:val="00824A28"/>
    <w:rsid w:val="00824B15"/>
    <w:rsid w:val="00824FDF"/>
    <w:rsid w:val="008262FB"/>
    <w:rsid w:val="00826ED0"/>
    <w:rsid w:val="00826F08"/>
    <w:rsid w:val="0082704B"/>
    <w:rsid w:val="00827A57"/>
    <w:rsid w:val="00827B27"/>
    <w:rsid w:val="0083026D"/>
    <w:rsid w:val="00830326"/>
    <w:rsid w:val="008308CC"/>
    <w:rsid w:val="00830C56"/>
    <w:rsid w:val="00832761"/>
    <w:rsid w:val="00832E40"/>
    <w:rsid w:val="00832E7B"/>
    <w:rsid w:val="00833165"/>
    <w:rsid w:val="00833988"/>
    <w:rsid w:val="00833AE3"/>
    <w:rsid w:val="00833E1F"/>
    <w:rsid w:val="00834206"/>
    <w:rsid w:val="00834B16"/>
    <w:rsid w:val="00834BEB"/>
    <w:rsid w:val="00834C04"/>
    <w:rsid w:val="00835301"/>
    <w:rsid w:val="0083590F"/>
    <w:rsid w:val="008369AF"/>
    <w:rsid w:val="00836B35"/>
    <w:rsid w:val="00836C37"/>
    <w:rsid w:val="00836EDE"/>
    <w:rsid w:val="00837B23"/>
    <w:rsid w:val="008401C4"/>
    <w:rsid w:val="008404DF"/>
    <w:rsid w:val="00840852"/>
    <w:rsid w:val="008411D8"/>
    <w:rsid w:val="008424DE"/>
    <w:rsid w:val="00843665"/>
    <w:rsid w:val="008436F4"/>
    <w:rsid w:val="008439C7"/>
    <w:rsid w:val="00843ACF"/>
    <w:rsid w:val="00843E64"/>
    <w:rsid w:val="00843FCE"/>
    <w:rsid w:val="0084434D"/>
    <w:rsid w:val="00845BDB"/>
    <w:rsid w:val="00846006"/>
    <w:rsid w:val="00846213"/>
    <w:rsid w:val="00847219"/>
    <w:rsid w:val="00847A50"/>
    <w:rsid w:val="00847AAC"/>
    <w:rsid w:val="00847AF9"/>
    <w:rsid w:val="00847C5F"/>
    <w:rsid w:val="00850833"/>
    <w:rsid w:val="008509E3"/>
    <w:rsid w:val="00850BA6"/>
    <w:rsid w:val="00851558"/>
    <w:rsid w:val="00851925"/>
    <w:rsid w:val="00852853"/>
    <w:rsid w:val="008532DE"/>
    <w:rsid w:val="00853A4C"/>
    <w:rsid w:val="008541D7"/>
    <w:rsid w:val="00854791"/>
    <w:rsid w:val="008549FD"/>
    <w:rsid w:val="00854ADE"/>
    <w:rsid w:val="00854BD1"/>
    <w:rsid w:val="0085555C"/>
    <w:rsid w:val="00856898"/>
    <w:rsid w:val="00856C69"/>
    <w:rsid w:val="00856CF5"/>
    <w:rsid w:val="00856D5A"/>
    <w:rsid w:val="008573D3"/>
    <w:rsid w:val="00857587"/>
    <w:rsid w:val="00857621"/>
    <w:rsid w:val="00857722"/>
    <w:rsid w:val="008577EE"/>
    <w:rsid w:val="00857BA1"/>
    <w:rsid w:val="00860470"/>
    <w:rsid w:val="00860696"/>
    <w:rsid w:val="00860BDA"/>
    <w:rsid w:val="0086102A"/>
    <w:rsid w:val="008616BA"/>
    <w:rsid w:val="0086192D"/>
    <w:rsid w:val="00861C5A"/>
    <w:rsid w:val="008626B4"/>
    <w:rsid w:val="00862EFC"/>
    <w:rsid w:val="00863214"/>
    <w:rsid w:val="0086388A"/>
    <w:rsid w:val="0086396D"/>
    <w:rsid w:val="00864935"/>
    <w:rsid w:val="00864C65"/>
    <w:rsid w:val="00864CFE"/>
    <w:rsid w:val="00864FAF"/>
    <w:rsid w:val="008653BA"/>
    <w:rsid w:val="0086577A"/>
    <w:rsid w:val="00865A27"/>
    <w:rsid w:val="00865AB8"/>
    <w:rsid w:val="0086659D"/>
    <w:rsid w:val="0086696C"/>
    <w:rsid w:val="00866FD5"/>
    <w:rsid w:val="0086787F"/>
    <w:rsid w:val="008679C4"/>
    <w:rsid w:val="00867B41"/>
    <w:rsid w:val="00867F46"/>
    <w:rsid w:val="00870028"/>
    <w:rsid w:val="00870656"/>
    <w:rsid w:val="00870A93"/>
    <w:rsid w:val="0087107D"/>
    <w:rsid w:val="00871D88"/>
    <w:rsid w:val="00872539"/>
    <w:rsid w:val="0087270B"/>
    <w:rsid w:val="00872728"/>
    <w:rsid w:val="00872F28"/>
    <w:rsid w:val="00873281"/>
    <w:rsid w:val="008734F1"/>
    <w:rsid w:val="008750C1"/>
    <w:rsid w:val="00875260"/>
    <w:rsid w:val="008761F9"/>
    <w:rsid w:val="00876217"/>
    <w:rsid w:val="0087695C"/>
    <w:rsid w:val="00876CA7"/>
    <w:rsid w:val="00876E44"/>
    <w:rsid w:val="0087707F"/>
    <w:rsid w:val="00877657"/>
    <w:rsid w:val="00877DAA"/>
    <w:rsid w:val="00880081"/>
    <w:rsid w:val="008802B4"/>
    <w:rsid w:val="008802D3"/>
    <w:rsid w:val="00880565"/>
    <w:rsid w:val="00880EF4"/>
    <w:rsid w:val="00881315"/>
    <w:rsid w:val="0088143C"/>
    <w:rsid w:val="00881445"/>
    <w:rsid w:val="00881E61"/>
    <w:rsid w:val="00881E71"/>
    <w:rsid w:val="0088226F"/>
    <w:rsid w:val="00882BB4"/>
    <w:rsid w:val="00882EDF"/>
    <w:rsid w:val="00883A67"/>
    <w:rsid w:val="00884A18"/>
    <w:rsid w:val="00884A8B"/>
    <w:rsid w:val="00884DA2"/>
    <w:rsid w:val="00884F5D"/>
    <w:rsid w:val="00885C3C"/>
    <w:rsid w:val="00885DA0"/>
    <w:rsid w:val="00885F9F"/>
    <w:rsid w:val="00886619"/>
    <w:rsid w:val="00886A86"/>
    <w:rsid w:val="00886B0E"/>
    <w:rsid w:val="00886F95"/>
    <w:rsid w:val="008873DB"/>
    <w:rsid w:val="00887782"/>
    <w:rsid w:val="008877AE"/>
    <w:rsid w:val="008877F7"/>
    <w:rsid w:val="008903F1"/>
    <w:rsid w:val="00890926"/>
    <w:rsid w:val="00890A40"/>
    <w:rsid w:val="00891211"/>
    <w:rsid w:val="0089184E"/>
    <w:rsid w:val="008919DB"/>
    <w:rsid w:val="00891DC7"/>
    <w:rsid w:val="008921C2"/>
    <w:rsid w:val="00892DD2"/>
    <w:rsid w:val="00893572"/>
    <w:rsid w:val="00893796"/>
    <w:rsid w:val="00893838"/>
    <w:rsid w:val="008938A6"/>
    <w:rsid w:val="008938FB"/>
    <w:rsid w:val="00893948"/>
    <w:rsid w:val="0089492D"/>
    <w:rsid w:val="00894A6B"/>
    <w:rsid w:val="00894C78"/>
    <w:rsid w:val="00894DA2"/>
    <w:rsid w:val="008953AE"/>
    <w:rsid w:val="00895B36"/>
    <w:rsid w:val="00895F06"/>
    <w:rsid w:val="0089697F"/>
    <w:rsid w:val="00896A96"/>
    <w:rsid w:val="00896D2A"/>
    <w:rsid w:val="00896D4C"/>
    <w:rsid w:val="00897A0A"/>
    <w:rsid w:val="00897F1F"/>
    <w:rsid w:val="008A03B9"/>
    <w:rsid w:val="008A11A5"/>
    <w:rsid w:val="008A1334"/>
    <w:rsid w:val="008A1767"/>
    <w:rsid w:val="008A1B37"/>
    <w:rsid w:val="008A1BB9"/>
    <w:rsid w:val="008A1CC1"/>
    <w:rsid w:val="008A2FF0"/>
    <w:rsid w:val="008A37BA"/>
    <w:rsid w:val="008A37C1"/>
    <w:rsid w:val="008A38E3"/>
    <w:rsid w:val="008A3E7F"/>
    <w:rsid w:val="008A3E86"/>
    <w:rsid w:val="008A446D"/>
    <w:rsid w:val="008A4773"/>
    <w:rsid w:val="008A4841"/>
    <w:rsid w:val="008A4C4A"/>
    <w:rsid w:val="008A4E3B"/>
    <w:rsid w:val="008A5315"/>
    <w:rsid w:val="008A5979"/>
    <w:rsid w:val="008A5C41"/>
    <w:rsid w:val="008A67AF"/>
    <w:rsid w:val="008A6B64"/>
    <w:rsid w:val="008A6E5C"/>
    <w:rsid w:val="008A725D"/>
    <w:rsid w:val="008A7DE9"/>
    <w:rsid w:val="008B037C"/>
    <w:rsid w:val="008B0DC7"/>
    <w:rsid w:val="008B12E5"/>
    <w:rsid w:val="008B1498"/>
    <w:rsid w:val="008B1F34"/>
    <w:rsid w:val="008B2990"/>
    <w:rsid w:val="008B2F52"/>
    <w:rsid w:val="008B3487"/>
    <w:rsid w:val="008B3DC8"/>
    <w:rsid w:val="008B3EE6"/>
    <w:rsid w:val="008B43C7"/>
    <w:rsid w:val="008B48F4"/>
    <w:rsid w:val="008B506E"/>
    <w:rsid w:val="008B5186"/>
    <w:rsid w:val="008B55E6"/>
    <w:rsid w:val="008B5D9B"/>
    <w:rsid w:val="008B5E9B"/>
    <w:rsid w:val="008B5F7D"/>
    <w:rsid w:val="008B5FBC"/>
    <w:rsid w:val="008B62D2"/>
    <w:rsid w:val="008B68B2"/>
    <w:rsid w:val="008B773A"/>
    <w:rsid w:val="008B7930"/>
    <w:rsid w:val="008B7E5C"/>
    <w:rsid w:val="008B7F5C"/>
    <w:rsid w:val="008C0277"/>
    <w:rsid w:val="008C05DB"/>
    <w:rsid w:val="008C0CE7"/>
    <w:rsid w:val="008C10B1"/>
    <w:rsid w:val="008C14CB"/>
    <w:rsid w:val="008C2E70"/>
    <w:rsid w:val="008C2F58"/>
    <w:rsid w:val="008C35F8"/>
    <w:rsid w:val="008C375C"/>
    <w:rsid w:val="008C3A85"/>
    <w:rsid w:val="008C3F0F"/>
    <w:rsid w:val="008C3FA4"/>
    <w:rsid w:val="008C4055"/>
    <w:rsid w:val="008C40AC"/>
    <w:rsid w:val="008C45CF"/>
    <w:rsid w:val="008C4890"/>
    <w:rsid w:val="008C4DED"/>
    <w:rsid w:val="008C4F32"/>
    <w:rsid w:val="008C51D0"/>
    <w:rsid w:val="008C6EEB"/>
    <w:rsid w:val="008C7A6E"/>
    <w:rsid w:val="008C7CC3"/>
    <w:rsid w:val="008C7EC2"/>
    <w:rsid w:val="008D0135"/>
    <w:rsid w:val="008D048A"/>
    <w:rsid w:val="008D0506"/>
    <w:rsid w:val="008D07E4"/>
    <w:rsid w:val="008D0B7E"/>
    <w:rsid w:val="008D0FBE"/>
    <w:rsid w:val="008D141E"/>
    <w:rsid w:val="008D1E9F"/>
    <w:rsid w:val="008D21FC"/>
    <w:rsid w:val="008D3486"/>
    <w:rsid w:val="008D37BC"/>
    <w:rsid w:val="008D4AB9"/>
    <w:rsid w:val="008D5113"/>
    <w:rsid w:val="008D6562"/>
    <w:rsid w:val="008D6796"/>
    <w:rsid w:val="008D7320"/>
    <w:rsid w:val="008D7D52"/>
    <w:rsid w:val="008D7F74"/>
    <w:rsid w:val="008E03CD"/>
    <w:rsid w:val="008E09B1"/>
    <w:rsid w:val="008E0E33"/>
    <w:rsid w:val="008E156F"/>
    <w:rsid w:val="008E1668"/>
    <w:rsid w:val="008E196B"/>
    <w:rsid w:val="008E1981"/>
    <w:rsid w:val="008E1A0C"/>
    <w:rsid w:val="008E23BE"/>
    <w:rsid w:val="008E2464"/>
    <w:rsid w:val="008E2CE3"/>
    <w:rsid w:val="008E3712"/>
    <w:rsid w:val="008E3DE6"/>
    <w:rsid w:val="008E3E10"/>
    <w:rsid w:val="008E40AB"/>
    <w:rsid w:val="008E484D"/>
    <w:rsid w:val="008E5A98"/>
    <w:rsid w:val="008E5FFB"/>
    <w:rsid w:val="008E6A70"/>
    <w:rsid w:val="008E7105"/>
    <w:rsid w:val="008E7690"/>
    <w:rsid w:val="008F2156"/>
    <w:rsid w:val="008F23F3"/>
    <w:rsid w:val="008F2490"/>
    <w:rsid w:val="008F29D9"/>
    <w:rsid w:val="008F2D7E"/>
    <w:rsid w:val="008F3886"/>
    <w:rsid w:val="008F3CCB"/>
    <w:rsid w:val="008F3DBC"/>
    <w:rsid w:val="008F3DBD"/>
    <w:rsid w:val="008F4013"/>
    <w:rsid w:val="008F4243"/>
    <w:rsid w:val="008F4262"/>
    <w:rsid w:val="008F447E"/>
    <w:rsid w:val="008F537E"/>
    <w:rsid w:val="008F5A4E"/>
    <w:rsid w:val="008F5A7B"/>
    <w:rsid w:val="008F5B86"/>
    <w:rsid w:val="008F5C3E"/>
    <w:rsid w:val="008F5C72"/>
    <w:rsid w:val="008F62D7"/>
    <w:rsid w:val="008F62F9"/>
    <w:rsid w:val="008F6C75"/>
    <w:rsid w:val="008F725C"/>
    <w:rsid w:val="008F735A"/>
    <w:rsid w:val="008F74B3"/>
    <w:rsid w:val="008F77D1"/>
    <w:rsid w:val="009003F8"/>
    <w:rsid w:val="00900E0A"/>
    <w:rsid w:val="009012C7"/>
    <w:rsid w:val="009015D9"/>
    <w:rsid w:val="00901820"/>
    <w:rsid w:val="00901BC3"/>
    <w:rsid w:val="009023DC"/>
    <w:rsid w:val="0090264A"/>
    <w:rsid w:val="00902AA1"/>
    <w:rsid w:val="009032E3"/>
    <w:rsid w:val="00903A0D"/>
    <w:rsid w:val="00903CCD"/>
    <w:rsid w:val="00903F04"/>
    <w:rsid w:val="00904017"/>
    <w:rsid w:val="0090502A"/>
    <w:rsid w:val="009055D5"/>
    <w:rsid w:val="00905C5F"/>
    <w:rsid w:val="009066D9"/>
    <w:rsid w:val="009068E6"/>
    <w:rsid w:val="00906EAF"/>
    <w:rsid w:val="00907770"/>
    <w:rsid w:val="00907857"/>
    <w:rsid w:val="0091060E"/>
    <w:rsid w:val="009108E1"/>
    <w:rsid w:val="00910A3B"/>
    <w:rsid w:val="00910CB8"/>
    <w:rsid w:val="00911894"/>
    <w:rsid w:val="0091238F"/>
    <w:rsid w:val="0091290E"/>
    <w:rsid w:val="00912D09"/>
    <w:rsid w:val="00913B9C"/>
    <w:rsid w:val="00913F68"/>
    <w:rsid w:val="0091506A"/>
    <w:rsid w:val="0091550F"/>
    <w:rsid w:val="00915574"/>
    <w:rsid w:val="009156A0"/>
    <w:rsid w:val="00915805"/>
    <w:rsid w:val="00915FC6"/>
    <w:rsid w:val="00916A55"/>
    <w:rsid w:val="0091750F"/>
    <w:rsid w:val="00917ACD"/>
    <w:rsid w:val="00917D89"/>
    <w:rsid w:val="00920E52"/>
    <w:rsid w:val="00920F7B"/>
    <w:rsid w:val="00921028"/>
    <w:rsid w:val="0092103D"/>
    <w:rsid w:val="00921572"/>
    <w:rsid w:val="009220EB"/>
    <w:rsid w:val="0092223F"/>
    <w:rsid w:val="0092237A"/>
    <w:rsid w:val="009223D7"/>
    <w:rsid w:val="009223EB"/>
    <w:rsid w:val="009225E0"/>
    <w:rsid w:val="00923212"/>
    <w:rsid w:val="00923472"/>
    <w:rsid w:val="00923EF1"/>
    <w:rsid w:val="009249E1"/>
    <w:rsid w:val="00924DCE"/>
    <w:rsid w:val="009259E7"/>
    <w:rsid w:val="00925AAF"/>
    <w:rsid w:val="009263A2"/>
    <w:rsid w:val="00926923"/>
    <w:rsid w:val="00926A29"/>
    <w:rsid w:val="00926C02"/>
    <w:rsid w:val="00927BAF"/>
    <w:rsid w:val="00927E36"/>
    <w:rsid w:val="00930945"/>
    <w:rsid w:val="00930D9D"/>
    <w:rsid w:val="00930E13"/>
    <w:rsid w:val="0093122D"/>
    <w:rsid w:val="00931C60"/>
    <w:rsid w:val="00931E5F"/>
    <w:rsid w:val="0093243A"/>
    <w:rsid w:val="009325B3"/>
    <w:rsid w:val="00933060"/>
    <w:rsid w:val="00933450"/>
    <w:rsid w:val="009337BB"/>
    <w:rsid w:val="00934215"/>
    <w:rsid w:val="00934291"/>
    <w:rsid w:val="00934D81"/>
    <w:rsid w:val="0093502D"/>
    <w:rsid w:val="009357CB"/>
    <w:rsid w:val="00935933"/>
    <w:rsid w:val="00935BCF"/>
    <w:rsid w:val="0093677C"/>
    <w:rsid w:val="009367B4"/>
    <w:rsid w:val="0093742C"/>
    <w:rsid w:val="009378B8"/>
    <w:rsid w:val="00937A09"/>
    <w:rsid w:val="00937CD6"/>
    <w:rsid w:val="00937F7B"/>
    <w:rsid w:val="00937F88"/>
    <w:rsid w:val="009402E4"/>
    <w:rsid w:val="009402FB"/>
    <w:rsid w:val="00940326"/>
    <w:rsid w:val="0094085F"/>
    <w:rsid w:val="00940D5E"/>
    <w:rsid w:val="00940E14"/>
    <w:rsid w:val="009411C4"/>
    <w:rsid w:val="00941515"/>
    <w:rsid w:val="00941CA4"/>
    <w:rsid w:val="009423D3"/>
    <w:rsid w:val="00942627"/>
    <w:rsid w:val="0094276E"/>
    <w:rsid w:val="00942A21"/>
    <w:rsid w:val="009430BE"/>
    <w:rsid w:val="009438AB"/>
    <w:rsid w:val="00944A94"/>
    <w:rsid w:val="00944CFB"/>
    <w:rsid w:val="009453D5"/>
    <w:rsid w:val="0094551B"/>
    <w:rsid w:val="0094576B"/>
    <w:rsid w:val="00945A5C"/>
    <w:rsid w:val="00945BF0"/>
    <w:rsid w:val="00945D53"/>
    <w:rsid w:val="00946164"/>
    <w:rsid w:val="00946350"/>
    <w:rsid w:val="009464A2"/>
    <w:rsid w:val="00946D23"/>
    <w:rsid w:val="00947607"/>
    <w:rsid w:val="009478FD"/>
    <w:rsid w:val="00947B46"/>
    <w:rsid w:val="00947B7A"/>
    <w:rsid w:val="00950CC0"/>
    <w:rsid w:val="00950F59"/>
    <w:rsid w:val="00951156"/>
    <w:rsid w:val="009511DF"/>
    <w:rsid w:val="00951AAD"/>
    <w:rsid w:val="00952942"/>
    <w:rsid w:val="0095363B"/>
    <w:rsid w:val="009539F4"/>
    <w:rsid w:val="00953DA9"/>
    <w:rsid w:val="00953E37"/>
    <w:rsid w:val="0095453E"/>
    <w:rsid w:val="009549A9"/>
    <w:rsid w:val="00955013"/>
    <w:rsid w:val="00955221"/>
    <w:rsid w:val="009557EA"/>
    <w:rsid w:val="00955C07"/>
    <w:rsid w:val="00955F1E"/>
    <w:rsid w:val="009564BB"/>
    <w:rsid w:val="009565E4"/>
    <w:rsid w:val="00956DF4"/>
    <w:rsid w:val="00956E84"/>
    <w:rsid w:val="00956FA5"/>
    <w:rsid w:val="0095709E"/>
    <w:rsid w:val="009575B6"/>
    <w:rsid w:val="009578E1"/>
    <w:rsid w:val="0095791D"/>
    <w:rsid w:val="00957CA7"/>
    <w:rsid w:val="009602F4"/>
    <w:rsid w:val="00960331"/>
    <w:rsid w:val="00960FBF"/>
    <w:rsid w:val="009621E7"/>
    <w:rsid w:val="00962A8F"/>
    <w:rsid w:val="00962BF7"/>
    <w:rsid w:val="009632D0"/>
    <w:rsid w:val="009633FF"/>
    <w:rsid w:val="00963748"/>
    <w:rsid w:val="00964540"/>
    <w:rsid w:val="0096481D"/>
    <w:rsid w:val="00964AC1"/>
    <w:rsid w:val="009650F0"/>
    <w:rsid w:val="0096521D"/>
    <w:rsid w:val="00965AFA"/>
    <w:rsid w:val="00965F81"/>
    <w:rsid w:val="00966687"/>
    <w:rsid w:val="00966CCF"/>
    <w:rsid w:val="00966FC7"/>
    <w:rsid w:val="00966FF5"/>
    <w:rsid w:val="00966FF9"/>
    <w:rsid w:val="00967EAE"/>
    <w:rsid w:val="0097027A"/>
    <w:rsid w:val="009706E5"/>
    <w:rsid w:val="009707E8"/>
    <w:rsid w:val="00970A8B"/>
    <w:rsid w:val="00970BE3"/>
    <w:rsid w:val="009711C4"/>
    <w:rsid w:val="00972090"/>
    <w:rsid w:val="009722A8"/>
    <w:rsid w:val="00972C85"/>
    <w:rsid w:val="00973AF9"/>
    <w:rsid w:val="00973B07"/>
    <w:rsid w:val="00974945"/>
    <w:rsid w:val="00974C55"/>
    <w:rsid w:val="00974C5D"/>
    <w:rsid w:val="00975ED0"/>
    <w:rsid w:val="00976136"/>
    <w:rsid w:val="009765E7"/>
    <w:rsid w:val="00976941"/>
    <w:rsid w:val="009773D5"/>
    <w:rsid w:val="00980365"/>
    <w:rsid w:val="00980E45"/>
    <w:rsid w:val="0098134E"/>
    <w:rsid w:val="009817FC"/>
    <w:rsid w:val="00981843"/>
    <w:rsid w:val="00981CFA"/>
    <w:rsid w:val="0098225E"/>
    <w:rsid w:val="00982616"/>
    <w:rsid w:val="00982FAA"/>
    <w:rsid w:val="009835C9"/>
    <w:rsid w:val="00983A59"/>
    <w:rsid w:val="00983CF1"/>
    <w:rsid w:val="00984777"/>
    <w:rsid w:val="00985B0B"/>
    <w:rsid w:val="00986D06"/>
    <w:rsid w:val="009879BF"/>
    <w:rsid w:val="00987A3E"/>
    <w:rsid w:val="0099001D"/>
    <w:rsid w:val="009901B6"/>
    <w:rsid w:val="009913DF"/>
    <w:rsid w:val="009914F6"/>
    <w:rsid w:val="00991571"/>
    <w:rsid w:val="009918FD"/>
    <w:rsid w:val="0099278D"/>
    <w:rsid w:val="009932D5"/>
    <w:rsid w:val="00993490"/>
    <w:rsid w:val="00993F95"/>
    <w:rsid w:val="0099467C"/>
    <w:rsid w:val="009947F6"/>
    <w:rsid w:val="00994AC3"/>
    <w:rsid w:val="00994E39"/>
    <w:rsid w:val="009951AC"/>
    <w:rsid w:val="00997358"/>
    <w:rsid w:val="009975EB"/>
    <w:rsid w:val="00997A4F"/>
    <w:rsid w:val="00997A79"/>
    <w:rsid w:val="009A02A0"/>
    <w:rsid w:val="009A06CD"/>
    <w:rsid w:val="009A093B"/>
    <w:rsid w:val="009A0B4F"/>
    <w:rsid w:val="009A0D9D"/>
    <w:rsid w:val="009A129A"/>
    <w:rsid w:val="009A159F"/>
    <w:rsid w:val="009A1CE8"/>
    <w:rsid w:val="009A1D1F"/>
    <w:rsid w:val="009A1D69"/>
    <w:rsid w:val="009A1DFE"/>
    <w:rsid w:val="009A2B6B"/>
    <w:rsid w:val="009A2C83"/>
    <w:rsid w:val="009A3237"/>
    <w:rsid w:val="009A336B"/>
    <w:rsid w:val="009A39A8"/>
    <w:rsid w:val="009A3B30"/>
    <w:rsid w:val="009A3B90"/>
    <w:rsid w:val="009A3E66"/>
    <w:rsid w:val="009A3FA9"/>
    <w:rsid w:val="009A432B"/>
    <w:rsid w:val="009A4866"/>
    <w:rsid w:val="009A488A"/>
    <w:rsid w:val="009A4A1A"/>
    <w:rsid w:val="009A5848"/>
    <w:rsid w:val="009A5DC4"/>
    <w:rsid w:val="009A69C0"/>
    <w:rsid w:val="009A6BBB"/>
    <w:rsid w:val="009A6CFF"/>
    <w:rsid w:val="009A7378"/>
    <w:rsid w:val="009A78F3"/>
    <w:rsid w:val="009B02CA"/>
    <w:rsid w:val="009B080C"/>
    <w:rsid w:val="009B0BEB"/>
    <w:rsid w:val="009B13DC"/>
    <w:rsid w:val="009B24FB"/>
    <w:rsid w:val="009B28C0"/>
    <w:rsid w:val="009B2BE2"/>
    <w:rsid w:val="009B2F51"/>
    <w:rsid w:val="009B3766"/>
    <w:rsid w:val="009B4632"/>
    <w:rsid w:val="009B4935"/>
    <w:rsid w:val="009B5581"/>
    <w:rsid w:val="009B55CE"/>
    <w:rsid w:val="009B57D9"/>
    <w:rsid w:val="009B5916"/>
    <w:rsid w:val="009B5AB9"/>
    <w:rsid w:val="009B5B4F"/>
    <w:rsid w:val="009B5D1D"/>
    <w:rsid w:val="009B6398"/>
    <w:rsid w:val="009B64B9"/>
    <w:rsid w:val="009B6A59"/>
    <w:rsid w:val="009B7872"/>
    <w:rsid w:val="009C1188"/>
    <w:rsid w:val="009C1526"/>
    <w:rsid w:val="009C18CD"/>
    <w:rsid w:val="009C2101"/>
    <w:rsid w:val="009C22BC"/>
    <w:rsid w:val="009C2A63"/>
    <w:rsid w:val="009C2DF5"/>
    <w:rsid w:val="009C2F9A"/>
    <w:rsid w:val="009C3535"/>
    <w:rsid w:val="009C38D2"/>
    <w:rsid w:val="009C3D50"/>
    <w:rsid w:val="009C3EB6"/>
    <w:rsid w:val="009C4A48"/>
    <w:rsid w:val="009C5275"/>
    <w:rsid w:val="009C54E6"/>
    <w:rsid w:val="009C55A8"/>
    <w:rsid w:val="009C5910"/>
    <w:rsid w:val="009C5DAE"/>
    <w:rsid w:val="009C703E"/>
    <w:rsid w:val="009C7857"/>
    <w:rsid w:val="009C7F5B"/>
    <w:rsid w:val="009D057F"/>
    <w:rsid w:val="009D0796"/>
    <w:rsid w:val="009D1095"/>
    <w:rsid w:val="009D1694"/>
    <w:rsid w:val="009D2166"/>
    <w:rsid w:val="009D2199"/>
    <w:rsid w:val="009D2428"/>
    <w:rsid w:val="009D2637"/>
    <w:rsid w:val="009D33CE"/>
    <w:rsid w:val="009D3E86"/>
    <w:rsid w:val="009D486C"/>
    <w:rsid w:val="009D4E31"/>
    <w:rsid w:val="009D5279"/>
    <w:rsid w:val="009D58C0"/>
    <w:rsid w:val="009D5BA4"/>
    <w:rsid w:val="009D62CF"/>
    <w:rsid w:val="009E074D"/>
    <w:rsid w:val="009E0BDE"/>
    <w:rsid w:val="009E0FE6"/>
    <w:rsid w:val="009E118B"/>
    <w:rsid w:val="009E1EBA"/>
    <w:rsid w:val="009E2153"/>
    <w:rsid w:val="009E23C5"/>
    <w:rsid w:val="009E2AEE"/>
    <w:rsid w:val="009E307E"/>
    <w:rsid w:val="009E341C"/>
    <w:rsid w:val="009E341F"/>
    <w:rsid w:val="009E3A50"/>
    <w:rsid w:val="009E4C06"/>
    <w:rsid w:val="009E54C3"/>
    <w:rsid w:val="009E5E44"/>
    <w:rsid w:val="009E6064"/>
    <w:rsid w:val="009E6174"/>
    <w:rsid w:val="009E6EC1"/>
    <w:rsid w:val="009E7273"/>
    <w:rsid w:val="009E749B"/>
    <w:rsid w:val="009E77BD"/>
    <w:rsid w:val="009E7BCA"/>
    <w:rsid w:val="009F0073"/>
    <w:rsid w:val="009F09D2"/>
    <w:rsid w:val="009F0C2D"/>
    <w:rsid w:val="009F0F9E"/>
    <w:rsid w:val="009F1AE3"/>
    <w:rsid w:val="009F1B58"/>
    <w:rsid w:val="009F1F4F"/>
    <w:rsid w:val="009F21F5"/>
    <w:rsid w:val="009F2470"/>
    <w:rsid w:val="009F248F"/>
    <w:rsid w:val="009F24AF"/>
    <w:rsid w:val="009F2553"/>
    <w:rsid w:val="009F2CE1"/>
    <w:rsid w:val="009F2D28"/>
    <w:rsid w:val="009F2D81"/>
    <w:rsid w:val="009F2E58"/>
    <w:rsid w:val="009F3240"/>
    <w:rsid w:val="009F32D0"/>
    <w:rsid w:val="009F3627"/>
    <w:rsid w:val="009F3993"/>
    <w:rsid w:val="009F45DC"/>
    <w:rsid w:val="009F4D1A"/>
    <w:rsid w:val="009F4DD6"/>
    <w:rsid w:val="009F5448"/>
    <w:rsid w:val="009F54A4"/>
    <w:rsid w:val="009F54B9"/>
    <w:rsid w:val="009F5649"/>
    <w:rsid w:val="009F6A26"/>
    <w:rsid w:val="009F7EC4"/>
    <w:rsid w:val="00A00C20"/>
    <w:rsid w:val="00A011C7"/>
    <w:rsid w:val="00A01EC3"/>
    <w:rsid w:val="00A01FF6"/>
    <w:rsid w:val="00A0252E"/>
    <w:rsid w:val="00A02AD4"/>
    <w:rsid w:val="00A02C80"/>
    <w:rsid w:val="00A02D9F"/>
    <w:rsid w:val="00A02FA0"/>
    <w:rsid w:val="00A03C4D"/>
    <w:rsid w:val="00A04FA2"/>
    <w:rsid w:val="00A0533C"/>
    <w:rsid w:val="00A054E0"/>
    <w:rsid w:val="00A0598A"/>
    <w:rsid w:val="00A0631C"/>
    <w:rsid w:val="00A06CDC"/>
    <w:rsid w:val="00A06D35"/>
    <w:rsid w:val="00A076E6"/>
    <w:rsid w:val="00A10154"/>
    <w:rsid w:val="00A10302"/>
    <w:rsid w:val="00A11F0C"/>
    <w:rsid w:val="00A124EC"/>
    <w:rsid w:val="00A13009"/>
    <w:rsid w:val="00A135F5"/>
    <w:rsid w:val="00A1386A"/>
    <w:rsid w:val="00A139DA"/>
    <w:rsid w:val="00A142A9"/>
    <w:rsid w:val="00A14312"/>
    <w:rsid w:val="00A145B6"/>
    <w:rsid w:val="00A14706"/>
    <w:rsid w:val="00A14C00"/>
    <w:rsid w:val="00A14CF9"/>
    <w:rsid w:val="00A14F01"/>
    <w:rsid w:val="00A15626"/>
    <w:rsid w:val="00A15A64"/>
    <w:rsid w:val="00A15C3A"/>
    <w:rsid w:val="00A16178"/>
    <w:rsid w:val="00A16285"/>
    <w:rsid w:val="00A16747"/>
    <w:rsid w:val="00A16758"/>
    <w:rsid w:val="00A168FC"/>
    <w:rsid w:val="00A1697D"/>
    <w:rsid w:val="00A172F5"/>
    <w:rsid w:val="00A175FD"/>
    <w:rsid w:val="00A17E0B"/>
    <w:rsid w:val="00A200E9"/>
    <w:rsid w:val="00A20F64"/>
    <w:rsid w:val="00A21404"/>
    <w:rsid w:val="00A2156F"/>
    <w:rsid w:val="00A229C4"/>
    <w:rsid w:val="00A231DF"/>
    <w:rsid w:val="00A23340"/>
    <w:rsid w:val="00A2403C"/>
    <w:rsid w:val="00A2429A"/>
    <w:rsid w:val="00A2436E"/>
    <w:rsid w:val="00A244F3"/>
    <w:rsid w:val="00A24726"/>
    <w:rsid w:val="00A24AD0"/>
    <w:rsid w:val="00A24CB4"/>
    <w:rsid w:val="00A25D88"/>
    <w:rsid w:val="00A26096"/>
    <w:rsid w:val="00A261E7"/>
    <w:rsid w:val="00A265D7"/>
    <w:rsid w:val="00A265E9"/>
    <w:rsid w:val="00A267F6"/>
    <w:rsid w:val="00A269BD"/>
    <w:rsid w:val="00A26DD0"/>
    <w:rsid w:val="00A27590"/>
    <w:rsid w:val="00A2760A"/>
    <w:rsid w:val="00A279EE"/>
    <w:rsid w:val="00A27E20"/>
    <w:rsid w:val="00A301F9"/>
    <w:rsid w:val="00A302AC"/>
    <w:rsid w:val="00A3070E"/>
    <w:rsid w:val="00A307DC"/>
    <w:rsid w:val="00A30B57"/>
    <w:rsid w:val="00A30D51"/>
    <w:rsid w:val="00A313AD"/>
    <w:rsid w:val="00A3179E"/>
    <w:rsid w:val="00A317B8"/>
    <w:rsid w:val="00A31ACB"/>
    <w:rsid w:val="00A31CA5"/>
    <w:rsid w:val="00A3256F"/>
    <w:rsid w:val="00A328A1"/>
    <w:rsid w:val="00A32F89"/>
    <w:rsid w:val="00A341D4"/>
    <w:rsid w:val="00A34EC5"/>
    <w:rsid w:val="00A35934"/>
    <w:rsid w:val="00A36044"/>
    <w:rsid w:val="00A3620E"/>
    <w:rsid w:val="00A362EC"/>
    <w:rsid w:val="00A36805"/>
    <w:rsid w:val="00A36BFE"/>
    <w:rsid w:val="00A36C53"/>
    <w:rsid w:val="00A36F1C"/>
    <w:rsid w:val="00A37335"/>
    <w:rsid w:val="00A37E7D"/>
    <w:rsid w:val="00A4031F"/>
    <w:rsid w:val="00A403F6"/>
    <w:rsid w:val="00A4065C"/>
    <w:rsid w:val="00A4097A"/>
    <w:rsid w:val="00A40AA0"/>
    <w:rsid w:val="00A40EE5"/>
    <w:rsid w:val="00A418E5"/>
    <w:rsid w:val="00A41AC4"/>
    <w:rsid w:val="00A4227C"/>
    <w:rsid w:val="00A423F3"/>
    <w:rsid w:val="00A430B2"/>
    <w:rsid w:val="00A43505"/>
    <w:rsid w:val="00A436B9"/>
    <w:rsid w:val="00A43789"/>
    <w:rsid w:val="00A4383C"/>
    <w:rsid w:val="00A43D1B"/>
    <w:rsid w:val="00A443A6"/>
    <w:rsid w:val="00A4532A"/>
    <w:rsid w:val="00A45E72"/>
    <w:rsid w:val="00A46196"/>
    <w:rsid w:val="00A464BF"/>
    <w:rsid w:val="00A464D8"/>
    <w:rsid w:val="00A4689A"/>
    <w:rsid w:val="00A468BE"/>
    <w:rsid w:val="00A46A06"/>
    <w:rsid w:val="00A46BF2"/>
    <w:rsid w:val="00A47930"/>
    <w:rsid w:val="00A50953"/>
    <w:rsid w:val="00A50DDA"/>
    <w:rsid w:val="00A5197C"/>
    <w:rsid w:val="00A52CA1"/>
    <w:rsid w:val="00A536AA"/>
    <w:rsid w:val="00A54694"/>
    <w:rsid w:val="00A54CF9"/>
    <w:rsid w:val="00A558F4"/>
    <w:rsid w:val="00A55D7A"/>
    <w:rsid w:val="00A55E8D"/>
    <w:rsid w:val="00A5611A"/>
    <w:rsid w:val="00A56395"/>
    <w:rsid w:val="00A5641F"/>
    <w:rsid w:val="00A568F9"/>
    <w:rsid w:val="00A5705F"/>
    <w:rsid w:val="00A5727F"/>
    <w:rsid w:val="00A57561"/>
    <w:rsid w:val="00A576B5"/>
    <w:rsid w:val="00A57C91"/>
    <w:rsid w:val="00A57D3A"/>
    <w:rsid w:val="00A57F99"/>
    <w:rsid w:val="00A603B7"/>
    <w:rsid w:val="00A604F3"/>
    <w:rsid w:val="00A609BA"/>
    <w:rsid w:val="00A60D46"/>
    <w:rsid w:val="00A60F8C"/>
    <w:rsid w:val="00A61A67"/>
    <w:rsid w:val="00A61AA2"/>
    <w:rsid w:val="00A61F02"/>
    <w:rsid w:val="00A61F93"/>
    <w:rsid w:val="00A621CA"/>
    <w:rsid w:val="00A62205"/>
    <w:rsid w:val="00A62DDD"/>
    <w:rsid w:val="00A63070"/>
    <w:rsid w:val="00A63314"/>
    <w:rsid w:val="00A63315"/>
    <w:rsid w:val="00A634C8"/>
    <w:rsid w:val="00A6390D"/>
    <w:rsid w:val="00A6399F"/>
    <w:rsid w:val="00A63D4C"/>
    <w:rsid w:val="00A63E4A"/>
    <w:rsid w:val="00A646F5"/>
    <w:rsid w:val="00A65537"/>
    <w:rsid w:val="00A6599B"/>
    <w:rsid w:val="00A66570"/>
    <w:rsid w:val="00A66F60"/>
    <w:rsid w:val="00A671A0"/>
    <w:rsid w:val="00A6740B"/>
    <w:rsid w:val="00A6753A"/>
    <w:rsid w:val="00A675B6"/>
    <w:rsid w:val="00A67637"/>
    <w:rsid w:val="00A676FB"/>
    <w:rsid w:val="00A67DA1"/>
    <w:rsid w:val="00A67EFB"/>
    <w:rsid w:val="00A700EA"/>
    <w:rsid w:val="00A71362"/>
    <w:rsid w:val="00A714F3"/>
    <w:rsid w:val="00A717BE"/>
    <w:rsid w:val="00A717CB"/>
    <w:rsid w:val="00A71B03"/>
    <w:rsid w:val="00A723E5"/>
    <w:rsid w:val="00A733C4"/>
    <w:rsid w:val="00A73480"/>
    <w:rsid w:val="00A73A3E"/>
    <w:rsid w:val="00A7481A"/>
    <w:rsid w:val="00A74EBE"/>
    <w:rsid w:val="00A750F7"/>
    <w:rsid w:val="00A751AA"/>
    <w:rsid w:val="00A755CA"/>
    <w:rsid w:val="00A75CEF"/>
    <w:rsid w:val="00A76049"/>
    <w:rsid w:val="00A7652D"/>
    <w:rsid w:val="00A76B87"/>
    <w:rsid w:val="00A76F85"/>
    <w:rsid w:val="00A775FF"/>
    <w:rsid w:val="00A7762D"/>
    <w:rsid w:val="00A77BEF"/>
    <w:rsid w:val="00A77D78"/>
    <w:rsid w:val="00A80375"/>
    <w:rsid w:val="00A804EE"/>
    <w:rsid w:val="00A807D7"/>
    <w:rsid w:val="00A80B21"/>
    <w:rsid w:val="00A80B71"/>
    <w:rsid w:val="00A80E81"/>
    <w:rsid w:val="00A8205C"/>
    <w:rsid w:val="00A8244F"/>
    <w:rsid w:val="00A82B48"/>
    <w:rsid w:val="00A82D8A"/>
    <w:rsid w:val="00A82E68"/>
    <w:rsid w:val="00A82FE9"/>
    <w:rsid w:val="00A83261"/>
    <w:rsid w:val="00A83340"/>
    <w:rsid w:val="00A835C9"/>
    <w:rsid w:val="00A83701"/>
    <w:rsid w:val="00A83930"/>
    <w:rsid w:val="00A84199"/>
    <w:rsid w:val="00A85587"/>
    <w:rsid w:val="00A86186"/>
    <w:rsid w:val="00A86453"/>
    <w:rsid w:val="00A87157"/>
    <w:rsid w:val="00A87BC3"/>
    <w:rsid w:val="00A9033F"/>
    <w:rsid w:val="00A90634"/>
    <w:rsid w:val="00A9083A"/>
    <w:rsid w:val="00A9098C"/>
    <w:rsid w:val="00A90A0E"/>
    <w:rsid w:val="00A90B6B"/>
    <w:rsid w:val="00A90BE1"/>
    <w:rsid w:val="00A90EAA"/>
    <w:rsid w:val="00A910FA"/>
    <w:rsid w:val="00A9229D"/>
    <w:rsid w:val="00A92584"/>
    <w:rsid w:val="00A92902"/>
    <w:rsid w:val="00A93126"/>
    <w:rsid w:val="00A933BC"/>
    <w:rsid w:val="00A947F1"/>
    <w:rsid w:val="00A948FF"/>
    <w:rsid w:val="00A94912"/>
    <w:rsid w:val="00A94C75"/>
    <w:rsid w:val="00A94EB1"/>
    <w:rsid w:val="00A95132"/>
    <w:rsid w:val="00A951FE"/>
    <w:rsid w:val="00A95378"/>
    <w:rsid w:val="00A954E2"/>
    <w:rsid w:val="00A956DC"/>
    <w:rsid w:val="00A96D0E"/>
    <w:rsid w:val="00A96EA9"/>
    <w:rsid w:val="00A97705"/>
    <w:rsid w:val="00A97F40"/>
    <w:rsid w:val="00AA01D1"/>
    <w:rsid w:val="00AA238E"/>
    <w:rsid w:val="00AA2711"/>
    <w:rsid w:val="00AA2D2B"/>
    <w:rsid w:val="00AA39A9"/>
    <w:rsid w:val="00AA3AAE"/>
    <w:rsid w:val="00AA3DE6"/>
    <w:rsid w:val="00AA42BB"/>
    <w:rsid w:val="00AA4490"/>
    <w:rsid w:val="00AA4E49"/>
    <w:rsid w:val="00AA4E89"/>
    <w:rsid w:val="00AA5462"/>
    <w:rsid w:val="00AA581D"/>
    <w:rsid w:val="00AA5CC8"/>
    <w:rsid w:val="00AA5E8B"/>
    <w:rsid w:val="00AA5F56"/>
    <w:rsid w:val="00AA60C6"/>
    <w:rsid w:val="00AA64FE"/>
    <w:rsid w:val="00AA69D7"/>
    <w:rsid w:val="00AB04E1"/>
    <w:rsid w:val="00AB06B5"/>
    <w:rsid w:val="00AB12EB"/>
    <w:rsid w:val="00AB1382"/>
    <w:rsid w:val="00AB1A9A"/>
    <w:rsid w:val="00AB2986"/>
    <w:rsid w:val="00AB2B22"/>
    <w:rsid w:val="00AB36D3"/>
    <w:rsid w:val="00AB3D1E"/>
    <w:rsid w:val="00AB3D71"/>
    <w:rsid w:val="00AB44DE"/>
    <w:rsid w:val="00AB5FBC"/>
    <w:rsid w:val="00AB6870"/>
    <w:rsid w:val="00AB688E"/>
    <w:rsid w:val="00AB689A"/>
    <w:rsid w:val="00AB6A4E"/>
    <w:rsid w:val="00AB7447"/>
    <w:rsid w:val="00AB747D"/>
    <w:rsid w:val="00AB7A0E"/>
    <w:rsid w:val="00AC070C"/>
    <w:rsid w:val="00AC077C"/>
    <w:rsid w:val="00AC08BD"/>
    <w:rsid w:val="00AC0940"/>
    <w:rsid w:val="00AC096B"/>
    <w:rsid w:val="00AC0AA3"/>
    <w:rsid w:val="00AC18D6"/>
    <w:rsid w:val="00AC18EB"/>
    <w:rsid w:val="00AC1D1A"/>
    <w:rsid w:val="00AC1F83"/>
    <w:rsid w:val="00AC2447"/>
    <w:rsid w:val="00AC2701"/>
    <w:rsid w:val="00AC2F19"/>
    <w:rsid w:val="00AC3A25"/>
    <w:rsid w:val="00AC3BD6"/>
    <w:rsid w:val="00AC3C2F"/>
    <w:rsid w:val="00AC5A5E"/>
    <w:rsid w:val="00AC5AB6"/>
    <w:rsid w:val="00AC61A7"/>
    <w:rsid w:val="00AC63DC"/>
    <w:rsid w:val="00AC6583"/>
    <w:rsid w:val="00AC72FE"/>
    <w:rsid w:val="00AC7393"/>
    <w:rsid w:val="00AC7462"/>
    <w:rsid w:val="00AC7565"/>
    <w:rsid w:val="00AC765B"/>
    <w:rsid w:val="00AC7A63"/>
    <w:rsid w:val="00AC7FE1"/>
    <w:rsid w:val="00AD02C3"/>
    <w:rsid w:val="00AD0726"/>
    <w:rsid w:val="00AD10D4"/>
    <w:rsid w:val="00AD1610"/>
    <w:rsid w:val="00AD1A57"/>
    <w:rsid w:val="00AD1E21"/>
    <w:rsid w:val="00AD2E7B"/>
    <w:rsid w:val="00AD3B8D"/>
    <w:rsid w:val="00AD3BC5"/>
    <w:rsid w:val="00AD4A2D"/>
    <w:rsid w:val="00AD4B3E"/>
    <w:rsid w:val="00AD4D64"/>
    <w:rsid w:val="00AD5103"/>
    <w:rsid w:val="00AD574A"/>
    <w:rsid w:val="00AD6C24"/>
    <w:rsid w:val="00AD7BFF"/>
    <w:rsid w:val="00AD7D5B"/>
    <w:rsid w:val="00AE006A"/>
    <w:rsid w:val="00AE019D"/>
    <w:rsid w:val="00AE0AC2"/>
    <w:rsid w:val="00AE0EFD"/>
    <w:rsid w:val="00AE2687"/>
    <w:rsid w:val="00AE2DB8"/>
    <w:rsid w:val="00AE2ECD"/>
    <w:rsid w:val="00AE35DD"/>
    <w:rsid w:val="00AE380C"/>
    <w:rsid w:val="00AE3C9F"/>
    <w:rsid w:val="00AE4971"/>
    <w:rsid w:val="00AE5EE7"/>
    <w:rsid w:val="00AE6059"/>
    <w:rsid w:val="00AE655D"/>
    <w:rsid w:val="00AE67C0"/>
    <w:rsid w:val="00AE6CB7"/>
    <w:rsid w:val="00AE6E9D"/>
    <w:rsid w:val="00AE7903"/>
    <w:rsid w:val="00AE7D8A"/>
    <w:rsid w:val="00AE7DA3"/>
    <w:rsid w:val="00AF00E0"/>
    <w:rsid w:val="00AF07D3"/>
    <w:rsid w:val="00AF0E4B"/>
    <w:rsid w:val="00AF1141"/>
    <w:rsid w:val="00AF19E7"/>
    <w:rsid w:val="00AF1B96"/>
    <w:rsid w:val="00AF2571"/>
    <w:rsid w:val="00AF28B1"/>
    <w:rsid w:val="00AF2C2B"/>
    <w:rsid w:val="00AF2C65"/>
    <w:rsid w:val="00AF2E1C"/>
    <w:rsid w:val="00AF3237"/>
    <w:rsid w:val="00AF3589"/>
    <w:rsid w:val="00AF392B"/>
    <w:rsid w:val="00AF3AC1"/>
    <w:rsid w:val="00AF401B"/>
    <w:rsid w:val="00AF40D9"/>
    <w:rsid w:val="00AF411B"/>
    <w:rsid w:val="00AF4E54"/>
    <w:rsid w:val="00AF52A6"/>
    <w:rsid w:val="00AF542E"/>
    <w:rsid w:val="00AF58E1"/>
    <w:rsid w:val="00AF5B0A"/>
    <w:rsid w:val="00AF5C3B"/>
    <w:rsid w:val="00AF642D"/>
    <w:rsid w:val="00AF6977"/>
    <w:rsid w:val="00AF6F2C"/>
    <w:rsid w:val="00B00607"/>
    <w:rsid w:val="00B0069E"/>
    <w:rsid w:val="00B01ABC"/>
    <w:rsid w:val="00B022FA"/>
    <w:rsid w:val="00B02852"/>
    <w:rsid w:val="00B02A59"/>
    <w:rsid w:val="00B02B69"/>
    <w:rsid w:val="00B02E8E"/>
    <w:rsid w:val="00B04305"/>
    <w:rsid w:val="00B048CA"/>
    <w:rsid w:val="00B0493F"/>
    <w:rsid w:val="00B04CC4"/>
    <w:rsid w:val="00B05230"/>
    <w:rsid w:val="00B0536C"/>
    <w:rsid w:val="00B05864"/>
    <w:rsid w:val="00B0591D"/>
    <w:rsid w:val="00B0599C"/>
    <w:rsid w:val="00B05D1B"/>
    <w:rsid w:val="00B05E93"/>
    <w:rsid w:val="00B06474"/>
    <w:rsid w:val="00B072AA"/>
    <w:rsid w:val="00B07637"/>
    <w:rsid w:val="00B0763F"/>
    <w:rsid w:val="00B07781"/>
    <w:rsid w:val="00B07AA6"/>
    <w:rsid w:val="00B10314"/>
    <w:rsid w:val="00B1117A"/>
    <w:rsid w:val="00B11277"/>
    <w:rsid w:val="00B11466"/>
    <w:rsid w:val="00B11C5B"/>
    <w:rsid w:val="00B1206F"/>
    <w:rsid w:val="00B121DC"/>
    <w:rsid w:val="00B12AB4"/>
    <w:rsid w:val="00B1328A"/>
    <w:rsid w:val="00B14A19"/>
    <w:rsid w:val="00B14DDA"/>
    <w:rsid w:val="00B15396"/>
    <w:rsid w:val="00B15E26"/>
    <w:rsid w:val="00B1602D"/>
    <w:rsid w:val="00B160E7"/>
    <w:rsid w:val="00B162DC"/>
    <w:rsid w:val="00B17218"/>
    <w:rsid w:val="00B20188"/>
    <w:rsid w:val="00B2198B"/>
    <w:rsid w:val="00B21B1A"/>
    <w:rsid w:val="00B2238B"/>
    <w:rsid w:val="00B224A6"/>
    <w:rsid w:val="00B240A9"/>
    <w:rsid w:val="00B242C2"/>
    <w:rsid w:val="00B2448C"/>
    <w:rsid w:val="00B249F2"/>
    <w:rsid w:val="00B24A1F"/>
    <w:rsid w:val="00B24DE4"/>
    <w:rsid w:val="00B25C8A"/>
    <w:rsid w:val="00B25CD7"/>
    <w:rsid w:val="00B260AF"/>
    <w:rsid w:val="00B2689C"/>
    <w:rsid w:val="00B26D42"/>
    <w:rsid w:val="00B278A8"/>
    <w:rsid w:val="00B279AA"/>
    <w:rsid w:val="00B27EB3"/>
    <w:rsid w:val="00B27EC2"/>
    <w:rsid w:val="00B30227"/>
    <w:rsid w:val="00B3048A"/>
    <w:rsid w:val="00B305FB"/>
    <w:rsid w:val="00B31676"/>
    <w:rsid w:val="00B32603"/>
    <w:rsid w:val="00B32A1B"/>
    <w:rsid w:val="00B32BC4"/>
    <w:rsid w:val="00B32C6C"/>
    <w:rsid w:val="00B32DFC"/>
    <w:rsid w:val="00B32E6C"/>
    <w:rsid w:val="00B32ECB"/>
    <w:rsid w:val="00B3364A"/>
    <w:rsid w:val="00B337F2"/>
    <w:rsid w:val="00B33BAE"/>
    <w:rsid w:val="00B3429A"/>
    <w:rsid w:val="00B34D6B"/>
    <w:rsid w:val="00B350A9"/>
    <w:rsid w:val="00B35AA9"/>
    <w:rsid w:val="00B36084"/>
    <w:rsid w:val="00B36541"/>
    <w:rsid w:val="00B3773E"/>
    <w:rsid w:val="00B3774B"/>
    <w:rsid w:val="00B37982"/>
    <w:rsid w:val="00B379FE"/>
    <w:rsid w:val="00B4001C"/>
    <w:rsid w:val="00B40AB3"/>
    <w:rsid w:val="00B41A99"/>
    <w:rsid w:val="00B42240"/>
    <w:rsid w:val="00B42EC5"/>
    <w:rsid w:val="00B43144"/>
    <w:rsid w:val="00B433F3"/>
    <w:rsid w:val="00B437BE"/>
    <w:rsid w:val="00B43812"/>
    <w:rsid w:val="00B438D3"/>
    <w:rsid w:val="00B439E7"/>
    <w:rsid w:val="00B43D8F"/>
    <w:rsid w:val="00B44017"/>
    <w:rsid w:val="00B44952"/>
    <w:rsid w:val="00B45600"/>
    <w:rsid w:val="00B45732"/>
    <w:rsid w:val="00B457E1"/>
    <w:rsid w:val="00B45AA6"/>
    <w:rsid w:val="00B45DB8"/>
    <w:rsid w:val="00B45FF1"/>
    <w:rsid w:val="00B46292"/>
    <w:rsid w:val="00B46293"/>
    <w:rsid w:val="00B462A8"/>
    <w:rsid w:val="00B4656D"/>
    <w:rsid w:val="00B4685D"/>
    <w:rsid w:val="00B46A96"/>
    <w:rsid w:val="00B46AB5"/>
    <w:rsid w:val="00B504CC"/>
    <w:rsid w:val="00B50A04"/>
    <w:rsid w:val="00B50A2D"/>
    <w:rsid w:val="00B50BA3"/>
    <w:rsid w:val="00B51B2A"/>
    <w:rsid w:val="00B52136"/>
    <w:rsid w:val="00B526CC"/>
    <w:rsid w:val="00B538F0"/>
    <w:rsid w:val="00B53AED"/>
    <w:rsid w:val="00B5442C"/>
    <w:rsid w:val="00B54498"/>
    <w:rsid w:val="00B54924"/>
    <w:rsid w:val="00B54A6D"/>
    <w:rsid w:val="00B54FBC"/>
    <w:rsid w:val="00B55490"/>
    <w:rsid w:val="00B5562A"/>
    <w:rsid w:val="00B569EE"/>
    <w:rsid w:val="00B575BE"/>
    <w:rsid w:val="00B600F3"/>
    <w:rsid w:val="00B60222"/>
    <w:rsid w:val="00B608C9"/>
    <w:rsid w:val="00B6117A"/>
    <w:rsid w:val="00B61D6F"/>
    <w:rsid w:val="00B62482"/>
    <w:rsid w:val="00B63116"/>
    <w:rsid w:val="00B631E8"/>
    <w:rsid w:val="00B635DC"/>
    <w:rsid w:val="00B63DEE"/>
    <w:rsid w:val="00B63FD1"/>
    <w:rsid w:val="00B640EA"/>
    <w:rsid w:val="00B644E9"/>
    <w:rsid w:val="00B64AB9"/>
    <w:rsid w:val="00B64FA1"/>
    <w:rsid w:val="00B656E4"/>
    <w:rsid w:val="00B6574B"/>
    <w:rsid w:val="00B65D2D"/>
    <w:rsid w:val="00B65DF6"/>
    <w:rsid w:val="00B6639D"/>
    <w:rsid w:val="00B6647D"/>
    <w:rsid w:val="00B665CD"/>
    <w:rsid w:val="00B66D87"/>
    <w:rsid w:val="00B67177"/>
    <w:rsid w:val="00B6738D"/>
    <w:rsid w:val="00B67BEE"/>
    <w:rsid w:val="00B67E12"/>
    <w:rsid w:val="00B70290"/>
    <w:rsid w:val="00B71071"/>
    <w:rsid w:val="00B72DBF"/>
    <w:rsid w:val="00B7364E"/>
    <w:rsid w:val="00B74340"/>
    <w:rsid w:val="00B744F4"/>
    <w:rsid w:val="00B74749"/>
    <w:rsid w:val="00B748E3"/>
    <w:rsid w:val="00B75D75"/>
    <w:rsid w:val="00B75FD4"/>
    <w:rsid w:val="00B76196"/>
    <w:rsid w:val="00B76551"/>
    <w:rsid w:val="00B76D5A"/>
    <w:rsid w:val="00B76E84"/>
    <w:rsid w:val="00B76F26"/>
    <w:rsid w:val="00B776F4"/>
    <w:rsid w:val="00B8042B"/>
    <w:rsid w:val="00B805C4"/>
    <w:rsid w:val="00B80662"/>
    <w:rsid w:val="00B806FD"/>
    <w:rsid w:val="00B80DF3"/>
    <w:rsid w:val="00B8118D"/>
    <w:rsid w:val="00B813A1"/>
    <w:rsid w:val="00B814EF"/>
    <w:rsid w:val="00B816CC"/>
    <w:rsid w:val="00B81F4E"/>
    <w:rsid w:val="00B823A0"/>
    <w:rsid w:val="00B8248E"/>
    <w:rsid w:val="00B828C5"/>
    <w:rsid w:val="00B832C4"/>
    <w:rsid w:val="00B83763"/>
    <w:rsid w:val="00B83ACC"/>
    <w:rsid w:val="00B84497"/>
    <w:rsid w:val="00B8476E"/>
    <w:rsid w:val="00B84C59"/>
    <w:rsid w:val="00B84C8D"/>
    <w:rsid w:val="00B8560F"/>
    <w:rsid w:val="00B85812"/>
    <w:rsid w:val="00B85D77"/>
    <w:rsid w:val="00B85F0A"/>
    <w:rsid w:val="00B868B0"/>
    <w:rsid w:val="00B873DF"/>
    <w:rsid w:val="00B8740B"/>
    <w:rsid w:val="00B874D5"/>
    <w:rsid w:val="00B875D8"/>
    <w:rsid w:val="00B87AFE"/>
    <w:rsid w:val="00B900DE"/>
    <w:rsid w:val="00B901AE"/>
    <w:rsid w:val="00B9049E"/>
    <w:rsid w:val="00B90816"/>
    <w:rsid w:val="00B916BF"/>
    <w:rsid w:val="00B91D9D"/>
    <w:rsid w:val="00B92BAA"/>
    <w:rsid w:val="00B92DC1"/>
    <w:rsid w:val="00B93659"/>
    <w:rsid w:val="00B93F6B"/>
    <w:rsid w:val="00B9408C"/>
    <w:rsid w:val="00B9424E"/>
    <w:rsid w:val="00B952FA"/>
    <w:rsid w:val="00B9548C"/>
    <w:rsid w:val="00B95CB8"/>
    <w:rsid w:val="00B962EB"/>
    <w:rsid w:val="00B965E0"/>
    <w:rsid w:val="00B96728"/>
    <w:rsid w:val="00B96C86"/>
    <w:rsid w:val="00B96DC8"/>
    <w:rsid w:val="00B97261"/>
    <w:rsid w:val="00B9765B"/>
    <w:rsid w:val="00B977FA"/>
    <w:rsid w:val="00B97821"/>
    <w:rsid w:val="00B97925"/>
    <w:rsid w:val="00B97C6C"/>
    <w:rsid w:val="00BA01E2"/>
    <w:rsid w:val="00BA0851"/>
    <w:rsid w:val="00BA1007"/>
    <w:rsid w:val="00BA194F"/>
    <w:rsid w:val="00BA208E"/>
    <w:rsid w:val="00BA2601"/>
    <w:rsid w:val="00BA298E"/>
    <w:rsid w:val="00BA3463"/>
    <w:rsid w:val="00BA36C6"/>
    <w:rsid w:val="00BA3F37"/>
    <w:rsid w:val="00BA41C1"/>
    <w:rsid w:val="00BA423A"/>
    <w:rsid w:val="00BA5750"/>
    <w:rsid w:val="00BA6ED8"/>
    <w:rsid w:val="00BA7326"/>
    <w:rsid w:val="00BA7B51"/>
    <w:rsid w:val="00BA7D68"/>
    <w:rsid w:val="00BB0029"/>
    <w:rsid w:val="00BB0184"/>
    <w:rsid w:val="00BB0294"/>
    <w:rsid w:val="00BB0CB0"/>
    <w:rsid w:val="00BB14BA"/>
    <w:rsid w:val="00BB1EB5"/>
    <w:rsid w:val="00BB1F99"/>
    <w:rsid w:val="00BB26AE"/>
    <w:rsid w:val="00BB2907"/>
    <w:rsid w:val="00BB2D57"/>
    <w:rsid w:val="00BB3366"/>
    <w:rsid w:val="00BB339F"/>
    <w:rsid w:val="00BB39EB"/>
    <w:rsid w:val="00BB3A0B"/>
    <w:rsid w:val="00BB3E35"/>
    <w:rsid w:val="00BB44A1"/>
    <w:rsid w:val="00BB4C06"/>
    <w:rsid w:val="00BB56FE"/>
    <w:rsid w:val="00BB5757"/>
    <w:rsid w:val="00BB5ACD"/>
    <w:rsid w:val="00BB6538"/>
    <w:rsid w:val="00BB6C5E"/>
    <w:rsid w:val="00BB6F9A"/>
    <w:rsid w:val="00BB7005"/>
    <w:rsid w:val="00BB7D26"/>
    <w:rsid w:val="00BC01BC"/>
    <w:rsid w:val="00BC05FE"/>
    <w:rsid w:val="00BC06AF"/>
    <w:rsid w:val="00BC1138"/>
    <w:rsid w:val="00BC13B4"/>
    <w:rsid w:val="00BC1986"/>
    <w:rsid w:val="00BC1AD8"/>
    <w:rsid w:val="00BC1BC6"/>
    <w:rsid w:val="00BC23E2"/>
    <w:rsid w:val="00BC27F2"/>
    <w:rsid w:val="00BC2DD8"/>
    <w:rsid w:val="00BC2FB7"/>
    <w:rsid w:val="00BC34C5"/>
    <w:rsid w:val="00BC395F"/>
    <w:rsid w:val="00BC3B57"/>
    <w:rsid w:val="00BC3DD6"/>
    <w:rsid w:val="00BC4232"/>
    <w:rsid w:val="00BC453F"/>
    <w:rsid w:val="00BC46C6"/>
    <w:rsid w:val="00BC4C1A"/>
    <w:rsid w:val="00BC4ED5"/>
    <w:rsid w:val="00BC4FFB"/>
    <w:rsid w:val="00BC57F9"/>
    <w:rsid w:val="00BC5A1B"/>
    <w:rsid w:val="00BC5F4D"/>
    <w:rsid w:val="00BC684A"/>
    <w:rsid w:val="00BC6D71"/>
    <w:rsid w:val="00BC6F7E"/>
    <w:rsid w:val="00BC728C"/>
    <w:rsid w:val="00BC7493"/>
    <w:rsid w:val="00BC769F"/>
    <w:rsid w:val="00BC79EE"/>
    <w:rsid w:val="00BD02E7"/>
    <w:rsid w:val="00BD03E0"/>
    <w:rsid w:val="00BD0524"/>
    <w:rsid w:val="00BD05F7"/>
    <w:rsid w:val="00BD08E6"/>
    <w:rsid w:val="00BD19E9"/>
    <w:rsid w:val="00BD2390"/>
    <w:rsid w:val="00BD294A"/>
    <w:rsid w:val="00BD2C8E"/>
    <w:rsid w:val="00BD2CC8"/>
    <w:rsid w:val="00BD2F08"/>
    <w:rsid w:val="00BD367A"/>
    <w:rsid w:val="00BD3725"/>
    <w:rsid w:val="00BD3746"/>
    <w:rsid w:val="00BD4011"/>
    <w:rsid w:val="00BD492B"/>
    <w:rsid w:val="00BD4AE9"/>
    <w:rsid w:val="00BD6A84"/>
    <w:rsid w:val="00BD6D90"/>
    <w:rsid w:val="00BD6EAD"/>
    <w:rsid w:val="00BD6FFC"/>
    <w:rsid w:val="00BD72AD"/>
    <w:rsid w:val="00BD78F3"/>
    <w:rsid w:val="00BD7EBB"/>
    <w:rsid w:val="00BD7F53"/>
    <w:rsid w:val="00BE0044"/>
    <w:rsid w:val="00BE01D7"/>
    <w:rsid w:val="00BE0FD8"/>
    <w:rsid w:val="00BE10C8"/>
    <w:rsid w:val="00BE175E"/>
    <w:rsid w:val="00BE1DB1"/>
    <w:rsid w:val="00BE2790"/>
    <w:rsid w:val="00BE2929"/>
    <w:rsid w:val="00BE298E"/>
    <w:rsid w:val="00BE2EEB"/>
    <w:rsid w:val="00BE3A7C"/>
    <w:rsid w:val="00BE3B02"/>
    <w:rsid w:val="00BE3CDB"/>
    <w:rsid w:val="00BE41C1"/>
    <w:rsid w:val="00BE48FD"/>
    <w:rsid w:val="00BE4F7B"/>
    <w:rsid w:val="00BE4FA0"/>
    <w:rsid w:val="00BE5816"/>
    <w:rsid w:val="00BE59A6"/>
    <w:rsid w:val="00BE5A50"/>
    <w:rsid w:val="00BE5BB2"/>
    <w:rsid w:val="00BE625B"/>
    <w:rsid w:val="00BF0200"/>
    <w:rsid w:val="00BF021C"/>
    <w:rsid w:val="00BF0C3B"/>
    <w:rsid w:val="00BF10E3"/>
    <w:rsid w:val="00BF111E"/>
    <w:rsid w:val="00BF1533"/>
    <w:rsid w:val="00BF157A"/>
    <w:rsid w:val="00BF1584"/>
    <w:rsid w:val="00BF1670"/>
    <w:rsid w:val="00BF21FD"/>
    <w:rsid w:val="00BF2AF5"/>
    <w:rsid w:val="00BF2B8D"/>
    <w:rsid w:val="00BF2F5B"/>
    <w:rsid w:val="00BF2FE8"/>
    <w:rsid w:val="00BF3407"/>
    <w:rsid w:val="00BF3C30"/>
    <w:rsid w:val="00BF3C80"/>
    <w:rsid w:val="00BF3EED"/>
    <w:rsid w:val="00BF45D0"/>
    <w:rsid w:val="00BF4698"/>
    <w:rsid w:val="00BF479A"/>
    <w:rsid w:val="00BF4AEF"/>
    <w:rsid w:val="00BF57C7"/>
    <w:rsid w:val="00BF5DF5"/>
    <w:rsid w:val="00BF6357"/>
    <w:rsid w:val="00BF63CD"/>
    <w:rsid w:val="00BF645B"/>
    <w:rsid w:val="00BF6511"/>
    <w:rsid w:val="00BF6BE8"/>
    <w:rsid w:val="00BF7274"/>
    <w:rsid w:val="00BF77B1"/>
    <w:rsid w:val="00BF77E7"/>
    <w:rsid w:val="00BF7A31"/>
    <w:rsid w:val="00BF7B0C"/>
    <w:rsid w:val="00BF7CF8"/>
    <w:rsid w:val="00C00439"/>
    <w:rsid w:val="00C00BB5"/>
    <w:rsid w:val="00C00BB7"/>
    <w:rsid w:val="00C0140A"/>
    <w:rsid w:val="00C0194F"/>
    <w:rsid w:val="00C02995"/>
    <w:rsid w:val="00C035FB"/>
    <w:rsid w:val="00C0484D"/>
    <w:rsid w:val="00C04EB6"/>
    <w:rsid w:val="00C051DF"/>
    <w:rsid w:val="00C05AB9"/>
    <w:rsid w:val="00C05ABB"/>
    <w:rsid w:val="00C05CB4"/>
    <w:rsid w:val="00C064A9"/>
    <w:rsid w:val="00C06C8E"/>
    <w:rsid w:val="00C07724"/>
    <w:rsid w:val="00C07C30"/>
    <w:rsid w:val="00C10483"/>
    <w:rsid w:val="00C10758"/>
    <w:rsid w:val="00C10F82"/>
    <w:rsid w:val="00C127AB"/>
    <w:rsid w:val="00C128B1"/>
    <w:rsid w:val="00C12ABF"/>
    <w:rsid w:val="00C13046"/>
    <w:rsid w:val="00C1364C"/>
    <w:rsid w:val="00C13894"/>
    <w:rsid w:val="00C14A81"/>
    <w:rsid w:val="00C14F3B"/>
    <w:rsid w:val="00C1509A"/>
    <w:rsid w:val="00C1526E"/>
    <w:rsid w:val="00C1539D"/>
    <w:rsid w:val="00C1572D"/>
    <w:rsid w:val="00C16054"/>
    <w:rsid w:val="00C16C5C"/>
    <w:rsid w:val="00C16E8C"/>
    <w:rsid w:val="00C1742E"/>
    <w:rsid w:val="00C178D8"/>
    <w:rsid w:val="00C17DBC"/>
    <w:rsid w:val="00C17E1E"/>
    <w:rsid w:val="00C17F75"/>
    <w:rsid w:val="00C20401"/>
    <w:rsid w:val="00C20672"/>
    <w:rsid w:val="00C2104F"/>
    <w:rsid w:val="00C2152E"/>
    <w:rsid w:val="00C217D6"/>
    <w:rsid w:val="00C218B4"/>
    <w:rsid w:val="00C21C11"/>
    <w:rsid w:val="00C21EC3"/>
    <w:rsid w:val="00C2210F"/>
    <w:rsid w:val="00C22743"/>
    <w:rsid w:val="00C227AE"/>
    <w:rsid w:val="00C22BCD"/>
    <w:rsid w:val="00C22FFA"/>
    <w:rsid w:val="00C23907"/>
    <w:rsid w:val="00C23B94"/>
    <w:rsid w:val="00C2460C"/>
    <w:rsid w:val="00C2470F"/>
    <w:rsid w:val="00C24881"/>
    <w:rsid w:val="00C253E2"/>
    <w:rsid w:val="00C2551C"/>
    <w:rsid w:val="00C25F42"/>
    <w:rsid w:val="00C26006"/>
    <w:rsid w:val="00C26F14"/>
    <w:rsid w:val="00C26FB4"/>
    <w:rsid w:val="00C27046"/>
    <w:rsid w:val="00C27295"/>
    <w:rsid w:val="00C2742E"/>
    <w:rsid w:val="00C27BC1"/>
    <w:rsid w:val="00C27D33"/>
    <w:rsid w:val="00C27F61"/>
    <w:rsid w:val="00C3015A"/>
    <w:rsid w:val="00C3028C"/>
    <w:rsid w:val="00C31770"/>
    <w:rsid w:val="00C31C35"/>
    <w:rsid w:val="00C31F20"/>
    <w:rsid w:val="00C32140"/>
    <w:rsid w:val="00C33435"/>
    <w:rsid w:val="00C33706"/>
    <w:rsid w:val="00C33A3A"/>
    <w:rsid w:val="00C33B27"/>
    <w:rsid w:val="00C3485E"/>
    <w:rsid w:val="00C3528E"/>
    <w:rsid w:val="00C353B2"/>
    <w:rsid w:val="00C354C4"/>
    <w:rsid w:val="00C35711"/>
    <w:rsid w:val="00C3591F"/>
    <w:rsid w:val="00C35EBA"/>
    <w:rsid w:val="00C36267"/>
    <w:rsid w:val="00C365F1"/>
    <w:rsid w:val="00C376F0"/>
    <w:rsid w:val="00C379BC"/>
    <w:rsid w:val="00C37BDF"/>
    <w:rsid w:val="00C37F2C"/>
    <w:rsid w:val="00C37F30"/>
    <w:rsid w:val="00C41B5B"/>
    <w:rsid w:val="00C42028"/>
    <w:rsid w:val="00C42168"/>
    <w:rsid w:val="00C42419"/>
    <w:rsid w:val="00C43777"/>
    <w:rsid w:val="00C44099"/>
    <w:rsid w:val="00C440AA"/>
    <w:rsid w:val="00C443F1"/>
    <w:rsid w:val="00C44740"/>
    <w:rsid w:val="00C44750"/>
    <w:rsid w:val="00C44C43"/>
    <w:rsid w:val="00C44D1A"/>
    <w:rsid w:val="00C44D94"/>
    <w:rsid w:val="00C454D9"/>
    <w:rsid w:val="00C46299"/>
    <w:rsid w:val="00C46435"/>
    <w:rsid w:val="00C464C2"/>
    <w:rsid w:val="00C46C66"/>
    <w:rsid w:val="00C46D51"/>
    <w:rsid w:val="00C4717D"/>
    <w:rsid w:val="00C477FD"/>
    <w:rsid w:val="00C4789A"/>
    <w:rsid w:val="00C47DA4"/>
    <w:rsid w:val="00C50B3D"/>
    <w:rsid w:val="00C510BB"/>
    <w:rsid w:val="00C52113"/>
    <w:rsid w:val="00C52920"/>
    <w:rsid w:val="00C529D0"/>
    <w:rsid w:val="00C540B3"/>
    <w:rsid w:val="00C54302"/>
    <w:rsid w:val="00C54508"/>
    <w:rsid w:val="00C545E4"/>
    <w:rsid w:val="00C54CBC"/>
    <w:rsid w:val="00C54DF1"/>
    <w:rsid w:val="00C551E4"/>
    <w:rsid w:val="00C55371"/>
    <w:rsid w:val="00C55A0D"/>
    <w:rsid w:val="00C566D9"/>
    <w:rsid w:val="00C5681C"/>
    <w:rsid w:val="00C5694F"/>
    <w:rsid w:val="00C56BF7"/>
    <w:rsid w:val="00C57540"/>
    <w:rsid w:val="00C60258"/>
    <w:rsid w:val="00C60744"/>
    <w:rsid w:val="00C610D9"/>
    <w:rsid w:val="00C61652"/>
    <w:rsid w:val="00C61A1A"/>
    <w:rsid w:val="00C6337E"/>
    <w:rsid w:val="00C635D3"/>
    <w:rsid w:val="00C63635"/>
    <w:rsid w:val="00C64270"/>
    <w:rsid w:val="00C64ABE"/>
    <w:rsid w:val="00C64C3E"/>
    <w:rsid w:val="00C65085"/>
    <w:rsid w:val="00C65774"/>
    <w:rsid w:val="00C65D56"/>
    <w:rsid w:val="00C66884"/>
    <w:rsid w:val="00C67D05"/>
    <w:rsid w:val="00C700EA"/>
    <w:rsid w:val="00C7094C"/>
    <w:rsid w:val="00C71AD4"/>
    <w:rsid w:val="00C7227F"/>
    <w:rsid w:val="00C72365"/>
    <w:rsid w:val="00C72CBE"/>
    <w:rsid w:val="00C72EB1"/>
    <w:rsid w:val="00C733E7"/>
    <w:rsid w:val="00C7342C"/>
    <w:rsid w:val="00C73532"/>
    <w:rsid w:val="00C735CE"/>
    <w:rsid w:val="00C73720"/>
    <w:rsid w:val="00C74031"/>
    <w:rsid w:val="00C7452E"/>
    <w:rsid w:val="00C76CF6"/>
    <w:rsid w:val="00C76E81"/>
    <w:rsid w:val="00C77227"/>
    <w:rsid w:val="00C77296"/>
    <w:rsid w:val="00C77830"/>
    <w:rsid w:val="00C77F38"/>
    <w:rsid w:val="00C8043A"/>
    <w:rsid w:val="00C8049F"/>
    <w:rsid w:val="00C80602"/>
    <w:rsid w:val="00C806B5"/>
    <w:rsid w:val="00C80881"/>
    <w:rsid w:val="00C81389"/>
    <w:rsid w:val="00C813F2"/>
    <w:rsid w:val="00C814C0"/>
    <w:rsid w:val="00C81F77"/>
    <w:rsid w:val="00C82BDA"/>
    <w:rsid w:val="00C82D83"/>
    <w:rsid w:val="00C8339C"/>
    <w:rsid w:val="00C8355E"/>
    <w:rsid w:val="00C83DA2"/>
    <w:rsid w:val="00C84507"/>
    <w:rsid w:val="00C84997"/>
    <w:rsid w:val="00C84CD9"/>
    <w:rsid w:val="00C85AAC"/>
    <w:rsid w:val="00C860AD"/>
    <w:rsid w:val="00C86127"/>
    <w:rsid w:val="00C86B16"/>
    <w:rsid w:val="00C86BEB"/>
    <w:rsid w:val="00C86DA4"/>
    <w:rsid w:val="00C87283"/>
    <w:rsid w:val="00C87562"/>
    <w:rsid w:val="00C87B0B"/>
    <w:rsid w:val="00C87CEF"/>
    <w:rsid w:val="00C87E3E"/>
    <w:rsid w:val="00C90723"/>
    <w:rsid w:val="00C90A1E"/>
    <w:rsid w:val="00C90D64"/>
    <w:rsid w:val="00C910F1"/>
    <w:rsid w:val="00C91ADE"/>
    <w:rsid w:val="00C9209D"/>
    <w:rsid w:val="00C923A9"/>
    <w:rsid w:val="00C929B5"/>
    <w:rsid w:val="00C93146"/>
    <w:rsid w:val="00C933D2"/>
    <w:rsid w:val="00C93DD9"/>
    <w:rsid w:val="00C9468F"/>
    <w:rsid w:val="00C94A28"/>
    <w:rsid w:val="00C94ED2"/>
    <w:rsid w:val="00C95C9C"/>
    <w:rsid w:val="00C95EA9"/>
    <w:rsid w:val="00C96E99"/>
    <w:rsid w:val="00C970A6"/>
    <w:rsid w:val="00C971EC"/>
    <w:rsid w:val="00C97F58"/>
    <w:rsid w:val="00CA022E"/>
    <w:rsid w:val="00CA03B3"/>
    <w:rsid w:val="00CA0704"/>
    <w:rsid w:val="00CA0A25"/>
    <w:rsid w:val="00CA0B28"/>
    <w:rsid w:val="00CA1029"/>
    <w:rsid w:val="00CA1049"/>
    <w:rsid w:val="00CA1290"/>
    <w:rsid w:val="00CA141E"/>
    <w:rsid w:val="00CA15D2"/>
    <w:rsid w:val="00CA1907"/>
    <w:rsid w:val="00CA1B14"/>
    <w:rsid w:val="00CA1B83"/>
    <w:rsid w:val="00CA1BB7"/>
    <w:rsid w:val="00CA1CA0"/>
    <w:rsid w:val="00CA2E85"/>
    <w:rsid w:val="00CA3AF1"/>
    <w:rsid w:val="00CA3E52"/>
    <w:rsid w:val="00CA4CC9"/>
    <w:rsid w:val="00CA4F2E"/>
    <w:rsid w:val="00CA5238"/>
    <w:rsid w:val="00CA585B"/>
    <w:rsid w:val="00CA6080"/>
    <w:rsid w:val="00CA6354"/>
    <w:rsid w:val="00CA6714"/>
    <w:rsid w:val="00CA6CA0"/>
    <w:rsid w:val="00CA6D1A"/>
    <w:rsid w:val="00CA7B46"/>
    <w:rsid w:val="00CA7FF5"/>
    <w:rsid w:val="00CB005B"/>
    <w:rsid w:val="00CB0E19"/>
    <w:rsid w:val="00CB137A"/>
    <w:rsid w:val="00CB1C0E"/>
    <w:rsid w:val="00CB1C4B"/>
    <w:rsid w:val="00CB24D6"/>
    <w:rsid w:val="00CB26FB"/>
    <w:rsid w:val="00CB2B4B"/>
    <w:rsid w:val="00CB2F9A"/>
    <w:rsid w:val="00CB3156"/>
    <w:rsid w:val="00CB33D8"/>
    <w:rsid w:val="00CB4333"/>
    <w:rsid w:val="00CB49FC"/>
    <w:rsid w:val="00CB5239"/>
    <w:rsid w:val="00CB566E"/>
    <w:rsid w:val="00CB5D27"/>
    <w:rsid w:val="00CB6077"/>
    <w:rsid w:val="00CB6445"/>
    <w:rsid w:val="00CB6EA6"/>
    <w:rsid w:val="00CB6F09"/>
    <w:rsid w:val="00CB6FAA"/>
    <w:rsid w:val="00CB796D"/>
    <w:rsid w:val="00CB7AC4"/>
    <w:rsid w:val="00CC0BEB"/>
    <w:rsid w:val="00CC0F31"/>
    <w:rsid w:val="00CC103E"/>
    <w:rsid w:val="00CC1A19"/>
    <w:rsid w:val="00CC2711"/>
    <w:rsid w:val="00CC353F"/>
    <w:rsid w:val="00CC39E9"/>
    <w:rsid w:val="00CC3F9F"/>
    <w:rsid w:val="00CC41D9"/>
    <w:rsid w:val="00CC4256"/>
    <w:rsid w:val="00CC4764"/>
    <w:rsid w:val="00CC4C7A"/>
    <w:rsid w:val="00CC4CB7"/>
    <w:rsid w:val="00CC53C7"/>
    <w:rsid w:val="00CC5988"/>
    <w:rsid w:val="00CC608C"/>
    <w:rsid w:val="00CC6A35"/>
    <w:rsid w:val="00CC769E"/>
    <w:rsid w:val="00CC78D0"/>
    <w:rsid w:val="00CC7914"/>
    <w:rsid w:val="00CD03DD"/>
    <w:rsid w:val="00CD05E0"/>
    <w:rsid w:val="00CD0DF2"/>
    <w:rsid w:val="00CD129D"/>
    <w:rsid w:val="00CD1A08"/>
    <w:rsid w:val="00CD1D80"/>
    <w:rsid w:val="00CD2713"/>
    <w:rsid w:val="00CD3052"/>
    <w:rsid w:val="00CD34BB"/>
    <w:rsid w:val="00CD36E5"/>
    <w:rsid w:val="00CD3D51"/>
    <w:rsid w:val="00CD4DCF"/>
    <w:rsid w:val="00CD503C"/>
    <w:rsid w:val="00CD509C"/>
    <w:rsid w:val="00CD55F0"/>
    <w:rsid w:val="00CD653D"/>
    <w:rsid w:val="00CD678F"/>
    <w:rsid w:val="00CD69A9"/>
    <w:rsid w:val="00CD6B75"/>
    <w:rsid w:val="00CD7215"/>
    <w:rsid w:val="00CD7583"/>
    <w:rsid w:val="00CD76FA"/>
    <w:rsid w:val="00CE040F"/>
    <w:rsid w:val="00CE0CF0"/>
    <w:rsid w:val="00CE118E"/>
    <w:rsid w:val="00CE1195"/>
    <w:rsid w:val="00CE11E2"/>
    <w:rsid w:val="00CE1297"/>
    <w:rsid w:val="00CE168F"/>
    <w:rsid w:val="00CE1969"/>
    <w:rsid w:val="00CE1A82"/>
    <w:rsid w:val="00CE1BB1"/>
    <w:rsid w:val="00CE1C3D"/>
    <w:rsid w:val="00CE2752"/>
    <w:rsid w:val="00CE3659"/>
    <w:rsid w:val="00CE381C"/>
    <w:rsid w:val="00CE4F8F"/>
    <w:rsid w:val="00CE564A"/>
    <w:rsid w:val="00CE571B"/>
    <w:rsid w:val="00CE5DA4"/>
    <w:rsid w:val="00CE6755"/>
    <w:rsid w:val="00CE6AC8"/>
    <w:rsid w:val="00CE722E"/>
    <w:rsid w:val="00CE72A6"/>
    <w:rsid w:val="00CE7ABA"/>
    <w:rsid w:val="00CE7C24"/>
    <w:rsid w:val="00CF00EA"/>
    <w:rsid w:val="00CF06BF"/>
    <w:rsid w:val="00CF10EF"/>
    <w:rsid w:val="00CF212D"/>
    <w:rsid w:val="00CF2FEB"/>
    <w:rsid w:val="00CF3CCB"/>
    <w:rsid w:val="00CF3F9A"/>
    <w:rsid w:val="00CF47F5"/>
    <w:rsid w:val="00CF51AE"/>
    <w:rsid w:val="00CF5299"/>
    <w:rsid w:val="00CF600B"/>
    <w:rsid w:val="00CF6C79"/>
    <w:rsid w:val="00CF6D33"/>
    <w:rsid w:val="00CF6F0C"/>
    <w:rsid w:val="00D005D5"/>
    <w:rsid w:val="00D00A19"/>
    <w:rsid w:val="00D00BF8"/>
    <w:rsid w:val="00D014A4"/>
    <w:rsid w:val="00D01BA8"/>
    <w:rsid w:val="00D01F24"/>
    <w:rsid w:val="00D023AF"/>
    <w:rsid w:val="00D0242A"/>
    <w:rsid w:val="00D027D9"/>
    <w:rsid w:val="00D02D27"/>
    <w:rsid w:val="00D02F58"/>
    <w:rsid w:val="00D032EA"/>
    <w:rsid w:val="00D0397A"/>
    <w:rsid w:val="00D03B55"/>
    <w:rsid w:val="00D04223"/>
    <w:rsid w:val="00D045B9"/>
    <w:rsid w:val="00D048AC"/>
    <w:rsid w:val="00D0572C"/>
    <w:rsid w:val="00D05C1C"/>
    <w:rsid w:val="00D05DFC"/>
    <w:rsid w:val="00D0635A"/>
    <w:rsid w:val="00D06BB0"/>
    <w:rsid w:val="00D06DBF"/>
    <w:rsid w:val="00D06E62"/>
    <w:rsid w:val="00D07957"/>
    <w:rsid w:val="00D07A33"/>
    <w:rsid w:val="00D10C91"/>
    <w:rsid w:val="00D10FCF"/>
    <w:rsid w:val="00D111DB"/>
    <w:rsid w:val="00D11A53"/>
    <w:rsid w:val="00D11DE2"/>
    <w:rsid w:val="00D122F7"/>
    <w:rsid w:val="00D134C5"/>
    <w:rsid w:val="00D13943"/>
    <w:rsid w:val="00D13BF9"/>
    <w:rsid w:val="00D155A5"/>
    <w:rsid w:val="00D162D3"/>
    <w:rsid w:val="00D162DF"/>
    <w:rsid w:val="00D16B42"/>
    <w:rsid w:val="00D16E8D"/>
    <w:rsid w:val="00D16F45"/>
    <w:rsid w:val="00D17616"/>
    <w:rsid w:val="00D17CB3"/>
    <w:rsid w:val="00D20616"/>
    <w:rsid w:val="00D207A3"/>
    <w:rsid w:val="00D20BA9"/>
    <w:rsid w:val="00D20D86"/>
    <w:rsid w:val="00D214A9"/>
    <w:rsid w:val="00D21741"/>
    <w:rsid w:val="00D21785"/>
    <w:rsid w:val="00D21FA4"/>
    <w:rsid w:val="00D223B8"/>
    <w:rsid w:val="00D22408"/>
    <w:rsid w:val="00D22B5F"/>
    <w:rsid w:val="00D22D1C"/>
    <w:rsid w:val="00D23B55"/>
    <w:rsid w:val="00D23E13"/>
    <w:rsid w:val="00D23F59"/>
    <w:rsid w:val="00D24351"/>
    <w:rsid w:val="00D24594"/>
    <w:rsid w:val="00D24C71"/>
    <w:rsid w:val="00D2591D"/>
    <w:rsid w:val="00D25D41"/>
    <w:rsid w:val="00D26715"/>
    <w:rsid w:val="00D26773"/>
    <w:rsid w:val="00D26848"/>
    <w:rsid w:val="00D26A3B"/>
    <w:rsid w:val="00D26F52"/>
    <w:rsid w:val="00D274FE"/>
    <w:rsid w:val="00D27D8F"/>
    <w:rsid w:val="00D300B9"/>
    <w:rsid w:val="00D3042F"/>
    <w:rsid w:val="00D30635"/>
    <w:rsid w:val="00D30FFD"/>
    <w:rsid w:val="00D3102E"/>
    <w:rsid w:val="00D31370"/>
    <w:rsid w:val="00D31661"/>
    <w:rsid w:val="00D32082"/>
    <w:rsid w:val="00D321BF"/>
    <w:rsid w:val="00D3220F"/>
    <w:rsid w:val="00D32E39"/>
    <w:rsid w:val="00D336B0"/>
    <w:rsid w:val="00D33E54"/>
    <w:rsid w:val="00D33FFE"/>
    <w:rsid w:val="00D340BE"/>
    <w:rsid w:val="00D35D80"/>
    <w:rsid w:val="00D361B4"/>
    <w:rsid w:val="00D36AED"/>
    <w:rsid w:val="00D401B8"/>
    <w:rsid w:val="00D40DF3"/>
    <w:rsid w:val="00D419C5"/>
    <w:rsid w:val="00D41CB3"/>
    <w:rsid w:val="00D41D07"/>
    <w:rsid w:val="00D420DC"/>
    <w:rsid w:val="00D42199"/>
    <w:rsid w:val="00D421B0"/>
    <w:rsid w:val="00D42FCB"/>
    <w:rsid w:val="00D431F0"/>
    <w:rsid w:val="00D43BB5"/>
    <w:rsid w:val="00D43FF7"/>
    <w:rsid w:val="00D44357"/>
    <w:rsid w:val="00D44BE8"/>
    <w:rsid w:val="00D44FA2"/>
    <w:rsid w:val="00D451DA"/>
    <w:rsid w:val="00D4549D"/>
    <w:rsid w:val="00D45A4C"/>
    <w:rsid w:val="00D45F78"/>
    <w:rsid w:val="00D466A5"/>
    <w:rsid w:val="00D467A9"/>
    <w:rsid w:val="00D468CD"/>
    <w:rsid w:val="00D46C60"/>
    <w:rsid w:val="00D47D43"/>
    <w:rsid w:val="00D508AA"/>
    <w:rsid w:val="00D51196"/>
    <w:rsid w:val="00D5140D"/>
    <w:rsid w:val="00D51834"/>
    <w:rsid w:val="00D5206A"/>
    <w:rsid w:val="00D52ADF"/>
    <w:rsid w:val="00D53761"/>
    <w:rsid w:val="00D53E6C"/>
    <w:rsid w:val="00D5424D"/>
    <w:rsid w:val="00D54D12"/>
    <w:rsid w:val="00D54F38"/>
    <w:rsid w:val="00D5503A"/>
    <w:rsid w:val="00D5566C"/>
    <w:rsid w:val="00D5660A"/>
    <w:rsid w:val="00D567B4"/>
    <w:rsid w:val="00D569A6"/>
    <w:rsid w:val="00D569BD"/>
    <w:rsid w:val="00D56D52"/>
    <w:rsid w:val="00D577A7"/>
    <w:rsid w:val="00D57E87"/>
    <w:rsid w:val="00D6045D"/>
    <w:rsid w:val="00D60652"/>
    <w:rsid w:val="00D609DD"/>
    <w:rsid w:val="00D60FE0"/>
    <w:rsid w:val="00D616E9"/>
    <w:rsid w:val="00D61A40"/>
    <w:rsid w:val="00D61A9E"/>
    <w:rsid w:val="00D61CE9"/>
    <w:rsid w:val="00D61E85"/>
    <w:rsid w:val="00D623E8"/>
    <w:rsid w:val="00D62815"/>
    <w:rsid w:val="00D6305B"/>
    <w:rsid w:val="00D63830"/>
    <w:rsid w:val="00D63AA7"/>
    <w:rsid w:val="00D63DE7"/>
    <w:rsid w:val="00D63F53"/>
    <w:rsid w:val="00D64001"/>
    <w:rsid w:val="00D64888"/>
    <w:rsid w:val="00D6493E"/>
    <w:rsid w:val="00D649ED"/>
    <w:rsid w:val="00D65A78"/>
    <w:rsid w:val="00D65A8D"/>
    <w:rsid w:val="00D65DED"/>
    <w:rsid w:val="00D66692"/>
    <w:rsid w:val="00D6751B"/>
    <w:rsid w:val="00D67FBA"/>
    <w:rsid w:val="00D70108"/>
    <w:rsid w:val="00D70A77"/>
    <w:rsid w:val="00D70D68"/>
    <w:rsid w:val="00D71E5D"/>
    <w:rsid w:val="00D72C87"/>
    <w:rsid w:val="00D72D68"/>
    <w:rsid w:val="00D73B91"/>
    <w:rsid w:val="00D74E5B"/>
    <w:rsid w:val="00D75453"/>
    <w:rsid w:val="00D75508"/>
    <w:rsid w:val="00D75FCD"/>
    <w:rsid w:val="00D761A3"/>
    <w:rsid w:val="00D766E9"/>
    <w:rsid w:val="00D768BF"/>
    <w:rsid w:val="00D76BDB"/>
    <w:rsid w:val="00D773FE"/>
    <w:rsid w:val="00D7765B"/>
    <w:rsid w:val="00D77A6B"/>
    <w:rsid w:val="00D806DE"/>
    <w:rsid w:val="00D8092B"/>
    <w:rsid w:val="00D80956"/>
    <w:rsid w:val="00D81275"/>
    <w:rsid w:val="00D8133B"/>
    <w:rsid w:val="00D813DA"/>
    <w:rsid w:val="00D81550"/>
    <w:rsid w:val="00D81662"/>
    <w:rsid w:val="00D81949"/>
    <w:rsid w:val="00D81E9F"/>
    <w:rsid w:val="00D82254"/>
    <w:rsid w:val="00D8226C"/>
    <w:rsid w:val="00D825B1"/>
    <w:rsid w:val="00D82B50"/>
    <w:rsid w:val="00D82E72"/>
    <w:rsid w:val="00D834A3"/>
    <w:rsid w:val="00D83948"/>
    <w:rsid w:val="00D842E2"/>
    <w:rsid w:val="00D8471A"/>
    <w:rsid w:val="00D855BE"/>
    <w:rsid w:val="00D856BB"/>
    <w:rsid w:val="00D85D09"/>
    <w:rsid w:val="00D86699"/>
    <w:rsid w:val="00D8679F"/>
    <w:rsid w:val="00D867E2"/>
    <w:rsid w:val="00D872E4"/>
    <w:rsid w:val="00D8768A"/>
    <w:rsid w:val="00D876CA"/>
    <w:rsid w:val="00D87A4A"/>
    <w:rsid w:val="00D87C50"/>
    <w:rsid w:val="00D87CC9"/>
    <w:rsid w:val="00D90160"/>
    <w:rsid w:val="00D90231"/>
    <w:rsid w:val="00D90686"/>
    <w:rsid w:val="00D90FB5"/>
    <w:rsid w:val="00D91980"/>
    <w:rsid w:val="00D9232C"/>
    <w:rsid w:val="00D92475"/>
    <w:rsid w:val="00D92753"/>
    <w:rsid w:val="00D9291B"/>
    <w:rsid w:val="00D939DA"/>
    <w:rsid w:val="00D93BFF"/>
    <w:rsid w:val="00D93D64"/>
    <w:rsid w:val="00D941FE"/>
    <w:rsid w:val="00D946DE"/>
    <w:rsid w:val="00D94902"/>
    <w:rsid w:val="00D94BD7"/>
    <w:rsid w:val="00D94D47"/>
    <w:rsid w:val="00D951E9"/>
    <w:rsid w:val="00D95BD7"/>
    <w:rsid w:val="00D96083"/>
    <w:rsid w:val="00D96C84"/>
    <w:rsid w:val="00D97704"/>
    <w:rsid w:val="00D97788"/>
    <w:rsid w:val="00D97B98"/>
    <w:rsid w:val="00DA0306"/>
    <w:rsid w:val="00DA0C3D"/>
    <w:rsid w:val="00DA13E5"/>
    <w:rsid w:val="00DA1A73"/>
    <w:rsid w:val="00DA1CE1"/>
    <w:rsid w:val="00DA2212"/>
    <w:rsid w:val="00DA2318"/>
    <w:rsid w:val="00DA2349"/>
    <w:rsid w:val="00DA2768"/>
    <w:rsid w:val="00DA2B83"/>
    <w:rsid w:val="00DA370F"/>
    <w:rsid w:val="00DA37D9"/>
    <w:rsid w:val="00DA429F"/>
    <w:rsid w:val="00DA44EF"/>
    <w:rsid w:val="00DA5431"/>
    <w:rsid w:val="00DA54C8"/>
    <w:rsid w:val="00DA574B"/>
    <w:rsid w:val="00DA62FC"/>
    <w:rsid w:val="00DA641B"/>
    <w:rsid w:val="00DA6880"/>
    <w:rsid w:val="00DA6B73"/>
    <w:rsid w:val="00DA6CD2"/>
    <w:rsid w:val="00DA6CF1"/>
    <w:rsid w:val="00DA742E"/>
    <w:rsid w:val="00DA7929"/>
    <w:rsid w:val="00DA7A95"/>
    <w:rsid w:val="00DA7D99"/>
    <w:rsid w:val="00DA7F60"/>
    <w:rsid w:val="00DB0105"/>
    <w:rsid w:val="00DB0314"/>
    <w:rsid w:val="00DB0405"/>
    <w:rsid w:val="00DB0EEF"/>
    <w:rsid w:val="00DB120C"/>
    <w:rsid w:val="00DB2B53"/>
    <w:rsid w:val="00DB3B2B"/>
    <w:rsid w:val="00DB47AF"/>
    <w:rsid w:val="00DB4E49"/>
    <w:rsid w:val="00DB53D3"/>
    <w:rsid w:val="00DB5E12"/>
    <w:rsid w:val="00DB607A"/>
    <w:rsid w:val="00DB607F"/>
    <w:rsid w:val="00DB6323"/>
    <w:rsid w:val="00DB6D95"/>
    <w:rsid w:val="00DB71A8"/>
    <w:rsid w:val="00DB7734"/>
    <w:rsid w:val="00DC00E7"/>
    <w:rsid w:val="00DC0AD7"/>
    <w:rsid w:val="00DC0D66"/>
    <w:rsid w:val="00DC2019"/>
    <w:rsid w:val="00DC224B"/>
    <w:rsid w:val="00DC262A"/>
    <w:rsid w:val="00DC2B06"/>
    <w:rsid w:val="00DC2F13"/>
    <w:rsid w:val="00DC312D"/>
    <w:rsid w:val="00DC3502"/>
    <w:rsid w:val="00DC350B"/>
    <w:rsid w:val="00DC3D8E"/>
    <w:rsid w:val="00DC416F"/>
    <w:rsid w:val="00DC47FA"/>
    <w:rsid w:val="00DC5159"/>
    <w:rsid w:val="00DC5202"/>
    <w:rsid w:val="00DC5619"/>
    <w:rsid w:val="00DC5850"/>
    <w:rsid w:val="00DC5B65"/>
    <w:rsid w:val="00DC5EC0"/>
    <w:rsid w:val="00DC63F3"/>
    <w:rsid w:val="00DC6426"/>
    <w:rsid w:val="00DC6613"/>
    <w:rsid w:val="00DC6A15"/>
    <w:rsid w:val="00DC70D3"/>
    <w:rsid w:val="00DD0379"/>
    <w:rsid w:val="00DD0B47"/>
    <w:rsid w:val="00DD0C35"/>
    <w:rsid w:val="00DD2AE7"/>
    <w:rsid w:val="00DD2B76"/>
    <w:rsid w:val="00DD3376"/>
    <w:rsid w:val="00DD35C9"/>
    <w:rsid w:val="00DD40B3"/>
    <w:rsid w:val="00DD43F3"/>
    <w:rsid w:val="00DD57E9"/>
    <w:rsid w:val="00DD64B0"/>
    <w:rsid w:val="00DD6608"/>
    <w:rsid w:val="00DD6813"/>
    <w:rsid w:val="00DD7075"/>
    <w:rsid w:val="00DD714B"/>
    <w:rsid w:val="00DD7C62"/>
    <w:rsid w:val="00DD7DE3"/>
    <w:rsid w:val="00DD7EA3"/>
    <w:rsid w:val="00DE0FCB"/>
    <w:rsid w:val="00DE11D3"/>
    <w:rsid w:val="00DE19F1"/>
    <w:rsid w:val="00DE1F33"/>
    <w:rsid w:val="00DE1FD0"/>
    <w:rsid w:val="00DE25CF"/>
    <w:rsid w:val="00DE30E9"/>
    <w:rsid w:val="00DE320C"/>
    <w:rsid w:val="00DE33DC"/>
    <w:rsid w:val="00DE4436"/>
    <w:rsid w:val="00DE5135"/>
    <w:rsid w:val="00DE62AE"/>
    <w:rsid w:val="00DE7063"/>
    <w:rsid w:val="00DE74D3"/>
    <w:rsid w:val="00DE7842"/>
    <w:rsid w:val="00DE7863"/>
    <w:rsid w:val="00DE7EA2"/>
    <w:rsid w:val="00DE7F83"/>
    <w:rsid w:val="00DF05E5"/>
    <w:rsid w:val="00DF0A5B"/>
    <w:rsid w:val="00DF0AC3"/>
    <w:rsid w:val="00DF13CF"/>
    <w:rsid w:val="00DF1D21"/>
    <w:rsid w:val="00DF1E4F"/>
    <w:rsid w:val="00DF2359"/>
    <w:rsid w:val="00DF24C3"/>
    <w:rsid w:val="00DF2663"/>
    <w:rsid w:val="00DF2812"/>
    <w:rsid w:val="00DF2F47"/>
    <w:rsid w:val="00DF323F"/>
    <w:rsid w:val="00DF3675"/>
    <w:rsid w:val="00DF3E51"/>
    <w:rsid w:val="00DF3F7E"/>
    <w:rsid w:val="00DF46E4"/>
    <w:rsid w:val="00DF4EC1"/>
    <w:rsid w:val="00DF5596"/>
    <w:rsid w:val="00DF6761"/>
    <w:rsid w:val="00DF7981"/>
    <w:rsid w:val="00DF7A68"/>
    <w:rsid w:val="00DF7D1A"/>
    <w:rsid w:val="00DF7F78"/>
    <w:rsid w:val="00E006EC"/>
    <w:rsid w:val="00E032A5"/>
    <w:rsid w:val="00E036A3"/>
    <w:rsid w:val="00E03727"/>
    <w:rsid w:val="00E03923"/>
    <w:rsid w:val="00E03B10"/>
    <w:rsid w:val="00E04D4D"/>
    <w:rsid w:val="00E052E0"/>
    <w:rsid w:val="00E058ED"/>
    <w:rsid w:val="00E05FE9"/>
    <w:rsid w:val="00E06441"/>
    <w:rsid w:val="00E06761"/>
    <w:rsid w:val="00E067D4"/>
    <w:rsid w:val="00E06E2E"/>
    <w:rsid w:val="00E06E83"/>
    <w:rsid w:val="00E07270"/>
    <w:rsid w:val="00E073ED"/>
    <w:rsid w:val="00E078A9"/>
    <w:rsid w:val="00E07AD0"/>
    <w:rsid w:val="00E07B5A"/>
    <w:rsid w:val="00E07BD1"/>
    <w:rsid w:val="00E115F3"/>
    <w:rsid w:val="00E11757"/>
    <w:rsid w:val="00E1187F"/>
    <w:rsid w:val="00E11B3A"/>
    <w:rsid w:val="00E11DC9"/>
    <w:rsid w:val="00E11E1B"/>
    <w:rsid w:val="00E11F72"/>
    <w:rsid w:val="00E1234F"/>
    <w:rsid w:val="00E126F0"/>
    <w:rsid w:val="00E12A3B"/>
    <w:rsid w:val="00E12B56"/>
    <w:rsid w:val="00E13478"/>
    <w:rsid w:val="00E13641"/>
    <w:rsid w:val="00E13ACC"/>
    <w:rsid w:val="00E13AE6"/>
    <w:rsid w:val="00E13E36"/>
    <w:rsid w:val="00E147B6"/>
    <w:rsid w:val="00E148F6"/>
    <w:rsid w:val="00E149B6"/>
    <w:rsid w:val="00E149F5"/>
    <w:rsid w:val="00E14F5F"/>
    <w:rsid w:val="00E1505F"/>
    <w:rsid w:val="00E15328"/>
    <w:rsid w:val="00E15809"/>
    <w:rsid w:val="00E1584E"/>
    <w:rsid w:val="00E15F37"/>
    <w:rsid w:val="00E15F38"/>
    <w:rsid w:val="00E1618C"/>
    <w:rsid w:val="00E16462"/>
    <w:rsid w:val="00E1680F"/>
    <w:rsid w:val="00E1693A"/>
    <w:rsid w:val="00E1693F"/>
    <w:rsid w:val="00E16C41"/>
    <w:rsid w:val="00E16C61"/>
    <w:rsid w:val="00E176AC"/>
    <w:rsid w:val="00E17D01"/>
    <w:rsid w:val="00E2000F"/>
    <w:rsid w:val="00E20521"/>
    <w:rsid w:val="00E21A19"/>
    <w:rsid w:val="00E21A25"/>
    <w:rsid w:val="00E21A9E"/>
    <w:rsid w:val="00E21CC4"/>
    <w:rsid w:val="00E2302B"/>
    <w:rsid w:val="00E23C5D"/>
    <w:rsid w:val="00E23C8A"/>
    <w:rsid w:val="00E24C01"/>
    <w:rsid w:val="00E25442"/>
    <w:rsid w:val="00E2694C"/>
    <w:rsid w:val="00E270BD"/>
    <w:rsid w:val="00E27A3A"/>
    <w:rsid w:val="00E3028F"/>
    <w:rsid w:val="00E30AEB"/>
    <w:rsid w:val="00E30EA8"/>
    <w:rsid w:val="00E31500"/>
    <w:rsid w:val="00E315FF"/>
    <w:rsid w:val="00E318FA"/>
    <w:rsid w:val="00E319EB"/>
    <w:rsid w:val="00E32959"/>
    <w:rsid w:val="00E32E8E"/>
    <w:rsid w:val="00E33B07"/>
    <w:rsid w:val="00E3453F"/>
    <w:rsid w:val="00E348A6"/>
    <w:rsid w:val="00E349B0"/>
    <w:rsid w:val="00E34EDF"/>
    <w:rsid w:val="00E3519B"/>
    <w:rsid w:val="00E35285"/>
    <w:rsid w:val="00E35302"/>
    <w:rsid w:val="00E35A8D"/>
    <w:rsid w:val="00E361B9"/>
    <w:rsid w:val="00E365D1"/>
    <w:rsid w:val="00E36FB3"/>
    <w:rsid w:val="00E3726A"/>
    <w:rsid w:val="00E374A6"/>
    <w:rsid w:val="00E3795A"/>
    <w:rsid w:val="00E37BC5"/>
    <w:rsid w:val="00E37EE1"/>
    <w:rsid w:val="00E40298"/>
    <w:rsid w:val="00E4081B"/>
    <w:rsid w:val="00E4154B"/>
    <w:rsid w:val="00E41DEB"/>
    <w:rsid w:val="00E41EE2"/>
    <w:rsid w:val="00E4262E"/>
    <w:rsid w:val="00E42D97"/>
    <w:rsid w:val="00E4381D"/>
    <w:rsid w:val="00E44AB9"/>
    <w:rsid w:val="00E45296"/>
    <w:rsid w:val="00E452EA"/>
    <w:rsid w:val="00E455C7"/>
    <w:rsid w:val="00E45B28"/>
    <w:rsid w:val="00E461CD"/>
    <w:rsid w:val="00E472D1"/>
    <w:rsid w:val="00E47420"/>
    <w:rsid w:val="00E5028B"/>
    <w:rsid w:val="00E50A40"/>
    <w:rsid w:val="00E50B7F"/>
    <w:rsid w:val="00E51413"/>
    <w:rsid w:val="00E5196D"/>
    <w:rsid w:val="00E51CE7"/>
    <w:rsid w:val="00E522D2"/>
    <w:rsid w:val="00E52652"/>
    <w:rsid w:val="00E52B04"/>
    <w:rsid w:val="00E5350E"/>
    <w:rsid w:val="00E53F40"/>
    <w:rsid w:val="00E540D1"/>
    <w:rsid w:val="00E54595"/>
    <w:rsid w:val="00E54689"/>
    <w:rsid w:val="00E5476F"/>
    <w:rsid w:val="00E55C58"/>
    <w:rsid w:val="00E56494"/>
    <w:rsid w:val="00E56603"/>
    <w:rsid w:val="00E56BEC"/>
    <w:rsid w:val="00E57019"/>
    <w:rsid w:val="00E574D4"/>
    <w:rsid w:val="00E57718"/>
    <w:rsid w:val="00E577B4"/>
    <w:rsid w:val="00E57F18"/>
    <w:rsid w:val="00E6047F"/>
    <w:rsid w:val="00E6160B"/>
    <w:rsid w:val="00E6178D"/>
    <w:rsid w:val="00E6215B"/>
    <w:rsid w:val="00E62211"/>
    <w:rsid w:val="00E62469"/>
    <w:rsid w:val="00E62845"/>
    <w:rsid w:val="00E629D2"/>
    <w:rsid w:val="00E63127"/>
    <w:rsid w:val="00E63987"/>
    <w:rsid w:val="00E63AE5"/>
    <w:rsid w:val="00E63C33"/>
    <w:rsid w:val="00E63E08"/>
    <w:rsid w:val="00E642EB"/>
    <w:rsid w:val="00E64656"/>
    <w:rsid w:val="00E6479C"/>
    <w:rsid w:val="00E649F4"/>
    <w:rsid w:val="00E653CC"/>
    <w:rsid w:val="00E65510"/>
    <w:rsid w:val="00E65719"/>
    <w:rsid w:val="00E6602B"/>
    <w:rsid w:val="00E66216"/>
    <w:rsid w:val="00E66625"/>
    <w:rsid w:val="00E66A88"/>
    <w:rsid w:val="00E66C15"/>
    <w:rsid w:val="00E67059"/>
    <w:rsid w:val="00E67A6C"/>
    <w:rsid w:val="00E70B39"/>
    <w:rsid w:val="00E71A7D"/>
    <w:rsid w:val="00E71ACE"/>
    <w:rsid w:val="00E71DC7"/>
    <w:rsid w:val="00E72252"/>
    <w:rsid w:val="00E725F4"/>
    <w:rsid w:val="00E72EF2"/>
    <w:rsid w:val="00E7312F"/>
    <w:rsid w:val="00E731FE"/>
    <w:rsid w:val="00E7444A"/>
    <w:rsid w:val="00E745C9"/>
    <w:rsid w:val="00E74742"/>
    <w:rsid w:val="00E75016"/>
    <w:rsid w:val="00E75ABD"/>
    <w:rsid w:val="00E7678D"/>
    <w:rsid w:val="00E769AD"/>
    <w:rsid w:val="00E77B21"/>
    <w:rsid w:val="00E77CC9"/>
    <w:rsid w:val="00E802B2"/>
    <w:rsid w:val="00E80AB4"/>
    <w:rsid w:val="00E80E38"/>
    <w:rsid w:val="00E80E7C"/>
    <w:rsid w:val="00E810B7"/>
    <w:rsid w:val="00E8176F"/>
    <w:rsid w:val="00E81E96"/>
    <w:rsid w:val="00E8237C"/>
    <w:rsid w:val="00E828E7"/>
    <w:rsid w:val="00E832BA"/>
    <w:rsid w:val="00E8354B"/>
    <w:rsid w:val="00E83760"/>
    <w:rsid w:val="00E83935"/>
    <w:rsid w:val="00E83D22"/>
    <w:rsid w:val="00E84013"/>
    <w:rsid w:val="00E841ED"/>
    <w:rsid w:val="00E84CAC"/>
    <w:rsid w:val="00E851EA"/>
    <w:rsid w:val="00E851F7"/>
    <w:rsid w:val="00E853DF"/>
    <w:rsid w:val="00E855A0"/>
    <w:rsid w:val="00E855C8"/>
    <w:rsid w:val="00E85964"/>
    <w:rsid w:val="00E859FF"/>
    <w:rsid w:val="00E872C6"/>
    <w:rsid w:val="00E877D2"/>
    <w:rsid w:val="00E87C42"/>
    <w:rsid w:val="00E87E1E"/>
    <w:rsid w:val="00E90010"/>
    <w:rsid w:val="00E90809"/>
    <w:rsid w:val="00E90AAA"/>
    <w:rsid w:val="00E90B9F"/>
    <w:rsid w:val="00E90E73"/>
    <w:rsid w:val="00E9128F"/>
    <w:rsid w:val="00E91A29"/>
    <w:rsid w:val="00E91B9B"/>
    <w:rsid w:val="00E92308"/>
    <w:rsid w:val="00E92E50"/>
    <w:rsid w:val="00E9377A"/>
    <w:rsid w:val="00E937FD"/>
    <w:rsid w:val="00E93BB4"/>
    <w:rsid w:val="00E93E58"/>
    <w:rsid w:val="00E94AEC"/>
    <w:rsid w:val="00E94E98"/>
    <w:rsid w:val="00E962CE"/>
    <w:rsid w:val="00E964DA"/>
    <w:rsid w:val="00E96831"/>
    <w:rsid w:val="00E96FA8"/>
    <w:rsid w:val="00E97323"/>
    <w:rsid w:val="00E97A6B"/>
    <w:rsid w:val="00EA05A6"/>
    <w:rsid w:val="00EA08D1"/>
    <w:rsid w:val="00EA0948"/>
    <w:rsid w:val="00EA0B2D"/>
    <w:rsid w:val="00EA1566"/>
    <w:rsid w:val="00EA25A7"/>
    <w:rsid w:val="00EA286E"/>
    <w:rsid w:val="00EA2FA0"/>
    <w:rsid w:val="00EA3C5A"/>
    <w:rsid w:val="00EA4982"/>
    <w:rsid w:val="00EA4FA0"/>
    <w:rsid w:val="00EA5202"/>
    <w:rsid w:val="00EA52A3"/>
    <w:rsid w:val="00EA5740"/>
    <w:rsid w:val="00EA6187"/>
    <w:rsid w:val="00EA6581"/>
    <w:rsid w:val="00EA6582"/>
    <w:rsid w:val="00EA6962"/>
    <w:rsid w:val="00EA6D43"/>
    <w:rsid w:val="00EA7075"/>
    <w:rsid w:val="00EA770E"/>
    <w:rsid w:val="00EB068D"/>
    <w:rsid w:val="00EB0B2C"/>
    <w:rsid w:val="00EB18BC"/>
    <w:rsid w:val="00EB19FB"/>
    <w:rsid w:val="00EB2CA3"/>
    <w:rsid w:val="00EB2E96"/>
    <w:rsid w:val="00EB32D0"/>
    <w:rsid w:val="00EB33F8"/>
    <w:rsid w:val="00EB3852"/>
    <w:rsid w:val="00EB38A2"/>
    <w:rsid w:val="00EB4833"/>
    <w:rsid w:val="00EB5166"/>
    <w:rsid w:val="00EB5606"/>
    <w:rsid w:val="00EB57B0"/>
    <w:rsid w:val="00EB5D1A"/>
    <w:rsid w:val="00EB608A"/>
    <w:rsid w:val="00EB61B7"/>
    <w:rsid w:val="00EB7AD2"/>
    <w:rsid w:val="00EB7BF0"/>
    <w:rsid w:val="00EC04EA"/>
    <w:rsid w:val="00EC0AD8"/>
    <w:rsid w:val="00EC1019"/>
    <w:rsid w:val="00EC113B"/>
    <w:rsid w:val="00EC123F"/>
    <w:rsid w:val="00EC13AA"/>
    <w:rsid w:val="00EC1A49"/>
    <w:rsid w:val="00EC2147"/>
    <w:rsid w:val="00EC22FD"/>
    <w:rsid w:val="00EC27BA"/>
    <w:rsid w:val="00EC41D2"/>
    <w:rsid w:val="00EC481C"/>
    <w:rsid w:val="00EC4900"/>
    <w:rsid w:val="00EC4B95"/>
    <w:rsid w:val="00EC4F19"/>
    <w:rsid w:val="00EC4FD6"/>
    <w:rsid w:val="00EC5026"/>
    <w:rsid w:val="00EC5F12"/>
    <w:rsid w:val="00EC6636"/>
    <w:rsid w:val="00EC710A"/>
    <w:rsid w:val="00EC721A"/>
    <w:rsid w:val="00EC7441"/>
    <w:rsid w:val="00EC74A2"/>
    <w:rsid w:val="00EC76C4"/>
    <w:rsid w:val="00EC7CEA"/>
    <w:rsid w:val="00EC7D55"/>
    <w:rsid w:val="00ED0E6C"/>
    <w:rsid w:val="00ED18EE"/>
    <w:rsid w:val="00ED1FF2"/>
    <w:rsid w:val="00ED220A"/>
    <w:rsid w:val="00ED225B"/>
    <w:rsid w:val="00ED2DA7"/>
    <w:rsid w:val="00ED34BE"/>
    <w:rsid w:val="00ED3AC8"/>
    <w:rsid w:val="00ED3C0F"/>
    <w:rsid w:val="00ED3DA4"/>
    <w:rsid w:val="00ED49A0"/>
    <w:rsid w:val="00ED4CE1"/>
    <w:rsid w:val="00ED4E91"/>
    <w:rsid w:val="00ED57C8"/>
    <w:rsid w:val="00ED58E9"/>
    <w:rsid w:val="00ED5F5E"/>
    <w:rsid w:val="00ED6269"/>
    <w:rsid w:val="00ED680B"/>
    <w:rsid w:val="00ED6FDF"/>
    <w:rsid w:val="00ED77E9"/>
    <w:rsid w:val="00EE0399"/>
    <w:rsid w:val="00EE1E86"/>
    <w:rsid w:val="00EE29BF"/>
    <w:rsid w:val="00EE30D2"/>
    <w:rsid w:val="00EE3C7E"/>
    <w:rsid w:val="00EE4074"/>
    <w:rsid w:val="00EE4A8F"/>
    <w:rsid w:val="00EE5AF0"/>
    <w:rsid w:val="00EE614D"/>
    <w:rsid w:val="00EE782D"/>
    <w:rsid w:val="00EE7E80"/>
    <w:rsid w:val="00EF01D8"/>
    <w:rsid w:val="00EF0440"/>
    <w:rsid w:val="00EF0611"/>
    <w:rsid w:val="00EF06D6"/>
    <w:rsid w:val="00EF07DC"/>
    <w:rsid w:val="00EF0A14"/>
    <w:rsid w:val="00EF0EAE"/>
    <w:rsid w:val="00EF15B4"/>
    <w:rsid w:val="00EF1E7A"/>
    <w:rsid w:val="00EF2284"/>
    <w:rsid w:val="00EF228E"/>
    <w:rsid w:val="00EF2317"/>
    <w:rsid w:val="00EF2603"/>
    <w:rsid w:val="00EF285D"/>
    <w:rsid w:val="00EF2D83"/>
    <w:rsid w:val="00EF2E1E"/>
    <w:rsid w:val="00EF2EFD"/>
    <w:rsid w:val="00EF36B1"/>
    <w:rsid w:val="00EF39F0"/>
    <w:rsid w:val="00EF3CF9"/>
    <w:rsid w:val="00EF3D27"/>
    <w:rsid w:val="00EF4208"/>
    <w:rsid w:val="00EF49FA"/>
    <w:rsid w:val="00EF4B90"/>
    <w:rsid w:val="00EF4BE4"/>
    <w:rsid w:val="00EF50D5"/>
    <w:rsid w:val="00EF6141"/>
    <w:rsid w:val="00EF64BC"/>
    <w:rsid w:val="00EF6E1C"/>
    <w:rsid w:val="00F00118"/>
    <w:rsid w:val="00F00C74"/>
    <w:rsid w:val="00F00CBE"/>
    <w:rsid w:val="00F010C9"/>
    <w:rsid w:val="00F0186E"/>
    <w:rsid w:val="00F01967"/>
    <w:rsid w:val="00F01AB8"/>
    <w:rsid w:val="00F02358"/>
    <w:rsid w:val="00F0247B"/>
    <w:rsid w:val="00F02B8C"/>
    <w:rsid w:val="00F02EB1"/>
    <w:rsid w:val="00F037D8"/>
    <w:rsid w:val="00F03925"/>
    <w:rsid w:val="00F03A2A"/>
    <w:rsid w:val="00F04121"/>
    <w:rsid w:val="00F0469E"/>
    <w:rsid w:val="00F04D7D"/>
    <w:rsid w:val="00F05A5C"/>
    <w:rsid w:val="00F06174"/>
    <w:rsid w:val="00F075E6"/>
    <w:rsid w:val="00F07A72"/>
    <w:rsid w:val="00F07CD4"/>
    <w:rsid w:val="00F07CDB"/>
    <w:rsid w:val="00F07F0C"/>
    <w:rsid w:val="00F07F77"/>
    <w:rsid w:val="00F10392"/>
    <w:rsid w:val="00F106AD"/>
    <w:rsid w:val="00F10B16"/>
    <w:rsid w:val="00F10BCD"/>
    <w:rsid w:val="00F10E1A"/>
    <w:rsid w:val="00F11C48"/>
    <w:rsid w:val="00F12395"/>
    <w:rsid w:val="00F123DD"/>
    <w:rsid w:val="00F12589"/>
    <w:rsid w:val="00F13415"/>
    <w:rsid w:val="00F141F7"/>
    <w:rsid w:val="00F142E5"/>
    <w:rsid w:val="00F1455A"/>
    <w:rsid w:val="00F14D5E"/>
    <w:rsid w:val="00F150D4"/>
    <w:rsid w:val="00F15333"/>
    <w:rsid w:val="00F155C4"/>
    <w:rsid w:val="00F158F2"/>
    <w:rsid w:val="00F15AF5"/>
    <w:rsid w:val="00F178E5"/>
    <w:rsid w:val="00F179C2"/>
    <w:rsid w:val="00F17BCF"/>
    <w:rsid w:val="00F200C7"/>
    <w:rsid w:val="00F204F4"/>
    <w:rsid w:val="00F20EB8"/>
    <w:rsid w:val="00F21273"/>
    <w:rsid w:val="00F21D2A"/>
    <w:rsid w:val="00F22507"/>
    <w:rsid w:val="00F23233"/>
    <w:rsid w:val="00F236C1"/>
    <w:rsid w:val="00F23876"/>
    <w:rsid w:val="00F23CBB"/>
    <w:rsid w:val="00F241AB"/>
    <w:rsid w:val="00F24420"/>
    <w:rsid w:val="00F248BE"/>
    <w:rsid w:val="00F24904"/>
    <w:rsid w:val="00F249F0"/>
    <w:rsid w:val="00F249FD"/>
    <w:rsid w:val="00F24E47"/>
    <w:rsid w:val="00F24F0D"/>
    <w:rsid w:val="00F24FAF"/>
    <w:rsid w:val="00F2524B"/>
    <w:rsid w:val="00F256C9"/>
    <w:rsid w:val="00F26982"/>
    <w:rsid w:val="00F269A9"/>
    <w:rsid w:val="00F26B3F"/>
    <w:rsid w:val="00F272A9"/>
    <w:rsid w:val="00F27384"/>
    <w:rsid w:val="00F27556"/>
    <w:rsid w:val="00F30075"/>
    <w:rsid w:val="00F30968"/>
    <w:rsid w:val="00F3132D"/>
    <w:rsid w:val="00F31777"/>
    <w:rsid w:val="00F31A72"/>
    <w:rsid w:val="00F31AF4"/>
    <w:rsid w:val="00F32E08"/>
    <w:rsid w:val="00F33BE1"/>
    <w:rsid w:val="00F33E82"/>
    <w:rsid w:val="00F3406A"/>
    <w:rsid w:val="00F34833"/>
    <w:rsid w:val="00F35369"/>
    <w:rsid w:val="00F35411"/>
    <w:rsid w:val="00F356C1"/>
    <w:rsid w:val="00F35910"/>
    <w:rsid w:val="00F35AEF"/>
    <w:rsid w:val="00F365E9"/>
    <w:rsid w:val="00F367A2"/>
    <w:rsid w:val="00F367A5"/>
    <w:rsid w:val="00F36EE3"/>
    <w:rsid w:val="00F37119"/>
    <w:rsid w:val="00F37999"/>
    <w:rsid w:val="00F379F4"/>
    <w:rsid w:val="00F40328"/>
    <w:rsid w:val="00F40FCD"/>
    <w:rsid w:val="00F41283"/>
    <w:rsid w:val="00F415C1"/>
    <w:rsid w:val="00F417CA"/>
    <w:rsid w:val="00F41997"/>
    <w:rsid w:val="00F41C90"/>
    <w:rsid w:val="00F4207F"/>
    <w:rsid w:val="00F42198"/>
    <w:rsid w:val="00F4233A"/>
    <w:rsid w:val="00F43085"/>
    <w:rsid w:val="00F4331D"/>
    <w:rsid w:val="00F436FC"/>
    <w:rsid w:val="00F43CC2"/>
    <w:rsid w:val="00F43CC6"/>
    <w:rsid w:val="00F43E6B"/>
    <w:rsid w:val="00F448D1"/>
    <w:rsid w:val="00F44BD5"/>
    <w:rsid w:val="00F452BE"/>
    <w:rsid w:val="00F46335"/>
    <w:rsid w:val="00F4641D"/>
    <w:rsid w:val="00F46497"/>
    <w:rsid w:val="00F468BF"/>
    <w:rsid w:val="00F46A01"/>
    <w:rsid w:val="00F46AE6"/>
    <w:rsid w:val="00F46B77"/>
    <w:rsid w:val="00F47519"/>
    <w:rsid w:val="00F47984"/>
    <w:rsid w:val="00F47C4E"/>
    <w:rsid w:val="00F47E1C"/>
    <w:rsid w:val="00F47E60"/>
    <w:rsid w:val="00F50646"/>
    <w:rsid w:val="00F512D7"/>
    <w:rsid w:val="00F517AA"/>
    <w:rsid w:val="00F52713"/>
    <w:rsid w:val="00F52E5C"/>
    <w:rsid w:val="00F5316D"/>
    <w:rsid w:val="00F53276"/>
    <w:rsid w:val="00F536C8"/>
    <w:rsid w:val="00F55310"/>
    <w:rsid w:val="00F55EB6"/>
    <w:rsid w:val="00F56517"/>
    <w:rsid w:val="00F568D8"/>
    <w:rsid w:val="00F5690D"/>
    <w:rsid w:val="00F56C39"/>
    <w:rsid w:val="00F56CA5"/>
    <w:rsid w:val="00F56E8F"/>
    <w:rsid w:val="00F57A56"/>
    <w:rsid w:val="00F57E19"/>
    <w:rsid w:val="00F60BFF"/>
    <w:rsid w:val="00F61AE8"/>
    <w:rsid w:val="00F61D8C"/>
    <w:rsid w:val="00F6244C"/>
    <w:rsid w:val="00F62CBD"/>
    <w:rsid w:val="00F63365"/>
    <w:rsid w:val="00F638AC"/>
    <w:rsid w:val="00F63F71"/>
    <w:rsid w:val="00F64959"/>
    <w:rsid w:val="00F64BE2"/>
    <w:rsid w:val="00F65A0B"/>
    <w:rsid w:val="00F65F7C"/>
    <w:rsid w:val="00F66401"/>
    <w:rsid w:val="00F665F6"/>
    <w:rsid w:val="00F66F77"/>
    <w:rsid w:val="00F67892"/>
    <w:rsid w:val="00F67A9E"/>
    <w:rsid w:val="00F67BF9"/>
    <w:rsid w:val="00F70BE3"/>
    <w:rsid w:val="00F71458"/>
    <w:rsid w:val="00F7208D"/>
    <w:rsid w:val="00F727DF"/>
    <w:rsid w:val="00F72D09"/>
    <w:rsid w:val="00F72DFD"/>
    <w:rsid w:val="00F7369F"/>
    <w:rsid w:val="00F73F48"/>
    <w:rsid w:val="00F73F4D"/>
    <w:rsid w:val="00F740C3"/>
    <w:rsid w:val="00F74370"/>
    <w:rsid w:val="00F746FC"/>
    <w:rsid w:val="00F7526A"/>
    <w:rsid w:val="00F755EA"/>
    <w:rsid w:val="00F755F0"/>
    <w:rsid w:val="00F75737"/>
    <w:rsid w:val="00F75892"/>
    <w:rsid w:val="00F75C02"/>
    <w:rsid w:val="00F75CE6"/>
    <w:rsid w:val="00F76C97"/>
    <w:rsid w:val="00F76DD8"/>
    <w:rsid w:val="00F80647"/>
    <w:rsid w:val="00F80651"/>
    <w:rsid w:val="00F80C69"/>
    <w:rsid w:val="00F80D58"/>
    <w:rsid w:val="00F80DED"/>
    <w:rsid w:val="00F814E4"/>
    <w:rsid w:val="00F82626"/>
    <w:rsid w:val="00F82723"/>
    <w:rsid w:val="00F8318C"/>
    <w:rsid w:val="00F83293"/>
    <w:rsid w:val="00F8369C"/>
    <w:rsid w:val="00F83CEA"/>
    <w:rsid w:val="00F84143"/>
    <w:rsid w:val="00F84544"/>
    <w:rsid w:val="00F84F07"/>
    <w:rsid w:val="00F86719"/>
    <w:rsid w:val="00F86B3D"/>
    <w:rsid w:val="00F86E1E"/>
    <w:rsid w:val="00F900E0"/>
    <w:rsid w:val="00F90131"/>
    <w:rsid w:val="00F90375"/>
    <w:rsid w:val="00F903A0"/>
    <w:rsid w:val="00F90ACB"/>
    <w:rsid w:val="00F9140C"/>
    <w:rsid w:val="00F91D1C"/>
    <w:rsid w:val="00F925B4"/>
    <w:rsid w:val="00F929BB"/>
    <w:rsid w:val="00F92B1B"/>
    <w:rsid w:val="00F92CBE"/>
    <w:rsid w:val="00F93695"/>
    <w:rsid w:val="00F939A2"/>
    <w:rsid w:val="00F947E9"/>
    <w:rsid w:val="00F949DC"/>
    <w:rsid w:val="00F9532D"/>
    <w:rsid w:val="00F95346"/>
    <w:rsid w:val="00F95814"/>
    <w:rsid w:val="00F95854"/>
    <w:rsid w:val="00F965CC"/>
    <w:rsid w:val="00F96D01"/>
    <w:rsid w:val="00F97007"/>
    <w:rsid w:val="00F97666"/>
    <w:rsid w:val="00FA072C"/>
    <w:rsid w:val="00FA0970"/>
    <w:rsid w:val="00FA0D71"/>
    <w:rsid w:val="00FA177C"/>
    <w:rsid w:val="00FA21F4"/>
    <w:rsid w:val="00FA2321"/>
    <w:rsid w:val="00FA23FD"/>
    <w:rsid w:val="00FA2618"/>
    <w:rsid w:val="00FA2917"/>
    <w:rsid w:val="00FA2E50"/>
    <w:rsid w:val="00FA3546"/>
    <w:rsid w:val="00FA3BD9"/>
    <w:rsid w:val="00FA3E10"/>
    <w:rsid w:val="00FA4010"/>
    <w:rsid w:val="00FA465C"/>
    <w:rsid w:val="00FA476D"/>
    <w:rsid w:val="00FA4BDB"/>
    <w:rsid w:val="00FA4EF8"/>
    <w:rsid w:val="00FA4F18"/>
    <w:rsid w:val="00FA586B"/>
    <w:rsid w:val="00FA5E19"/>
    <w:rsid w:val="00FA61A2"/>
    <w:rsid w:val="00FA63FE"/>
    <w:rsid w:val="00FA642F"/>
    <w:rsid w:val="00FA6A2A"/>
    <w:rsid w:val="00FA6AD9"/>
    <w:rsid w:val="00FA7072"/>
    <w:rsid w:val="00FA7E43"/>
    <w:rsid w:val="00FB02B3"/>
    <w:rsid w:val="00FB0733"/>
    <w:rsid w:val="00FB1C79"/>
    <w:rsid w:val="00FB2332"/>
    <w:rsid w:val="00FB2367"/>
    <w:rsid w:val="00FB270B"/>
    <w:rsid w:val="00FB2CA9"/>
    <w:rsid w:val="00FB3416"/>
    <w:rsid w:val="00FB3BFA"/>
    <w:rsid w:val="00FB435C"/>
    <w:rsid w:val="00FB46F2"/>
    <w:rsid w:val="00FB4CFC"/>
    <w:rsid w:val="00FB4D27"/>
    <w:rsid w:val="00FB4EA1"/>
    <w:rsid w:val="00FB4EDE"/>
    <w:rsid w:val="00FB4F81"/>
    <w:rsid w:val="00FB593D"/>
    <w:rsid w:val="00FB6957"/>
    <w:rsid w:val="00FB7A37"/>
    <w:rsid w:val="00FC01C8"/>
    <w:rsid w:val="00FC057C"/>
    <w:rsid w:val="00FC0B9F"/>
    <w:rsid w:val="00FC1206"/>
    <w:rsid w:val="00FC137C"/>
    <w:rsid w:val="00FC2C67"/>
    <w:rsid w:val="00FC306B"/>
    <w:rsid w:val="00FC3455"/>
    <w:rsid w:val="00FC3DD8"/>
    <w:rsid w:val="00FC4716"/>
    <w:rsid w:val="00FC5691"/>
    <w:rsid w:val="00FC6178"/>
    <w:rsid w:val="00FC6417"/>
    <w:rsid w:val="00FC6711"/>
    <w:rsid w:val="00FC7381"/>
    <w:rsid w:val="00FC74F5"/>
    <w:rsid w:val="00FC7AFF"/>
    <w:rsid w:val="00FD009B"/>
    <w:rsid w:val="00FD0233"/>
    <w:rsid w:val="00FD058B"/>
    <w:rsid w:val="00FD0612"/>
    <w:rsid w:val="00FD16ED"/>
    <w:rsid w:val="00FD1AA2"/>
    <w:rsid w:val="00FD275A"/>
    <w:rsid w:val="00FD2FD8"/>
    <w:rsid w:val="00FD3023"/>
    <w:rsid w:val="00FD3B59"/>
    <w:rsid w:val="00FD3BFB"/>
    <w:rsid w:val="00FD3E32"/>
    <w:rsid w:val="00FD3EF9"/>
    <w:rsid w:val="00FD4049"/>
    <w:rsid w:val="00FD508B"/>
    <w:rsid w:val="00FD54D7"/>
    <w:rsid w:val="00FD5A1C"/>
    <w:rsid w:val="00FD5ABC"/>
    <w:rsid w:val="00FD68C8"/>
    <w:rsid w:val="00FD79FB"/>
    <w:rsid w:val="00FE04ED"/>
    <w:rsid w:val="00FE05E7"/>
    <w:rsid w:val="00FE0831"/>
    <w:rsid w:val="00FE1197"/>
    <w:rsid w:val="00FE18A3"/>
    <w:rsid w:val="00FE2820"/>
    <w:rsid w:val="00FE2DBE"/>
    <w:rsid w:val="00FE3A6C"/>
    <w:rsid w:val="00FE3AEE"/>
    <w:rsid w:val="00FE3C39"/>
    <w:rsid w:val="00FE3D15"/>
    <w:rsid w:val="00FE3D52"/>
    <w:rsid w:val="00FE3E8E"/>
    <w:rsid w:val="00FE430A"/>
    <w:rsid w:val="00FE4548"/>
    <w:rsid w:val="00FE480E"/>
    <w:rsid w:val="00FE535C"/>
    <w:rsid w:val="00FE5732"/>
    <w:rsid w:val="00FE5A90"/>
    <w:rsid w:val="00FE5C6D"/>
    <w:rsid w:val="00FE5D61"/>
    <w:rsid w:val="00FE619B"/>
    <w:rsid w:val="00FE6540"/>
    <w:rsid w:val="00FE6ADF"/>
    <w:rsid w:val="00FE74BD"/>
    <w:rsid w:val="00FE768F"/>
    <w:rsid w:val="00FF0245"/>
    <w:rsid w:val="00FF0286"/>
    <w:rsid w:val="00FF066E"/>
    <w:rsid w:val="00FF1157"/>
    <w:rsid w:val="00FF137D"/>
    <w:rsid w:val="00FF1796"/>
    <w:rsid w:val="00FF1962"/>
    <w:rsid w:val="00FF1AC8"/>
    <w:rsid w:val="00FF2224"/>
    <w:rsid w:val="00FF2551"/>
    <w:rsid w:val="00FF34D9"/>
    <w:rsid w:val="00FF3CAF"/>
    <w:rsid w:val="00FF3F4C"/>
    <w:rsid w:val="00FF44D9"/>
    <w:rsid w:val="00FF47C7"/>
    <w:rsid w:val="00FF5B85"/>
    <w:rsid w:val="00FF5CD9"/>
    <w:rsid w:val="00FF6015"/>
    <w:rsid w:val="00FF62F0"/>
    <w:rsid w:val="00FF63EB"/>
    <w:rsid w:val="00FF6645"/>
    <w:rsid w:val="00FF6B14"/>
    <w:rsid w:val="00FF704E"/>
    <w:rsid w:val="00FF7287"/>
    <w:rsid w:val="00FF7790"/>
    <w:rsid w:val="00FF7D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B98AB70"/>
  <w15:chartTrackingRefBased/>
  <w15:docId w15:val="{8D874538-59A7-48D7-A78F-439FDAA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403A9"/>
  </w:style>
  <w:style w:type="paragraph" w:styleId="Nadpis1">
    <w:name w:val="heading 1"/>
    <w:aliases w:val="vlevo 18b."/>
    <w:basedOn w:val="Normln"/>
    <w:next w:val="Normln"/>
    <w:link w:val="Nadpis1Char"/>
    <w:uiPriority w:val="9"/>
    <w:qFormat/>
    <w:rsid w:val="007003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nhideWhenUsed/>
    <w:qFormat/>
    <w:rsid w:val="00385D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pis pro KZ,odrážky,Odstavec_muj,List Paragraph_0,List Paragraph1,List Paragraph2,Nad,Nad1,Nad2,Odstavec_muj1,Odstavec_muj10,Odstavec_muj2,Odstavec_muj3,Odstavec_muj4,Odstavec_muj5,Odstavec_muj6,Odstavec_muj7,Odstavec_muj8,Dot pt"/>
    <w:basedOn w:val="Normln"/>
    <w:link w:val="OdstavecseseznamemChar"/>
    <w:uiPriority w:val="34"/>
    <w:qFormat/>
    <w:rsid w:val="00C2551C"/>
    <w:pPr>
      <w:ind w:left="720"/>
      <w:contextualSpacing/>
    </w:pPr>
  </w:style>
  <w:style w:type="paragraph" w:styleId="Textpoznpodarou">
    <w:name w:val="footnote text"/>
    <w:aliases w:val="Footnote Text Char1,Footnote Text Char Char,Footnote Text Char3 Char Char,Footnote Text Char2 Char Char Char,Footnote Text Char1 Char Char Char Char,Footnote Text Char Char Char Char Char Char,Footnote Text Char,Footnote,Podrozdział"/>
    <w:basedOn w:val="Normln"/>
    <w:link w:val="TextpoznpodarouChar"/>
    <w:autoRedefine/>
    <w:uiPriority w:val="99"/>
    <w:unhideWhenUsed/>
    <w:qFormat/>
    <w:rsid w:val="002C08BB"/>
    <w:pPr>
      <w:spacing w:after="0" w:line="240" w:lineRule="auto"/>
      <w:ind w:left="284" w:hanging="284"/>
      <w:jc w:val="both"/>
    </w:pPr>
    <w:rPr>
      <w:sz w:val="20"/>
      <w:szCs w:val="20"/>
    </w:rPr>
  </w:style>
  <w:style w:type="character" w:customStyle="1" w:styleId="TextpoznpodarouChar">
    <w:name w:val="Text pozn. pod čarou Char"/>
    <w:aliases w:val="Footnote Text Char1 Char,Footnote Text Char Char Char,Footnote Text Char3 Char Char Char,Footnote Text Char2 Char Char Char Char,Footnote Text Char1 Char Char Char Char Char,Footnote Text Char Char Char Char Char Char Char"/>
    <w:basedOn w:val="Standardnpsmoodstavce"/>
    <w:link w:val="Textpoznpodarou"/>
    <w:uiPriority w:val="99"/>
    <w:qFormat/>
    <w:rsid w:val="002C08BB"/>
    <w:rPr>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PGI Fußnote Ziffer + Times New Roman,12 b.,Zúžené o ...,FR"/>
    <w:basedOn w:val="Standardnpsmoodstavce"/>
    <w:link w:val="BVIfnrCharChar"/>
    <w:uiPriority w:val="99"/>
    <w:unhideWhenUsed/>
    <w:qFormat/>
    <w:rsid w:val="00FA586B"/>
    <w:rPr>
      <w:vertAlign w:val="superscript"/>
    </w:rPr>
  </w:style>
  <w:style w:type="paragraph" w:styleId="Textbubliny">
    <w:name w:val="Balloon Text"/>
    <w:basedOn w:val="Normln"/>
    <w:link w:val="TextbublinyChar"/>
    <w:uiPriority w:val="99"/>
    <w:semiHidden/>
    <w:unhideWhenUsed/>
    <w:rsid w:val="0079442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442B"/>
    <w:rPr>
      <w:rFonts w:ascii="Segoe UI" w:hAnsi="Segoe UI" w:cs="Segoe UI"/>
      <w:sz w:val="18"/>
      <w:szCs w:val="18"/>
    </w:rPr>
  </w:style>
  <w:style w:type="table" w:styleId="Mkatabulky">
    <w:name w:val="Table Grid"/>
    <w:basedOn w:val="Normlntabulka"/>
    <w:uiPriority w:val="39"/>
    <w:rsid w:val="00A53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pis pro KZ Char,odrážky Char,Odstavec_muj Char,List Paragraph_0 Char,List Paragraph1 Char,List Paragraph2 Char,Nad Char,Nad1 Char,Nad2 Char,Odstavec_muj1 Char,Odstavec_muj10 Char,Odstavec_muj2 Char,Odstavec_muj3 Char"/>
    <w:basedOn w:val="Standardnpsmoodstavce"/>
    <w:link w:val="Odstavecseseznamem"/>
    <w:uiPriority w:val="34"/>
    <w:qFormat/>
    <w:locked/>
    <w:rsid w:val="00212BC1"/>
  </w:style>
  <w:style w:type="paragraph" w:styleId="Titulek">
    <w:name w:val="caption"/>
    <w:aliases w:val="Caption Char3,Caption Char2 Char,Caption Char1 Char Char,Caption Char Char Char Char,Caption Char Char1 Char,Caption Char1 Char1,Caption Char Char Char1,Caption Char Char2,Titulek Char,KP_titulek"/>
    <w:basedOn w:val="Normln"/>
    <w:next w:val="Normln"/>
    <w:uiPriority w:val="35"/>
    <w:unhideWhenUsed/>
    <w:qFormat/>
    <w:rsid w:val="00241984"/>
    <w:pPr>
      <w:spacing w:after="200" w:line="240" w:lineRule="auto"/>
    </w:pPr>
    <w:rPr>
      <w:i/>
      <w:iCs/>
      <w:color w:val="44546A" w:themeColor="text2"/>
      <w:sz w:val="18"/>
      <w:szCs w:val="18"/>
    </w:rPr>
  </w:style>
  <w:style w:type="paragraph" w:styleId="Zhlav">
    <w:name w:val="header"/>
    <w:basedOn w:val="Normln"/>
    <w:link w:val="ZhlavChar"/>
    <w:uiPriority w:val="99"/>
    <w:unhideWhenUsed/>
    <w:rsid w:val="0085762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57621"/>
  </w:style>
  <w:style w:type="paragraph" w:styleId="Zpat">
    <w:name w:val="footer"/>
    <w:basedOn w:val="Normln"/>
    <w:link w:val="ZpatChar"/>
    <w:uiPriority w:val="99"/>
    <w:unhideWhenUsed/>
    <w:rsid w:val="00857621"/>
    <w:pPr>
      <w:tabs>
        <w:tab w:val="center" w:pos="4536"/>
        <w:tab w:val="right" w:pos="9072"/>
      </w:tabs>
      <w:spacing w:after="0" w:line="240" w:lineRule="auto"/>
    </w:pPr>
  </w:style>
  <w:style w:type="character" w:customStyle="1" w:styleId="ZpatChar">
    <w:name w:val="Zápatí Char"/>
    <w:basedOn w:val="Standardnpsmoodstavce"/>
    <w:link w:val="Zpat"/>
    <w:uiPriority w:val="99"/>
    <w:rsid w:val="00857621"/>
  </w:style>
  <w:style w:type="character" w:styleId="Hypertextovodkaz">
    <w:name w:val="Hyperlink"/>
    <w:basedOn w:val="Standardnpsmoodstavce"/>
    <w:uiPriority w:val="99"/>
    <w:unhideWhenUsed/>
    <w:rsid w:val="00297C21"/>
    <w:rPr>
      <w:color w:val="0563C1" w:themeColor="hyperlink"/>
      <w:u w:val="single"/>
    </w:rPr>
  </w:style>
  <w:style w:type="character" w:styleId="Siln">
    <w:name w:val="Strong"/>
    <w:basedOn w:val="Standardnpsmoodstavce"/>
    <w:uiPriority w:val="22"/>
    <w:qFormat/>
    <w:rsid w:val="00A90BE1"/>
    <w:rPr>
      <w:b/>
      <w:bCs/>
    </w:rPr>
  </w:style>
  <w:style w:type="paragraph" w:customStyle="1" w:styleId="JK3">
    <w:name w:val="JK3"/>
    <w:basedOn w:val="JK1"/>
    <w:autoRedefine/>
    <w:qFormat/>
    <w:rsid w:val="0027290E"/>
    <w:pPr>
      <w:keepNext/>
      <w:numPr>
        <w:numId w:val="0"/>
      </w:numPr>
      <w:tabs>
        <w:tab w:val="clear" w:pos="567"/>
      </w:tabs>
      <w:spacing w:after="40"/>
      <w:ind w:left="1276" w:hanging="1276"/>
    </w:pPr>
  </w:style>
  <w:style w:type="paragraph" w:customStyle="1" w:styleId="JK4">
    <w:name w:val="JK4"/>
    <w:basedOn w:val="JK3"/>
    <w:qFormat/>
    <w:rsid w:val="00B07637"/>
    <w:pPr>
      <w:numPr>
        <w:numId w:val="5"/>
      </w:numPr>
      <w:spacing w:after="60"/>
    </w:pPr>
  </w:style>
  <w:style w:type="character" w:styleId="Odkaznakoment">
    <w:name w:val="annotation reference"/>
    <w:basedOn w:val="Standardnpsmoodstavce"/>
    <w:uiPriority w:val="99"/>
    <w:semiHidden/>
    <w:unhideWhenUsed/>
    <w:rsid w:val="008E5A98"/>
    <w:rPr>
      <w:sz w:val="16"/>
      <w:szCs w:val="16"/>
    </w:rPr>
  </w:style>
  <w:style w:type="paragraph" w:styleId="Textkomente">
    <w:name w:val="annotation text"/>
    <w:basedOn w:val="Normln"/>
    <w:link w:val="TextkomenteChar"/>
    <w:uiPriority w:val="99"/>
    <w:unhideWhenUsed/>
    <w:rsid w:val="008E5A98"/>
    <w:pPr>
      <w:spacing w:line="240" w:lineRule="auto"/>
    </w:pPr>
    <w:rPr>
      <w:sz w:val="20"/>
      <w:szCs w:val="20"/>
    </w:rPr>
  </w:style>
  <w:style w:type="character" w:customStyle="1" w:styleId="TextkomenteChar">
    <w:name w:val="Text komentáře Char"/>
    <w:basedOn w:val="Standardnpsmoodstavce"/>
    <w:link w:val="Textkomente"/>
    <w:uiPriority w:val="99"/>
    <w:rsid w:val="008E5A98"/>
    <w:rPr>
      <w:sz w:val="20"/>
      <w:szCs w:val="20"/>
    </w:rPr>
  </w:style>
  <w:style w:type="paragraph" w:styleId="Pedmtkomente">
    <w:name w:val="annotation subject"/>
    <w:basedOn w:val="Textkomente"/>
    <w:next w:val="Textkomente"/>
    <w:link w:val="PedmtkomenteChar"/>
    <w:uiPriority w:val="99"/>
    <w:semiHidden/>
    <w:unhideWhenUsed/>
    <w:rsid w:val="008E5A98"/>
    <w:rPr>
      <w:b/>
      <w:bCs/>
    </w:rPr>
  </w:style>
  <w:style w:type="character" w:customStyle="1" w:styleId="PedmtkomenteChar">
    <w:name w:val="Předmět komentáře Char"/>
    <w:basedOn w:val="TextkomenteChar"/>
    <w:link w:val="Pedmtkomente"/>
    <w:uiPriority w:val="99"/>
    <w:semiHidden/>
    <w:rsid w:val="008E5A98"/>
    <w:rPr>
      <w:b/>
      <w:bCs/>
      <w:sz w:val="20"/>
      <w:szCs w:val="20"/>
    </w:rPr>
  </w:style>
  <w:style w:type="paragraph" w:customStyle="1" w:styleId="KPseznamcislo">
    <w:name w:val="KP_seznam_cislo"/>
    <w:basedOn w:val="Normln"/>
    <w:uiPriority w:val="3"/>
    <w:qFormat/>
    <w:rsid w:val="009438AB"/>
    <w:pPr>
      <w:numPr>
        <w:numId w:val="1"/>
      </w:numPr>
      <w:spacing w:before="60" w:after="60" w:line="276" w:lineRule="auto"/>
      <w:jc w:val="both"/>
    </w:pPr>
    <w:rPr>
      <w:rFonts w:ascii="Calibri" w:eastAsia="Times New Roman" w:hAnsi="Calibri" w:cs="Times New Roman"/>
      <w:sz w:val="24"/>
      <w:szCs w:val="24"/>
      <w:lang w:eastAsia="cs-CZ"/>
    </w:rPr>
  </w:style>
  <w:style w:type="paragraph" w:customStyle="1" w:styleId="KPnormal">
    <w:name w:val="KP_normal"/>
    <w:basedOn w:val="Normln"/>
    <w:link w:val="KPnormalChar"/>
    <w:qFormat/>
    <w:rsid w:val="007C58F2"/>
    <w:pPr>
      <w:spacing w:before="160" w:after="0" w:line="276" w:lineRule="auto"/>
      <w:ind w:firstLine="720"/>
      <w:jc w:val="both"/>
    </w:pPr>
    <w:rPr>
      <w:rFonts w:ascii="Calibri" w:eastAsia="Times New Roman" w:hAnsi="Calibri" w:cs="Times New Roman"/>
      <w:color w:val="000000"/>
      <w:sz w:val="24"/>
      <w:lang w:eastAsia="cs-CZ"/>
    </w:rPr>
  </w:style>
  <w:style w:type="character" w:customStyle="1" w:styleId="KPnormalChar">
    <w:name w:val="KP_normal Char"/>
    <w:basedOn w:val="Standardnpsmoodstavce"/>
    <w:link w:val="KPnormal"/>
    <w:rsid w:val="007C58F2"/>
    <w:rPr>
      <w:rFonts w:ascii="Calibri" w:eastAsia="Times New Roman" w:hAnsi="Calibri" w:cs="Times New Roman"/>
      <w:color w:val="000000"/>
      <w:sz w:val="24"/>
      <w:lang w:eastAsia="cs-CZ"/>
    </w:rPr>
  </w:style>
  <w:style w:type="paragraph" w:customStyle="1" w:styleId="KPodrazka1">
    <w:name w:val="KP_odrazka1"/>
    <w:basedOn w:val="Odstavecseseznamem"/>
    <w:autoRedefine/>
    <w:uiPriority w:val="2"/>
    <w:qFormat/>
    <w:rsid w:val="009A3FA9"/>
    <w:pPr>
      <w:numPr>
        <w:numId w:val="6"/>
      </w:numPr>
      <w:spacing w:before="60" w:after="0" w:line="240" w:lineRule="auto"/>
      <w:contextualSpacing w:val="0"/>
      <w:jc w:val="both"/>
    </w:pPr>
    <w:rPr>
      <w:rFonts w:ascii="Calibri" w:eastAsia="Calibri" w:hAnsi="Calibri" w:cs="Calibri"/>
      <w:sz w:val="24"/>
      <w:szCs w:val="24"/>
      <w:lang w:eastAsia="cs-CZ"/>
    </w:rPr>
  </w:style>
  <w:style w:type="paragraph" w:customStyle="1" w:styleId="KPodrazka1posl">
    <w:name w:val="KP_odrazka1_posl"/>
    <w:basedOn w:val="KPodrazka1"/>
    <w:next w:val="KPnormal"/>
    <w:uiPriority w:val="2"/>
    <w:qFormat/>
    <w:rsid w:val="002256E5"/>
    <w:pPr>
      <w:numPr>
        <w:numId w:val="0"/>
      </w:numPr>
      <w:spacing w:after="160"/>
      <w:ind w:left="1004" w:hanging="360"/>
    </w:pPr>
  </w:style>
  <w:style w:type="table" w:customStyle="1" w:styleId="Mkatabulky1">
    <w:name w:val="Mřížka tabulky1"/>
    <w:basedOn w:val="Normlntabulka"/>
    <w:next w:val="Mkatabulky"/>
    <w:uiPriority w:val="39"/>
    <w:rsid w:val="00815FDB"/>
    <w:pPr>
      <w:spacing w:before="160" w:after="0" w:line="276"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Pzdroj">
    <w:name w:val="KP_zdroj"/>
    <w:basedOn w:val="KPnormal"/>
    <w:next w:val="KPnormal"/>
    <w:uiPriority w:val="4"/>
    <w:qFormat/>
    <w:rsid w:val="00815FDB"/>
    <w:pPr>
      <w:tabs>
        <w:tab w:val="left" w:pos="709"/>
      </w:tabs>
      <w:spacing w:before="60" w:after="160"/>
      <w:ind w:left="709" w:hanging="709"/>
      <w:contextualSpacing/>
    </w:pPr>
    <w:rPr>
      <w:rFonts w:eastAsiaTheme="minorHAnsi"/>
      <w:sz w:val="20"/>
    </w:rPr>
  </w:style>
  <w:style w:type="paragraph" w:customStyle="1" w:styleId="KPsvazany">
    <w:name w:val="KP_svazany"/>
    <w:basedOn w:val="KPnormal"/>
    <w:next w:val="Normln"/>
    <w:qFormat/>
    <w:rsid w:val="00815FDB"/>
    <w:pPr>
      <w:keepNext/>
    </w:pPr>
  </w:style>
  <w:style w:type="character" w:styleId="slodku">
    <w:name w:val="line number"/>
    <w:basedOn w:val="Standardnpsmoodstavce"/>
    <w:uiPriority w:val="99"/>
    <w:semiHidden/>
    <w:unhideWhenUsed/>
    <w:rsid w:val="00E859FF"/>
  </w:style>
  <w:style w:type="paragraph" w:styleId="Revize">
    <w:name w:val="Revision"/>
    <w:hidden/>
    <w:uiPriority w:val="99"/>
    <w:semiHidden/>
    <w:rsid w:val="00B12AB4"/>
    <w:pPr>
      <w:spacing w:after="0" w:line="240" w:lineRule="auto"/>
    </w:pPr>
  </w:style>
  <w:style w:type="paragraph" w:customStyle="1" w:styleId="JK1">
    <w:name w:val="JK1"/>
    <w:basedOn w:val="KPnormal"/>
    <w:qFormat/>
    <w:rsid w:val="00E349B0"/>
    <w:pPr>
      <w:numPr>
        <w:numId w:val="2"/>
      </w:numPr>
      <w:tabs>
        <w:tab w:val="left" w:pos="567"/>
      </w:tabs>
      <w:spacing w:before="120" w:line="240" w:lineRule="auto"/>
    </w:pPr>
    <w:rPr>
      <w:szCs w:val="24"/>
    </w:rPr>
  </w:style>
  <w:style w:type="paragraph" w:customStyle="1" w:styleId="JK2">
    <w:name w:val="JK2"/>
    <w:basedOn w:val="JK1"/>
    <w:qFormat/>
    <w:rsid w:val="006E156E"/>
    <w:pPr>
      <w:numPr>
        <w:numId w:val="4"/>
      </w:numPr>
      <w:spacing w:after="120"/>
      <w:ind w:left="0" w:firstLine="0"/>
    </w:pPr>
  </w:style>
  <w:style w:type="paragraph" w:customStyle="1" w:styleId="Mluvcnadpis">
    <w:name w:val="Mluvící nadpis"/>
    <w:basedOn w:val="JK4"/>
    <w:qFormat/>
    <w:rsid w:val="005D7F57"/>
    <w:pPr>
      <w:numPr>
        <w:numId w:val="0"/>
      </w:numPr>
      <w:tabs>
        <w:tab w:val="left" w:pos="0"/>
      </w:tabs>
    </w:pPr>
    <w:rPr>
      <w:b/>
      <w:color w:val="FF0000"/>
    </w:rPr>
  </w:style>
  <w:style w:type="paragraph" w:customStyle="1" w:styleId="Nadpismsk">
    <w:name w:val="Nadpis římská"/>
    <w:basedOn w:val="Nadpis1"/>
    <w:link w:val="NadpismskChar"/>
    <w:qFormat/>
    <w:rsid w:val="006978B8"/>
    <w:pPr>
      <w:numPr>
        <w:numId w:val="3"/>
      </w:numPr>
      <w:spacing w:line="276" w:lineRule="auto"/>
      <w:jc w:val="center"/>
    </w:pPr>
    <w:rPr>
      <w:rFonts w:asciiTheme="minorHAnsi" w:hAnsiTheme="minorHAnsi"/>
      <w:b/>
      <w:color w:val="auto"/>
    </w:rPr>
  </w:style>
  <w:style w:type="paragraph" w:customStyle="1" w:styleId="Default">
    <w:name w:val="Default"/>
    <w:rsid w:val="003B7DC6"/>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mskChar">
    <w:name w:val="Nadpis římská Char"/>
    <w:basedOn w:val="Standardnpsmoodstavce"/>
    <w:link w:val="Nadpismsk"/>
    <w:rsid w:val="006978B8"/>
    <w:rPr>
      <w:rFonts w:eastAsiaTheme="majorEastAsia" w:cstheme="majorBidi"/>
      <w:b/>
      <w:sz w:val="32"/>
      <w:szCs w:val="32"/>
    </w:rPr>
  </w:style>
  <w:style w:type="character" w:customStyle="1" w:styleId="Nadpis1Char">
    <w:name w:val="Nadpis 1 Char"/>
    <w:aliases w:val="vlevo 18b. Char1"/>
    <w:basedOn w:val="Standardnpsmoodstavce"/>
    <w:link w:val="Nadpis1"/>
    <w:uiPriority w:val="9"/>
    <w:rsid w:val="007003EA"/>
    <w:rPr>
      <w:rFonts w:asciiTheme="majorHAnsi" w:eastAsiaTheme="majorEastAsia" w:hAnsiTheme="majorHAnsi" w:cstheme="majorBidi"/>
      <w:color w:val="2E74B5" w:themeColor="accent1" w:themeShade="BF"/>
      <w:sz w:val="32"/>
      <w:szCs w:val="32"/>
    </w:rPr>
  </w:style>
  <w:style w:type="paragraph" w:customStyle="1" w:styleId="EZvraznn">
    <w:name w:val="E_Zvýraznění"/>
    <w:basedOn w:val="Normln"/>
    <w:uiPriority w:val="4"/>
    <w:qFormat/>
    <w:rsid w:val="008106E8"/>
    <w:pPr>
      <w:spacing w:line="276" w:lineRule="auto"/>
      <w:jc w:val="both"/>
    </w:pPr>
    <w:rPr>
      <w:sz w:val="24"/>
      <w:szCs w:val="24"/>
    </w:rPr>
  </w:style>
  <w:style w:type="character" w:customStyle="1" w:styleId="Bodytext2">
    <w:name w:val="Body text|2_"/>
    <w:basedOn w:val="Standardnpsmoodstavce"/>
    <w:link w:val="Bodytext20"/>
    <w:uiPriority w:val="99"/>
    <w:rsid w:val="00DA574B"/>
    <w:rPr>
      <w:rFonts w:ascii="Calibri" w:eastAsia="Calibri" w:hAnsi="Calibri" w:cs="Calibri"/>
      <w:sz w:val="19"/>
      <w:szCs w:val="19"/>
      <w:shd w:val="clear" w:color="auto" w:fill="FFFFFF"/>
    </w:rPr>
  </w:style>
  <w:style w:type="paragraph" w:customStyle="1" w:styleId="Bodytext20">
    <w:name w:val="Body text|2"/>
    <w:basedOn w:val="Normln"/>
    <w:link w:val="Bodytext2"/>
    <w:uiPriority w:val="99"/>
    <w:qFormat/>
    <w:rsid w:val="00C05CB4"/>
    <w:pPr>
      <w:widowControl w:val="0"/>
      <w:shd w:val="clear" w:color="auto" w:fill="FFFFFF"/>
      <w:spacing w:before="100" w:after="100" w:line="293" w:lineRule="exact"/>
      <w:ind w:hanging="360"/>
      <w:jc w:val="both"/>
    </w:pPr>
    <w:rPr>
      <w:rFonts w:ascii="Calibri" w:eastAsia="Calibri" w:hAnsi="Calibri" w:cs="Calibri"/>
      <w:sz w:val="19"/>
      <w:szCs w:val="19"/>
    </w:rPr>
  </w:style>
  <w:style w:type="character" w:customStyle="1" w:styleId="Bodytext4">
    <w:name w:val="Body text|4_"/>
    <w:basedOn w:val="Standardnpsmoodstavce"/>
    <w:link w:val="Bodytext40"/>
    <w:uiPriority w:val="99"/>
    <w:rsid w:val="00DA574B"/>
    <w:rPr>
      <w:rFonts w:ascii="Calibri" w:eastAsia="Calibri" w:hAnsi="Calibri" w:cs="Calibri"/>
      <w:b/>
      <w:sz w:val="20"/>
      <w:shd w:val="clear" w:color="auto" w:fill="FFFFFF"/>
    </w:rPr>
  </w:style>
  <w:style w:type="paragraph" w:customStyle="1" w:styleId="Bodytext40">
    <w:name w:val="Body text|4"/>
    <w:basedOn w:val="Normln"/>
    <w:link w:val="Bodytext4"/>
    <w:uiPriority w:val="99"/>
    <w:rsid w:val="00C05CB4"/>
    <w:pPr>
      <w:widowControl w:val="0"/>
      <w:shd w:val="clear" w:color="auto" w:fill="FFFFFF"/>
      <w:spacing w:before="140" w:after="0" w:line="244" w:lineRule="exact"/>
      <w:jc w:val="both"/>
    </w:pPr>
    <w:rPr>
      <w:rFonts w:ascii="Calibri" w:eastAsia="Calibri" w:hAnsi="Calibri" w:cs="Calibri"/>
      <w:b/>
      <w:sz w:val="20"/>
    </w:rPr>
  </w:style>
  <w:style w:type="character" w:customStyle="1" w:styleId="Bodytext6">
    <w:name w:val="Body text|6_"/>
    <w:basedOn w:val="Standardnpsmoodstavce"/>
    <w:link w:val="Bodytext60"/>
    <w:uiPriority w:val="99"/>
    <w:rsid w:val="00DA574B"/>
    <w:rPr>
      <w:rFonts w:ascii="Calibri" w:eastAsia="Calibri" w:hAnsi="Calibri" w:cs="Calibri"/>
      <w:i/>
      <w:sz w:val="18"/>
      <w:shd w:val="clear" w:color="auto" w:fill="FFFFFF"/>
    </w:rPr>
  </w:style>
  <w:style w:type="paragraph" w:customStyle="1" w:styleId="Bodytext60">
    <w:name w:val="Body text|6"/>
    <w:basedOn w:val="Normln"/>
    <w:link w:val="Bodytext6"/>
    <w:uiPriority w:val="99"/>
    <w:rsid w:val="00C05CB4"/>
    <w:pPr>
      <w:widowControl w:val="0"/>
      <w:shd w:val="clear" w:color="auto" w:fill="FFFFFF"/>
      <w:spacing w:before="320" w:after="200" w:line="220" w:lineRule="exact"/>
      <w:jc w:val="both"/>
    </w:pPr>
    <w:rPr>
      <w:rFonts w:ascii="Calibri" w:eastAsia="Calibri" w:hAnsi="Calibri" w:cs="Calibri"/>
      <w:i/>
      <w:sz w:val="18"/>
    </w:rPr>
  </w:style>
  <w:style w:type="character" w:styleId="Sledovanodkaz">
    <w:name w:val="FollowedHyperlink"/>
    <w:basedOn w:val="Standardnpsmoodstavce"/>
    <w:uiPriority w:val="99"/>
    <w:semiHidden/>
    <w:unhideWhenUsed/>
    <w:rsid w:val="002E32D5"/>
    <w:rPr>
      <w:color w:val="954F72" w:themeColor="followedHyperlink"/>
      <w:u w:val="single"/>
    </w:rPr>
  </w:style>
  <w:style w:type="paragraph" w:styleId="Obsah1">
    <w:name w:val="toc 1"/>
    <w:basedOn w:val="Normln"/>
    <w:next w:val="Normln"/>
    <w:autoRedefine/>
    <w:uiPriority w:val="39"/>
    <w:semiHidden/>
    <w:unhideWhenUsed/>
    <w:rsid w:val="007824DA"/>
    <w:pPr>
      <w:spacing w:after="100"/>
    </w:pPr>
  </w:style>
  <w:style w:type="paragraph" w:styleId="Rejstk1">
    <w:name w:val="index 1"/>
    <w:basedOn w:val="Normln"/>
    <w:next w:val="Normln"/>
    <w:autoRedefine/>
    <w:uiPriority w:val="99"/>
    <w:semiHidden/>
    <w:unhideWhenUsed/>
    <w:rsid w:val="007824DA"/>
    <w:pPr>
      <w:spacing w:after="0" w:line="240" w:lineRule="auto"/>
      <w:ind w:left="220" w:hanging="220"/>
    </w:pPr>
  </w:style>
  <w:style w:type="character" w:customStyle="1" w:styleId="Nadpis2Char">
    <w:name w:val="Nadpis 2 Char"/>
    <w:basedOn w:val="Standardnpsmoodstavce"/>
    <w:link w:val="Nadpis2"/>
    <w:uiPriority w:val="9"/>
    <w:rsid w:val="00385D98"/>
    <w:rPr>
      <w:rFonts w:asciiTheme="majorHAnsi" w:eastAsiaTheme="majorEastAsia" w:hAnsiTheme="majorHAnsi" w:cstheme="majorBidi"/>
      <w:color w:val="2E74B5" w:themeColor="accent1" w:themeShade="BF"/>
      <w:sz w:val="26"/>
      <w:szCs w:val="26"/>
    </w:rPr>
  </w:style>
  <w:style w:type="character" w:customStyle="1" w:styleId="A5">
    <w:name w:val="A5"/>
    <w:uiPriority w:val="99"/>
    <w:rsid w:val="00C80602"/>
    <w:rPr>
      <w:b/>
      <w:bCs/>
      <w:color w:val="000000"/>
      <w:sz w:val="40"/>
      <w:szCs w:val="40"/>
    </w:rPr>
  </w:style>
  <w:style w:type="paragraph" w:customStyle="1" w:styleId="KPnormalni">
    <w:name w:val="KP_normalni"/>
    <w:basedOn w:val="Normln"/>
    <w:qFormat/>
    <w:rsid w:val="00DA574B"/>
    <w:pPr>
      <w:spacing w:before="60" w:after="60" w:line="240" w:lineRule="auto"/>
      <w:jc w:val="both"/>
    </w:pPr>
    <w:rPr>
      <w:rFonts w:ascii="Calibri" w:hAnsi="Calibri" w:cs="Calibri"/>
      <w:sz w:val="24"/>
      <w:szCs w:val="24"/>
    </w:rPr>
  </w:style>
  <w:style w:type="paragraph" w:customStyle="1" w:styleId="KP-normlntext">
    <w:name w:val="KP-normální text"/>
    <w:basedOn w:val="Normln"/>
    <w:link w:val="KP-normlntextChar"/>
    <w:qFormat/>
    <w:rsid w:val="00D2591D"/>
    <w:pPr>
      <w:spacing w:after="120" w:line="240" w:lineRule="auto"/>
      <w:jc w:val="both"/>
    </w:pPr>
    <w:rPr>
      <w:rFonts w:eastAsia="Times New Roman" w:cs="Calibri"/>
      <w:sz w:val="24"/>
      <w:szCs w:val="24"/>
    </w:rPr>
  </w:style>
  <w:style w:type="character" w:customStyle="1" w:styleId="KP-normlntextChar">
    <w:name w:val="KP-normální text Char"/>
    <w:link w:val="KP-normlntext"/>
    <w:rsid w:val="00D2591D"/>
    <w:rPr>
      <w:rFonts w:eastAsia="Times New Roman" w:cs="Calibri"/>
      <w:sz w:val="24"/>
      <w:szCs w:val="24"/>
    </w:rPr>
  </w:style>
  <w:style w:type="character" w:styleId="Nevyeenzmnka">
    <w:name w:val="Unresolved Mention"/>
    <w:basedOn w:val="Standardnpsmoodstavce"/>
    <w:uiPriority w:val="99"/>
    <w:semiHidden/>
    <w:unhideWhenUsed/>
    <w:rsid w:val="0086659D"/>
    <w:rPr>
      <w:color w:val="605E5C"/>
      <w:shd w:val="clear" w:color="auto" w:fill="E1DFDD"/>
    </w:rPr>
  </w:style>
  <w:style w:type="paragraph" w:customStyle="1" w:styleId="KP-normlnbezodsazen">
    <w:name w:val="KP-normální bez odsazení"/>
    <w:basedOn w:val="KP-normlntext"/>
    <w:qFormat/>
    <w:rsid w:val="00C06C8E"/>
    <w:pPr>
      <w:spacing w:after="0"/>
    </w:pPr>
    <w:rPr>
      <w:rFonts w:cstheme="minorHAnsi"/>
    </w:rPr>
  </w:style>
  <w:style w:type="paragraph" w:customStyle="1" w:styleId="KP-normlntun">
    <w:name w:val="KP-normální tučně"/>
    <w:basedOn w:val="KP-normlntext"/>
    <w:qFormat/>
    <w:rsid w:val="002C41DC"/>
    <w:pPr>
      <w:spacing w:before="120"/>
    </w:pPr>
    <w:rPr>
      <w:rFonts w:cstheme="minorHAnsi"/>
      <w:b/>
    </w:rPr>
  </w:style>
  <w:style w:type="table" w:customStyle="1" w:styleId="Mkatabulky2">
    <w:name w:val="Mřížka tabulky2"/>
    <w:basedOn w:val="Normlntabulka"/>
    <w:next w:val="Mkatabulky"/>
    <w:uiPriority w:val="39"/>
    <w:rsid w:val="00F31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B2986"/>
    <w:pPr>
      <w:spacing w:after="0" w:line="240" w:lineRule="auto"/>
    </w:pPr>
    <w:rPr>
      <w:rFonts w:eastAsia="Times New Roman"/>
      <w:lang w:eastAsia="cs-CZ"/>
    </w:rPr>
    <w:tblPr>
      <w:tblCellMar>
        <w:top w:w="0" w:type="dxa"/>
        <w:left w:w="0" w:type="dxa"/>
        <w:bottom w:w="0" w:type="dxa"/>
        <w:right w:w="0" w:type="dxa"/>
      </w:tblCellMar>
    </w:tblPr>
  </w:style>
  <w:style w:type="paragraph" w:customStyle="1" w:styleId="footnotedescription">
    <w:name w:val="footnote description"/>
    <w:next w:val="Normln"/>
    <w:link w:val="footnotedescriptionChar"/>
    <w:hidden/>
    <w:rsid w:val="0063703B"/>
    <w:pPr>
      <w:spacing w:after="0" w:line="286" w:lineRule="auto"/>
      <w:ind w:left="283" w:firstLine="41"/>
    </w:pPr>
    <w:rPr>
      <w:rFonts w:ascii="Calibri" w:eastAsia="Calibri" w:hAnsi="Calibri" w:cs="Calibri"/>
      <w:color w:val="000000"/>
      <w:sz w:val="18"/>
      <w:lang w:eastAsia="cs-CZ"/>
    </w:rPr>
  </w:style>
  <w:style w:type="character" w:customStyle="1" w:styleId="footnotedescriptionChar">
    <w:name w:val="footnote description Char"/>
    <w:link w:val="footnotedescription"/>
    <w:rsid w:val="0063703B"/>
    <w:rPr>
      <w:rFonts w:ascii="Calibri" w:eastAsia="Calibri" w:hAnsi="Calibri" w:cs="Calibri"/>
      <w:color w:val="000000"/>
      <w:sz w:val="18"/>
      <w:lang w:eastAsia="cs-CZ"/>
    </w:rPr>
  </w:style>
  <w:style w:type="character" w:customStyle="1" w:styleId="footnotemark">
    <w:name w:val="footnote mark"/>
    <w:hidden/>
    <w:rsid w:val="0063703B"/>
    <w:rPr>
      <w:rFonts w:ascii="Calibri" w:eastAsia="Calibri" w:hAnsi="Calibri" w:cs="Calibri"/>
      <w:color w:val="000000"/>
      <w:sz w:val="18"/>
      <w:vertAlign w:val="superscript"/>
    </w:rPr>
  </w:style>
  <w:style w:type="table" w:customStyle="1" w:styleId="TableGrid1">
    <w:name w:val="TableGrid1"/>
    <w:rsid w:val="0063703B"/>
    <w:pPr>
      <w:spacing w:after="0" w:line="240" w:lineRule="auto"/>
    </w:pPr>
    <w:rPr>
      <w:rFonts w:eastAsia="Times New Roman"/>
      <w:lang w:eastAsia="cs-CZ"/>
    </w:rPr>
    <w:tblPr>
      <w:tblCellMar>
        <w:top w:w="0" w:type="dxa"/>
        <w:left w:w="0" w:type="dxa"/>
        <w:bottom w:w="0" w:type="dxa"/>
        <w:right w:w="0" w:type="dxa"/>
      </w:tblCellMar>
    </w:tblPr>
  </w:style>
  <w:style w:type="paragraph" w:customStyle="1" w:styleId="Pa18">
    <w:name w:val="Pa18"/>
    <w:basedOn w:val="Normln"/>
    <w:next w:val="Normln"/>
    <w:uiPriority w:val="99"/>
    <w:rsid w:val="003B1BC3"/>
    <w:pPr>
      <w:autoSpaceDE w:val="0"/>
      <w:autoSpaceDN w:val="0"/>
      <w:adjustRightInd w:val="0"/>
      <w:spacing w:after="0" w:line="211" w:lineRule="atLeast"/>
    </w:pPr>
    <w:rPr>
      <w:rFonts w:ascii="Calibri" w:eastAsia="Times New Roman" w:hAnsi="Calibri" w:cs="Times New Roman"/>
      <w:sz w:val="24"/>
      <w:szCs w:val="24"/>
      <w:lang w:eastAsia="cs-CZ"/>
    </w:rPr>
  </w:style>
  <w:style w:type="paragraph" w:customStyle="1" w:styleId="Pa19">
    <w:name w:val="Pa19"/>
    <w:basedOn w:val="Normln"/>
    <w:next w:val="Normln"/>
    <w:uiPriority w:val="99"/>
    <w:rsid w:val="003B1BC3"/>
    <w:pPr>
      <w:autoSpaceDE w:val="0"/>
      <w:autoSpaceDN w:val="0"/>
      <w:adjustRightInd w:val="0"/>
      <w:spacing w:after="0" w:line="211" w:lineRule="atLeast"/>
    </w:pPr>
    <w:rPr>
      <w:rFonts w:ascii="Calibri" w:eastAsia="Times New Roman" w:hAnsi="Calibri" w:cs="Times New Roman"/>
      <w:sz w:val="24"/>
      <w:szCs w:val="24"/>
      <w:lang w:eastAsia="cs-CZ"/>
    </w:rPr>
  </w:style>
  <w:style w:type="character" w:customStyle="1" w:styleId="A14">
    <w:name w:val="A14"/>
    <w:uiPriority w:val="99"/>
    <w:rsid w:val="003B1BC3"/>
    <w:rPr>
      <w:b/>
      <w:bCs w:val="0"/>
      <w:color w:val="000000"/>
      <w:sz w:val="54"/>
    </w:rPr>
  </w:style>
  <w:style w:type="paragraph" w:customStyle="1" w:styleId="kurzva">
    <w:name w:val="kurzíva"/>
    <w:basedOn w:val="Normln"/>
    <w:qFormat/>
    <w:rsid w:val="00757057"/>
    <w:pPr>
      <w:spacing w:before="240" w:after="60"/>
    </w:pPr>
    <w:rPr>
      <w:b/>
      <w:i/>
    </w:rPr>
  </w:style>
  <w:style w:type="character" w:customStyle="1" w:styleId="A4">
    <w:name w:val="A4"/>
    <w:uiPriority w:val="99"/>
    <w:rsid w:val="000E1B3B"/>
    <w:rPr>
      <w:color w:val="000000"/>
      <w:sz w:val="60"/>
      <w:szCs w:val="60"/>
    </w:rPr>
  </w:style>
  <w:style w:type="paragraph" w:customStyle="1" w:styleId="lnek3">
    <w:name w:val="článek3"/>
    <w:basedOn w:val="Normln"/>
    <w:rsid w:val="009A7378"/>
    <w:pPr>
      <w:numPr>
        <w:ilvl w:val="2"/>
        <w:numId w:val="10"/>
      </w:numPr>
      <w:tabs>
        <w:tab w:val="clear" w:pos="1277"/>
      </w:tabs>
      <w:spacing w:after="120" w:line="240" w:lineRule="auto"/>
      <w:ind w:left="2220" w:hanging="360"/>
      <w:jc w:val="both"/>
    </w:pPr>
    <w:rPr>
      <w:rFonts w:eastAsia="Times New Roman" w:cs="Times New Roman"/>
      <w:sz w:val="24"/>
      <w:szCs w:val="20"/>
      <w:lang w:eastAsia="cs-CZ"/>
    </w:rPr>
  </w:style>
  <w:style w:type="paragraph" w:customStyle="1" w:styleId="lnek1">
    <w:name w:val="článek1"/>
    <w:basedOn w:val="Normln"/>
    <w:next w:val="lnek2"/>
    <w:rsid w:val="009A7378"/>
    <w:pPr>
      <w:keepNext/>
      <w:keepLines/>
      <w:numPr>
        <w:numId w:val="10"/>
      </w:numPr>
      <w:spacing w:before="240" w:after="240" w:line="240" w:lineRule="auto"/>
      <w:jc w:val="center"/>
    </w:pPr>
    <w:rPr>
      <w:rFonts w:eastAsia="Times New Roman" w:cs="Times New Roman"/>
      <w:b/>
      <w:sz w:val="28"/>
      <w:szCs w:val="28"/>
      <w:lang w:eastAsia="cs-CZ"/>
    </w:rPr>
  </w:style>
  <w:style w:type="paragraph" w:customStyle="1" w:styleId="lnek2">
    <w:name w:val="článek2"/>
    <w:basedOn w:val="Normln"/>
    <w:next w:val="lnek3"/>
    <w:rsid w:val="009A7378"/>
    <w:pPr>
      <w:numPr>
        <w:ilvl w:val="1"/>
        <w:numId w:val="10"/>
      </w:numPr>
      <w:spacing w:before="120" w:after="120" w:line="240" w:lineRule="auto"/>
      <w:jc w:val="both"/>
    </w:pPr>
    <w:rPr>
      <w:rFonts w:eastAsia="Times New Roman" w:cs="Times New Roman"/>
      <w:b/>
      <w:sz w:val="24"/>
      <w:szCs w:val="20"/>
      <w:lang w:eastAsia="cs-CZ"/>
    </w:rPr>
  </w:style>
  <w:style w:type="paragraph" w:customStyle="1" w:styleId="BVIfnrCharChar">
    <w:name w:val="BVI fnr Char Char"/>
    <w:aliases w:val="Char1 Char Char,Exposant 3 Point Char Char,Footnote Char Char,Footnote reference number Char Char,Footnote symbol Char Char,Ref Char Char,Times 10 Point Char Char,de nota al pie Char Char"/>
    <w:basedOn w:val="Normln"/>
    <w:link w:val="Znakapoznpodarou"/>
    <w:uiPriority w:val="99"/>
    <w:rsid w:val="009A7378"/>
    <w:pPr>
      <w:spacing w:line="240" w:lineRule="exact"/>
      <w:jc w:val="both"/>
    </w:pPr>
    <w:rPr>
      <w:vertAlign w:val="superscript"/>
    </w:rPr>
  </w:style>
  <w:style w:type="character" w:customStyle="1" w:styleId="Nadpis1Char1">
    <w:name w:val="Nadpis 1 Char1"/>
    <w:aliases w:val="Nadpis 1 Char Char,vlevo 18b. Char"/>
    <w:basedOn w:val="Standardnpsmoodstavce"/>
    <w:uiPriority w:val="9"/>
    <w:rsid w:val="00E12B56"/>
    <w:rPr>
      <w:rFonts w:asciiTheme="minorHAnsi" w:hAnsiTheme="minorHAnsi"/>
      <w:b/>
      <w:bCs/>
      <w:sz w:val="28"/>
      <w:szCs w:val="34"/>
    </w:rPr>
  </w:style>
  <w:style w:type="character" w:customStyle="1" w:styleId="KPnormlnChar">
    <w:name w:val="KP normální Char"/>
    <w:basedOn w:val="Standardnpsmoodstavce"/>
    <w:link w:val="KPnormln"/>
    <w:locked/>
    <w:rsid w:val="0012311F"/>
    <w:rPr>
      <w:rFonts w:ascii="Times New Roman" w:eastAsia="Times New Roman" w:hAnsi="Times New Roman" w:cstheme="minorHAnsi"/>
      <w:color w:val="000000"/>
      <w:sz w:val="24"/>
    </w:rPr>
  </w:style>
  <w:style w:type="paragraph" w:customStyle="1" w:styleId="KPnormln">
    <w:name w:val="KP normální"/>
    <w:basedOn w:val="Normln"/>
    <w:link w:val="KPnormlnChar"/>
    <w:qFormat/>
    <w:rsid w:val="0012311F"/>
    <w:pPr>
      <w:spacing w:before="120" w:after="120" w:line="240" w:lineRule="auto"/>
      <w:ind w:firstLine="720"/>
      <w:jc w:val="both"/>
    </w:pPr>
    <w:rPr>
      <w:rFonts w:ascii="Times New Roman" w:eastAsia="Times New Roman" w:hAnsi="Times New Roman" w:cstheme="minorHAnsi"/>
      <w:color w:val="000000"/>
      <w:sz w:val="24"/>
    </w:rPr>
  </w:style>
  <w:style w:type="paragraph" w:customStyle="1" w:styleId="l1">
    <w:name w:val="l1"/>
    <w:basedOn w:val="Normln"/>
    <w:rsid w:val="005954C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1a">
    <w:name w:val="h1a"/>
    <w:basedOn w:val="Standardnpsmoodstavce"/>
    <w:rsid w:val="005E0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366">
      <w:bodyDiv w:val="1"/>
      <w:marLeft w:val="0"/>
      <w:marRight w:val="0"/>
      <w:marTop w:val="0"/>
      <w:marBottom w:val="0"/>
      <w:divBdr>
        <w:top w:val="none" w:sz="0" w:space="0" w:color="auto"/>
        <w:left w:val="none" w:sz="0" w:space="0" w:color="auto"/>
        <w:bottom w:val="none" w:sz="0" w:space="0" w:color="auto"/>
        <w:right w:val="none" w:sz="0" w:space="0" w:color="auto"/>
      </w:divBdr>
    </w:div>
    <w:div w:id="9306682">
      <w:bodyDiv w:val="1"/>
      <w:marLeft w:val="0"/>
      <w:marRight w:val="0"/>
      <w:marTop w:val="0"/>
      <w:marBottom w:val="0"/>
      <w:divBdr>
        <w:top w:val="none" w:sz="0" w:space="0" w:color="auto"/>
        <w:left w:val="none" w:sz="0" w:space="0" w:color="auto"/>
        <w:bottom w:val="none" w:sz="0" w:space="0" w:color="auto"/>
        <w:right w:val="none" w:sz="0" w:space="0" w:color="auto"/>
      </w:divBdr>
    </w:div>
    <w:div w:id="58209258">
      <w:bodyDiv w:val="1"/>
      <w:marLeft w:val="0"/>
      <w:marRight w:val="0"/>
      <w:marTop w:val="0"/>
      <w:marBottom w:val="0"/>
      <w:divBdr>
        <w:top w:val="none" w:sz="0" w:space="0" w:color="auto"/>
        <w:left w:val="none" w:sz="0" w:space="0" w:color="auto"/>
        <w:bottom w:val="none" w:sz="0" w:space="0" w:color="auto"/>
        <w:right w:val="none" w:sz="0" w:space="0" w:color="auto"/>
      </w:divBdr>
    </w:div>
    <w:div w:id="60295416">
      <w:bodyDiv w:val="1"/>
      <w:marLeft w:val="0"/>
      <w:marRight w:val="0"/>
      <w:marTop w:val="0"/>
      <w:marBottom w:val="0"/>
      <w:divBdr>
        <w:top w:val="none" w:sz="0" w:space="0" w:color="auto"/>
        <w:left w:val="none" w:sz="0" w:space="0" w:color="auto"/>
        <w:bottom w:val="none" w:sz="0" w:space="0" w:color="auto"/>
        <w:right w:val="none" w:sz="0" w:space="0" w:color="auto"/>
      </w:divBdr>
    </w:div>
    <w:div w:id="87509402">
      <w:bodyDiv w:val="1"/>
      <w:marLeft w:val="0"/>
      <w:marRight w:val="0"/>
      <w:marTop w:val="0"/>
      <w:marBottom w:val="0"/>
      <w:divBdr>
        <w:top w:val="none" w:sz="0" w:space="0" w:color="auto"/>
        <w:left w:val="none" w:sz="0" w:space="0" w:color="auto"/>
        <w:bottom w:val="none" w:sz="0" w:space="0" w:color="auto"/>
        <w:right w:val="none" w:sz="0" w:space="0" w:color="auto"/>
      </w:divBdr>
    </w:div>
    <w:div w:id="145711729">
      <w:bodyDiv w:val="1"/>
      <w:marLeft w:val="0"/>
      <w:marRight w:val="0"/>
      <w:marTop w:val="0"/>
      <w:marBottom w:val="0"/>
      <w:divBdr>
        <w:top w:val="none" w:sz="0" w:space="0" w:color="auto"/>
        <w:left w:val="none" w:sz="0" w:space="0" w:color="auto"/>
        <w:bottom w:val="none" w:sz="0" w:space="0" w:color="auto"/>
        <w:right w:val="none" w:sz="0" w:space="0" w:color="auto"/>
      </w:divBdr>
    </w:div>
    <w:div w:id="172571135">
      <w:bodyDiv w:val="1"/>
      <w:marLeft w:val="0"/>
      <w:marRight w:val="0"/>
      <w:marTop w:val="0"/>
      <w:marBottom w:val="0"/>
      <w:divBdr>
        <w:top w:val="none" w:sz="0" w:space="0" w:color="auto"/>
        <w:left w:val="none" w:sz="0" w:space="0" w:color="auto"/>
        <w:bottom w:val="none" w:sz="0" w:space="0" w:color="auto"/>
        <w:right w:val="none" w:sz="0" w:space="0" w:color="auto"/>
      </w:divBdr>
    </w:div>
    <w:div w:id="173958187">
      <w:bodyDiv w:val="1"/>
      <w:marLeft w:val="0"/>
      <w:marRight w:val="0"/>
      <w:marTop w:val="0"/>
      <w:marBottom w:val="0"/>
      <w:divBdr>
        <w:top w:val="none" w:sz="0" w:space="0" w:color="auto"/>
        <w:left w:val="none" w:sz="0" w:space="0" w:color="auto"/>
        <w:bottom w:val="none" w:sz="0" w:space="0" w:color="auto"/>
        <w:right w:val="none" w:sz="0" w:space="0" w:color="auto"/>
      </w:divBdr>
    </w:div>
    <w:div w:id="174929859">
      <w:bodyDiv w:val="1"/>
      <w:marLeft w:val="0"/>
      <w:marRight w:val="0"/>
      <w:marTop w:val="0"/>
      <w:marBottom w:val="0"/>
      <w:divBdr>
        <w:top w:val="none" w:sz="0" w:space="0" w:color="auto"/>
        <w:left w:val="none" w:sz="0" w:space="0" w:color="auto"/>
        <w:bottom w:val="none" w:sz="0" w:space="0" w:color="auto"/>
        <w:right w:val="none" w:sz="0" w:space="0" w:color="auto"/>
      </w:divBdr>
    </w:div>
    <w:div w:id="194123891">
      <w:bodyDiv w:val="1"/>
      <w:marLeft w:val="0"/>
      <w:marRight w:val="0"/>
      <w:marTop w:val="0"/>
      <w:marBottom w:val="0"/>
      <w:divBdr>
        <w:top w:val="none" w:sz="0" w:space="0" w:color="auto"/>
        <w:left w:val="none" w:sz="0" w:space="0" w:color="auto"/>
        <w:bottom w:val="none" w:sz="0" w:space="0" w:color="auto"/>
        <w:right w:val="none" w:sz="0" w:space="0" w:color="auto"/>
      </w:divBdr>
    </w:div>
    <w:div w:id="197134348">
      <w:bodyDiv w:val="1"/>
      <w:marLeft w:val="0"/>
      <w:marRight w:val="0"/>
      <w:marTop w:val="0"/>
      <w:marBottom w:val="0"/>
      <w:divBdr>
        <w:top w:val="none" w:sz="0" w:space="0" w:color="auto"/>
        <w:left w:val="none" w:sz="0" w:space="0" w:color="auto"/>
        <w:bottom w:val="none" w:sz="0" w:space="0" w:color="auto"/>
        <w:right w:val="none" w:sz="0" w:space="0" w:color="auto"/>
      </w:divBdr>
    </w:div>
    <w:div w:id="201017159">
      <w:bodyDiv w:val="1"/>
      <w:marLeft w:val="0"/>
      <w:marRight w:val="0"/>
      <w:marTop w:val="0"/>
      <w:marBottom w:val="0"/>
      <w:divBdr>
        <w:top w:val="none" w:sz="0" w:space="0" w:color="auto"/>
        <w:left w:val="none" w:sz="0" w:space="0" w:color="auto"/>
        <w:bottom w:val="none" w:sz="0" w:space="0" w:color="auto"/>
        <w:right w:val="none" w:sz="0" w:space="0" w:color="auto"/>
      </w:divBdr>
    </w:div>
    <w:div w:id="217668745">
      <w:bodyDiv w:val="1"/>
      <w:marLeft w:val="0"/>
      <w:marRight w:val="0"/>
      <w:marTop w:val="0"/>
      <w:marBottom w:val="0"/>
      <w:divBdr>
        <w:top w:val="none" w:sz="0" w:space="0" w:color="auto"/>
        <w:left w:val="none" w:sz="0" w:space="0" w:color="auto"/>
        <w:bottom w:val="none" w:sz="0" w:space="0" w:color="auto"/>
        <w:right w:val="none" w:sz="0" w:space="0" w:color="auto"/>
      </w:divBdr>
    </w:div>
    <w:div w:id="302930347">
      <w:bodyDiv w:val="1"/>
      <w:marLeft w:val="0"/>
      <w:marRight w:val="0"/>
      <w:marTop w:val="0"/>
      <w:marBottom w:val="0"/>
      <w:divBdr>
        <w:top w:val="none" w:sz="0" w:space="0" w:color="auto"/>
        <w:left w:val="none" w:sz="0" w:space="0" w:color="auto"/>
        <w:bottom w:val="none" w:sz="0" w:space="0" w:color="auto"/>
        <w:right w:val="none" w:sz="0" w:space="0" w:color="auto"/>
      </w:divBdr>
    </w:div>
    <w:div w:id="304547831">
      <w:bodyDiv w:val="1"/>
      <w:marLeft w:val="0"/>
      <w:marRight w:val="0"/>
      <w:marTop w:val="0"/>
      <w:marBottom w:val="0"/>
      <w:divBdr>
        <w:top w:val="none" w:sz="0" w:space="0" w:color="auto"/>
        <w:left w:val="none" w:sz="0" w:space="0" w:color="auto"/>
        <w:bottom w:val="none" w:sz="0" w:space="0" w:color="auto"/>
        <w:right w:val="none" w:sz="0" w:space="0" w:color="auto"/>
      </w:divBdr>
    </w:div>
    <w:div w:id="401297117">
      <w:bodyDiv w:val="1"/>
      <w:marLeft w:val="0"/>
      <w:marRight w:val="0"/>
      <w:marTop w:val="0"/>
      <w:marBottom w:val="0"/>
      <w:divBdr>
        <w:top w:val="none" w:sz="0" w:space="0" w:color="auto"/>
        <w:left w:val="none" w:sz="0" w:space="0" w:color="auto"/>
        <w:bottom w:val="none" w:sz="0" w:space="0" w:color="auto"/>
        <w:right w:val="none" w:sz="0" w:space="0" w:color="auto"/>
      </w:divBdr>
    </w:div>
    <w:div w:id="428238336">
      <w:bodyDiv w:val="1"/>
      <w:marLeft w:val="0"/>
      <w:marRight w:val="0"/>
      <w:marTop w:val="0"/>
      <w:marBottom w:val="0"/>
      <w:divBdr>
        <w:top w:val="none" w:sz="0" w:space="0" w:color="auto"/>
        <w:left w:val="none" w:sz="0" w:space="0" w:color="auto"/>
        <w:bottom w:val="none" w:sz="0" w:space="0" w:color="auto"/>
        <w:right w:val="none" w:sz="0" w:space="0" w:color="auto"/>
      </w:divBdr>
    </w:div>
    <w:div w:id="429013759">
      <w:bodyDiv w:val="1"/>
      <w:marLeft w:val="0"/>
      <w:marRight w:val="0"/>
      <w:marTop w:val="0"/>
      <w:marBottom w:val="0"/>
      <w:divBdr>
        <w:top w:val="none" w:sz="0" w:space="0" w:color="auto"/>
        <w:left w:val="none" w:sz="0" w:space="0" w:color="auto"/>
        <w:bottom w:val="none" w:sz="0" w:space="0" w:color="auto"/>
        <w:right w:val="none" w:sz="0" w:space="0" w:color="auto"/>
      </w:divBdr>
    </w:div>
    <w:div w:id="445268909">
      <w:bodyDiv w:val="1"/>
      <w:marLeft w:val="0"/>
      <w:marRight w:val="0"/>
      <w:marTop w:val="0"/>
      <w:marBottom w:val="0"/>
      <w:divBdr>
        <w:top w:val="none" w:sz="0" w:space="0" w:color="auto"/>
        <w:left w:val="none" w:sz="0" w:space="0" w:color="auto"/>
        <w:bottom w:val="none" w:sz="0" w:space="0" w:color="auto"/>
        <w:right w:val="none" w:sz="0" w:space="0" w:color="auto"/>
      </w:divBdr>
    </w:div>
    <w:div w:id="451364824">
      <w:bodyDiv w:val="1"/>
      <w:marLeft w:val="0"/>
      <w:marRight w:val="0"/>
      <w:marTop w:val="0"/>
      <w:marBottom w:val="0"/>
      <w:divBdr>
        <w:top w:val="none" w:sz="0" w:space="0" w:color="auto"/>
        <w:left w:val="none" w:sz="0" w:space="0" w:color="auto"/>
        <w:bottom w:val="none" w:sz="0" w:space="0" w:color="auto"/>
        <w:right w:val="none" w:sz="0" w:space="0" w:color="auto"/>
      </w:divBdr>
    </w:div>
    <w:div w:id="493838521">
      <w:bodyDiv w:val="1"/>
      <w:marLeft w:val="0"/>
      <w:marRight w:val="0"/>
      <w:marTop w:val="0"/>
      <w:marBottom w:val="0"/>
      <w:divBdr>
        <w:top w:val="none" w:sz="0" w:space="0" w:color="auto"/>
        <w:left w:val="none" w:sz="0" w:space="0" w:color="auto"/>
        <w:bottom w:val="none" w:sz="0" w:space="0" w:color="auto"/>
        <w:right w:val="none" w:sz="0" w:space="0" w:color="auto"/>
      </w:divBdr>
    </w:div>
    <w:div w:id="499277911">
      <w:bodyDiv w:val="1"/>
      <w:marLeft w:val="0"/>
      <w:marRight w:val="0"/>
      <w:marTop w:val="0"/>
      <w:marBottom w:val="0"/>
      <w:divBdr>
        <w:top w:val="none" w:sz="0" w:space="0" w:color="auto"/>
        <w:left w:val="none" w:sz="0" w:space="0" w:color="auto"/>
        <w:bottom w:val="none" w:sz="0" w:space="0" w:color="auto"/>
        <w:right w:val="none" w:sz="0" w:space="0" w:color="auto"/>
      </w:divBdr>
    </w:div>
    <w:div w:id="518544147">
      <w:bodyDiv w:val="1"/>
      <w:marLeft w:val="0"/>
      <w:marRight w:val="0"/>
      <w:marTop w:val="0"/>
      <w:marBottom w:val="0"/>
      <w:divBdr>
        <w:top w:val="none" w:sz="0" w:space="0" w:color="auto"/>
        <w:left w:val="none" w:sz="0" w:space="0" w:color="auto"/>
        <w:bottom w:val="none" w:sz="0" w:space="0" w:color="auto"/>
        <w:right w:val="none" w:sz="0" w:space="0" w:color="auto"/>
      </w:divBdr>
    </w:div>
    <w:div w:id="546992071">
      <w:bodyDiv w:val="1"/>
      <w:marLeft w:val="0"/>
      <w:marRight w:val="0"/>
      <w:marTop w:val="0"/>
      <w:marBottom w:val="0"/>
      <w:divBdr>
        <w:top w:val="none" w:sz="0" w:space="0" w:color="auto"/>
        <w:left w:val="none" w:sz="0" w:space="0" w:color="auto"/>
        <w:bottom w:val="none" w:sz="0" w:space="0" w:color="auto"/>
        <w:right w:val="none" w:sz="0" w:space="0" w:color="auto"/>
      </w:divBdr>
    </w:div>
    <w:div w:id="582297070">
      <w:bodyDiv w:val="1"/>
      <w:marLeft w:val="0"/>
      <w:marRight w:val="0"/>
      <w:marTop w:val="0"/>
      <w:marBottom w:val="0"/>
      <w:divBdr>
        <w:top w:val="none" w:sz="0" w:space="0" w:color="auto"/>
        <w:left w:val="none" w:sz="0" w:space="0" w:color="auto"/>
        <w:bottom w:val="none" w:sz="0" w:space="0" w:color="auto"/>
        <w:right w:val="none" w:sz="0" w:space="0" w:color="auto"/>
      </w:divBdr>
    </w:div>
    <w:div w:id="604268711">
      <w:bodyDiv w:val="1"/>
      <w:marLeft w:val="0"/>
      <w:marRight w:val="0"/>
      <w:marTop w:val="0"/>
      <w:marBottom w:val="0"/>
      <w:divBdr>
        <w:top w:val="none" w:sz="0" w:space="0" w:color="auto"/>
        <w:left w:val="none" w:sz="0" w:space="0" w:color="auto"/>
        <w:bottom w:val="none" w:sz="0" w:space="0" w:color="auto"/>
        <w:right w:val="none" w:sz="0" w:space="0" w:color="auto"/>
      </w:divBdr>
    </w:div>
    <w:div w:id="645939714">
      <w:bodyDiv w:val="1"/>
      <w:marLeft w:val="0"/>
      <w:marRight w:val="0"/>
      <w:marTop w:val="0"/>
      <w:marBottom w:val="0"/>
      <w:divBdr>
        <w:top w:val="none" w:sz="0" w:space="0" w:color="auto"/>
        <w:left w:val="none" w:sz="0" w:space="0" w:color="auto"/>
        <w:bottom w:val="none" w:sz="0" w:space="0" w:color="auto"/>
        <w:right w:val="none" w:sz="0" w:space="0" w:color="auto"/>
      </w:divBdr>
    </w:div>
    <w:div w:id="649359505">
      <w:bodyDiv w:val="1"/>
      <w:marLeft w:val="0"/>
      <w:marRight w:val="0"/>
      <w:marTop w:val="0"/>
      <w:marBottom w:val="0"/>
      <w:divBdr>
        <w:top w:val="none" w:sz="0" w:space="0" w:color="auto"/>
        <w:left w:val="none" w:sz="0" w:space="0" w:color="auto"/>
        <w:bottom w:val="none" w:sz="0" w:space="0" w:color="auto"/>
        <w:right w:val="none" w:sz="0" w:space="0" w:color="auto"/>
      </w:divBdr>
    </w:div>
    <w:div w:id="672953559">
      <w:bodyDiv w:val="1"/>
      <w:marLeft w:val="0"/>
      <w:marRight w:val="0"/>
      <w:marTop w:val="0"/>
      <w:marBottom w:val="0"/>
      <w:divBdr>
        <w:top w:val="none" w:sz="0" w:space="0" w:color="auto"/>
        <w:left w:val="none" w:sz="0" w:space="0" w:color="auto"/>
        <w:bottom w:val="none" w:sz="0" w:space="0" w:color="auto"/>
        <w:right w:val="none" w:sz="0" w:space="0" w:color="auto"/>
      </w:divBdr>
    </w:div>
    <w:div w:id="679041028">
      <w:bodyDiv w:val="1"/>
      <w:marLeft w:val="0"/>
      <w:marRight w:val="0"/>
      <w:marTop w:val="0"/>
      <w:marBottom w:val="0"/>
      <w:divBdr>
        <w:top w:val="none" w:sz="0" w:space="0" w:color="auto"/>
        <w:left w:val="none" w:sz="0" w:space="0" w:color="auto"/>
        <w:bottom w:val="none" w:sz="0" w:space="0" w:color="auto"/>
        <w:right w:val="none" w:sz="0" w:space="0" w:color="auto"/>
      </w:divBdr>
    </w:div>
    <w:div w:id="756705563">
      <w:bodyDiv w:val="1"/>
      <w:marLeft w:val="0"/>
      <w:marRight w:val="0"/>
      <w:marTop w:val="0"/>
      <w:marBottom w:val="0"/>
      <w:divBdr>
        <w:top w:val="none" w:sz="0" w:space="0" w:color="auto"/>
        <w:left w:val="none" w:sz="0" w:space="0" w:color="auto"/>
        <w:bottom w:val="none" w:sz="0" w:space="0" w:color="auto"/>
        <w:right w:val="none" w:sz="0" w:space="0" w:color="auto"/>
      </w:divBdr>
    </w:div>
    <w:div w:id="849367802">
      <w:bodyDiv w:val="1"/>
      <w:marLeft w:val="0"/>
      <w:marRight w:val="0"/>
      <w:marTop w:val="0"/>
      <w:marBottom w:val="0"/>
      <w:divBdr>
        <w:top w:val="none" w:sz="0" w:space="0" w:color="auto"/>
        <w:left w:val="none" w:sz="0" w:space="0" w:color="auto"/>
        <w:bottom w:val="none" w:sz="0" w:space="0" w:color="auto"/>
        <w:right w:val="none" w:sz="0" w:space="0" w:color="auto"/>
      </w:divBdr>
    </w:div>
    <w:div w:id="855271037">
      <w:bodyDiv w:val="1"/>
      <w:marLeft w:val="0"/>
      <w:marRight w:val="0"/>
      <w:marTop w:val="0"/>
      <w:marBottom w:val="0"/>
      <w:divBdr>
        <w:top w:val="none" w:sz="0" w:space="0" w:color="auto"/>
        <w:left w:val="none" w:sz="0" w:space="0" w:color="auto"/>
        <w:bottom w:val="none" w:sz="0" w:space="0" w:color="auto"/>
        <w:right w:val="none" w:sz="0" w:space="0" w:color="auto"/>
      </w:divBdr>
    </w:div>
    <w:div w:id="861819387">
      <w:bodyDiv w:val="1"/>
      <w:marLeft w:val="0"/>
      <w:marRight w:val="0"/>
      <w:marTop w:val="0"/>
      <w:marBottom w:val="0"/>
      <w:divBdr>
        <w:top w:val="none" w:sz="0" w:space="0" w:color="auto"/>
        <w:left w:val="none" w:sz="0" w:space="0" w:color="auto"/>
        <w:bottom w:val="none" w:sz="0" w:space="0" w:color="auto"/>
        <w:right w:val="none" w:sz="0" w:space="0" w:color="auto"/>
      </w:divBdr>
    </w:div>
    <w:div w:id="880704864">
      <w:bodyDiv w:val="1"/>
      <w:marLeft w:val="0"/>
      <w:marRight w:val="0"/>
      <w:marTop w:val="0"/>
      <w:marBottom w:val="0"/>
      <w:divBdr>
        <w:top w:val="none" w:sz="0" w:space="0" w:color="auto"/>
        <w:left w:val="none" w:sz="0" w:space="0" w:color="auto"/>
        <w:bottom w:val="none" w:sz="0" w:space="0" w:color="auto"/>
        <w:right w:val="none" w:sz="0" w:space="0" w:color="auto"/>
      </w:divBdr>
    </w:div>
    <w:div w:id="899900325">
      <w:bodyDiv w:val="1"/>
      <w:marLeft w:val="0"/>
      <w:marRight w:val="0"/>
      <w:marTop w:val="0"/>
      <w:marBottom w:val="0"/>
      <w:divBdr>
        <w:top w:val="none" w:sz="0" w:space="0" w:color="auto"/>
        <w:left w:val="none" w:sz="0" w:space="0" w:color="auto"/>
        <w:bottom w:val="none" w:sz="0" w:space="0" w:color="auto"/>
        <w:right w:val="none" w:sz="0" w:space="0" w:color="auto"/>
      </w:divBdr>
    </w:div>
    <w:div w:id="949430443">
      <w:bodyDiv w:val="1"/>
      <w:marLeft w:val="0"/>
      <w:marRight w:val="0"/>
      <w:marTop w:val="0"/>
      <w:marBottom w:val="0"/>
      <w:divBdr>
        <w:top w:val="none" w:sz="0" w:space="0" w:color="auto"/>
        <w:left w:val="none" w:sz="0" w:space="0" w:color="auto"/>
        <w:bottom w:val="none" w:sz="0" w:space="0" w:color="auto"/>
        <w:right w:val="none" w:sz="0" w:space="0" w:color="auto"/>
      </w:divBdr>
    </w:div>
    <w:div w:id="955256936">
      <w:bodyDiv w:val="1"/>
      <w:marLeft w:val="0"/>
      <w:marRight w:val="0"/>
      <w:marTop w:val="0"/>
      <w:marBottom w:val="0"/>
      <w:divBdr>
        <w:top w:val="none" w:sz="0" w:space="0" w:color="auto"/>
        <w:left w:val="none" w:sz="0" w:space="0" w:color="auto"/>
        <w:bottom w:val="none" w:sz="0" w:space="0" w:color="auto"/>
        <w:right w:val="none" w:sz="0" w:space="0" w:color="auto"/>
      </w:divBdr>
    </w:div>
    <w:div w:id="960576712">
      <w:bodyDiv w:val="1"/>
      <w:marLeft w:val="0"/>
      <w:marRight w:val="0"/>
      <w:marTop w:val="0"/>
      <w:marBottom w:val="0"/>
      <w:divBdr>
        <w:top w:val="none" w:sz="0" w:space="0" w:color="auto"/>
        <w:left w:val="none" w:sz="0" w:space="0" w:color="auto"/>
        <w:bottom w:val="none" w:sz="0" w:space="0" w:color="auto"/>
        <w:right w:val="none" w:sz="0" w:space="0" w:color="auto"/>
      </w:divBdr>
    </w:div>
    <w:div w:id="962271008">
      <w:bodyDiv w:val="1"/>
      <w:marLeft w:val="0"/>
      <w:marRight w:val="0"/>
      <w:marTop w:val="0"/>
      <w:marBottom w:val="0"/>
      <w:divBdr>
        <w:top w:val="none" w:sz="0" w:space="0" w:color="auto"/>
        <w:left w:val="none" w:sz="0" w:space="0" w:color="auto"/>
        <w:bottom w:val="none" w:sz="0" w:space="0" w:color="auto"/>
        <w:right w:val="none" w:sz="0" w:space="0" w:color="auto"/>
      </w:divBdr>
    </w:div>
    <w:div w:id="970674681">
      <w:bodyDiv w:val="1"/>
      <w:marLeft w:val="0"/>
      <w:marRight w:val="0"/>
      <w:marTop w:val="0"/>
      <w:marBottom w:val="0"/>
      <w:divBdr>
        <w:top w:val="none" w:sz="0" w:space="0" w:color="auto"/>
        <w:left w:val="none" w:sz="0" w:space="0" w:color="auto"/>
        <w:bottom w:val="none" w:sz="0" w:space="0" w:color="auto"/>
        <w:right w:val="none" w:sz="0" w:space="0" w:color="auto"/>
      </w:divBdr>
    </w:div>
    <w:div w:id="972372961">
      <w:bodyDiv w:val="1"/>
      <w:marLeft w:val="0"/>
      <w:marRight w:val="0"/>
      <w:marTop w:val="0"/>
      <w:marBottom w:val="0"/>
      <w:divBdr>
        <w:top w:val="none" w:sz="0" w:space="0" w:color="auto"/>
        <w:left w:val="none" w:sz="0" w:space="0" w:color="auto"/>
        <w:bottom w:val="none" w:sz="0" w:space="0" w:color="auto"/>
        <w:right w:val="none" w:sz="0" w:space="0" w:color="auto"/>
      </w:divBdr>
    </w:div>
    <w:div w:id="1001010837">
      <w:bodyDiv w:val="1"/>
      <w:marLeft w:val="0"/>
      <w:marRight w:val="0"/>
      <w:marTop w:val="0"/>
      <w:marBottom w:val="0"/>
      <w:divBdr>
        <w:top w:val="none" w:sz="0" w:space="0" w:color="auto"/>
        <w:left w:val="none" w:sz="0" w:space="0" w:color="auto"/>
        <w:bottom w:val="none" w:sz="0" w:space="0" w:color="auto"/>
        <w:right w:val="none" w:sz="0" w:space="0" w:color="auto"/>
      </w:divBdr>
    </w:div>
    <w:div w:id="1035546521">
      <w:bodyDiv w:val="1"/>
      <w:marLeft w:val="0"/>
      <w:marRight w:val="0"/>
      <w:marTop w:val="0"/>
      <w:marBottom w:val="0"/>
      <w:divBdr>
        <w:top w:val="none" w:sz="0" w:space="0" w:color="auto"/>
        <w:left w:val="none" w:sz="0" w:space="0" w:color="auto"/>
        <w:bottom w:val="none" w:sz="0" w:space="0" w:color="auto"/>
        <w:right w:val="none" w:sz="0" w:space="0" w:color="auto"/>
      </w:divBdr>
    </w:div>
    <w:div w:id="1081878936">
      <w:bodyDiv w:val="1"/>
      <w:marLeft w:val="0"/>
      <w:marRight w:val="0"/>
      <w:marTop w:val="0"/>
      <w:marBottom w:val="0"/>
      <w:divBdr>
        <w:top w:val="none" w:sz="0" w:space="0" w:color="auto"/>
        <w:left w:val="none" w:sz="0" w:space="0" w:color="auto"/>
        <w:bottom w:val="none" w:sz="0" w:space="0" w:color="auto"/>
        <w:right w:val="none" w:sz="0" w:space="0" w:color="auto"/>
      </w:divBdr>
    </w:div>
    <w:div w:id="1134058462">
      <w:bodyDiv w:val="1"/>
      <w:marLeft w:val="0"/>
      <w:marRight w:val="0"/>
      <w:marTop w:val="0"/>
      <w:marBottom w:val="0"/>
      <w:divBdr>
        <w:top w:val="none" w:sz="0" w:space="0" w:color="auto"/>
        <w:left w:val="none" w:sz="0" w:space="0" w:color="auto"/>
        <w:bottom w:val="none" w:sz="0" w:space="0" w:color="auto"/>
        <w:right w:val="none" w:sz="0" w:space="0" w:color="auto"/>
      </w:divBdr>
    </w:div>
    <w:div w:id="1137408274">
      <w:bodyDiv w:val="1"/>
      <w:marLeft w:val="0"/>
      <w:marRight w:val="0"/>
      <w:marTop w:val="0"/>
      <w:marBottom w:val="0"/>
      <w:divBdr>
        <w:top w:val="none" w:sz="0" w:space="0" w:color="auto"/>
        <w:left w:val="none" w:sz="0" w:space="0" w:color="auto"/>
        <w:bottom w:val="none" w:sz="0" w:space="0" w:color="auto"/>
        <w:right w:val="none" w:sz="0" w:space="0" w:color="auto"/>
      </w:divBdr>
    </w:div>
    <w:div w:id="1156533111">
      <w:bodyDiv w:val="1"/>
      <w:marLeft w:val="0"/>
      <w:marRight w:val="0"/>
      <w:marTop w:val="0"/>
      <w:marBottom w:val="0"/>
      <w:divBdr>
        <w:top w:val="none" w:sz="0" w:space="0" w:color="auto"/>
        <w:left w:val="none" w:sz="0" w:space="0" w:color="auto"/>
        <w:bottom w:val="none" w:sz="0" w:space="0" w:color="auto"/>
        <w:right w:val="none" w:sz="0" w:space="0" w:color="auto"/>
      </w:divBdr>
    </w:div>
    <w:div w:id="1173255069">
      <w:bodyDiv w:val="1"/>
      <w:marLeft w:val="0"/>
      <w:marRight w:val="0"/>
      <w:marTop w:val="0"/>
      <w:marBottom w:val="0"/>
      <w:divBdr>
        <w:top w:val="none" w:sz="0" w:space="0" w:color="auto"/>
        <w:left w:val="none" w:sz="0" w:space="0" w:color="auto"/>
        <w:bottom w:val="none" w:sz="0" w:space="0" w:color="auto"/>
        <w:right w:val="none" w:sz="0" w:space="0" w:color="auto"/>
      </w:divBdr>
    </w:div>
    <w:div w:id="1176306440">
      <w:bodyDiv w:val="1"/>
      <w:marLeft w:val="0"/>
      <w:marRight w:val="0"/>
      <w:marTop w:val="0"/>
      <w:marBottom w:val="0"/>
      <w:divBdr>
        <w:top w:val="none" w:sz="0" w:space="0" w:color="auto"/>
        <w:left w:val="none" w:sz="0" w:space="0" w:color="auto"/>
        <w:bottom w:val="none" w:sz="0" w:space="0" w:color="auto"/>
        <w:right w:val="none" w:sz="0" w:space="0" w:color="auto"/>
      </w:divBdr>
    </w:div>
    <w:div w:id="1211259296">
      <w:bodyDiv w:val="1"/>
      <w:marLeft w:val="0"/>
      <w:marRight w:val="0"/>
      <w:marTop w:val="0"/>
      <w:marBottom w:val="0"/>
      <w:divBdr>
        <w:top w:val="none" w:sz="0" w:space="0" w:color="auto"/>
        <w:left w:val="none" w:sz="0" w:space="0" w:color="auto"/>
        <w:bottom w:val="none" w:sz="0" w:space="0" w:color="auto"/>
        <w:right w:val="none" w:sz="0" w:space="0" w:color="auto"/>
      </w:divBdr>
    </w:div>
    <w:div w:id="1224105108">
      <w:bodyDiv w:val="1"/>
      <w:marLeft w:val="0"/>
      <w:marRight w:val="0"/>
      <w:marTop w:val="0"/>
      <w:marBottom w:val="0"/>
      <w:divBdr>
        <w:top w:val="none" w:sz="0" w:space="0" w:color="auto"/>
        <w:left w:val="none" w:sz="0" w:space="0" w:color="auto"/>
        <w:bottom w:val="none" w:sz="0" w:space="0" w:color="auto"/>
        <w:right w:val="none" w:sz="0" w:space="0" w:color="auto"/>
      </w:divBdr>
    </w:div>
    <w:div w:id="1346203416">
      <w:bodyDiv w:val="1"/>
      <w:marLeft w:val="0"/>
      <w:marRight w:val="0"/>
      <w:marTop w:val="0"/>
      <w:marBottom w:val="0"/>
      <w:divBdr>
        <w:top w:val="none" w:sz="0" w:space="0" w:color="auto"/>
        <w:left w:val="none" w:sz="0" w:space="0" w:color="auto"/>
        <w:bottom w:val="none" w:sz="0" w:space="0" w:color="auto"/>
        <w:right w:val="none" w:sz="0" w:space="0" w:color="auto"/>
      </w:divBdr>
    </w:div>
    <w:div w:id="1396856121">
      <w:bodyDiv w:val="1"/>
      <w:marLeft w:val="0"/>
      <w:marRight w:val="0"/>
      <w:marTop w:val="0"/>
      <w:marBottom w:val="0"/>
      <w:divBdr>
        <w:top w:val="none" w:sz="0" w:space="0" w:color="auto"/>
        <w:left w:val="none" w:sz="0" w:space="0" w:color="auto"/>
        <w:bottom w:val="none" w:sz="0" w:space="0" w:color="auto"/>
        <w:right w:val="none" w:sz="0" w:space="0" w:color="auto"/>
      </w:divBdr>
    </w:div>
    <w:div w:id="1404910203">
      <w:bodyDiv w:val="1"/>
      <w:marLeft w:val="0"/>
      <w:marRight w:val="0"/>
      <w:marTop w:val="0"/>
      <w:marBottom w:val="0"/>
      <w:divBdr>
        <w:top w:val="none" w:sz="0" w:space="0" w:color="auto"/>
        <w:left w:val="none" w:sz="0" w:space="0" w:color="auto"/>
        <w:bottom w:val="none" w:sz="0" w:space="0" w:color="auto"/>
        <w:right w:val="none" w:sz="0" w:space="0" w:color="auto"/>
      </w:divBdr>
    </w:div>
    <w:div w:id="1472403862">
      <w:bodyDiv w:val="1"/>
      <w:marLeft w:val="0"/>
      <w:marRight w:val="0"/>
      <w:marTop w:val="0"/>
      <w:marBottom w:val="0"/>
      <w:divBdr>
        <w:top w:val="none" w:sz="0" w:space="0" w:color="auto"/>
        <w:left w:val="none" w:sz="0" w:space="0" w:color="auto"/>
        <w:bottom w:val="none" w:sz="0" w:space="0" w:color="auto"/>
        <w:right w:val="none" w:sz="0" w:space="0" w:color="auto"/>
      </w:divBdr>
    </w:div>
    <w:div w:id="1485271753">
      <w:bodyDiv w:val="1"/>
      <w:marLeft w:val="0"/>
      <w:marRight w:val="0"/>
      <w:marTop w:val="0"/>
      <w:marBottom w:val="0"/>
      <w:divBdr>
        <w:top w:val="none" w:sz="0" w:space="0" w:color="auto"/>
        <w:left w:val="none" w:sz="0" w:space="0" w:color="auto"/>
        <w:bottom w:val="none" w:sz="0" w:space="0" w:color="auto"/>
        <w:right w:val="none" w:sz="0" w:space="0" w:color="auto"/>
      </w:divBdr>
    </w:div>
    <w:div w:id="1539202375">
      <w:bodyDiv w:val="1"/>
      <w:marLeft w:val="0"/>
      <w:marRight w:val="0"/>
      <w:marTop w:val="0"/>
      <w:marBottom w:val="0"/>
      <w:divBdr>
        <w:top w:val="none" w:sz="0" w:space="0" w:color="auto"/>
        <w:left w:val="none" w:sz="0" w:space="0" w:color="auto"/>
        <w:bottom w:val="none" w:sz="0" w:space="0" w:color="auto"/>
        <w:right w:val="none" w:sz="0" w:space="0" w:color="auto"/>
      </w:divBdr>
    </w:div>
    <w:div w:id="1568564886">
      <w:bodyDiv w:val="1"/>
      <w:marLeft w:val="0"/>
      <w:marRight w:val="0"/>
      <w:marTop w:val="0"/>
      <w:marBottom w:val="0"/>
      <w:divBdr>
        <w:top w:val="none" w:sz="0" w:space="0" w:color="auto"/>
        <w:left w:val="none" w:sz="0" w:space="0" w:color="auto"/>
        <w:bottom w:val="none" w:sz="0" w:space="0" w:color="auto"/>
        <w:right w:val="none" w:sz="0" w:space="0" w:color="auto"/>
      </w:divBdr>
    </w:div>
    <w:div w:id="1570846223">
      <w:bodyDiv w:val="1"/>
      <w:marLeft w:val="0"/>
      <w:marRight w:val="0"/>
      <w:marTop w:val="0"/>
      <w:marBottom w:val="0"/>
      <w:divBdr>
        <w:top w:val="none" w:sz="0" w:space="0" w:color="auto"/>
        <w:left w:val="none" w:sz="0" w:space="0" w:color="auto"/>
        <w:bottom w:val="none" w:sz="0" w:space="0" w:color="auto"/>
        <w:right w:val="none" w:sz="0" w:space="0" w:color="auto"/>
      </w:divBdr>
    </w:div>
    <w:div w:id="1623802050">
      <w:bodyDiv w:val="1"/>
      <w:marLeft w:val="0"/>
      <w:marRight w:val="0"/>
      <w:marTop w:val="0"/>
      <w:marBottom w:val="0"/>
      <w:divBdr>
        <w:top w:val="none" w:sz="0" w:space="0" w:color="auto"/>
        <w:left w:val="none" w:sz="0" w:space="0" w:color="auto"/>
        <w:bottom w:val="none" w:sz="0" w:space="0" w:color="auto"/>
        <w:right w:val="none" w:sz="0" w:space="0" w:color="auto"/>
      </w:divBdr>
    </w:div>
    <w:div w:id="1714888501">
      <w:bodyDiv w:val="1"/>
      <w:marLeft w:val="0"/>
      <w:marRight w:val="0"/>
      <w:marTop w:val="0"/>
      <w:marBottom w:val="0"/>
      <w:divBdr>
        <w:top w:val="none" w:sz="0" w:space="0" w:color="auto"/>
        <w:left w:val="none" w:sz="0" w:space="0" w:color="auto"/>
        <w:bottom w:val="none" w:sz="0" w:space="0" w:color="auto"/>
        <w:right w:val="none" w:sz="0" w:space="0" w:color="auto"/>
      </w:divBdr>
    </w:div>
    <w:div w:id="1795169077">
      <w:bodyDiv w:val="1"/>
      <w:marLeft w:val="0"/>
      <w:marRight w:val="0"/>
      <w:marTop w:val="0"/>
      <w:marBottom w:val="0"/>
      <w:divBdr>
        <w:top w:val="none" w:sz="0" w:space="0" w:color="auto"/>
        <w:left w:val="none" w:sz="0" w:space="0" w:color="auto"/>
        <w:bottom w:val="none" w:sz="0" w:space="0" w:color="auto"/>
        <w:right w:val="none" w:sz="0" w:space="0" w:color="auto"/>
      </w:divBdr>
    </w:div>
    <w:div w:id="1816331168">
      <w:bodyDiv w:val="1"/>
      <w:marLeft w:val="0"/>
      <w:marRight w:val="0"/>
      <w:marTop w:val="0"/>
      <w:marBottom w:val="0"/>
      <w:divBdr>
        <w:top w:val="none" w:sz="0" w:space="0" w:color="auto"/>
        <w:left w:val="none" w:sz="0" w:space="0" w:color="auto"/>
        <w:bottom w:val="none" w:sz="0" w:space="0" w:color="auto"/>
        <w:right w:val="none" w:sz="0" w:space="0" w:color="auto"/>
      </w:divBdr>
    </w:div>
    <w:div w:id="1827889870">
      <w:bodyDiv w:val="1"/>
      <w:marLeft w:val="0"/>
      <w:marRight w:val="0"/>
      <w:marTop w:val="0"/>
      <w:marBottom w:val="0"/>
      <w:divBdr>
        <w:top w:val="none" w:sz="0" w:space="0" w:color="auto"/>
        <w:left w:val="none" w:sz="0" w:space="0" w:color="auto"/>
        <w:bottom w:val="none" w:sz="0" w:space="0" w:color="auto"/>
        <w:right w:val="none" w:sz="0" w:space="0" w:color="auto"/>
      </w:divBdr>
    </w:div>
    <w:div w:id="1862354186">
      <w:bodyDiv w:val="1"/>
      <w:marLeft w:val="0"/>
      <w:marRight w:val="0"/>
      <w:marTop w:val="0"/>
      <w:marBottom w:val="0"/>
      <w:divBdr>
        <w:top w:val="none" w:sz="0" w:space="0" w:color="auto"/>
        <w:left w:val="none" w:sz="0" w:space="0" w:color="auto"/>
        <w:bottom w:val="none" w:sz="0" w:space="0" w:color="auto"/>
        <w:right w:val="none" w:sz="0" w:space="0" w:color="auto"/>
      </w:divBdr>
    </w:div>
    <w:div w:id="1930380979">
      <w:bodyDiv w:val="1"/>
      <w:marLeft w:val="0"/>
      <w:marRight w:val="0"/>
      <w:marTop w:val="0"/>
      <w:marBottom w:val="0"/>
      <w:divBdr>
        <w:top w:val="none" w:sz="0" w:space="0" w:color="auto"/>
        <w:left w:val="none" w:sz="0" w:space="0" w:color="auto"/>
        <w:bottom w:val="none" w:sz="0" w:space="0" w:color="auto"/>
        <w:right w:val="none" w:sz="0" w:space="0" w:color="auto"/>
      </w:divBdr>
    </w:div>
    <w:div w:id="2017027025">
      <w:bodyDiv w:val="1"/>
      <w:marLeft w:val="0"/>
      <w:marRight w:val="0"/>
      <w:marTop w:val="0"/>
      <w:marBottom w:val="0"/>
      <w:divBdr>
        <w:top w:val="none" w:sz="0" w:space="0" w:color="auto"/>
        <w:left w:val="none" w:sz="0" w:space="0" w:color="auto"/>
        <w:bottom w:val="none" w:sz="0" w:space="0" w:color="auto"/>
        <w:right w:val="none" w:sz="0" w:space="0" w:color="auto"/>
      </w:divBdr>
    </w:div>
    <w:div w:id="2027170081">
      <w:bodyDiv w:val="1"/>
      <w:marLeft w:val="0"/>
      <w:marRight w:val="0"/>
      <w:marTop w:val="0"/>
      <w:marBottom w:val="0"/>
      <w:divBdr>
        <w:top w:val="none" w:sz="0" w:space="0" w:color="auto"/>
        <w:left w:val="none" w:sz="0" w:space="0" w:color="auto"/>
        <w:bottom w:val="none" w:sz="0" w:space="0" w:color="auto"/>
        <w:right w:val="none" w:sz="0" w:space="0" w:color="auto"/>
      </w:divBdr>
    </w:div>
    <w:div w:id="2049914667">
      <w:bodyDiv w:val="1"/>
      <w:marLeft w:val="0"/>
      <w:marRight w:val="0"/>
      <w:marTop w:val="0"/>
      <w:marBottom w:val="0"/>
      <w:divBdr>
        <w:top w:val="none" w:sz="0" w:space="0" w:color="auto"/>
        <w:left w:val="none" w:sz="0" w:space="0" w:color="auto"/>
        <w:bottom w:val="none" w:sz="0" w:space="0" w:color="auto"/>
        <w:right w:val="none" w:sz="0" w:space="0" w:color="auto"/>
      </w:divBdr>
    </w:div>
    <w:div w:id="2052874371">
      <w:bodyDiv w:val="1"/>
      <w:marLeft w:val="0"/>
      <w:marRight w:val="0"/>
      <w:marTop w:val="0"/>
      <w:marBottom w:val="0"/>
      <w:divBdr>
        <w:top w:val="none" w:sz="0" w:space="0" w:color="auto"/>
        <w:left w:val="none" w:sz="0" w:space="0" w:color="auto"/>
        <w:bottom w:val="none" w:sz="0" w:space="0" w:color="auto"/>
        <w:right w:val="none" w:sz="0" w:space="0" w:color="auto"/>
      </w:divBdr>
    </w:div>
    <w:div w:id="2078938887">
      <w:bodyDiv w:val="1"/>
      <w:marLeft w:val="0"/>
      <w:marRight w:val="0"/>
      <w:marTop w:val="0"/>
      <w:marBottom w:val="0"/>
      <w:divBdr>
        <w:top w:val="none" w:sz="0" w:space="0" w:color="auto"/>
        <w:left w:val="none" w:sz="0" w:space="0" w:color="auto"/>
        <w:bottom w:val="none" w:sz="0" w:space="0" w:color="auto"/>
        <w:right w:val="none" w:sz="0" w:space="0" w:color="auto"/>
      </w:divBdr>
    </w:div>
    <w:div w:id="209192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ku.cz/scripts/detail.php?id=13503"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nku/sites/teamsites/ka2302/Sdilene%20dokumenty/13.%20Kontroln&#237;%20z&#225;v&#283;r/grafy%20pro%20kZ.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ku/sites/teamsites/ka2302/Sdilene%20dokumenty/13.%20Kontroln&#237;%20z&#225;v&#283;r/grafy%20pro%20kZ.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555521794615806E-2"/>
          <c:y val="1.0220194660199359E-2"/>
          <c:w val="0.93888888888888888"/>
          <c:h val="0.79206935971538162"/>
        </c:manualLayout>
      </c:layout>
      <c:barChart>
        <c:barDir val="bar"/>
        <c:grouping val="percentStacked"/>
        <c:varyColors val="0"/>
        <c:ser>
          <c:idx val="0"/>
          <c:order val="0"/>
          <c:tx>
            <c:strRef>
              <c:f>List1!$F$3</c:f>
              <c:strCache>
                <c:ptCount val="1"/>
                <c:pt idx="0">
                  <c:v>Účelný</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List1!$G$3</c:f>
              <c:numCache>
                <c:formatCode>General</c:formatCode>
                <c:ptCount val="1"/>
                <c:pt idx="0">
                  <c:v>3</c:v>
                </c:pt>
              </c:numCache>
            </c:numRef>
          </c:val>
          <c:extLst>
            <c:ext xmlns:c16="http://schemas.microsoft.com/office/drawing/2014/chart" uri="{C3380CC4-5D6E-409C-BE32-E72D297353CC}">
              <c16:uniqueId val="{00000000-C5F7-4EE7-B877-0F24E6ABDE32}"/>
            </c:ext>
          </c:extLst>
        </c:ser>
        <c:ser>
          <c:idx val="1"/>
          <c:order val="1"/>
          <c:tx>
            <c:strRef>
              <c:f>List1!$F$4</c:f>
              <c:strCache>
                <c:ptCount val="1"/>
                <c:pt idx="0">
                  <c:v>Účelný s mírnými nedostatky</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List1!$G$4</c:f>
              <c:numCache>
                <c:formatCode>General</c:formatCode>
                <c:ptCount val="1"/>
                <c:pt idx="0">
                  <c:v>10</c:v>
                </c:pt>
              </c:numCache>
            </c:numRef>
          </c:val>
          <c:extLst>
            <c:ext xmlns:c16="http://schemas.microsoft.com/office/drawing/2014/chart" uri="{C3380CC4-5D6E-409C-BE32-E72D297353CC}">
              <c16:uniqueId val="{00000001-C5F7-4EE7-B877-0F24E6ABDE32}"/>
            </c:ext>
          </c:extLst>
        </c:ser>
        <c:ser>
          <c:idx val="2"/>
          <c:order val="2"/>
          <c:tx>
            <c:strRef>
              <c:f>List1!$F$5</c:f>
              <c:strCache>
                <c:ptCount val="1"/>
                <c:pt idx="0">
                  <c:v>Omezeně účelný</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List1!$G$5</c:f>
              <c:numCache>
                <c:formatCode>General</c:formatCode>
                <c:ptCount val="1"/>
                <c:pt idx="0">
                  <c:v>3</c:v>
                </c:pt>
              </c:numCache>
            </c:numRef>
          </c:val>
          <c:extLst>
            <c:ext xmlns:c16="http://schemas.microsoft.com/office/drawing/2014/chart" uri="{C3380CC4-5D6E-409C-BE32-E72D297353CC}">
              <c16:uniqueId val="{00000002-C5F7-4EE7-B877-0F24E6ABDE32}"/>
            </c:ext>
          </c:extLst>
        </c:ser>
        <c:ser>
          <c:idx val="3"/>
          <c:order val="3"/>
          <c:tx>
            <c:strRef>
              <c:f>List1!$F$6</c:f>
              <c:strCache>
                <c:ptCount val="1"/>
                <c:pt idx="0">
                  <c:v>Neúčelný</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List1!$G$6</c:f>
              <c:numCache>
                <c:formatCode>General</c:formatCode>
                <c:ptCount val="1"/>
                <c:pt idx="0">
                  <c:v>3</c:v>
                </c:pt>
              </c:numCache>
            </c:numRef>
          </c:val>
          <c:extLst>
            <c:ext xmlns:c16="http://schemas.microsoft.com/office/drawing/2014/chart" uri="{C3380CC4-5D6E-409C-BE32-E72D297353CC}">
              <c16:uniqueId val="{00000003-C5F7-4EE7-B877-0F24E6ABDE32}"/>
            </c:ext>
          </c:extLst>
        </c:ser>
        <c:dLbls>
          <c:showLegendKey val="0"/>
          <c:showVal val="0"/>
          <c:showCatName val="0"/>
          <c:showSerName val="0"/>
          <c:showPercent val="0"/>
          <c:showBubbleSize val="0"/>
        </c:dLbls>
        <c:gapWidth val="150"/>
        <c:overlap val="100"/>
        <c:axId val="526303488"/>
        <c:axId val="526842176"/>
      </c:barChart>
      <c:catAx>
        <c:axId val="526303488"/>
        <c:scaling>
          <c:orientation val="minMax"/>
        </c:scaling>
        <c:delete val="1"/>
        <c:axPos val="l"/>
        <c:numFmt formatCode="General" sourceLinked="1"/>
        <c:majorTickMark val="none"/>
        <c:minorTickMark val="none"/>
        <c:tickLblPos val="nextTo"/>
        <c:crossAx val="526842176"/>
        <c:crosses val="autoZero"/>
        <c:auto val="1"/>
        <c:lblAlgn val="ctr"/>
        <c:lblOffset val="100"/>
        <c:noMultiLvlLbl val="0"/>
      </c:catAx>
      <c:valAx>
        <c:axId val="526842176"/>
        <c:scaling>
          <c:orientation val="minMax"/>
        </c:scaling>
        <c:delete val="1"/>
        <c:axPos val="b"/>
        <c:numFmt formatCode="0%" sourceLinked="1"/>
        <c:majorTickMark val="none"/>
        <c:minorTickMark val="none"/>
        <c:tickLblPos val="nextTo"/>
        <c:crossAx val="526303488"/>
        <c:crosses val="autoZero"/>
        <c:crossBetween val="between"/>
      </c:valAx>
      <c:spPr>
        <a:noFill/>
        <a:ln>
          <a:noFill/>
        </a:ln>
        <a:effectLst/>
      </c:spPr>
    </c:plotArea>
    <c:legend>
      <c:legendPos val="b"/>
      <c:layout>
        <c:manualLayout>
          <c:xMode val="edge"/>
          <c:yMode val="edge"/>
          <c:x val="6.8140857392825896E-2"/>
          <c:y val="0.62860607485122721"/>
          <c:w val="0.86927362204724401"/>
          <c:h val="0.240948087052212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7232027363723968E-2"/>
          <c:y val="3.8038673171137669E-3"/>
          <c:w val="0.95261173936456656"/>
          <c:h val="0.81329221231758198"/>
        </c:manualLayout>
      </c:layout>
      <c:barChart>
        <c:barDir val="bar"/>
        <c:grouping val="percentStacked"/>
        <c:varyColors val="0"/>
        <c:ser>
          <c:idx val="0"/>
          <c:order val="0"/>
          <c:tx>
            <c:strRef>
              <c:f>List1!$F$21</c:f>
              <c:strCache>
                <c:ptCount val="1"/>
                <c:pt idx="0">
                  <c:v>Hospodárný</c:v>
                </c:pt>
              </c:strCache>
            </c:strRef>
          </c:tx>
          <c:spPr>
            <a:solidFill>
              <a:schemeClr val="accent6">
                <a:lumMod val="75000"/>
              </a:schemeClr>
            </a:solidFill>
            <a:ln>
              <a:noFill/>
            </a:ln>
            <a:effectLst/>
          </c:spPr>
          <c:invertIfNegative val="0"/>
          <c:dPt>
            <c:idx val="0"/>
            <c:invertIfNegative val="0"/>
            <c:bubble3D val="0"/>
            <c:spPr>
              <a:solidFill>
                <a:schemeClr val="accent6">
                  <a:lumMod val="75000"/>
                </a:schemeClr>
              </a:solidFill>
              <a:ln>
                <a:noFill/>
              </a:ln>
              <a:effectLst/>
            </c:spPr>
            <c:extLst>
              <c:ext xmlns:c16="http://schemas.microsoft.com/office/drawing/2014/chart" uri="{C3380CC4-5D6E-409C-BE32-E72D297353CC}">
                <c16:uniqueId val="{00000001-3689-4DBC-BE3C-6E581ECE78B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List1!$G$21</c:f>
              <c:numCache>
                <c:formatCode>General</c:formatCode>
                <c:ptCount val="1"/>
                <c:pt idx="0">
                  <c:v>11</c:v>
                </c:pt>
              </c:numCache>
            </c:numRef>
          </c:val>
          <c:extLst>
            <c:ext xmlns:c16="http://schemas.microsoft.com/office/drawing/2014/chart" uri="{C3380CC4-5D6E-409C-BE32-E72D297353CC}">
              <c16:uniqueId val="{00000002-3689-4DBC-BE3C-6E581ECE78BD}"/>
            </c:ext>
          </c:extLst>
        </c:ser>
        <c:ser>
          <c:idx val="1"/>
          <c:order val="1"/>
          <c:tx>
            <c:strRef>
              <c:f>List1!$F$22</c:f>
              <c:strCache>
                <c:ptCount val="1"/>
                <c:pt idx="0">
                  <c:v>Hospodárný s mírnými nedostatky</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List1!$G$22</c:f>
              <c:numCache>
                <c:formatCode>General</c:formatCode>
                <c:ptCount val="1"/>
                <c:pt idx="0">
                  <c:v>3</c:v>
                </c:pt>
              </c:numCache>
            </c:numRef>
          </c:val>
          <c:extLst>
            <c:ext xmlns:c16="http://schemas.microsoft.com/office/drawing/2014/chart" uri="{C3380CC4-5D6E-409C-BE32-E72D297353CC}">
              <c16:uniqueId val="{00000003-3689-4DBC-BE3C-6E581ECE78BD}"/>
            </c:ext>
          </c:extLst>
        </c:ser>
        <c:ser>
          <c:idx val="2"/>
          <c:order val="2"/>
          <c:tx>
            <c:strRef>
              <c:f>List1!$F$23</c:f>
              <c:strCache>
                <c:ptCount val="1"/>
                <c:pt idx="0">
                  <c:v>omezeně hospodárný</c:v>
                </c:pt>
              </c:strCache>
            </c:strRef>
          </c:tx>
          <c:spPr>
            <a:solidFill>
              <a:srgbClr val="FFFF00"/>
            </a:solidFill>
            <a:ln>
              <a:noFill/>
            </a:ln>
            <a:effectLst/>
          </c:spPr>
          <c:invertIfNegative val="0"/>
          <c:val>
            <c:numRef>
              <c:f>List1!$G$23</c:f>
              <c:numCache>
                <c:formatCode>General</c:formatCode>
                <c:ptCount val="1"/>
                <c:pt idx="0">
                  <c:v>0</c:v>
                </c:pt>
              </c:numCache>
            </c:numRef>
          </c:val>
          <c:extLst>
            <c:ext xmlns:c16="http://schemas.microsoft.com/office/drawing/2014/chart" uri="{C3380CC4-5D6E-409C-BE32-E72D297353CC}">
              <c16:uniqueId val="{00000004-3689-4DBC-BE3C-6E581ECE78BD}"/>
            </c:ext>
          </c:extLst>
        </c:ser>
        <c:ser>
          <c:idx val="3"/>
          <c:order val="3"/>
          <c:tx>
            <c:strRef>
              <c:f>List1!$F$24</c:f>
              <c:strCache>
                <c:ptCount val="1"/>
                <c:pt idx="0">
                  <c:v>Nehospodárný</c:v>
                </c:pt>
              </c:strCache>
            </c:strRef>
          </c:tx>
          <c:spPr>
            <a:solidFill>
              <a:srgbClr val="FF0000"/>
            </a:solidFill>
            <a:ln>
              <a:solidFill>
                <a:srgbClr val="FF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List1!$G$24</c:f>
              <c:numCache>
                <c:formatCode>General</c:formatCode>
                <c:ptCount val="1"/>
                <c:pt idx="0">
                  <c:v>3</c:v>
                </c:pt>
              </c:numCache>
            </c:numRef>
          </c:val>
          <c:extLst>
            <c:ext xmlns:c16="http://schemas.microsoft.com/office/drawing/2014/chart" uri="{C3380CC4-5D6E-409C-BE32-E72D297353CC}">
              <c16:uniqueId val="{00000005-3689-4DBC-BE3C-6E581ECE78BD}"/>
            </c:ext>
          </c:extLst>
        </c:ser>
        <c:ser>
          <c:idx val="4"/>
          <c:order val="4"/>
          <c:tx>
            <c:strRef>
              <c:f>List1!$F$25</c:f>
              <c:strCache>
                <c:ptCount val="1"/>
                <c:pt idx="0">
                  <c:v>Projekt nebyl hodnocen</c:v>
                </c:pt>
              </c:strCache>
            </c:strRef>
          </c:tx>
          <c:spPr>
            <a:solidFill>
              <a:schemeClr val="bg1">
                <a:lumMod val="8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List1!$G$25</c:f>
              <c:numCache>
                <c:formatCode>General</c:formatCode>
                <c:ptCount val="1"/>
                <c:pt idx="0">
                  <c:v>2</c:v>
                </c:pt>
              </c:numCache>
            </c:numRef>
          </c:val>
          <c:extLst>
            <c:ext xmlns:c16="http://schemas.microsoft.com/office/drawing/2014/chart" uri="{C3380CC4-5D6E-409C-BE32-E72D297353CC}">
              <c16:uniqueId val="{00000006-3689-4DBC-BE3C-6E581ECE78BD}"/>
            </c:ext>
          </c:extLst>
        </c:ser>
        <c:dLbls>
          <c:showLegendKey val="0"/>
          <c:showVal val="0"/>
          <c:showCatName val="0"/>
          <c:showSerName val="0"/>
          <c:showPercent val="0"/>
          <c:showBubbleSize val="0"/>
        </c:dLbls>
        <c:gapWidth val="150"/>
        <c:overlap val="100"/>
        <c:axId val="522327744"/>
        <c:axId val="631725280"/>
      </c:barChart>
      <c:catAx>
        <c:axId val="522327744"/>
        <c:scaling>
          <c:orientation val="minMax"/>
        </c:scaling>
        <c:delete val="1"/>
        <c:axPos val="l"/>
        <c:numFmt formatCode="General" sourceLinked="1"/>
        <c:majorTickMark val="none"/>
        <c:minorTickMark val="none"/>
        <c:tickLblPos val="nextTo"/>
        <c:crossAx val="631725280"/>
        <c:crosses val="autoZero"/>
        <c:auto val="1"/>
        <c:lblAlgn val="ctr"/>
        <c:lblOffset val="100"/>
        <c:noMultiLvlLbl val="0"/>
      </c:catAx>
      <c:valAx>
        <c:axId val="631725280"/>
        <c:scaling>
          <c:orientation val="minMax"/>
        </c:scaling>
        <c:delete val="1"/>
        <c:axPos val="b"/>
        <c:numFmt formatCode="0%" sourceLinked="1"/>
        <c:majorTickMark val="none"/>
        <c:minorTickMark val="none"/>
        <c:tickLblPos val="nextTo"/>
        <c:crossAx val="522327744"/>
        <c:crosses val="autoZero"/>
        <c:crossBetween val="between"/>
      </c:valAx>
      <c:spPr>
        <a:noFill/>
        <a:ln>
          <a:noFill/>
        </a:ln>
        <a:effectLst/>
      </c:spPr>
    </c:plotArea>
    <c:legend>
      <c:legendPos val="b"/>
      <c:legendEntry>
        <c:idx val="2"/>
        <c:delete val="1"/>
      </c:legendEntry>
      <c:layout>
        <c:manualLayout>
          <c:xMode val="edge"/>
          <c:yMode val="edge"/>
          <c:x val="5.0000042401808012E-2"/>
          <c:y val="0.55887829080810092"/>
          <c:w val="0.899999915196384"/>
          <c:h val="0.3496416646730255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EEE50CAD757A441A7A616F9C82A02F7" ma:contentTypeVersion="3" ma:contentTypeDescription="Vytvoří nový dokument" ma:contentTypeScope="" ma:versionID="74fe5b2f0a6afe44639d63eb119bb531">
  <xsd:schema xmlns:xsd="http://www.w3.org/2001/XMLSchema" xmlns:xs="http://www.w3.org/2001/XMLSchema" xmlns:p="http://schemas.microsoft.com/office/2006/metadata/properties" xmlns:ns1="http://schemas.microsoft.com/sharepoint/v3" xmlns:ns2="011c7d34-b2ff-4371-ba4c-3ec725f36133" targetNamespace="http://schemas.microsoft.com/office/2006/metadata/properties" ma:root="true" ma:fieldsID="6269a5959165940a821a00092263c38b" ns1:_="" ns2:_="">
    <xsd:import namespace="http://schemas.microsoft.com/sharepoint/v3"/>
    <xsd:import namespace="011c7d34-b2ff-4371-ba4c-3ec725f36133"/>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1c7d34-b2ff-4371-ba4c-3ec725f36133"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43D7C-9C96-43CD-ACB8-DAA313D2F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1c7d34-b2ff-4371-ba4c-3ec725f36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9EA464-FFE9-4F0E-967A-38F46429A4E7}">
  <ds:schemaRefs>
    <ds:schemaRef ds:uri="http://schemas.microsoft.com/sharepoint/v3/contenttype/forms"/>
  </ds:schemaRefs>
</ds:datastoreItem>
</file>

<file path=customXml/itemProps3.xml><?xml version="1.0" encoding="utf-8"?>
<ds:datastoreItem xmlns:ds="http://schemas.openxmlformats.org/officeDocument/2006/customXml" ds:itemID="{1430B12F-4A0F-48D5-B368-EF5CF9FBC2FF}">
  <ds:schemaRefs>
    <ds:schemaRef ds:uri="http://purl.org/dc/terms/"/>
    <ds:schemaRef ds:uri="http://schemas.microsoft.com/office/2006/documentManagement/types"/>
    <ds:schemaRef ds:uri="http://www.w3.org/XML/1998/namespace"/>
    <ds:schemaRef ds:uri="http://schemas.openxmlformats.org/package/2006/metadata/core-properties"/>
    <ds:schemaRef ds:uri="http://schemas.microsoft.com/sharepoint/v3"/>
    <ds:schemaRef ds:uri="http://purl.org/dc/elements/1.1/"/>
    <ds:schemaRef ds:uri="http://schemas.microsoft.com/office/infopath/2007/PartnerControls"/>
    <ds:schemaRef ds:uri="011c7d34-b2ff-4371-ba4c-3ec725f3613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A2F2D00-CFAB-498C-B929-F39C1E8A3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8251</Words>
  <Characters>48687</Characters>
  <Application>Microsoft Office Word</Application>
  <DocSecurity>0</DocSecurity>
  <Lines>405</Lines>
  <Paragraphs>113</Paragraphs>
  <ScaleCrop>false</ScaleCrop>
  <HeadingPairs>
    <vt:vector size="2" baseType="variant">
      <vt:variant>
        <vt:lpstr>Název</vt:lpstr>
      </vt:variant>
      <vt:variant>
        <vt:i4>1</vt:i4>
      </vt:variant>
    </vt:vector>
  </HeadingPairs>
  <TitlesOfParts>
    <vt:vector size="1" baseType="lpstr">
      <vt:lpstr>Kontrolní závěr z kontrolní akce NKÚ č. 23/02 - Peněžní prostředky státního rozpočtu určené na opatření v oblasti cestovního ruchu</vt:lpstr>
    </vt:vector>
  </TitlesOfParts>
  <Company>NKU</Company>
  <LinksUpToDate>false</LinksUpToDate>
  <CharactersWithSpaces>56825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23/02 - Peněžní prostředky státního rozpočtu určené na opatření v oblasti cestovního ruchu</dc:title>
  <dc:subject>Kontrolní závěr z kontrolní akce NKÚ č. 23/02 - Peněžní prostředky státního rozpočtu určené na opatření v oblasti cestovního ruchu</dc:subject>
  <dc:creator>Nejvyšší kontrolní úřad</dc:creator>
  <cp:keywords>kontrolní závěr; cestovní ruch</cp:keywords>
  <dc:description/>
  <cp:lastModifiedBy>KOKRDA Daniel</cp:lastModifiedBy>
  <cp:revision>4</cp:revision>
  <cp:lastPrinted>2023-11-29T12:21:00Z</cp:lastPrinted>
  <dcterms:created xsi:type="dcterms:W3CDTF">2023-11-29T12:18:00Z</dcterms:created>
  <dcterms:modified xsi:type="dcterms:W3CDTF">2023-11-29T12:21:00Z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0x010100CEEE50CAD757A441A7A616F9C82A02F7</vt:lpwstr>
  </property>
</Properties>
</file>