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0F" w:rsidRPr="007E7455" w:rsidRDefault="009E560F" w:rsidP="009A40AF">
      <w:pPr>
        <w:spacing w:before="0"/>
        <w:jc w:val="center"/>
      </w:pPr>
      <w:r w:rsidRPr="007E7455"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4D8A0DFF" wp14:editId="4447D743">
            <wp:simplePos x="0" y="0"/>
            <wp:positionH relativeFrom="margin">
              <wp:posOffset>2549525</wp:posOffset>
            </wp:positionH>
            <wp:positionV relativeFrom="paragraph">
              <wp:posOffset>4445</wp:posOffset>
            </wp:positionV>
            <wp:extent cx="702310" cy="539750"/>
            <wp:effectExtent l="0" t="0" r="2540" b="0"/>
            <wp:wrapTopAndBottom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60F" w:rsidRPr="007E7455" w:rsidRDefault="009E560F" w:rsidP="009A40AF">
      <w:pPr>
        <w:spacing w:before="0"/>
        <w:jc w:val="center"/>
      </w:pPr>
    </w:p>
    <w:p w:rsidR="004F24F4" w:rsidRPr="007E7455" w:rsidRDefault="004F24F4" w:rsidP="009A40AF">
      <w:pPr>
        <w:spacing w:before="0"/>
        <w:jc w:val="center"/>
      </w:pPr>
      <w:bookmarkStart w:id="0" w:name="_Hlk118897706"/>
    </w:p>
    <w:p w:rsidR="004F24F4" w:rsidRPr="007E7455" w:rsidRDefault="00D91D0B" w:rsidP="009A40AF">
      <w:pPr>
        <w:spacing w:before="0"/>
        <w:jc w:val="center"/>
        <w:rPr>
          <w:b/>
          <w:sz w:val="28"/>
          <w:szCs w:val="28"/>
        </w:rPr>
      </w:pPr>
      <w:bookmarkStart w:id="1" w:name="_Hlk120009686"/>
      <w:r w:rsidRPr="007E7455">
        <w:rPr>
          <w:b/>
          <w:sz w:val="28"/>
          <w:szCs w:val="28"/>
        </w:rPr>
        <w:t>Kontrolní závěr z kontrolní akce</w:t>
      </w:r>
    </w:p>
    <w:p w:rsidR="009E560F" w:rsidRPr="007E7455" w:rsidRDefault="009E560F" w:rsidP="009A40AF">
      <w:pPr>
        <w:spacing w:before="0"/>
        <w:jc w:val="center"/>
      </w:pPr>
    </w:p>
    <w:p w:rsidR="004F24F4" w:rsidRPr="007E7455" w:rsidRDefault="00B766CC" w:rsidP="009A40AF">
      <w:pPr>
        <w:spacing w:before="0"/>
        <w:jc w:val="center"/>
        <w:rPr>
          <w:b/>
          <w:sz w:val="28"/>
          <w:szCs w:val="28"/>
        </w:rPr>
      </w:pPr>
      <w:r w:rsidRPr="007E7455">
        <w:rPr>
          <w:b/>
          <w:sz w:val="28"/>
          <w:szCs w:val="28"/>
        </w:rPr>
        <w:t>2</w:t>
      </w:r>
      <w:r w:rsidR="0076307E">
        <w:rPr>
          <w:b/>
          <w:sz w:val="28"/>
          <w:szCs w:val="28"/>
        </w:rPr>
        <w:t>3</w:t>
      </w:r>
      <w:r w:rsidR="00D91D0B" w:rsidRPr="007E7455">
        <w:rPr>
          <w:b/>
          <w:sz w:val="28"/>
          <w:szCs w:val="28"/>
        </w:rPr>
        <w:t>/</w:t>
      </w:r>
      <w:r w:rsidR="0076307E">
        <w:rPr>
          <w:b/>
          <w:sz w:val="28"/>
          <w:szCs w:val="28"/>
        </w:rPr>
        <w:t>06</w:t>
      </w:r>
    </w:p>
    <w:p w:rsidR="009E560F" w:rsidRPr="007E7455" w:rsidRDefault="009E560F" w:rsidP="009A40AF">
      <w:pPr>
        <w:spacing w:before="0"/>
        <w:jc w:val="center"/>
      </w:pPr>
    </w:p>
    <w:p w:rsidR="009E560F" w:rsidRPr="007E7455" w:rsidRDefault="00544E65" w:rsidP="009A40AF">
      <w:pPr>
        <w:spacing w:before="0"/>
        <w:jc w:val="center"/>
      </w:pPr>
      <w:r w:rsidRPr="00314FD2">
        <w:rPr>
          <w:rFonts w:asciiTheme="minorHAnsi" w:hAnsiTheme="minorHAnsi" w:cstheme="minorHAnsi"/>
          <w:b/>
          <w:sz w:val="28"/>
          <w:szCs w:val="28"/>
        </w:rPr>
        <w:t xml:space="preserve">Peněžní prostředky státu a Evropské unie vynakládané </w:t>
      </w:r>
      <w:r w:rsidR="0076307E">
        <w:rPr>
          <w:rFonts w:asciiTheme="minorHAnsi" w:hAnsiTheme="minorHAnsi" w:cstheme="minorHAnsi"/>
          <w:b/>
          <w:sz w:val="28"/>
          <w:szCs w:val="28"/>
        </w:rPr>
        <w:t xml:space="preserve">na opatření </w:t>
      </w:r>
      <w:r w:rsidR="0076307E" w:rsidRPr="00D17BAD">
        <w:rPr>
          <w:rFonts w:asciiTheme="minorHAnsi" w:hAnsiTheme="minorHAnsi" w:cstheme="minorHAnsi"/>
          <w:b/>
          <w:i/>
          <w:sz w:val="28"/>
          <w:szCs w:val="28"/>
        </w:rPr>
        <w:t>Programu rozvoje venkova na období 2014</w:t>
      </w:r>
      <w:r w:rsidR="00F0241D">
        <w:rPr>
          <w:rFonts w:asciiTheme="minorHAnsi" w:hAnsiTheme="minorHAnsi" w:cstheme="minorHAnsi"/>
          <w:b/>
          <w:i/>
          <w:sz w:val="28"/>
          <w:szCs w:val="28"/>
        </w:rPr>
        <w:t>–</w:t>
      </w:r>
      <w:r w:rsidR="0076307E" w:rsidRPr="00D17BAD">
        <w:rPr>
          <w:rFonts w:asciiTheme="minorHAnsi" w:hAnsiTheme="minorHAnsi" w:cstheme="minorHAnsi"/>
          <w:b/>
          <w:i/>
          <w:sz w:val="28"/>
          <w:szCs w:val="28"/>
        </w:rPr>
        <w:t>2020</w:t>
      </w:r>
    </w:p>
    <w:p w:rsidR="009E560F" w:rsidRPr="007E7455" w:rsidRDefault="009E560F" w:rsidP="009A40AF">
      <w:pPr>
        <w:spacing w:before="0"/>
      </w:pPr>
    </w:p>
    <w:p w:rsidR="00003F35" w:rsidRPr="007E7455" w:rsidRDefault="00003F35" w:rsidP="009A40AF">
      <w:pPr>
        <w:spacing w:before="0"/>
        <w:rPr>
          <w:color w:val="000000" w:themeColor="text1"/>
        </w:rPr>
      </w:pPr>
    </w:p>
    <w:p w:rsidR="002C75DE" w:rsidRPr="002C75DE" w:rsidRDefault="00D91D0B" w:rsidP="002C75DE">
      <w:pPr>
        <w:spacing w:before="0"/>
        <w:rPr>
          <w:color w:val="000000" w:themeColor="text1"/>
        </w:rPr>
      </w:pPr>
      <w:r w:rsidRPr="007E7455">
        <w:rPr>
          <w:color w:val="000000" w:themeColor="text1"/>
        </w:rPr>
        <w:t xml:space="preserve">Kontrolní akce byla zařazena do plánu kontrolní činnosti Nejvyššího kontrolního úřadu (dále </w:t>
      </w:r>
      <w:r w:rsidR="00762571" w:rsidRPr="007E7455">
        <w:rPr>
          <w:color w:val="000000" w:themeColor="text1"/>
        </w:rPr>
        <w:t>t</w:t>
      </w:r>
      <w:r w:rsidR="006D0A7E" w:rsidRPr="007E7455">
        <w:rPr>
          <w:color w:val="000000" w:themeColor="text1"/>
        </w:rPr>
        <w:t>é</w:t>
      </w:r>
      <w:r w:rsidR="00762571" w:rsidRPr="007E7455">
        <w:rPr>
          <w:color w:val="000000" w:themeColor="text1"/>
        </w:rPr>
        <w:t>ž</w:t>
      </w:r>
      <w:r w:rsidR="00B766CC" w:rsidRPr="007E7455">
        <w:rPr>
          <w:color w:val="000000" w:themeColor="text1"/>
        </w:rPr>
        <w:t xml:space="preserve"> „NKÚ“) na rok 202</w:t>
      </w:r>
      <w:r w:rsidR="0076307E">
        <w:rPr>
          <w:color w:val="000000" w:themeColor="text1"/>
        </w:rPr>
        <w:t>3</w:t>
      </w:r>
      <w:r w:rsidR="00B766CC" w:rsidRPr="007E7455">
        <w:rPr>
          <w:color w:val="000000" w:themeColor="text1"/>
        </w:rPr>
        <w:t xml:space="preserve"> pod číslem 2</w:t>
      </w:r>
      <w:r w:rsidR="0076307E">
        <w:rPr>
          <w:color w:val="000000" w:themeColor="text1"/>
        </w:rPr>
        <w:t>3</w:t>
      </w:r>
      <w:r w:rsidRPr="007E7455">
        <w:rPr>
          <w:color w:val="000000" w:themeColor="text1"/>
        </w:rPr>
        <w:t>/</w:t>
      </w:r>
      <w:r w:rsidR="0076307E">
        <w:rPr>
          <w:color w:val="000000" w:themeColor="text1"/>
        </w:rPr>
        <w:t>06</w:t>
      </w:r>
      <w:r w:rsidRPr="007E7455">
        <w:rPr>
          <w:color w:val="000000" w:themeColor="text1"/>
        </w:rPr>
        <w:t xml:space="preserve">. Kontrolní akci řídil a kontrolní závěr vypracoval člen NKÚ </w:t>
      </w:r>
      <w:r w:rsidR="00B766CC" w:rsidRPr="007E7455">
        <w:t xml:space="preserve">Ing. </w:t>
      </w:r>
      <w:r w:rsidR="0076307E">
        <w:t>Jan Kinšt</w:t>
      </w:r>
      <w:r w:rsidRPr="007E7455">
        <w:rPr>
          <w:color w:val="000000" w:themeColor="text1"/>
        </w:rPr>
        <w:t>.</w:t>
      </w:r>
    </w:p>
    <w:p w:rsidR="00C65E66" w:rsidRDefault="00C65E66" w:rsidP="00D17BAD">
      <w:pPr>
        <w:spacing w:before="0"/>
        <w:rPr>
          <w:rFonts w:asciiTheme="minorHAnsi" w:hAnsiTheme="minorHAnsi" w:cstheme="minorHAnsi"/>
        </w:rPr>
      </w:pPr>
      <w:bookmarkStart w:id="2" w:name="_GoBack"/>
      <w:bookmarkEnd w:id="2"/>
    </w:p>
    <w:p w:rsidR="008E72F3" w:rsidRPr="007E7455" w:rsidRDefault="0076307E" w:rsidP="00D17BAD">
      <w:pPr>
        <w:spacing w:before="0"/>
        <w:rPr>
          <w:rFonts w:asciiTheme="minorHAnsi" w:hAnsiTheme="minorHAnsi" w:cstheme="minorHAnsi"/>
        </w:rPr>
      </w:pPr>
      <w:r w:rsidRPr="0076307E">
        <w:rPr>
          <w:rFonts w:asciiTheme="minorHAnsi" w:hAnsiTheme="minorHAnsi" w:cstheme="minorHAnsi"/>
        </w:rPr>
        <w:t xml:space="preserve">Cílem kontroly bylo prověřit, zda </w:t>
      </w:r>
      <w:bookmarkStart w:id="3" w:name="RANGE!E8"/>
      <w:r w:rsidRPr="0076307E">
        <w:rPr>
          <w:rFonts w:asciiTheme="minorHAnsi" w:hAnsiTheme="minorHAnsi" w:cstheme="minorHAnsi"/>
        </w:rPr>
        <w:t>peněžní prostředky státu a Evropské unie určené na</w:t>
      </w:r>
      <w:r w:rsidR="00E717CE">
        <w:rPr>
          <w:rFonts w:asciiTheme="minorHAnsi" w:hAnsiTheme="minorHAnsi" w:cstheme="minorHAnsi"/>
        </w:rPr>
        <w:t xml:space="preserve"> </w:t>
      </w:r>
      <w:r w:rsidRPr="0076307E">
        <w:rPr>
          <w:rFonts w:asciiTheme="minorHAnsi" w:hAnsiTheme="minorHAnsi" w:cstheme="minorHAnsi"/>
        </w:rPr>
        <w:t xml:space="preserve">vybraná opatření </w:t>
      </w:r>
      <w:r w:rsidRPr="0076307E">
        <w:rPr>
          <w:rFonts w:asciiTheme="minorHAnsi" w:hAnsiTheme="minorHAnsi" w:cstheme="minorHAnsi"/>
          <w:i/>
        </w:rPr>
        <w:t>Programu rozvoje venkova na období 2014–2020</w:t>
      </w:r>
      <w:r w:rsidRPr="0076307E">
        <w:rPr>
          <w:rFonts w:asciiTheme="minorHAnsi" w:hAnsiTheme="minorHAnsi" w:cstheme="minorHAnsi"/>
        </w:rPr>
        <w:t xml:space="preserve"> byly vynakládány účelně, hospodárně a v souladu s právními předpisy a zda došlo k naplnění cílů opatření</w:t>
      </w:r>
      <w:r w:rsidRPr="0076307E">
        <w:rPr>
          <w:rFonts w:asciiTheme="minorHAnsi" w:hAnsiTheme="minorHAnsi" w:cstheme="minorHAnsi"/>
          <w:i/>
        </w:rPr>
        <w:t xml:space="preserve"> Programu rozvoje venkova</w:t>
      </w:r>
      <w:bookmarkEnd w:id="3"/>
      <w:r w:rsidRPr="0076307E">
        <w:rPr>
          <w:rFonts w:asciiTheme="minorHAnsi" w:hAnsiTheme="minorHAnsi" w:cstheme="minorHAnsi"/>
          <w:i/>
        </w:rPr>
        <w:t xml:space="preserve"> na období 2014–2020</w:t>
      </w:r>
      <w:r w:rsidR="00544E65" w:rsidRPr="00643D36">
        <w:rPr>
          <w:rFonts w:asciiTheme="minorHAnsi" w:hAnsiTheme="minorHAnsi" w:cstheme="minorHAnsi"/>
        </w:rPr>
        <w:t>.</w:t>
      </w:r>
    </w:p>
    <w:p w:rsidR="008E72F3" w:rsidRPr="007E7455" w:rsidRDefault="008E72F3" w:rsidP="009A40AF">
      <w:pPr>
        <w:spacing w:before="0"/>
        <w:rPr>
          <w:color w:val="000000" w:themeColor="text1"/>
        </w:rPr>
      </w:pPr>
    </w:p>
    <w:p w:rsidR="00C82631" w:rsidRPr="007E7455" w:rsidRDefault="00D91D0B" w:rsidP="009A40AF">
      <w:pPr>
        <w:spacing w:before="0"/>
        <w:rPr>
          <w:color w:val="000000" w:themeColor="text1"/>
        </w:rPr>
      </w:pPr>
      <w:r w:rsidRPr="007E7455">
        <w:rPr>
          <w:b/>
          <w:color w:val="000000" w:themeColor="text1"/>
        </w:rPr>
        <w:t>Kontrolované osoby:</w:t>
      </w:r>
      <w:r w:rsidRPr="007E7455">
        <w:rPr>
          <w:b/>
          <w:color w:val="000000" w:themeColor="text1"/>
        </w:rPr>
        <w:cr/>
      </w:r>
      <w:r w:rsidRPr="007E7455">
        <w:rPr>
          <w:color w:val="000000" w:themeColor="text1"/>
        </w:rPr>
        <w:t xml:space="preserve">Ministerstvo zemědělství </w:t>
      </w:r>
      <w:r w:rsidRPr="007E7455">
        <w:rPr>
          <w:bCs/>
          <w:iCs/>
          <w:color w:val="000000" w:themeColor="text1"/>
        </w:rPr>
        <w:t>(dále též „MZe“)</w:t>
      </w:r>
      <w:r w:rsidR="00C82631" w:rsidRPr="007E7455">
        <w:rPr>
          <w:bCs/>
          <w:iCs/>
          <w:color w:val="000000" w:themeColor="text1"/>
        </w:rPr>
        <w:t>;</w:t>
      </w:r>
      <w:r w:rsidRPr="007E7455">
        <w:rPr>
          <w:color w:val="000000" w:themeColor="text1"/>
        </w:rPr>
        <w:t xml:space="preserve"> </w:t>
      </w:r>
    </w:p>
    <w:p w:rsidR="004F24F4" w:rsidRPr="007E7455" w:rsidRDefault="00544E65" w:rsidP="009A40AF">
      <w:pPr>
        <w:spacing w:before="0"/>
        <w:rPr>
          <w:bCs/>
          <w:iCs/>
          <w:color w:val="000000" w:themeColor="text1"/>
        </w:rPr>
      </w:pPr>
      <w:bookmarkStart w:id="4" w:name="_Hlk114831964"/>
      <w:r>
        <w:rPr>
          <w:rFonts w:asciiTheme="minorHAnsi" w:hAnsiTheme="minorHAnsi" w:cstheme="minorHAnsi"/>
        </w:rPr>
        <w:t>Státní zemědělský intervenční fond</w:t>
      </w:r>
      <w:r w:rsidR="001B7ACE">
        <w:rPr>
          <w:rFonts w:asciiTheme="minorHAnsi" w:hAnsiTheme="minorHAnsi" w:cstheme="minorHAnsi"/>
        </w:rPr>
        <w:t xml:space="preserve">, </w:t>
      </w:r>
      <w:r w:rsidR="008E687F">
        <w:rPr>
          <w:bCs/>
          <w:iCs/>
          <w:color w:val="000000" w:themeColor="text1"/>
        </w:rPr>
        <w:t>Praha</w:t>
      </w:r>
      <w:r w:rsidR="001B7ACE">
        <w:rPr>
          <w:bCs/>
          <w:iCs/>
          <w:color w:val="000000" w:themeColor="text1"/>
        </w:rPr>
        <w:t xml:space="preserve"> </w:t>
      </w:r>
      <w:r w:rsidR="001B7ACE" w:rsidRPr="007E7455">
        <w:rPr>
          <w:bCs/>
          <w:iCs/>
          <w:color w:val="000000" w:themeColor="text1"/>
        </w:rPr>
        <w:t>(dále též „</w:t>
      </w:r>
      <w:r w:rsidR="001B7ACE">
        <w:rPr>
          <w:bCs/>
          <w:iCs/>
          <w:color w:val="000000" w:themeColor="text1"/>
        </w:rPr>
        <w:t>SZIF</w:t>
      </w:r>
      <w:r w:rsidR="001B7ACE" w:rsidRPr="007E7455">
        <w:rPr>
          <w:bCs/>
          <w:iCs/>
          <w:color w:val="000000" w:themeColor="text1"/>
        </w:rPr>
        <w:t>“);</w:t>
      </w:r>
    </w:p>
    <w:bookmarkEnd w:id="4"/>
    <w:p w:rsidR="00BB55AE" w:rsidRPr="007E7455" w:rsidRDefault="00317382" w:rsidP="009A40AF">
      <w:pPr>
        <w:spacing w:before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v</w:t>
      </w:r>
      <w:r w:rsidR="00BB55AE" w:rsidRPr="007E7455">
        <w:rPr>
          <w:bCs/>
          <w:iCs/>
          <w:color w:val="000000" w:themeColor="text1"/>
        </w:rPr>
        <w:t xml:space="preserve">ybraní příjemci dotací: </w:t>
      </w:r>
    </w:p>
    <w:p w:rsidR="002C75DE" w:rsidRDefault="002C75DE" w:rsidP="00050235">
      <w:pPr>
        <w:spacing w:before="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AGRODRUŽSTVO BLÍŽKOVICE, družstvo</w:t>
      </w:r>
      <w:r w:rsidRPr="007E7455">
        <w:rPr>
          <w:bCs/>
          <w:iCs/>
          <w:color w:val="000000" w:themeColor="text1"/>
        </w:rPr>
        <w:t>;</w:t>
      </w:r>
      <w:r>
        <w:rPr>
          <w:bCs/>
          <w:iCs/>
          <w:color w:val="000000" w:themeColor="text1"/>
        </w:rPr>
        <w:t xml:space="preserve"> Ing. Karel Horák</w:t>
      </w:r>
      <w:r w:rsidR="009823EC">
        <w:rPr>
          <w:bCs/>
          <w:iCs/>
          <w:color w:val="000000" w:themeColor="text1"/>
        </w:rPr>
        <w:t>, Žehuň</w:t>
      </w:r>
      <w:r w:rsidRPr="007E7455">
        <w:rPr>
          <w:bCs/>
          <w:iCs/>
          <w:color w:val="000000" w:themeColor="text1"/>
        </w:rPr>
        <w:t>;</w:t>
      </w:r>
      <w:r>
        <w:rPr>
          <w:bCs/>
          <w:iCs/>
          <w:color w:val="000000" w:themeColor="text1"/>
        </w:rPr>
        <w:t xml:space="preserve"> Ing. Ondřej Kříženecký</w:t>
      </w:r>
      <w:r w:rsidR="00A242A4">
        <w:rPr>
          <w:bCs/>
          <w:iCs/>
          <w:color w:val="000000" w:themeColor="text1"/>
        </w:rPr>
        <w:t>, Načeradec</w:t>
      </w:r>
      <w:r w:rsidRPr="007E7455">
        <w:rPr>
          <w:bCs/>
          <w:iCs/>
          <w:color w:val="000000" w:themeColor="text1"/>
        </w:rPr>
        <w:t>;</w:t>
      </w:r>
      <w:r>
        <w:rPr>
          <w:bCs/>
          <w:iCs/>
          <w:color w:val="000000" w:themeColor="text1"/>
        </w:rPr>
        <w:t xml:space="preserve"> Ing. Zdeněk Kupský</w:t>
      </w:r>
      <w:r w:rsidR="00A242A4">
        <w:rPr>
          <w:bCs/>
          <w:iCs/>
          <w:color w:val="000000" w:themeColor="text1"/>
        </w:rPr>
        <w:t>, Valtice</w:t>
      </w:r>
      <w:r w:rsidRPr="007E7455">
        <w:rPr>
          <w:bCs/>
          <w:iCs/>
          <w:color w:val="000000" w:themeColor="text1"/>
        </w:rPr>
        <w:t>;</w:t>
      </w:r>
      <w:r>
        <w:rPr>
          <w:bCs/>
          <w:iCs/>
          <w:color w:val="000000" w:themeColor="text1"/>
        </w:rPr>
        <w:t xml:space="preserve"> ZEAS Lysice, a.s.</w:t>
      </w:r>
      <w:r w:rsidRPr="007E7455">
        <w:rPr>
          <w:bCs/>
          <w:iCs/>
          <w:color w:val="000000" w:themeColor="text1"/>
        </w:rPr>
        <w:t>;</w:t>
      </w:r>
      <w:r>
        <w:rPr>
          <w:bCs/>
          <w:iCs/>
          <w:color w:val="000000" w:themeColor="text1"/>
        </w:rPr>
        <w:t xml:space="preserve"> ZEMSPOL DEŠNÁ, s.r.o.</w:t>
      </w:r>
    </w:p>
    <w:p w:rsidR="002C75DE" w:rsidRDefault="002C75DE" w:rsidP="00050235">
      <w:pPr>
        <w:spacing w:before="0"/>
        <w:rPr>
          <w:bCs/>
          <w:iCs/>
          <w:color w:val="000000" w:themeColor="text1"/>
        </w:rPr>
      </w:pPr>
    </w:p>
    <w:bookmarkEnd w:id="1"/>
    <w:p w:rsidR="00876251" w:rsidRDefault="002C75DE" w:rsidP="00050235">
      <w:pPr>
        <w:spacing w:before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Kontrolováno bylo</w:t>
      </w:r>
      <w:r w:rsidRPr="007E7455">
        <w:rPr>
          <w:rFonts w:asciiTheme="minorHAnsi" w:hAnsiTheme="minorHAnsi" w:cstheme="minorHAnsi"/>
          <w:lang w:eastAsia="cs-CZ"/>
        </w:rPr>
        <w:t xml:space="preserve"> období</w:t>
      </w:r>
      <w:r>
        <w:rPr>
          <w:rFonts w:asciiTheme="minorHAnsi" w:hAnsiTheme="minorHAnsi" w:cstheme="minorHAnsi"/>
          <w:lang w:eastAsia="cs-CZ"/>
        </w:rPr>
        <w:t xml:space="preserve"> od roku</w:t>
      </w:r>
      <w:r w:rsidRPr="007E7455">
        <w:rPr>
          <w:rFonts w:asciiTheme="minorHAnsi" w:hAnsiTheme="minorHAnsi" w:cstheme="minorHAnsi"/>
          <w:lang w:eastAsia="cs-CZ"/>
        </w:rPr>
        <w:t xml:space="preserve"> 201</w:t>
      </w:r>
      <w:r>
        <w:rPr>
          <w:rFonts w:asciiTheme="minorHAnsi" w:hAnsiTheme="minorHAnsi" w:cstheme="minorHAnsi"/>
          <w:lang w:eastAsia="cs-CZ"/>
        </w:rPr>
        <w:t>4</w:t>
      </w:r>
      <w:r w:rsidRPr="007E7455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do roku</w:t>
      </w:r>
      <w:r w:rsidRPr="007E7455">
        <w:rPr>
          <w:rFonts w:asciiTheme="minorHAnsi" w:hAnsiTheme="minorHAnsi" w:cstheme="minorHAnsi"/>
          <w:lang w:eastAsia="cs-CZ"/>
        </w:rPr>
        <w:t xml:space="preserve"> 20</w:t>
      </w:r>
      <w:r>
        <w:rPr>
          <w:rFonts w:asciiTheme="minorHAnsi" w:hAnsiTheme="minorHAnsi" w:cstheme="minorHAnsi"/>
          <w:lang w:eastAsia="cs-CZ"/>
        </w:rPr>
        <w:t>22</w:t>
      </w:r>
      <w:r w:rsidRPr="007E7455">
        <w:rPr>
          <w:rFonts w:asciiTheme="minorHAnsi" w:hAnsiTheme="minorHAnsi" w:cstheme="minorHAnsi"/>
          <w:lang w:eastAsia="cs-CZ"/>
        </w:rPr>
        <w:t>, v případě věcných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7E7455">
        <w:rPr>
          <w:rFonts w:asciiTheme="minorHAnsi" w:hAnsiTheme="minorHAnsi" w:cstheme="minorHAnsi"/>
          <w:lang w:eastAsia="cs-CZ"/>
        </w:rPr>
        <w:t>souvislostí i</w:t>
      </w:r>
      <w:r w:rsidR="00E717CE">
        <w:rPr>
          <w:rFonts w:asciiTheme="minorHAnsi" w:hAnsiTheme="minorHAnsi" w:cstheme="minorHAnsi"/>
          <w:lang w:eastAsia="cs-CZ"/>
        </w:rPr>
        <w:t xml:space="preserve"> </w:t>
      </w:r>
      <w:r w:rsidRPr="007E7455">
        <w:rPr>
          <w:rFonts w:asciiTheme="minorHAnsi" w:hAnsiTheme="minorHAnsi" w:cstheme="minorHAnsi"/>
          <w:lang w:eastAsia="cs-CZ"/>
        </w:rPr>
        <w:t>období</w:t>
      </w:r>
      <w:r w:rsidRPr="002C75DE">
        <w:rPr>
          <w:rFonts w:asciiTheme="minorHAnsi" w:hAnsiTheme="minorHAnsi" w:cstheme="minorHAnsi"/>
          <w:lang w:eastAsia="cs-CZ"/>
        </w:rPr>
        <w:t xml:space="preserve"> </w:t>
      </w:r>
      <w:r w:rsidRPr="007E7455">
        <w:rPr>
          <w:rFonts w:asciiTheme="minorHAnsi" w:hAnsiTheme="minorHAnsi" w:cstheme="minorHAnsi"/>
          <w:lang w:eastAsia="cs-CZ"/>
        </w:rPr>
        <w:t>předcházející a následující.</w:t>
      </w:r>
    </w:p>
    <w:p w:rsidR="002C75DE" w:rsidRPr="007E7455" w:rsidRDefault="002C75DE" w:rsidP="00050235">
      <w:pPr>
        <w:spacing w:before="0"/>
        <w:rPr>
          <w:color w:val="000000" w:themeColor="text1"/>
        </w:rPr>
      </w:pPr>
    </w:p>
    <w:p w:rsidR="002C75DE" w:rsidRPr="007E7455" w:rsidRDefault="002C75DE" w:rsidP="002C75DE">
      <w:pPr>
        <w:spacing w:before="0"/>
        <w:rPr>
          <w:color w:val="000000" w:themeColor="text1"/>
        </w:rPr>
      </w:pPr>
      <w:r w:rsidRPr="007E7455">
        <w:rPr>
          <w:color w:val="000000" w:themeColor="text1"/>
        </w:rPr>
        <w:t xml:space="preserve">Kontrola byla prováděna u kontrolovaných osob v období od </w:t>
      </w:r>
      <w:r>
        <w:rPr>
          <w:color w:val="000000" w:themeColor="text1"/>
        </w:rPr>
        <w:t>března</w:t>
      </w:r>
      <w:r w:rsidRPr="007E7455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Pr="007E7455">
        <w:rPr>
          <w:color w:val="000000" w:themeColor="text1"/>
        </w:rPr>
        <w:t xml:space="preserve"> do </w:t>
      </w:r>
      <w:r>
        <w:rPr>
          <w:color w:val="000000" w:themeColor="text1"/>
        </w:rPr>
        <w:t>října</w:t>
      </w:r>
      <w:r w:rsidRPr="007E7455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Pr="007E7455">
        <w:rPr>
          <w:color w:val="000000" w:themeColor="text1"/>
        </w:rPr>
        <w:t xml:space="preserve">. </w:t>
      </w:r>
    </w:p>
    <w:p w:rsidR="00D26730" w:rsidRPr="007E7455" w:rsidRDefault="00D26730" w:rsidP="00050235">
      <w:pPr>
        <w:spacing w:before="0"/>
        <w:rPr>
          <w:color w:val="000000" w:themeColor="text1"/>
        </w:rPr>
      </w:pPr>
    </w:p>
    <w:p w:rsidR="004F24F4" w:rsidRPr="002E69AF" w:rsidRDefault="00D91D0B" w:rsidP="00260A89">
      <w:pPr>
        <w:spacing w:before="0" w:line="360" w:lineRule="auto"/>
        <w:rPr>
          <w:color w:val="auto"/>
        </w:rPr>
      </w:pPr>
      <w:r w:rsidRPr="004463B8">
        <w:rPr>
          <w:b/>
          <w:i/>
          <w:color w:val="000000" w:themeColor="text1"/>
          <w:spacing w:val="40"/>
        </w:rPr>
        <w:t>Kolegium</w:t>
      </w:r>
      <w:r w:rsidRPr="004463B8">
        <w:rPr>
          <w:b/>
          <w:i/>
          <w:color w:val="000000" w:themeColor="text1"/>
        </w:rPr>
        <w:t xml:space="preserve">   </w:t>
      </w:r>
      <w:r w:rsidRPr="004463B8">
        <w:rPr>
          <w:b/>
          <w:i/>
          <w:color w:val="000000" w:themeColor="text1"/>
          <w:spacing w:val="40"/>
        </w:rPr>
        <w:t>NKÚ</w:t>
      </w:r>
      <w:r w:rsidRPr="004463B8">
        <w:rPr>
          <w:b/>
          <w:i/>
          <w:color w:val="000000" w:themeColor="text1"/>
        </w:rPr>
        <w:t xml:space="preserve">   </w:t>
      </w:r>
      <w:r w:rsidRPr="004463B8">
        <w:rPr>
          <w:color w:val="auto"/>
        </w:rPr>
        <w:t xml:space="preserve">na </w:t>
      </w:r>
      <w:r w:rsidRPr="002E69AF">
        <w:rPr>
          <w:color w:val="auto"/>
        </w:rPr>
        <w:t xml:space="preserve">svém </w:t>
      </w:r>
      <w:r w:rsidR="002E69AF" w:rsidRPr="002E69AF">
        <w:rPr>
          <w:color w:val="auto"/>
        </w:rPr>
        <w:t xml:space="preserve">I. </w:t>
      </w:r>
      <w:r w:rsidRPr="002E69AF">
        <w:rPr>
          <w:color w:val="auto"/>
        </w:rPr>
        <w:t>jednání, které se konalo dne</w:t>
      </w:r>
      <w:r w:rsidR="00FE69B0" w:rsidRPr="002E69AF">
        <w:rPr>
          <w:color w:val="auto"/>
        </w:rPr>
        <w:t xml:space="preserve"> </w:t>
      </w:r>
      <w:r w:rsidR="002E69AF">
        <w:rPr>
          <w:color w:val="auto"/>
        </w:rPr>
        <w:t>15. ledna 2024</w:t>
      </w:r>
      <w:r w:rsidRPr="002E69AF">
        <w:rPr>
          <w:color w:val="auto"/>
        </w:rPr>
        <w:t>,</w:t>
      </w:r>
    </w:p>
    <w:p w:rsidR="004F24F4" w:rsidRPr="004463B8" w:rsidRDefault="00D91D0B" w:rsidP="00260A89">
      <w:pPr>
        <w:spacing w:before="0" w:line="360" w:lineRule="auto"/>
        <w:rPr>
          <w:color w:val="auto"/>
        </w:rPr>
      </w:pPr>
      <w:r w:rsidRPr="002E69AF">
        <w:rPr>
          <w:b/>
          <w:i/>
          <w:color w:val="auto"/>
          <w:spacing w:val="40"/>
        </w:rPr>
        <w:t>schválilo</w:t>
      </w:r>
      <w:r w:rsidRPr="002E69AF">
        <w:rPr>
          <w:b/>
          <w:i/>
          <w:color w:val="auto"/>
        </w:rPr>
        <w:t xml:space="preserve">   </w:t>
      </w:r>
      <w:r w:rsidRPr="002E69AF">
        <w:rPr>
          <w:color w:val="auto"/>
        </w:rPr>
        <w:t xml:space="preserve">usnesením č. </w:t>
      </w:r>
      <w:r w:rsidR="003B6DC3">
        <w:rPr>
          <w:color w:val="auto"/>
        </w:rPr>
        <w:t>12</w:t>
      </w:r>
      <w:r w:rsidRPr="002E69AF">
        <w:rPr>
          <w:color w:val="auto"/>
        </w:rPr>
        <w:t>/</w:t>
      </w:r>
      <w:r w:rsidR="002E69AF">
        <w:rPr>
          <w:color w:val="auto"/>
        </w:rPr>
        <w:t>I</w:t>
      </w:r>
      <w:r w:rsidR="00B766CC" w:rsidRPr="002E69AF">
        <w:rPr>
          <w:color w:val="auto"/>
        </w:rPr>
        <w:t>/20</w:t>
      </w:r>
      <w:r w:rsidR="002E69AF">
        <w:rPr>
          <w:color w:val="auto"/>
        </w:rPr>
        <w:t>24</w:t>
      </w:r>
    </w:p>
    <w:p w:rsidR="00D07D2E" w:rsidRPr="004463B8" w:rsidRDefault="00D91D0B" w:rsidP="00260A89">
      <w:pPr>
        <w:spacing w:before="0" w:line="360" w:lineRule="auto"/>
        <w:rPr>
          <w:color w:val="auto"/>
        </w:rPr>
      </w:pPr>
      <w:r w:rsidRPr="004463B8">
        <w:rPr>
          <w:b/>
          <w:i/>
          <w:color w:val="auto"/>
          <w:spacing w:val="40"/>
        </w:rPr>
        <w:t>kontrolní</w:t>
      </w:r>
      <w:r w:rsidRPr="004463B8">
        <w:rPr>
          <w:b/>
          <w:i/>
          <w:color w:val="auto"/>
        </w:rPr>
        <w:t xml:space="preserve">   </w:t>
      </w:r>
      <w:r w:rsidRPr="004463B8">
        <w:rPr>
          <w:b/>
          <w:i/>
          <w:color w:val="auto"/>
          <w:spacing w:val="40"/>
        </w:rPr>
        <w:t>závěr</w:t>
      </w:r>
      <w:r w:rsidRPr="004463B8">
        <w:rPr>
          <w:color w:val="auto"/>
        </w:rPr>
        <w:t xml:space="preserve">   v tomto znění:</w:t>
      </w:r>
    </w:p>
    <w:p w:rsidR="00DA6035" w:rsidRPr="004463B8" w:rsidRDefault="00DA6035" w:rsidP="009A40AF">
      <w:pPr>
        <w:spacing w:before="0"/>
        <w:rPr>
          <w:color w:val="auto"/>
        </w:rPr>
      </w:pPr>
    </w:p>
    <w:bookmarkEnd w:id="0"/>
    <w:p w:rsidR="002A50F3" w:rsidRDefault="002A50F3" w:rsidP="009A40AF">
      <w:pPr>
        <w:spacing w:before="0"/>
        <w:rPr>
          <w:color w:val="000000" w:themeColor="text1"/>
        </w:rPr>
      </w:pPr>
    </w:p>
    <w:p w:rsidR="003B6DC3" w:rsidRDefault="003B6DC3" w:rsidP="003B6DC3">
      <w:pPr>
        <w:tabs>
          <w:tab w:val="left" w:pos="1115"/>
        </w:tabs>
        <w:ind w:left="1416" w:hanging="1416"/>
        <w:jc w:val="center"/>
        <w:rPr>
          <w:b/>
          <w:sz w:val="22"/>
          <w:szCs w:val="22"/>
        </w:rPr>
      </w:pPr>
    </w:p>
    <w:p w:rsidR="003B6DC3" w:rsidRDefault="003B6DC3" w:rsidP="003B6DC3">
      <w:pPr>
        <w:tabs>
          <w:tab w:val="left" w:pos="1115"/>
        </w:tabs>
        <w:ind w:left="1416" w:hanging="1416"/>
        <w:jc w:val="center"/>
        <w:rPr>
          <w:b/>
          <w:sz w:val="22"/>
          <w:szCs w:val="22"/>
        </w:rPr>
      </w:pPr>
    </w:p>
    <w:p w:rsidR="003B6DC3" w:rsidRDefault="003B6DC3" w:rsidP="003B6DC3">
      <w:pPr>
        <w:tabs>
          <w:tab w:val="left" w:pos="1115"/>
        </w:tabs>
        <w:ind w:left="1416" w:hanging="1416"/>
        <w:jc w:val="center"/>
        <w:rPr>
          <w:b/>
          <w:sz w:val="22"/>
          <w:szCs w:val="22"/>
        </w:rPr>
      </w:pPr>
    </w:p>
    <w:p w:rsidR="003B6DC3" w:rsidRDefault="003B6DC3" w:rsidP="003B6DC3">
      <w:pPr>
        <w:tabs>
          <w:tab w:val="left" w:pos="1115"/>
        </w:tabs>
        <w:ind w:left="1416" w:hanging="1416"/>
        <w:jc w:val="center"/>
        <w:rPr>
          <w:b/>
          <w:sz w:val="22"/>
          <w:szCs w:val="22"/>
        </w:rPr>
      </w:pPr>
    </w:p>
    <w:p w:rsidR="003B6DC3" w:rsidRPr="00C21EC1" w:rsidRDefault="003B6DC3" w:rsidP="003B6DC3">
      <w:pPr>
        <w:tabs>
          <w:tab w:val="left" w:pos="1115"/>
        </w:tabs>
        <w:ind w:left="1416" w:hanging="1416"/>
        <w:jc w:val="center"/>
        <w:rPr>
          <w:rFonts w:ascii="Calibri Light" w:hAnsi="Calibri Light" w:cs="Calibri Light"/>
          <w:sz w:val="22"/>
          <w:szCs w:val="22"/>
        </w:rPr>
      </w:pPr>
      <w:r w:rsidRPr="006B4233">
        <w:rPr>
          <w:b/>
          <w:sz w:val="22"/>
          <w:szCs w:val="22"/>
        </w:rPr>
        <w:t>PODPORA ROZVOJE VENKOVA V OBDOBÍ 2014</w:t>
      </w:r>
      <w:r w:rsidR="00AC7840">
        <w:rPr>
          <w:b/>
          <w:sz w:val="22"/>
          <w:szCs w:val="22"/>
        </w:rPr>
        <w:t>–</w:t>
      </w:r>
      <w:r w:rsidRPr="006B4233">
        <w:rPr>
          <w:b/>
          <w:sz w:val="22"/>
          <w:szCs w:val="22"/>
        </w:rPr>
        <w:t>2020</w:t>
      </w:r>
    </w:p>
    <w:p w:rsidR="003B6DC3" w:rsidRPr="00E06AAB" w:rsidRDefault="003B6DC3" w:rsidP="003B6DC3">
      <w:pPr>
        <w:tabs>
          <w:tab w:val="left" w:pos="1115"/>
        </w:tabs>
        <w:ind w:left="1416" w:hanging="1416"/>
        <w:jc w:val="center"/>
        <w:rPr>
          <w:caps/>
          <w:sz w:val="22"/>
          <w:szCs w:val="22"/>
        </w:rPr>
      </w:pPr>
      <w:r w:rsidRPr="00E06AAB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A0733" wp14:editId="6892EB8B">
                <wp:simplePos x="0" y="0"/>
                <wp:positionH relativeFrom="margin">
                  <wp:posOffset>3435350</wp:posOffset>
                </wp:positionH>
                <wp:positionV relativeFrom="paragraph">
                  <wp:posOffset>163195</wp:posOffset>
                </wp:positionV>
                <wp:extent cx="230505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8292F" id="Přímá spojnice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0.5pt,12.85pt" to="45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" strokecolor="black [3213]">
                <w10:wrap anchorx="margin"/>
              </v:line>
            </w:pict>
          </mc:Fallback>
        </mc:AlternateContent>
      </w:r>
      <w:r w:rsidRPr="00E06AAB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204A" wp14:editId="60DAAD31">
                <wp:simplePos x="0" y="0"/>
                <wp:positionH relativeFrom="column">
                  <wp:posOffset>-29845</wp:posOffset>
                </wp:positionH>
                <wp:positionV relativeFrom="paragraph">
                  <wp:posOffset>149860</wp:posOffset>
                </wp:positionV>
                <wp:extent cx="230505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EC841"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1.8pt" to="17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" strokecolor="black [3213]"/>
            </w:pict>
          </mc:Fallback>
        </mc:AlternateContent>
      </w:r>
      <w:r>
        <w:rPr>
          <w:caps/>
          <w:sz w:val="22"/>
          <w:szCs w:val="22"/>
        </w:rPr>
        <w:t>základní fakta</w:t>
      </w:r>
      <w:r w:rsidRPr="00E06AAB">
        <w:rPr>
          <w:caps/>
          <w:sz w:val="22"/>
          <w:szCs w:val="22"/>
        </w:rPr>
        <w:t xml:space="preserve"> </w:t>
      </w:r>
    </w:p>
    <w:p w:rsidR="003B6DC3" w:rsidRPr="00E06AAB" w:rsidRDefault="003B6DC3" w:rsidP="003B6DC3">
      <w:pPr>
        <w:tabs>
          <w:tab w:val="left" w:pos="1115"/>
        </w:tabs>
        <w:ind w:left="1416" w:hanging="1416"/>
        <w:jc w:val="center"/>
        <w:rPr>
          <w:b/>
        </w:rPr>
      </w:pPr>
    </w:p>
    <w:tbl>
      <w:tblPr>
        <w:tblpPr w:leftFromText="141" w:rightFromText="141" w:vertAnchor="text" w:horzAnchor="margin" w:tblpX="-426" w:tblpY="265"/>
        <w:tblOverlap w:val="never"/>
        <w:tblW w:w="6799" w:type="pct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694"/>
        <w:gridCol w:w="2553"/>
        <w:gridCol w:w="2264"/>
      </w:tblGrid>
      <w:tr w:rsidR="003B6DC3" w:rsidRPr="00E06AAB" w:rsidTr="00D17BAD">
        <w:trPr>
          <w:trHeight w:val="2015"/>
        </w:trPr>
        <w:tc>
          <w:tcPr>
            <w:tcW w:w="977" w:type="pct"/>
          </w:tcPr>
          <w:p w:rsidR="003B6DC3" w:rsidRPr="008C5510" w:rsidRDefault="0026466D" w:rsidP="00D17BAD">
            <w:pPr>
              <w:pStyle w:val="Pa19"/>
              <w:spacing w:after="240" w:line="240" w:lineRule="auto"/>
              <w:ind w:left="-165" w:right="-175"/>
              <w:jc w:val="center"/>
              <w:rPr>
                <w:rFonts w:eastAsia="MS Gothic" w:cs="Calibri"/>
                <w:b/>
                <w:bCs/>
                <w:color w:val="000000"/>
                <w:sz w:val="36"/>
                <w:szCs w:val="36"/>
                <w:lang w:eastAsia="en-US"/>
              </w:rPr>
            </w:pPr>
            <w:bookmarkStart w:id="5" w:name="_Hlk129164814"/>
            <w:r>
              <w:rPr>
                <w:rFonts w:eastAsia="MS Gothic" w:cs="Calibri"/>
                <w:b/>
                <w:bCs/>
                <w:color w:val="000000"/>
                <w:sz w:val="36"/>
                <w:szCs w:val="36"/>
                <w:lang w:eastAsia="en-US"/>
              </w:rPr>
              <w:t>1</w:t>
            </w:r>
            <w:r w:rsidR="003B6DC3" w:rsidRPr="008C5510">
              <w:rPr>
                <w:rFonts w:eastAsia="MS Gothic" w:cs="Calibri"/>
                <w:b/>
                <w:bCs/>
                <w:color w:val="000000"/>
                <w:sz w:val="36"/>
                <w:szCs w:val="36"/>
                <w:lang w:eastAsia="en-US"/>
              </w:rPr>
              <w:t>15 184 mil. Kč</w:t>
            </w:r>
          </w:p>
          <w:p w:rsidR="003B6DC3" w:rsidRDefault="003B6DC3" w:rsidP="00AC7840">
            <w:pPr>
              <w:pStyle w:val="Pa19"/>
              <w:spacing w:line="240" w:lineRule="auto"/>
              <w:jc w:val="center"/>
              <w:rPr>
                <w:sz w:val="22"/>
                <w:szCs w:val="22"/>
              </w:rPr>
            </w:pPr>
            <w:r w:rsidRPr="006B4233">
              <w:rPr>
                <w:sz w:val="22"/>
                <w:szCs w:val="22"/>
              </w:rPr>
              <w:t xml:space="preserve">Prostředky přidělené </w:t>
            </w:r>
            <w:r>
              <w:rPr>
                <w:sz w:val="22"/>
                <w:szCs w:val="22"/>
              </w:rPr>
              <w:br/>
            </w:r>
            <w:r w:rsidRPr="006B4233">
              <w:rPr>
                <w:sz w:val="22"/>
                <w:szCs w:val="22"/>
              </w:rPr>
              <w:t xml:space="preserve">na </w:t>
            </w:r>
          </w:p>
          <w:p w:rsidR="003B6DC3" w:rsidRPr="00BB52A8" w:rsidRDefault="003B6DC3" w:rsidP="00AC7840">
            <w:pPr>
              <w:pStyle w:val="Pa19"/>
              <w:spacing w:after="20" w:line="240" w:lineRule="auto"/>
              <w:jc w:val="center"/>
              <w:rPr>
                <w:rStyle w:val="A1"/>
                <w:sz w:val="22"/>
                <w:szCs w:val="22"/>
              </w:rPr>
            </w:pPr>
            <w:r w:rsidRPr="006B4233">
              <w:rPr>
                <w:sz w:val="22"/>
                <w:szCs w:val="22"/>
              </w:rPr>
              <w:t>PRV 2014–2020</w:t>
            </w:r>
            <w:bookmarkEnd w:id="5"/>
          </w:p>
        </w:tc>
        <w:tc>
          <w:tcPr>
            <w:tcW w:w="977" w:type="pct"/>
          </w:tcPr>
          <w:p w:rsidR="003B6DC3" w:rsidRPr="009F0AC7" w:rsidRDefault="003B6DC3" w:rsidP="00D17BAD">
            <w:pPr>
              <w:spacing w:before="0" w:line="360" w:lineRule="auto"/>
              <w:ind w:left="-164" w:right="-397"/>
              <w:jc w:val="center"/>
              <w:rPr>
                <w:rFonts w:eastAsia="MS Gothic"/>
                <w:b/>
                <w:sz w:val="36"/>
                <w:szCs w:val="36"/>
              </w:rPr>
            </w:pPr>
            <w:r>
              <w:rPr>
                <w:rFonts w:eastAsia="MS Gothic"/>
                <w:b/>
                <w:bCs/>
                <w:sz w:val="36"/>
                <w:szCs w:val="36"/>
              </w:rPr>
              <w:t>18 478 mil. Kč</w:t>
            </w:r>
          </w:p>
          <w:p w:rsidR="003B6DC3" w:rsidRDefault="003B6DC3" w:rsidP="00D17BAD">
            <w:pPr>
              <w:pStyle w:val="Pa19"/>
              <w:spacing w:after="20" w:line="240" w:lineRule="auto"/>
              <w:ind w:left="57"/>
              <w:jc w:val="center"/>
              <w:rPr>
                <w:sz w:val="22"/>
                <w:szCs w:val="22"/>
              </w:rPr>
            </w:pPr>
            <w:r w:rsidRPr="006B4233">
              <w:rPr>
                <w:sz w:val="22"/>
                <w:szCs w:val="22"/>
              </w:rPr>
              <w:t xml:space="preserve">Prostředky přidělené </w:t>
            </w:r>
            <w:r>
              <w:rPr>
                <w:sz w:val="22"/>
                <w:szCs w:val="22"/>
              </w:rPr>
              <w:br/>
            </w:r>
            <w:r w:rsidRPr="006B4233">
              <w:rPr>
                <w:sz w:val="22"/>
                <w:szCs w:val="22"/>
              </w:rPr>
              <w:t>na opatření</w:t>
            </w:r>
            <w:r>
              <w:rPr>
                <w:sz w:val="22"/>
                <w:szCs w:val="22"/>
              </w:rPr>
              <w:t xml:space="preserve"> </w:t>
            </w:r>
            <w:r w:rsidRPr="006B4233">
              <w:rPr>
                <w:sz w:val="22"/>
                <w:szCs w:val="22"/>
              </w:rPr>
              <w:t xml:space="preserve">kontrolovaná </w:t>
            </w:r>
            <w:r>
              <w:rPr>
                <w:sz w:val="22"/>
                <w:szCs w:val="22"/>
              </w:rPr>
              <w:t>NKÚ</w:t>
            </w:r>
          </w:p>
          <w:p w:rsidR="003B6DC3" w:rsidRPr="00A02DF6" w:rsidRDefault="008C5510" w:rsidP="00D17BAD">
            <w:pPr>
              <w:spacing w:before="0"/>
              <w:ind w:left="57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="003B6DC3" w:rsidRPr="006B4233">
              <w:rPr>
                <w:sz w:val="22"/>
                <w:szCs w:val="22"/>
              </w:rPr>
              <w:t>PRV 2014–2020</w:t>
            </w:r>
          </w:p>
        </w:tc>
        <w:tc>
          <w:tcPr>
            <w:tcW w:w="1092" w:type="pct"/>
          </w:tcPr>
          <w:p w:rsidR="003B6DC3" w:rsidRPr="009F0AC7" w:rsidRDefault="003B6DC3" w:rsidP="008C5510">
            <w:pPr>
              <w:spacing w:before="0" w:line="360" w:lineRule="auto"/>
              <w:ind w:right="-313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15 645 mil. Kč</w:t>
            </w:r>
          </w:p>
          <w:p w:rsidR="003B6DC3" w:rsidRPr="006B4233" w:rsidRDefault="003B6DC3" w:rsidP="008C5510">
            <w:pPr>
              <w:spacing w:before="0"/>
              <w:ind w:right="-171"/>
              <w:jc w:val="center"/>
              <w:rPr>
                <w:sz w:val="22"/>
                <w:szCs w:val="22"/>
              </w:rPr>
            </w:pPr>
            <w:r w:rsidRPr="006B4233">
              <w:rPr>
                <w:sz w:val="22"/>
                <w:szCs w:val="22"/>
              </w:rPr>
              <w:t xml:space="preserve">Celková výše vyplacených prostředků v rámci kontrolovaných opatření </w:t>
            </w:r>
            <w:r w:rsidR="008C5510">
              <w:rPr>
                <w:sz w:val="22"/>
                <w:szCs w:val="22"/>
              </w:rPr>
              <w:br/>
            </w:r>
            <w:r w:rsidRPr="006B4233">
              <w:rPr>
                <w:sz w:val="22"/>
                <w:szCs w:val="22"/>
              </w:rPr>
              <w:t>ke dni 7. 9. 2023</w:t>
            </w:r>
          </w:p>
        </w:tc>
        <w:tc>
          <w:tcPr>
            <w:tcW w:w="1035" w:type="pct"/>
          </w:tcPr>
          <w:p w:rsidR="003B6DC3" w:rsidRPr="009F0AC7" w:rsidRDefault="003B6DC3" w:rsidP="00AC7840">
            <w:pPr>
              <w:spacing w:before="0" w:line="36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10 993</w:t>
            </w:r>
          </w:p>
          <w:p w:rsidR="003B6DC3" w:rsidRDefault="003B6DC3" w:rsidP="00AC7840">
            <w:pPr>
              <w:spacing w:before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4233">
              <w:rPr>
                <w:sz w:val="22"/>
                <w:szCs w:val="22"/>
              </w:rPr>
              <w:t xml:space="preserve">Počet podpořených projektů v rámci kontrolovaných </w:t>
            </w:r>
            <w:r w:rsidR="008C5510">
              <w:rPr>
                <w:sz w:val="22"/>
                <w:szCs w:val="22"/>
              </w:rPr>
              <w:br/>
            </w:r>
            <w:r w:rsidRPr="006B4233">
              <w:rPr>
                <w:sz w:val="22"/>
                <w:szCs w:val="22"/>
              </w:rPr>
              <w:t>opatření ke dni 7.</w:t>
            </w:r>
            <w:r w:rsidR="00AC7840">
              <w:rPr>
                <w:sz w:val="22"/>
                <w:szCs w:val="22"/>
              </w:rPr>
              <w:t> </w:t>
            </w:r>
            <w:r w:rsidRPr="006B4233">
              <w:rPr>
                <w:sz w:val="22"/>
                <w:szCs w:val="22"/>
              </w:rPr>
              <w:t>9.</w:t>
            </w:r>
            <w:r w:rsidR="00AC7840">
              <w:rPr>
                <w:sz w:val="22"/>
                <w:szCs w:val="22"/>
              </w:rPr>
              <w:t> </w:t>
            </w:r>
            <w:r w:rsidRPr="006B4233">
              <w:rPr>
                <w:sz w:val="22"/>
                <w:szCs w:val="22"/>
              </w:rPr>
              <w:t>2023</w:t>
            </w:r>
          </w:p>
        </w:tc>
        <w:tc>
          <w:tcPr>
            <w:tcW w:w="918" w:type="pct"/>
          </w:tcPr>
          <w:p w:rsidR="003B6DC3" w:rsidRDefault="003B6DC3" w:rsidP="00AC7840">
            <w:pPr>
              <w:spacing w:line="36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</w:tbl>
    <w:p w:rsidR="003B6DC3" w:rsidRPr="00E06AAB" w:rsidRDefault="003B6DC3" w:rsidP="003B6DC3">
      <w:pPr>
        <w:rPr>
          <w:b/>
        </w:rPr>
      </w:pPr>
    </w:p>
    <w:p w:rsidR="003B6DC3" w:rsidRPr="00E06AAB" w:rsidRDefault="003B6DC3" w:rsidP="00C65E66">
      <w:pPr>
        <w:tabs>
          <w:tab w:val="left" w:pos="1747"/>
          <w:tab w:val="center" w:pos="4536"/>
        </w:tabs>
        <w:rPr>
          <w:caps/>
          <w:sz w:val="22"/>
          <w:szCs w:val="22"/>
        </w:rPr>
      </w:pPr>
      <w:r w:rsidRPr="00E06AAB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329BC" wp14:editId="05D4F195">
                <wp:simplePos x="0" y="0"/>
                <wp:positionH relativeFrom="margin">
                  <wp:posOffset>3606800</wp:posOffset>
                </wp:positionH>
                <wp:positionV relativeFrom="paragraph">
                  <wp:posOffset>160020</wp:posOffset>
                </wp:positionV>
                <wp:extent cx="2124075" cy="95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C781F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pt,12.6pt" to="451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" strokecolor="black [3213]">
                <w10:wrap anchorx="margin"/>
              </v:line>
            </w:pict>
          </mc:Fallback>
        </mc:AlternateContent>
      </w:r>
      <w:r w:rsidRPr="00E06AAB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4A444" wp14:editId="455E94F4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2162810" cy="3175"/>
                <wp:effectExtent l="0" t="0" r="27940" b="3492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81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4E5BD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75pt" to="170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" strokecolor="black [3213]">
                <w10:wrap anchorx="margin"/>
              </v:line>
            </w:pict>
          </mc:Fallback>
        </mc:AlternateContent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  <w:t>zjištěné skutečnosti</w:t>
      </w:r>
    </w:p>
    <w:p w:rsidR="003B6DC3" w:rsidRDefault="003B6DC3" w:rsidP="003B6DC3">
      <w:pPr>
        <w:jc w:val="left"/>
        <w:rPr>
          <w:b/>
          <w:color w:val="AF1953"/>
          <w:sz w:val="22"/>
          <w:szCs w:val="22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9"/>
        <w:gridCol w:w="283"/>
        <w:gridCol w:w="5638"/>
      </w:tblGrid>
      <w:tr w:rsidR="003B6DC3" w:rsidTr="00F0241D">
        <w:trPr>
          <w:trHeight w:val="1133"/>
          <w:jc w:val="right"/>
        </w:trPr>
        <w:tc>
          <w:tcPr>
            <w:tcW w:w="3089" w:type="dxa"/>
            <w:shd w:val="clear" w:color="auto" w:fill="AF1953"/>
            <w:vAlign w:val="center"/>
            <w:hideMark/>
          </w:tcPr>
          <w:p w:rsidR="003B6DC3" w:rsidRPr="0054313E" w:rsidRDefault="003B6DC3" w:rsidP="00F0241D">
            <w:pPr>
              <w:spacing w:before="0"/>
              <w:jc w:val="center"/>
              <w:rPr>
                <w:b/>
                <w:color w:val="FFFFFF" w:themeColor="background1"/>
              </w:rPr>
            </w:pPr>
            <w:bookmarkStart w:id="6" w:name="_Hlk154057051"/>
            <w:r w:rsidRPr="00535992">
              <w:rPr>
                <w:b/>
                <w:color w:val="FFFFFF" w:themeColor="background1"/>
              </w:rPr>
              <w:t xml:space="preserve">Nemožnost vyhodnotit dopad podpory na rozvoj venkova </w:t>
            </w:r>
          </w:p>
        </w:tc>
        <w:tc>
          <w:tcPr>
            <w:tcW w:w="283" w:type="dxa"/>
          </w:tcPr>
          <w:p w:rsidR="003B6DC3" w:rsidRPr="0054313E" w:rsidRDefault="003B6DC3" w:rsidP="00F0241D">
            <w:pPr>
              <w:spacing w:before="0"/>
              <w:jc w:val="center"/>
              <w:rPr>
                <w:sz w:val="22"/>
              </w:rPr>
            </w:pPr>
          </w:p>
        </w:tc>
        <w:tc>
          <w:tcPr>
            <w:tcW w:w="5638" w:type="dxa"/>
            <w:vAlign w:val="center"/>
          </w:tcPr>
          <w:p w:rsidR="003B6DC3" w:rsidRPr="0054313E" w:rsidRDefault="003B6DC3" w:rsidP="00F0241D">
            <w:pPr>
              <w:spacing w:before="0"/>
              <w:jc w:val="left"/>
              <w:rPr>
                <w:sz w:val="22"/>
              </w:rPr>
            </w:pPr>
            <w:r w:rsidRPr="0054313E">
              <w:rPr>
                <w:sz w:val="22"/>
              </w:rPr>
              <w:t xml:space="preserve">MZe nenastavilo vhodné indikátory pro sledování a hodnocení dosažení cílů PRV 2014–2020 </w:t>
            </w:r>
            <w:r w:rsidRPr="0054313E">
              <w:rPr>
                <w:sz w:val="22"/>
              </w:rPr>
              <w:br/>
              <w:t>a přínosů poskytované podpory.</w:t>
            </w:r>
          </w:p>
        </w:tc>
      </w:tr>
      <w:tr w:rsidR="003B6DC3" w:rsidTr="00F0241D">
        <w:trPr>
          <w:trHeight w:val="901"/>
          <w:jc w:val="right"/>
        </w:trPr>
        <w:tc>
          <w:tcPr>
            <w:tcW w:w="3089" w:type="dxa"/>
            <w:shd w:val="clear" w:color="auto" w:fill="AF1953"/>
            <w:vAlign w:val="center"/>
            <w:hideMark/>
          </w:tcPr>
          <w:p w:rsidR="003B6DC3" w:rsidRPr="0054313E" w:rsidRDefault="003B6DC3" w:rsidP="00F0241D">
            <w:pPr>
              <w:spacing w:before="0"/>
              <w:jc w:val="center"/>
              <w:rPr>
                <w:color w:val="FFFFFF" w:themeColor="background1"/>
              </w:rPr>
            </w:pPr>
            <w:r w:rsidRPr="0054313E">
              <w:rPr>
                <w:b/>
                <w:color w:val="FFFFFF" w:themeColor="background1"/>
              </w:rPr>
              <w:t>75 %</w:t>
            </w:r>
          </w:p>
        </w:tc>
        <w:tc>
          <w:tcPr>
            <w:tcW w:w="283" w:type="dxa"/>
          </w:tcPr>
          <w:p w:rsidR="003B6DC3" w:rsidRPr="0054313E" w:rsidRDefault="003B6DC3" w:rsidP="00F0241D">
            <w:pPr>
              <w:spacing w:before="0"/>
              <w:jc w:val="center"/>
              <w:rPr>
                <w:sz w:val="22"/>
              </w:rPr>
            </w:pPr>
          </w:p>
        </w:tc>
        <w:tc>
          <w:tcPr>
            <w:tcW w:w="5638" w:type="dxa"/>
            <w:vAlign w:val="center"/>
          </w:tcPr>
          <w:p w:rsidR="003B6DC3" w:rsidRPr="0054313E" w:rsidRDefault="003B6DC3" w:rsidP="00F0241D">
            <w:pPr>
              <w:spacing w:before="0"/>
              <w:jc w:val="left"/>
              <w:rPr>
                <w:sz w:val="22"/>
              </w:rPr>
            </w:pPr>
            <w:r w:rsidRPr="0054313E">
              <w:rPr>
                <w:sz w:val="22"/>
              </w:rPr>
              <w:t xml:space="preserve">15 z 20 kontrolovaných projektů </w:t>
            </w:r>
            <w:r>
              <w:rPr>
                <w:sz w:val="22"/>
              </w:rPr>
              <w:t>mělo nedostatky</w:t>
            </w:r>
            <w:r w:rsidRPr="0054313E">
              <w:rPr>
                <w:sz w:val="22"/>
              </w:rPr>
              <w:t xml:space="preserve"> z hlediska účelnosti vynaložených prostředků.</w:t>
            </w:r>
          </w:p>
        </w:tc>
      </w:tr>
      <w:tr w:rsidR="003B6DC3" w:rsidTr="00F0241D">
        <w:trPr>
          <w:trHeight w:val="901"/>
          <w:jc w:val="right"/>
        </w:trPr>
        <w:tc>
          <w:tcPr>
            <w:tcW w:w="3089" w:type="dxa"/>
            <w:shd w:val="clear" w:color="auto" w:fill="AF1953"/>
            <w:vAlign w:val="center"/>
            <w:hideMark/>
          </w:tcPr>
          <w:p w:rsidR="003B6DC3" w:rsidRPr="0054313E" w:rsidRDefault="003B6DC3" w:rsidP="00F0241D">
            <w:pPr>
              <w:spacing w:before="0"/>
              <w:jc w:val="center"/>
              <w:rPr>
                <w:color w:val="FFFFFF" w:themeColor="background1"/>
              </w:rPr>
            </w:pPr>
            <w:r w:rsidRPr="0054313E">
              <w:rPr>
                <w:b/>
                <w:color w:val="FFFFFF" w:themeColor="background1"/>
              </w:rPr>
              <w:t>50 %</w:t>
            </w:r>
          </w:p>
        </w:tc>
        <w:tc>
          <w:tcPr>
            <w:tcW w:w="283" w:type="dxa"/>
          </w:tcPr>
          <w:p w:rsidR="003B6DC3" w:rsidRPr="0054313E" w:rsidRDefault="003B6DC3" w:rsidP="00F0241D">
            <w:pPr>
              <w:spacing w:before="0"/>
              <w:jc w:val="center"/>
              <w:rPr>
                <w:sz w:val="22"/>
              </w:rPr>
            </w:pPr>
          </w:p>
        </w:tc>
        <w:tc>
          <w:tcPr>
            <w:tcW w:w="5638" w:type="dxa"/>
            <w:vAlign w:val="center"/>
          </w:tcPr>
          <w:p w:rsidR="003B6DC3" w:rsidRPr="0054313E" w:rsidRDefault="003B6DC3" w:rsidP="00F0241D">
            <w:pPr>
              <w:spacing w:before="0"/>
              <w:jc w:val="left"/>
              <w:rPr>
                <w:sz w:val="22"/>
              </w:rPr>
            </w:pPr>
            <w:r w:rsidRPr="0054313E">
              <w:rPr>
                <w:sz w:val="22"/>
              </w:rPr>
              <w:t>10 z 20 kontrolovaných projektů vykazovalo chybné údaje v monitorovacích zprávách.</w:t>
            </w:r>
          </w:p>
        </w:tc>
      </w:tr>
      <w:tr w:rsidR="003B6DC3" w:rsidTr="00F0241D">
        <w:trPr>
          <w:trHeight w:val="1133"/>
          <w:jc w:val="right"/>
        </w:trPr>
        <w:tc>
          <w:tcPr>
            <w:tcW w:w="3089" w:type="dxa"/>
            <w:shd w:val="clear" w:color="auto" w:fill="AF1953"/>
            <w:vAlign w:val="center"/>
            <w:hideMark/>
          </w:tcPr>
          <w:p w:rsidR="003B6DC3" w:rsidRPr="0054313E" w:rsidRDefault="003B6DC3" w:rsidP="00F0241D">
            <w:pPr>
              <w:spacing w:before="0"/>
              <w:jc w:val="center"/>
              <w:rPr>
                <w:color w:val="FFFFFF" w:themeColor="background1"/>
              </w:rPr>
            </w:pPr>
            <w:r w:rsidRPr="0054313E">
              <w:rPr>
                <w:b/>
                <w:color w:val="FFFFFF" w:themeColor="background1"/>
              </w:rPr>
              <w:t xml:space="preserve">Vyhodnocení </w:t>
            </w:r>
            <w:r>
              <w:rPr>
                <w:b/>
                <w:color w:val="FFFFFF" w:themeColor="background1"/>
              </w:rPr>
              <w:br/>
            </w:r>
            <w:r w:rsidRPr="0054313E">
              <w:rPr>
                <w:b/>
                <w:color w:val="FFFFFF" w:themeColor="background1"/>
              </w:rPr>
              <w:t>až v roce 2026</w:t>
            </w:r>
          </w:p>
        </w:tc>
        <w:tc>
          <w:tcPr>
            <w:tcW w:w="283" w:type="dxa"/>
          </w:tcPr>
          <w:p w:rsidR="003B6DC3" w:rsidRPr="0054313E" w:rsidRDefault="003B6DC3" w:rsidP="00F0241D">
            <w:pPr>
              <w:spacing w:before="0"/>
              <w:jc w:val="center"/>
              <w:rPr>
                <w:sz w:val="22"/>
              </w:rPr>
            </w:pPr>
          </w:p>
        </w:tc>
        <w:tc>
          <w:tcPr>
            <w:tcW w:w="5638" w:type="dxa"/>
            <w:vAlign w:val="center"/>
          </w:tcPr>
          <w:p w:rsidR="003B6DC3" w:rsidRPr="0054313E" w:rsidRDefault="003B6DC3" w:rsidP="00F0241D">
            <w:pPr>
              <w:spacing w:before="0"/>
              <w:jc w:val="left"/>
              <w:rPr>
                <w:sz w:val="22"/>
              </w:rPr>
            </w:pPr>
            <w:r w:rsidRPr="0054313E">
              <w:rPr>
                <w:sz w:val="22"/>
              </w:rPr>
              <w:t xml:space="preserve">MZe provede vyhodnocení přínosů a dopadů </w:t>
            </w:r>
            <w:r w:rsidRPr="0054313E">
              <w:rPr>
                <w:sz w:val="22"/>
              </w:rPr>
              <w:br/>
              <w:t>PRV 2014</w:t>
            </w:r>
            <w:r w:rsidR="00C65E66" w:rsidRPr="0054313E">
              <w:rPr>
                <w:sz w:val="22"/>
              </w:rPr>
              <w:t>–</w:t>
            </w:r>
            <w:r w:rsidRPr="0054313E">
              <w:rPr>
                <w:sz w:val="22"/>
              </w:rPr>
              <w:t xml:space="preserve">2020 až v roce 2026. </w:t>
            </w:r>
          </w:p>
        </w:tc>
      </w:tr>
      <w:tr w:rsidR="003B6DC3" w:rsidTr="00F0241D">
        <w:trPr>
          <w:trHeight w:val="1133"/>
          <w:jc w:val="right"/>
        </w:trPr>
        <w:tc>
          <w:tcPr>
            <w:tcW w:w="3089" w:type="dxa"/>
            <w:shd w:val="clear" w:color="auto" w:fill="AF1953"/>
            <w:vAlign w:val="center"/>
          </w:tcPr>
          <w:p w:rsidR="003B6DC3" w:rsidRPr="00642C7E" w:rsidRDefault="003B6DC3" w:rsidP="00F0241D">
            <w:pPr>
              <w:spacing w:before="0"/>
              <w:jc w:val="center"/>
              <w:rPr>
                <w:color w:val="FFFFFF" w:themeColor="background1"/>
              </w:rPr>
            </w:pPr>
            <w:r w:rsidRPr="00535992">
              <w:rPr>
                <w:b/>
                <w:color w:val="FFFFFF" w:themeColor="background1"/>
              </w:rPr>
              <w:t>Neoznámení skutečností nasvědčujících spáchání trestného činu</w:t>
            </w:r>
          </w:p>
        </w:tc>
        <w:tc>
          <w:tcPr>
            <w:tcW w:w="283" w:type="dxa"/>
          </w:tcPr>
          <w:p w:rsidR="003B6DC3" w:rsidRPr="0054313E" w:rsidRDefault="003B6DC3" w:rsidP="00F0241D">
            <w:pPr>
              <w:spacing w:before="0"/>
              <w:jc w:val="center"/>
              <w:rPr>
                <w:sz w:val="22"/>
              </w:rPr>
            </w:pPr>
          </w:p>
        </w:tc>
        <w:tc>
          <w:tcPr>
            <w:tcW w:w="5638" w:type="dxa"/>
            <w:vAlign w:val="center"/>
          </w:tcPr>
          <w:p w:rsidR="003B6DC3" w:rsidRPr="0054313E" w:rsidRDefault="003B6DC3" w:rsidP="00F0241D">
            <w:pPr>
              <w:spacing w:before="0"/>
              <w:jc w:val="left"/>
              <w:rPr>
                <w:sz w:val="22"/>
              </w:rPr>
            </w:pPr>
            <w:r w:rsidRPr="0054313E">
              <w:rPr>
                <w:sz w:val="22"/>
              </w:rPr>
              <w:t xml:space="preserve">MZe ani SZIF v několika případech </w:t>
            </w:r>
            <w:r>
              <w:rPr>
                <w:sz w:val="22"/>
              </w:rPr>
              <w:t>ne</w:t>
            </w:r>
            <w:r w:rsidRPr="0054313E">
              <w:rPr>
                <w:sz w:val="22"/>
              </w:rPr>
              <w:t>oznámi</w:t>
            </w:r>
            <w:r>
              <w:rPr>
                <w:sz w:val="22"/>
              </w:rPr>
              <w:t>ly</w:t>
            </w:r>
            <w:r w:rsidRPr="0054313E">
              <w:rPr>
                <w:sz w:val="22"/>
              </w:rPr>
              <w:t xml:space="preserve"> skutečnosti nasvědčující spáchání trestného činu. </w:t>
            </w:r>
          </w:p>
        </w:tc>
      </w:tr>
      <w:bookmarkEnd w:id="6"/>
    </w:tbl>
    <w:p w:rsidR="003B6DC3" w:rsidRPr="000B794B" w:rsidRDefault="003B6DC3" w:rsidP="003B6DC3"/>
    <w:p w:rsidR="003A7714" w:rsidRDefault="003A7714" w:rsidP="009A40AF">
      <w:pPr>
        <w:spacing w:before="0"/>
        <w:rPr>
          <w:color w:val="000000" w:themeColor="text1"/>
        </w:rPr>
      </w:pPr>
    </w:p>
    <w:p w:rsidR="00772477" w:rsidRDefault="00772477" w:rsidP="009A40AF">
      <w:pPr>
        <w:spacing w:before="0"/>
        <w:rPr>
          <w:color w:val="000000" w:themeColor="text1"/>
        </w:rPr>
      </w:pPr>
    </w:p>
    <w:p w:rsidR="00147E7B" w:rsidRDefault="00147E7B">
      <w:pPr>
        <w:spacing w:before="0"/>
        <w:jc w:val="left"/>
        <w:rPr>
          <w:sz w:val="28"/>
          <w:szCs w:val="28"/>
        </w:rPr>
      </w:pPr>
    </w:p>
    <w:p w:rsidR="00861417" w:rsidRDefault="00FA6EBC" w:rsidP="00E94D07">
      <w:pPr>
        <w:pStyle w:val="Nadpis1"/>
        <w:spacing w:after="240"/>
        <w:rPr>
          <w:sz w:val="28"/>
          <w:szCs w:val="28"/>
        </w:rPr>
      </w:pPr>
      <w:r w:rsidRPr="007E7455">
        <w:rPr>
          <w:sz w:val="28"/>
          <w:szCs w:val="28"/>
        </w:rPr>
        <w:lastRenderedPageBreak/>
        <w:t>I. Shrnutí a vyhodnocení</w:t>
      </w:r>
    </w:p>
    <w:p w:rsidR="00D14232" w:rsidRPr="00781556" w:rsidRDefault="00D14232" w:rsidP="00F5505F">
      <w:pPr>
        <w:spacing w:after="120"/>
      </w:pPr>
      <w:r w:rsidRPr="00781556">
        <w:rPr>
          <w:b/>
        </w:rPr>
        <w:t>1.1</w:t>
      </w:r>
      <w:r>
        <w:t xml:space="preserve"> </w:t>
      </w:r>
      <w:r w:rsidRPr="00781556">
        <w:t xml:space="preserve">NKÚ provedl kontrolu peněžních prostředků vynakládaných na vybraná opatření v rámci </w:t>
      </w:r>
      <w:r w:rsidRPr="00D17BAD">
        <w:rPr>
          <w:i/>
        </w:rPr>
        <w:t>Programu rozvoje venkova na období 2014</w:t>
      </w:r>
      <w:r w:rsidR="00185D5B" w:rsidRPr="00D17BAD">
        <w:rPr>
          <w:i/>
        </w:rPr>
        <w:t>–</w:t>
      </w:r>
      <w:r w:rsidRPr="00D17BAD">
        <w:rPr>
          <w:i/>
        </w:rPr>
        <w:t>2020</w:t>
      </w:r>
      <w:r w:rsidRPr="00781556">
        <w:t xml:space="preserve"> (dále také „PRV 2014</w:t>
      </w:r>
      <w:r w:rsidR="00312420" w:rsidRPr="00312420">
        <w:t>–</w:t>
      </w:r>
      <w:r w:rsidRPr="00781556">
        <w:t>2020</w:t>
      </w:r>
      <w:r>
        <w:t>“</w:t>
      </w:r>
      <w:r w:rsidRPr="00781556">
        <w:t>). Na realizaci PRV 2014</w:t>
      </w:r>
      <w:r w:rsidR="00312420" w:rsidRPr="00312420">
        <w:t>–</w:t>
      </w:r>
      <w:r w:rsidRPr="00781556">
        <w:t xml:space="preserve">2020 </w:t>
      </w:r>
      <w:r>
        <w:t>vyčlenilo</w:t>
      </w:r>
      <w:r w:rsidRPr="00781556">
        <w:t xml:space="preserve"> MZe prostředky ve výši cca 115 184 mil. Kč.</w:t>
      </w:r>
      <w:r w:rsidR="00E50318">
        <w:t xml:space="preserve"> Na opatření, která NKÚ kontroloval, bylo vyčleněno cca 18 478 mil. Kč.</w:t>
      </w:r>
    </w:p>
    <w:p w:rsidR="00D14232" w:rsidRPr="00781556" w:rsidRDefault="00D14232" w:rsidP="00F5505F">
      <w:pPr>
        <w:spacing w:after="120"/>
      </w:pPr>
      <w:r w:rsidRPr="00781556">
        <w:rPr>
          <w:b/>
        </w:rPr>
        <w:t>1.2</w:t>
      </w:r>
      <w:r>
        <w:t xml:space="preserve"> </w:t>
      </w:r>
      <w:r w:rsidRPr="00781556">
        <w:t>Cílem kontroly bylo prověřit, zda peněžní prostředky státu a Evropské unie určené na</w:t>
      </w:r>
      <w:r w:rsidR="00E717CE">
        <w:t xml:space="preserve"> </w:t>
      </w:r>
      <w:r w:rsidRPr="00781556">
        <w:t xml:space="preserve">vybraná opatření </w:t>
      </w:r>
      <w:r w:rsidRPr="00781556">
        <w:rPr>
          <w:i/>
          <w:iCs/>
        </w:rPr>
        <w:t>Programu rozvoje venkova na období 2014–2020</w:t>
      </w:r>
      <w:r w:rsidRPr="00781556">
        <w:t xml:space="preserve"> byly vynakládány účelně, hospodárně a v souladu s právními předpisy a zda došlo k naplnění cílů opatření</w:t>
      </w:r>
      <w:r w:rsidRPr="00781556">
        <w:rPr>
          <w:i/>
          <w:iCs/>
        </w:rPr>
        <w:t xml:space="preserve"> Programu rozvoje venkova na období 2014–2020</w:t>
      </w:r>
      <w:r w:rsidRPr="00781556">
        <w:t>. Kontrola byla provedena u Ministerstva zemědělství, kde se zaměřila na jeho činnost jakožto řídicí</w:t>
      </w:r>
      <w:r>
        <w:t xml:space="preserve">ho </w:t>
      </w:r>
      <w:r w:rsidRPr="00781556">
        <w:t>orgán</w:t>
      </w:r>
      <w:r>
        <w:t>u</w:t>
      </w:r>
      <w:r w:rsidRPr="00781556">
        <w:t xml:space="preserve"> PRV 2014</w:t>
      </w:r>
      <w:r w:rsidR="00312420" w:rsidRPr="00312420">
        <w:t>–</w:t>
      </w:r>
      <w:r w:rsidRPr="00781556">
        <w:t>2020</w:t>
      </w:r>
      <w:r>
        <w:t>, a</w:t>
      </w:r>
      <w:r w:rsidR="00085B3A">
        <w:t xml:space="preserve"> </w:t>
      </w:r>
      <w:r w:rsidR="00085B3A" w:rsidRPr="00085B3A">
        <w:t>dále byla kontrola provedena u SZIF, kde se zaměřila na jeho činnost jakožto platební agentury</w:t>
      </w:r>
      <w:r>
        <w:t xml:space="preserve">. NKÚ provedl kontrolu </w:t>
      </w:r>
      <w:r w:rsidRPr="00781556">
        <w:t xml:space="preserve">rovněž u šesti vybraných příjemců dotací, u nichž </w:t>
      </w:r>
      <w:r>
        <w:t>prověřil</w:t>
      </w:r>
      <w:r w:rsidRPr="00781556">
        <w:t xml:space="preserve"> realizac</w:t>
      </w:r>
      <w:r>
        <w:t>i</w:t>
      </w:r>
      <w:r w:rsidRPr="00781556">
        <w:t xml:space="preserve"> 20 projektů schválených k podpoře. Finanční objem kontrolovaných projektů činil </w:t>
      </w:r>
      <w:r w:rsidR="00B25357">
        <w:t xml:space="preserve">cca </w:t>
      </w:r>
      <w:r w:rsidRPr="00781556">
        <w:t>107 mil. Kč.</w:t>
      </w:r>
    </w:p>
    <w:p w:rsidR="00D14232" w:rsidRDefault="00D14232" w:rsidP="003D1D1D">
      <w:pPr>
        <w:pStyle w:val="JK1"/>
        <w:numPr>
          <w:ilvl w:val="0"/>
          <w:numId w:val="0"/>
        </w:numPr>
        <w:spacing w:before="0"/>
        <w:rPr>
          <w:b/>
        </w:rPr>
      </w:pPr>
      <w:r>
        <w:rPr>
          <w:b/>
          <w:bCs/>
        </w:rPr>
        <w:t xml:space="preserve">1.3 </w:t>
      </w:r>
      <w:r w:rsidRPr="00B445A7">
        <w:rPr>
          <w:b/>
          <w:bCs/>
        </w:rPr>
        <w:t>NKÚ zjistil nedostatky</w:t>
      </w:r>
      <w:r w:rsidRPr="00B445A7">
        <w:rPr>
          <w:b/>
        </w:rPr>
        <w:t xml:space="preserve"> v nastavení, řízení a realizaci PRV 2014</w:t>
      </w:r>
      <w:r w:rsidR="00185D5B">
        <w:rPr>
          <w:b/>
        </w:rPr>
        <w:t>–</w:t>
      </w:r>
      <w:r w:rsidRPr="00B445A7">
        <w:rPr>
          <w:b/>
        </w:rPr>
        <w:t>2020, které snižují účelnost poskytovaných a čerpaných peněžních prostředků</w:t>
      </w:r>
      <w:r>
        <w:rPr>
          <w:b/>
        </w:rPr>
        <w:t xml:space="preserve"> a omezují ověřitelnost naplnění cílů a přínosů podpory</w:t>
      </w:r>
      <w:r w:rsidRPr="00B445A7">
        <w:rPr>
          <w:b/>
        </w:rPr>
        <w:t>.</w:t>
      </w:r>
    </w:p>
    <w:p w:rsidR="00D14232" w:rsidRPr="00FC3580" w:rsidRDefault="00D14232" w:rsidP="003D1D1D">
      <w:pPr>
        <w:spacing w:before="0"/>
        <w:rPr>
          <w:b/>
        </w:rPr>
      </w:pPr>
      <w:r w:rsidRPr="00B445A7">
        <w:rPr>
          <w:rFonts w:cstheme="minorHAnsi"/>
          <w:b/>
        </w:rPr>
        <w:t xml:space="preserve">MZe </w:t>
      </w:r>
      <w:r>
        <w:rPr>
          <w:rFonts w:cstheme="minorHAnsi"/>
          <w:b/>
        </w:rPr>
        <w:t>nedefinovalo</w:t>
      </w:r>
      <w:r w:rsidRPr="00B445A7">
        <w:rPr>
          <w:rFonts w:cstheme="minorHAnsi"/>
          <w:b/>
        </w:rPr>
        <w:t xml:space="preserve"> cíle jednotlivých</w:t>
      </w:r>
      <w:r>
        <w:rPr>
          <w:rFonts w:cstheme="minorHAnsi"/>
          <w:b/>
        </w:rPr>
        <w:t xml:space="preserve"> opatření a operací</w:t>
      </w:r>
      <w:r w:rsidRPr="00B445A7">
        <w:rPr>
          <w:rFonts w:cstheme="minorHAnsi"/>
          <w:b/>
        </w:rPr>
        <w:t xml:space="preserve"> zcela konkrétně a měřitelně</w:t>
      </w:r>
      <w:r>
        <w:rPr>
          <w:rFonts w:cstheme="minorHAnsi"/>
          <w:b/>
        </w:rPr>
        <w:t xml:space="preserve">. MZe </w:t>
      </w:r>
      <w:r w:rsidRPr="00B445A7">
        <w:rPr>
          <w:b/>
        </w:rPr>
        <w:t>nenastavilo</w:t>
      </w:r>
      <w:r w:rsidRPr="00B445A7">
        <w:rPr>
          <w:rFonts w:cstheme="minorHAnsi"/>
          <w:b/>
        </w:rPr>
        <w:t xml:space="preserve"> indikátory, na jejichž základě by </w:t>
      </w:r>
      <w:r>
        <w:rPr>
          <w:rFonts w:cstheme="minorHAnsi"/>
          <w:b/>
        </w:rPr>
        <w:t xml:space="preserve">mohlo sledovat a hodnotit účelnost, výsledky projektů a dopady podpory. Monitorovací zprávy předkládané </w:t>
      </w:r>
      <w:r w:rsidR="00312420">
        <w:rPr>
          <w:rFonts w:cstheme="minorHAnsi"/>
          <w:b/>
        </w:rPr>
        <w:t xml:space="preserve">podpořenými </w:t>
      </w:r>
      <w:r>
        <w:rPr>
          <w:rFonts w:cstheme="minorHAnsi"/>
          <w:b/>
        </w:rPr>
        <w:t xml:space="preserve">příjemci navíc </w:t>
      </w:r>
      <w:r w:rsidR="00312420">
        <w:rPr>
          <w:rFonts w:cstheme="minorHAnsi"/>
          <w:b/>
        </w:rPr>
        <w:t xml:space="preserve">často </w:t>
      </w:r>
      <w:r>
        <w:rPr>
          <w:rFonts w:cstheme="minorHAnsi"/>
          <w:b/>
        </w:rPr>
        <w:t>obsahovaly nesprávné údaje</w:t>
      </w:r>
      <w:r w:rsidR="00957C3F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SZIF </w:t>
      </w:r>
      <w:r w:rsidR="00957C3F">
        <w:rPr>
          <w:rFonts w:cstheme="minorHAnsi"/>
          <w:b/>
        </w:rPr>
        <w:t>správnost údajů nekontroloval a ne</w:t>
      </w:r>
      <w:r>
        <w:rPr>
          <w:rFonts w:cstheme="minorHAnsi"/>
          <w:b/>
        </w:rPr>
        <w:t xml:space="preserve">požadoval </w:t>
      </w:r>
      <w:r w:rsidR="00957C3F">
        <w:rPr>
          <w:rFonts w:cstheme="minorHAnsi"/>
          <w:b/>
        </w:rPr>
        <w:t xml:space="preserve">proto </w:t>
      </w:r>
      <w:r>
        <w:rPr>
          <w:rFonts w:cstheme="minorHAnsi"/>
          <w:b/>
        </w:rPr>
        <w:t xml:space="preserve">jejich </w:t>
      </w:r>
      <w:r w:rsidR="00E85EAE">
        <w:rPr>
          <w:rFonts w:cstheme="minorHAnsi"/>
          <w:b/>
        </w:rPr>
        <w:t>revizi</w:t>
      </w:r>
      <w:r>
        <w:rPr>
          <w:rFonts w:cstheme="minorHAnsi"/>
          <w:b/>
        </w:rPr>
        <w:t xml:space="preserve">, což dále omezovalo jejich využitelnost pro hodnocení účelnosti poskytovaných peněžních prostředků. </w:t>
      </w:r>
      <w:r w:rsidRPr="00FC3580">
        <w:rPr>
          <w:rFonts w:cstheme="minorHAnsi"/>
          <w:b/>
        </w:rPr>
        <w:t>Z</w:t>
      </w:r>
      <w:r w:rsidR="00312420">
        <w:rPr>
          <w:rFonts w:cstheme="minorHAnsi"/>
          <w:b/>
        </w:rPr>
        <w:t xml:space="preserve"> </w:t>
      </w:r>
      <w:r w:rsidRPr="00FC3580">
        <w:rPr>
          <w:rFonts w:cstheme="minorHAnsi"/>
          <w:b/>
        </w:rPr>
        <w:t>důvod</w:t>
      </w:r>
      <w:r w:rsidR="00312420">
        <w:rPr>
          <w:rFonts w:cstheme="minorHAnsi"/>
          <w:b/>
        </w:rPr>
        <w:t>u</w:t>
      </w:r>
      <w:r w:rsidRPr="00FC3580">
        <w:rPr>
          <w:rFonts w:cstheme="minorHAnsi"/>
          <w:b/>
        </w:rPr>
        <w:t xml:space="preserve"> </w:t>
      </w:r>
      <w:r>
        <w:rPr>
          <w:rFonts w:cstheme="minorHAnsi"/>
          <w:b/>
        </w:rPr>
        <w:t>nedostatečně</w:t>
      </w:r>
      <w:r w:rsidRPr="00FC3580">
        <w:rPr>
          <w:rFonts w:cstheme="minorHAnsi"/>
          <w:b/>
        </w:rPr>
        <w:t xml:space="preserve"> nastavených cílů a monitorovacích indikátorů</w:t>
      </w:r>
      <w:r w:rsidR="00D662B5">
        <w:rPr>
          <w:rFonts w:cstheme="minorHAnsi"/>
          <w:b/>
        </w:rPr>
        <w:t xml:space="preserve"> nelze</w:t>
      </w:r>
      <w:r w:rsidRPr="00FC3580">
        <w:rPr>
          <w:rFonts w:cstheme="minorHAnsi"/>
          <w:b/>
        </w:rPr>
        <w:t xml:space="preserve"> vyhodnotit, jak daná podpora přispěla k rozvoji venkova a jaké jsou její dopady.</w:t>
      </w:r>
      <w:r w:rsidR="00D662B5">
        <w:rPr>
          <w:rFonts w:cstheme="minorHAnsi"/>
          <w:b/>
        </w:rPr>
        <w:t xml:space="preserve"> </w:t>
      </w:r>
    </w:p>
    <w:p w:rsidR="00D14232" w:rsidRDefault="00D14232" w:rsidP="00F5505F">
      <w:pPr>
        <w:pStyle w:val="JK1"/>
        <w:numPr>
          <w:ilvl w:val="0"/>
          <w:numId w:val="0"/>
        </w:numPr>
        <w:spacing w:before="0"/>
        <w:rPr>
          <w:b/>
          <w:bCs/>
        </w:rPr>
      </w:pPr>
      <w:r w:rsidRPr="00B445A7">
        <w:rPr>
          <w:b/>
          <w:bCs/>
        </w:rPr>
        <w:t xml:space="preserve">Při kontrole vybraných </w:t>
      </w:r>
      <w:r>
        <w:rPr>
          <w:b/>
          <w:bCs/>
        </w:rPr>
        <w:t xml:space="preserve">20 </w:t>
      </w:r>
      <w:r w:rsidRPr="00B445A7">
        <w:rPr>
          <w:b/>
          <w:bCs/>
        </w:rPr>
        <w:t>projektů</w:t>
      </w:r>
      <w:r>
        <w:rPr>
          <w:b/>
          <w:bCs/>
        </w:rPr>
        <w:t xml:space="preserve"> u příjemců</w:t>
      </w:r>
      <w:r w:rsidRPr="00B445A7">
        <w:rPr>
          <w:b/>
          <w:bCs/>
        </w:rPr>
        <w:t xml:space="preserve"> NKÚ zjistil, že </w:t>
      </w:r>
      <w:r w:rsidR="00084613">
        <w:rPr>
          <w:b/>
          <w:bCs/>
        </w:rPr>
        <w:t xml:space="preserve">příjemci </w:t>
      </w:r>
      <w:r>
        <w:rPr>
          <w:b/>
          <w:bCs/>
        </w:rPr>
        <w:t>peněžní prostředky na</w:t>
      </w:r>
      <w:r w:rsidR="0059509F">
        <w:rPr>
          <w:b/>
          <w:bCs/>
        </w:rPr>
        <w:t> </w:t>
      </w:r>
      <w:r>
        <w:rPr>
          <w:b/>
          <w:bCs/>
        </w:rPr>
        <w:t xml:space="preserve">jejich realizaci </w:t>
      </w:r>
      <w:r w:rsidR="00084613">
        <w:rPr>
          <w:b/>
          <w:bCs/>
        </w:rPr>
        <w:t>vynaložili</w:t>
      </w:r>
      <w:r>
        <w:rPr>
          <w:b/>
          <w:bCs/>
        </w:rPr>
        <w:t xml:space="preserve"> hospodárně a v souladu s právními předpisy. </w:t>
      </w:r>
      <w:r w:rsidR="006F3954">
        <w:rPr>
          <w:b/>
          <w:bCs/>
        </w:rPr>
        <w:t>U p</w:t>
      </w:r>
      <w:r>
        <w:rPr>
          <w:b/>
          <w:bCs/>
        </w:rPr>
        <w:t>ět</w:t>
      </w:r>
      <w:r w:rsidR="006F3954">
        <w:rPr>
          <w:b/>
          <w:bCs/>
        </w:rPr>
        <w:t>i</w:t>
      </w:r>
      <w:r>
        <w:rPr>
          <w:b/>
          <w:bCs/>
        </w:rPr>
        <w:t xml:space="preserve"> z vybraných projektů byly vynaloženy peněžní prostředky účelně. U </w:t>
      </w:r>
      <w:r w:rsidR="006F3954">
        <w:rPr>
          <w:b/>
          <w:bCs/>
        </w:rPr>
        <w:t>12</w:t>
      </w:r>
      <w:r>
        <w:rPr>
          <w:b/>
          <w:bCs/>
        </w:rPr>
        <w:t xml:space="preserve"> projektů měl NKÚ výhradu, kdy </w:t>
      </w:r>
      <w:r w:rsidRPr="00692E21">
        <w:rPr>
          <w:rFonts w:cstheme="minorHAnsi"/>
          <w:b/>
        </w:rPr>
        <w:t xml:space="preserve">příjemci nenastavili konkrétní a měřitelné cíle </w:t>
      </w:r>
      <w:r>
        <w:rPr>
          <w:rFonts w:cstheme="minorHAnsi"/>
          <w:b/>
        </w:rPr>
        <w:t>k hodnocení</w:t>
      </w:r>
      <w:r w:rsidRPr="00692E21">
        <w:rPr>
          <w:rFonts w:cstheme="minorHAnsi"/>
          <w:b/>
        </w:rPr>
        <w:t xml:space="preserve"> </w:t>
      </w:r>
      <w:r>
        <w:rPr>
          <w:rFonts w:cstheme="minorHAnsi"/>
          <w:b/>
        </w:rPr>
        <w:t>účelnosti vynaložených prostředků</w:t>
      </w:r>
      <w:r w:rsidRPr="00692E21">
        <w:rPr>
          <w:rFonts w:cstheme="minorHAnsi"/>
          <w:b/>
        </w:rPr>
        <w:t>.</w:t>
      </w:r>
      <w:r>
        <w:rPr>
          <w:rFonts w:cstheme="minorHAnsi"/>
          <w:b/>
        </w:rPr>
        <w:t xml:space="preserve"> U tř</w:t>
      </w:r>
      <w:r w:rsidR="00A27871">
        <w:rPr>
          <w:rFonts w:cstheme="minorHAnsi"/>
          <w:b/>
        </w:rPr>
        <w:t>í</w:t>
      </w:r>
      <w:r>
        <w:rPr>
          <w:rFonts w:cstheme="minorHAnsi"/>
          <w:b/>
        </w:rPr>
        <w:t xml:space="preserve"> projektů konstatoval NKÚ jen omezenou účelnost, protože</w:t>
      </w:r>
      <w:r w:rsidRPr="00692E21">
        <w:rPr>
          <w:rFonts w:cstheme="minorHAnsi"/>
          <w:b/>
        </w:rPr>
        <w:t xml:space="preserve"> </w:t>
      </w:r>
      <w:r>
        <w:rPr>
          <w:b/>
          <w:bCs/>
        </w:rPr>
        <w:t>příjemci významně nedosahovali předpokládaných ekonomických výsledků z nezemědělské činnosti, na n</w:t>
      </w:r>
      <w:r w:rsidR="00A27871">
        <w:rPr>
          <w:b/>
          <w:bCs/>
        </w:rPr>
        <w:t>i</w:t>
      </w:r>
      <w:r>
        <w:rPr>
          <w:b/>
          <w:bCs/>
        </w:rPr>
        <w:t>ž obdrželi z PRV 2014</w:t>
      </w:r>
      <w:r w:rsidR="00185D5B">
        <w:rPr>
          <w:b/>
          <w:bCs/>
        </w:rPr>
        <w:t>–</w:t>
      </w:r>
      <w:r>
        <w:rPr>
          <w:b/>
          <w:bCs/>
        </w:rPr>
        <w:t>2020 podporu.</w:t>
      </w:r>
    </w:p>
    <w:p w:rsidR="00D14232" w:rsidRPr="0068502F" w:rsidRDefault="00D14232" w:rsidP="00F5505F">
      <w:pPr>
        <w:pStyle w:val="JK1"/>
        <w:numPr>
          <w:ilvl w:val="0"/>
          <w:numId w:val="0"/>
        </w:numPr>
        <w:spacing w:before="0"/>
        <w:rPr>
          <w:b/>
          <w:bCs/>
        </w:rPr>
      </w:pPr>
      <w:r>
        <w:rPr>
          <w:b/>
          <w:bCs/>
        </w:rPr>
        <w:t>NKÚ také zjistil</w:t>
      </w:r>
      <w:r w:rsidR="00B25357">
        <w:rPr>
          <w:b/>
          <w:bCs/>
        </w:rPr>
        <w:t>,</w:t>
      </w:r>
      <w:r>
        <w:rPr>
          <w:b/>
          <w:bCs/>
        </w:rPr>
        <w:t xml:space="preserve"> </w:t>
      </w:r>
      <w:r w:rsidR="007B0818">
        <w:rPr>
          <w:b/>
        </w:rPr>
        <w:t xml:space="preserve">že </w:t>
      </w:r>
      <w:r w:rsidR="007F092F">
        <w:rPr>
          <w:b/>
        </w:rPr>
        <w:t xml:space="preserve">MZe ani SZIF ve třech případech </w:t>
      </w:r>
      <w:r w:rsidR="00312420">
        <w:rPr>
          <w:b/>
        </w:rPr>
        <w:t>ne</w:t>
      </w:r>
      <w:r w:rsidR="00312420" w:rsidRPr="00692E21">
        <w:rPr>
          <w:b/>
        </w:rPr>
        <w:t>oznámi</w:t>
      </w:r>
      <w:r w:rsidR="00312420">
        <w:rPr>
          <w:b/>
        </w:rPr>
        <w:t xml:space="preserve">ly </w:t>
      </w:r>
      <w:r w:rsidRPr="00692E21">
        <w:rPr>
          <w:b/>
        </w:rPr>
        <w:t>orgánům činným v trestním řízení skutečnosti nasvědčující tomu, že byl</w:t>
      </w:r>
      <w:r>
        <w:rPr>
          <w:b/>
        </w:rPr>
        <w:t xml:space="preserve"> ze strany žadatelů o podporu</w:t>
      </w:r>
      <w:r w:rsidRPr="00692E21">
        <w:rPr>
          <w:b/>
        </w:rPr>
        <w:t xml:space="preserve"> spáchán trestný čin</w:t>
      </w:r>
      <w:r>
        <w:rPr>
          <w:b/>
        </w:rPr>
        <w:t>.</w:t>
      </w:r>
      <w:r>
        <w:rPr>
          <w:b/>
          <w:bCs/>
        </w:rPr>
        <w:t xml:space="preserve"> </w:t>
      </w:r>
    </w:p>
    <w:p w:rsidR="00D14232" w:rsidRDefault="00D14232" w:rsidP="00F5505F">
      <w:pPr>
        <w:pStyle w:val="JK1"/>
        <w:numPr>
          <w:ilvl w:val="0"/>
          <w:numId w:val="0"/>
        </w:numPr>
      </w:pPr>
      <w:r w:rsidRPr="00781556">
        <w:rPr>
          <w:b/>
        </w:rPr>
        <w:t>1.4</w:t>
      </w:r>
      <w:r>
        <w:rPr>
          <w:b/>
        </w:rPr>
        <w:t xml:space="preserve"> </w:t>
      </w:r>
      <w:r>
        <w:t xml:space="preserve">Toto celkové </w:t>
      </w:r>
      <w:r w:rsidR="00312420">
        <w:t>vy</w:t>
      </w:r>
      <w:r>
        <w:t xml:space="preserve">hodnocení </w:t>
      </w:r>
      <w:r w:rsidR="00312420">
        <w:t>vyplývá z následujících zjištění</w:t>
      </w:r>
      <w:r>
        <w:t>:</w:t>
      </w:r>
    </w:p>
    <w:p w:rsidR="00D14232" w:rsidRDefault="00D14232" w:rsidP="00F5505F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</w:pPr>
      <w:r w:rsidRPr="00076C0D">
        <w:t>Při nastavování PRV 2014</w:t>
      </w:r>
      <w:r w:rsidR="00312420" w:rsidRPr="00312420">
        <w:t>–</w:t>
      </w:r>
      <w:r w:rsidRPr="00076C0D">
        <w:t>2020 neprovedlo MZe průzkum zájmu potenciálních žadatelů</w:t>
      </w:r>
      <w:r w:rsidR="000177EB">
        <w:t xml:space="preserve"> </w:t>
      </w:r>
      <w:r>
        <w:br/>
      </w:r>
      <w:r w:rsidRPr="00076C0D">
        <w:t xml:space="preserve">o dotaci. </w:t>
      </w:r>
      <w:r>
        <w:t>MZe z</w:t>
      </w:r>
      <w:r w:rsidRPr="00076C0D">
        <w:t>ařadilo mezi oblasti podpory takové operace, o které nebyl ze strany žadatelů zájem (podpora na</w:t>
      </w:r>
      <w:r w:rsidR="00FC13FD">
        <w:t xml:space="preserve"> </w:t>
      </w:r>
      <w:r w:rsidRPr="00076C0D">
        <w:t>výstavbu bioplynových stanic – operace 6.4.3)</w:t>
      </w:r>
      <w:r w:rsidR="00312420">
        <w:t>,</w:t>
      </w:r>
      <w:r w:rsidRPr="00076C0D">
        <w:t xml:space="preserve"> a opatření, které se vůbec nepodařilo </w:t>
      </w:r>
      <w:r w:rsidR="00836389">
        <w:t>zahájit</w:t>
      </w:r>
      <w:r w:rsidRPr="00076C0D">
        <w:t xml:space="preserve"> (podpora poradenství – opatření M02). Ke zrušení opatření </w:t>
      </w:r>
      <w:r>
        <w:t xml:space="preserve">M02 </w:t>
      </w:r>
      <w:r w:rsidRPr="00076C0D">
        <w:t>a převedení</w:t>
      </w:r>
      <w:r>
        <w:t xml:space="preserve"> nečerpaných</w:t>
      </w:r>
      <w:r w:rsidRPr="00076C0D">
        <w:t xml:space="preserve"> prostředků do jin</w:t>
      </w:r>
      <w:r>
        <w:t>ých</w:t>
      </w:r>
      <w:r w:rsidRPr="00076C0D">
        <w:t xml:space="preserve"> oblast</w:t>
      </w:r>
      <w:r>
        <w:t>í</w:t>
      </w:r>
      <w:r w:rsidRPr="00076C0D">
        <w:t xml:space="preserve"> přistoupilo MZe až v</w:t>
      </w:r>
      <w:r w:rsidR="00312420">
        <w:t> </w:t>
      </w:r>
      <w:r w:rsidRPr="00076C0D">
        <w:t>roce 2018</w:t>
      </w:r>
      <w:r w:rsidR="006F3954">
        <w:t>, tedy tři roky po schválení první verze programu a v pátém roce</w:t>
      </w:r>
      <w:r>
        <w:t xml:space="preserve"> programového období </w:t>
      </w:r>
      <w:r w:rsidRPr="00692E21">
        <w:t>(viz odst.</w:t>
      </w:r>
      <w:r w:rsidR="006F3954">
        <w:t xml:space="preserve"> 4.1 a</w:t>
      </w:r>
      <w:r w:rsidR="00FE0DC3">
        <w:t>ž</w:t>
      </w:r>
      <w:r w:rsidR="006F3954">
        <w:t xml:space="preserve"> 4.</w:t>
      </w:r>
      <w:r w:rsidR="00FE0DC3">
        <w:t>3</w:t>
      </w:r>
      <w:r w:rsidRPr="00692E21">
        <w:t>)</w:t>
      </w:r>
      <w:r w:rsidRPr="00882030">
        <w:t>.</w:t>
      </w:r>
      <w:r>
        <w:t xml:space="preserve"> </w:t>
      </w:r>
    </w:p>
    <w:p w:rsidR="00D14232" w:rsidRPr="00554A90" w:rsidRDefault="00D14232" w:rsidP="00F5505F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</w:pPr>
      <w:r w:rsidRPr="00DB2C6D">
        <w:lastRenderedPageBreak/>
        <w:t>MZe nenastavilo cíle jednotlivých operací zcela dle principu SMART</w:t>
      </w:r>
      <w:r w:rsidR="00AE71D4">
        <w:rPr>
          <w:rStyle w:val="Znakapoznpodarou"/>
          <w:rFonts w:cstheme="minorHAnsi"/>
          <w:bCs/>
        </w:rPr>
        <w:footnoteReference w:id="1"/>
      </w:r>
      <w:r w:rsidRPr="00DB2C6D">
        <w:t xml:space="preserve">. </w:t>
      </w:r>
      <w:r>
        <w:t>P</w:t>
      </w:r>
      <w:r w:rsidRPr="00DB2C6D">
        <w:t xml:space="preserve">roblémem </w:t>
      </w:r>
      <w:r>
        <w:t>bylo</w:t>
      </w:r>
      <w:r w:rsidRPr="00DB2C6D">
        <w:t xml:space="preserve"> </w:t>
      </w:r>
      <w:r>
        <w:t xml:space="preserve">především </w:t>
      </w:r>
      <w:r w:rsidRPr="00DB2C6D">
        <w:t xml:space="preserve">neprovázání cílů s vhodnými indikátory, na jejichž základě by bylo možné provést vyhodnocení plnění cílů, přínosů a dopadů podpory. </w:t>
      </w:r>
      <w:r w:rsidRPr="00DB2C6D">
        <w:rPr>
          <w:rFonts w:cstheme="minorHAnsi"/>
          <w:bCs/>
        </w:rPr>
        <w:t>Žadatelé v</w:t>
      </w:r>
      <w:r w:rsidR="00F5493E">
        <w:rPr>
          <w:rFonts w:cstheme="minorHAnsi"/>
          <w:bCs/>
        </w:rPr>
        <w:t xml:space="preserve"> </w:t>
      </w:r>
      <w:r w:rsidRPr="00DB2C6D">
        <w:rPr>
          <w:rFonts w:cstheme="minorHAnsi"/>
          <w:bCs/>
        </w:rPr>
        <w:t xml:space="preserve">rámci projektů nedefinovali </w:t>
      </w:r>
      <w:r w:rsidR="004E2EE9" w:rsidRPr="004E2EE9">
        <w:rPr>
          <w:rFonts w:cstheme="minorHAnsi"/>
          <w:bCs/>
        </w:rPr>
        <w:t>–</w:t>
      </w:r>
      <w:r w:rsidR="004E2EE9">
        <w:rPr>
          <w:rFonts w:cstheme="minorHAnsi"/>
          <w:bCs/>
        </w:rPr>
        <w:t xml:space="preserve"> </w:t>
      </w:r>
      <w:r w:rsidRPr="00DB2C6D">
        <w:rPr>
          <w:rFonts w:cstheme="minorHAnsi"/>
          <w:bCs/>
        </w:rPr>
        <w:t>a MZe a</w:t>
      </w:r>
      <w:r w:rsidR="004E2EE9">
        <w:rPr>
          <w:rFonts w:cstheme="minorHAnsi"/>
          <w:bCs/>
        </w:rPr>
        <w:t>ni</w:t>
      </w:r>
      <w:r w:rsidRPr="00DB2C6D">
        <w:rPr>
          <w:rFonts w:cstheme="minorHAnsi"/>
          <w:bCs/>
        </w:rPr>
        <w:t xml:space="preserve"> SZIF </w:t>
      </w:r>
      <w:r w:rsidR="004E2EE9">
        <w:rPr>
          <w:rFonts w:cstheme="minorHAnsi"/>
          <w:bCs/>
        </w:rPr>
        <w:t xml:space="preserve">to </w:t>
      </w:r>
      <w:r w:rsidRPr="00DB2C6D">
        <w:rPr>
          <w:rFonts w:cstheme="minorHAnsi"/>
          <w:bCs/>
        </w:rPr>
        <w:t>po</w:t>
      </w:r>
      <w:r w:rsidR="004E2EE9">
        <w:rPr>
          <w:rFonts w:cstheme="minorHAnsi"/>
          <w:bCs/>
        </w:rPr>
        <w:t xml:space="preserve"> </w:t>
      </w:r>
      <w:r w:rsidRPr="00DB2C6D">
        <w:rPr>
          <w:rFonts w:cstheme="minorHAnsi"/>
          <w:bCs/>
        </w:rPr>
        <w:t xml:space="preserve">žadatelích </w:t>
      </w:r>
      <w:r w:rsidR="004E2EE9">
        <w:rPr>
          <w:rFonts w:cstheme="minorHAnsi"/>
          <w:bCs/>
        </w:rPr>
        <w:t xml:space="preserve">ani </w:t>
      </w:r>
      <w:r w:rsidRPr="00DB2C6D">
        <w:rPr>
          <w:rFonts w:cstheme="minorHAnsi"/>
          <w:bCs/>
        </w:rPr>
        <w:t xml:space="preserve">nepožadovaly </w:t>
      </w:r>
      <w:r w:rsidR="004E2EE9">
        <w:t xml:space="preserve">– </w:t>
      </w:r>
      <w:r w:rsidRPr="00DB2C6D">
        <w:rPr>
          <w:rFonts w:cstheme="minorHAnsi"/>
          <w:bCs/>
        </w:rPr>
        <w:t>konkrétní a měřitelné cíle projektů</w:t>
      </w:r>
      <w:r>
        <w:rPr>
          <w:rFonts w:cstheme="minorHAnsi"/>
          <w:bCs/>
        </w:rPr>
        <w:t>, kterých by měli prostřednictvím podpory z</w:t>
      </w:r>
      <w:r w:rsidR="002D760D">
        <w:rPr>
          <w:rFonts w:cstheme="minorHAnsi"/>
          <w:bCs/>
        </w:rPr>
        <w:t> </w:t>
      </w:r>
      <w:r>
        <w:rPr>
          <w:rFonts w:cstheme="minorHAnsi"/>
          <w:bCs/>
        </w:rPr>
        <w:t>PRV</w:t>
      </w:r>
      <w:r w:rsidR="002D760D">
        <w:rPr>
          <w:rFonts w:cstheme="minorHAnsi"/>
          <w:bCs/>
        </w:rPr>
        <w:t xml:space="preserve"> 2014</w:t>
      </w:r>
      <w:r w:rsidR="004E2EE9">
        <w:rPr>
          <w:rFonts w:cstheme="minorHAnsi"/>
          <w:bCs/>
        </w:rPr>
        <w:t>–</w:t>
      </w:r>
      <w:r w:rsidR="002D760D">
        <w:rPr>
          <w:rFonts w:cstheme="minorHAnsi"/>
          <w:bCs/>
        </w:rPr>
        <w:t>2020</w:t>
      </w:r>
      <w:r>
        <w:rPr>
          <w:rFonts w:cstheme="minorHAnsi"/>
          <w:bCs/>
        </w:rPr>
        <w:t xml:space="preserve"> dosáhnout</w:t>
      </w:r>
      <w:r w:rsidRPr="00DB2C6D">
        <w:rPr>
          <w:rFonts w:cstheme="minorHAnsi"/>
          <w:bCs/>
        </w:rPr>
        <w:t>.</w:t>
      </w:r>
      <w:r>
        <w:rPr>
          <w:rFonts w:cstheme="minorHAnsi"/>
          <w:bCs/>
        </w:rPr>
        <w:t xml:space="preserve"> Ze vzorku 50 </w:t>
      </w:r>
      <w:r w:rsidR="004E2EE9">
        <w:rPr>
          <w:rFonts w:cstheme="minorHAnsi"/>
          <w:bCs/>
        </w:rPr>
        <w:t xml:space="preserve">projektů </w:t>
      </w:r>
      <w:r>
        <w:rPr>
          <w:rFonts w:cstheme="minorHAnsi"/>
          <w:bCs/>
        </w:rPr>
        <w:t>kontrolovaných u SZIF nebyly cíle dle principu SMART</w:t>
      </w:r>
      <w:r>
        <w:t xml:space="preserve"> u 31 projektů</w:t>
      </w:r>
      <w:r w:rsidR="004E2EE9">
        <w:t>,</w:t>
      </w:r>
      <w:r>
        <w:t xml:space="preserve"> nebylo tak</w:t>
      </w:r>
      <w:r w:rsidRPr="00DB2C6D">
        <w:t xml:space="preserve"> </w:t>
      </w:r>
      <w:r>
        <w:t>možné</w:t>
      </w:r>
      <w:r w:rsidRPr="00DB2C6D">
        <w:t xml:space="preserve"> hodnotit dosažitelnost </w:t>
      </w:r>
      <w:r w:rsidR="004E2EE9">
        <w:t xml:space="preserve">těchto cílů </w:t>
      </w:r>
      <w:r w:rsidRPr="00DB2C6D">
        <w:t>a posoudit výsledky a přínosy</w:t>
      </w:r>
      <w:r w:rsidR="000654B3">
        <w:t xml:space="preserve"> předmětných projektů</w:t>
      </w:r>
      <w:r w:rsidRPr="00DB2C6D">
        <w:t xml:space="preserve">, tedy účelnost vynaložených peněžních prostředků </w:t>
      </w:r>
      <w:r w:rsidRPr="00692E21">
        <w:t>(viz odst</w:t>
      </w:r>
      <w:r w:rsidR="000654B3">
        <w:t>avce</w:t>
      </w:r>
      <w:r w:rsidRPr="00692E21">
        <w:t xml:space="preserve"> 4.</w:t>
      </w:r>
      <w:r w:rsidR="00FE0DC3">
        <w:t>4</w:t>
      </w:r>
      <w:r w:rsidR="000654B3">
        <w:t> </w:t>
      </w:r>
      <w:r w:rsidRPr="00692E21">
        <w:t>až 4.10)</w:t>
      </w:r>
      <w:r w:rsidRPr="00882030">
        <w:t>.</w:t>
      </w:r>
      <w:r>
        <w:rPr>
          <w:highlight w:val="yellow"/>
        </w:rPr>
        <w:t xml:space="preserve"> </w:t>
      </w:r>
    </w:p>
    <w:p w:rsidR="00D14232" w:rsidRPr="00882030" w:rsidRDefault="003212BC" w:rsidP="00F5505F">
      <w:pPr>
        <w:pStyle w:val="Odstavecseseznamem"/>
        <w:numPr>
          <w:ilvl w:val="0"/>
          <w:numId w:val="4"/>
        </w:numPr>
        <w:spacing w:before="0" w:after="120"/>
        <w:ind w:left="284" w:hanging="284"/>
        <w:contextualSpacing w:val="0"/>
      </w:pPr>
      <w:r>
        <w:t>M</w:t>
      </w:r>
      <w:r w:rsidR="00FB1BF5">
        <w:t>Ze ne</w:t>
      </w:r>
      <w:r w:rsidR="000654B3">
        <w:t>stanovilo</w:t>
      </w:r>
      <w:r w:rsidR="00FB1BF5">
        <w:t xml:space="preserve"> obsah m</w:t>
      </w:r>
      <w:r w:rsidR="00D14232" w:rsidRPr="000479F1">
        <w:t>onitorova</w:t>
      </w:r>
      <w:r w:rsidR="00E85EAE">
        <w:t>cí</w:t>
      </w:r>
      <w:r w:rsidR="00D14232" w:rsidRPr="000479F1">
        <w:t>c</w:t>
      </w:r>
      <w:r w:rsidR="00FB1BF5">
        <w:t>h</w:t>
      </w:r>
      <w:r w:rsidR="00D14232" w:rsidRPr="000479F1">
        <w:t xml:space="preserve"> zpráv</w:t>
      </w:r>
      <w:r w:rsidR="00FB1BF5">
        <w:t xml:space="preserve"> požadovaných od příjemců tak, aby</w:t>
      </w:r>
      <w:r w:rsidR="00D14232" w:rsidRPr="000479F1">
        <w:t xml:space="preserve"> obsah</w:t>
      </w:r>
      <w:r w:rsidR="00FB1BF5">
        <w:t>ovaly</w:t>
      </w:r>
      <w:r w:rsidR="00D14232" w:rsidRPr="000479F1">
        <w:t xml:space="preserve"> údaje a informace, které by </w:t>
      </w:r>
      <w:r w:rsidR="00D14232">
        <w:t xml:space="preserve">MZe a </w:t>
      </w:r>
      <w:r w:rsidR="00D14232" w:rsidRPr="000479F1">
        <w:t>SZIF mohl</w:t>
      </w:r>
      <w:r w:rsidR="00D14232">
        <w:t>y</w:t>
      </w:r>
      <w:r w:rsidR="00D14232" w:rsidRPr="000479F1">
        <w:t xml:space="preserve"> využívat ke sledování plnění cílů projektů.</w:t>
      </w:r>
      <w:r w:rsidR="00166251">
        <w:t xml:space="preserve"> </w:t>
      </w:r>
      <w:r w:rsidR="00D14232">
        <w:t xml:space="preserve">Uváděné údaje </w:t>
      </w:r>
      <w:r w:rsidR="00FB1BF5">
        <w:t xml:space="preserve">a informace </w:t>
      </w:r>
      <w:r w:rsidR="00D14232">
        <w:t xml:space="preserve">jsou často obecné, neprovázané s údaji vykazovanými </w:t>
      </w:r>
      <w:r w:rsidR="00FC13FD">
        <w:br/>
      </w:r>
      <w:r w:rsidR="00D14232">
        <w:t>v</w:t>
      </w:r>
      <w:r w:rsidR="00FC13FD">
        <w:t xml:space="preserve"> </w:t>
      </w:r>
      <w:r w:rsidR="00D14232">
        <w:t xml:space="preserve">žádosti o dotaci a žádosti o </w:t>
      </w:r>
      <w:r w:rsidR="00AA79AB">
        <w:t>platbu</w:t>
      </w:r>
      <w:r w:rsidR="00D14232">
        <w:t xml:space="preserve"> a </w:t>
      </w:r>
      <w:r w:rsidR="00FB1BF5">
        <w:t xml:space="preserve">navíc </w:t>
      </w:r>
      <w:r w:rsidR="00D14232">
        <w:t xml:space="preserve">také </w:t>
      </w:r>
      <w:r w:rsidR="00FB1BF5">
        <w:t xml:space="preserve">často </w:t>
      </w:r>
      <w:r w:rsidR="00D14232">
        <w:t xml:space="preserve">nesprávné. </w:t>
      </w:r>
      <w:r w:rsidR="00D14232" w:rsidRPr="000479F1">
        <w:t>SZIF správnost a</w:t>
      </w:r>
      <w:r w:rsidR="00166251">
        <w:t> </w:t>
      </w:r>
      <w:r w:rsidR="00D14232" w:rsidRPr="000479F1">
        <w:t xml:space="preserve">relevantnost jednotlivých dat a informací poskytovaných </w:t>
      </w:r>
      <w:r w:rsidR="000654B3">
        <w:t xml:space="preserve">ze strany </w:t>
      </w:r>
      <w:r w:rsidR="00D14232" w:rsidRPr="000479F1">
        <w:t>příjemc</w:t>
      </w:r>
      <w:r w:rsidR="000654B3">
        <w:t>ů</w:t>
      </w:r>
      <w:r w:rsidR="00D14232">
        <w:t xml:space="preserve"> nekontroluje</w:t>
      </w:r>
      <w:r w:rsidR="00D14232" w:rsidRPr="000479F1">
        <w:t>, pouze ověřuje,</w:t>
      </w:r>
      <w:r w:rsidR="00166251">
        <w:t xml:space="preserve"> </w:t>
      </w:r>
      <w:r w:rsidR="00D14232">
        <w:t>zda</w:t>
      </w:r>
      <w:r w:rsidR="00D14232" w:rsidRPr="000479F1">
        <w:t xml:space="preserve"> příjemci odevzdali </w:t>
      </w:r>
      <w:r w:rsidR="00D14232">
        <w:t>monitorovací zprávy</w:t>
      </w:r>
      <w:r w:rsidR="00166251">
        <w:t xml:space="preserve"> </w:t>
      </w:r>
      <w:r w:rsidR="00D14232" w:rsidRPr="000479F1">
        <w:t>ve stanoveném termínu</w:t>
      </w:r>
      <w:r w:rsidR="006F3954">
        <w:t xml:space="preserve">. </w:t>
      </w:r>
      <w:r w:rsidR="006F3954" w:rsidRPr="006F3954">
        <w:rPr>
          <w:color w:val="auto"/>
        </w:rPr>
        <w:t>MZe v současné době nemá informace o výsledcích a přínosech PRV 2014</w:t>
      </w:r>
      <w:r w:rsidR="004E2EE9">
        <w:rPr>
          <w:color w:val="auto"/>
        </w:rPr>
        <w:t>–</w:t>
      </w:r>
      <w:r w:rsidR="006F3954" w:rsidRPr="006F3954">
        <w:rPr>
          <w:color w:val="auto"/>
        </w:rPr>
        <w:t xml:space="preserve">2020; </w:t>
      </w:r>
      <w:r w:rsidR="006F3954">
        <w:rPr>
          <w:color w:val="auto"/>
        </w:rPr>
        <w:t xml:space="preserve">jeho </w:t>
      </w:r>
      <w:r w:rsidR="006F3954" w:rsidRPr="006F3954">
        <w:rPr>
          <w:color w:val="auto"/>
        </w:rPr>
        <w:t>vyhodnocení provede až v roce 2026</w:t>
      </w:r>
      <w:r w:rsidR="00D14232">
        <w:t xml:space="preserve"> </w:t>
      </w:r>
      <w:r w:rsidR="00D14232" w:rsidRPr="00692E21">
        <w:t>(viz odst. 4.1</w:t>
      </w:r>
      <w:r w:rsidR="00FE0DC3">
        <w:t>1</w:t>
      </w:r>
      <w:r w:rsidR="00D14232" w:rsidRPr="00692E21">
        <w:t xml:space="preserve"> až 4.</w:t>
      </w:r>
      <w:r w:rsidR="006F3954">
        <w:t>20</w:t>
      </w:r>
      <w:r w:rsidR="00D14232" w:rsidRPr="00692E21">
        <w:t>)</w:t>
      </w:r>
      <w:r w:rsidR="00D14232">
        <w:t>.</w:t>
      </w:r>
    </w:p>
    <w:p w:rsidR="00D14232" w:rsidRPr="00692E21" w:rsidRDefault="00D14232" w:rsidP="00F5505F">
      <w:pPr>
        <w:pStyle w:val="Odstavecseseznamem"/>
        <w:numPr>
          <w:ilvl w:val="0"/>
          <w:numId w:val="4"/>
        </w:numPr>
        <w:spacing w:before="0" w:after="120"/>
        <w:ind w:left="284" w:hanging="284"/>
        <w:contextualSpacing w:val="0"/>
      </w:pPr>
      <w:r w:rsidRPr="00404432">
        <w:t xml:space="preserve">Preferenční kritéria </w:t>
      </w:r>
      <w:r w:rsidR="000654B3">
        <w:t>MZe</w:t>
      </w:r>
      <w:r w:rsidR="000654B3" w:rsidRPr="00404432">
        <w:t xml:space="preserve"> </w:t>
      </w:r>
      <w:r w:rsidRPr="00404432">
        <w:t>pro hodnocení a výběr projektů</w:t>
      </w:r>
      <w:r w:rsidR="00AA79AB">
        <w:t xml:space="preserve"> </w:t>
      </w:r>
      <w:r w:rsidR="00AA79AB" w:rsidRPr="00404432">
        <w:t>nezohledňovala</w:t>
      </w:r>
      <w:r w:rsidR="00DC6668">
        <w:t>,</w:t>
      </w:r>
      <w:r w:rsidRPr="00404432">
        <w:t xml:space="preserve"> jakou měrou hodnocený projekt přispěje k plnění cílů operací a opatření.</w:t>
      </w:r>
      <w:r>
        <w:t xml:space="preserve"> </w:t>
      </w:r>
      <w:r w:rsidRPr="00692E21">
        <w:t xml:space="preserve">Minimální bodovou hranici pro získání dotace u operací, kde se nedařilo čerpat vyčleněné prostředky (na podporu </w:t>
      </w:r>
      <w:r w:rsidRPr="00404432">
        <w:t>vzdělávání – opatření M01 a podporu výroby tvarovaných biopaliv – oper</w:t>
      </w:r>
      <w:r w:rsidRPr="002803F9">
        <w:t xml:space="preserve">ace 6.4.1 záměr c), MZe v průběhu programového období výrazně snižovalo </w:t>
      </w:r>
      <w:r w:rsidRPr="00692E21">
        <w:t>(viz odst. 4.2</w:t>
      </w:r>
      <w:r w:rsidR="00FE0DC3">
        <w:t>1</w:t>
      </w:r>
      <w:r w:rsidRPr="00692E21">
        <w:t xml:space="preserve"> a</w:t>
      </w:r>
      <w:r w:rsidR="00FE0DC3">
        <w:t>ž</w:t>
      </w:r>
      <w:r w:rsidR="0059509F">
        <w:t> </w:t>
      </w:r>
      <w:r w:rsidRPr="00692E21">
        <w:t>4.2</w:t>
      </w:r>
      <w:r w:rsidR="00F12D81">
        <w:t>4</w:t>
      </w:r>
      <w:r w:rsidRPr="00692E21">
        <w:t>).</w:t>
      </w:r>
    </w:p>
    <w:p w:rsidR="00D14232" w:rsidRPr="00882030" w:rsidRDefault="00D14232" w:rsidP="00F5505F">
      <w:pPr>
        <w:pStyle w:val="Odstavecseseznamem"/>
        <w:numPr>
          <w:ilvl w:val="0"/>
          <w:numId w:val="4"/>
        </w:numPr>
        <w:spacing w:before="0" w:after="120"/>
        <w:ind w:left="284" w:hanging="284"/>
        <w:contextualSpacing w:val="0"/>
      </w:pPr>
      <w:r w:rsidRPr="00882030">
        <w:t xml:space="preserve">MZe a SZIF </w:t>
      </w:r>
      <w:r w:rsidR="008A6E11">
        <w:t xml:space="preserve">ve </w:t>
      </w:r>
      <w:r w:rsidRPr="00882030">
        <w:t>tř</w:t>
      </w:r>
      <w:r w:rsidR="008A6E11">
        <w:t>ech</w:t>
      </w:r>
      <w:r w:rsidRPr="00882030">
        <w:t xml:space="preserve"> případ</w:t>
      </w:r>
      <w:r w:rsidR="008A6E11">
        <w:t>ech</w:t>
      </w:r>
      <w:r w:rsidRPr="00882030">
        <w:t xml:space="preserve"> </w:t>
      </w:r>
      <w:r w:rsidR="007B0818">
        <w:t>ne</w:t>
      </w:r>
      <w:r w:rsidRPr="00882030">
        <w:t>oznámi</w:t>
      </w:r>
      <w:r w:rsidR="007B0818">
        <w:t>ly</w:t>
      </w:r>
      <w:r w:rsidRPr="00882030">
        <w:t xml:space="preserve"> orgánům činným v trestním řízení skutečnosti nasvědčující tomu, že byl spáchán trestný čin</w:t>
      </w:r>
      <w:r>
        <w:t xml:space="preserve"> </w:t>
      </w:r>
      <w:r w:rsidRPr="00BD3F18">
        <w:t>(viz odst. 4.2</w:t>
      </w:r>
      <w:r w:rsidR="00F12D81">
        <w:t>5</w:t>
      </w:r>
      <w:r w:rsidRPr="00BD3F18">
        <w:t xml:space="preserve"> a</w:t>
      </w:r>
      <w:r w:rsidR="00FE0DC3">
        <w:t>ž</w:t>
      </w:r>
      <w:r w:rsidRPr="00BD3F18">
        <w:t xml:space="preserve"> 4.2</w:t>
      </w:r>
      <w:r w:rsidR="00F12D81">
        <w:t>8</w:t>
      </w:r>
      <w:r w:rsidRPr="00BD3F18">
        <w:t>)</w:t>
      </w:r>
      <w:r w:rsidRPr="00882030">
        <w:t>.</w:t>
      </w:r>
    </w:p>
    <w:p w:rsidR="00D14232" w:rsidRPr="00BD3F18" w:rsidRDefault="00D14232" w:rsidP="00F5505F">
      <w:pPr>
        <w:pStyle w:val="Odstavecseseznamem"/>
        <w:numPr>
          <w:ilvl w:val="0"/>
          <w:numId w:val="4"/>
        </w:numPr>
        <w:spacing w:before="0" w:after="120"/>
        <w:ind w:left="284" w:hanging="284"/>
        <w:contextualSpacing w:val="0"/>
        <w:rPr>
          <w:rFonts w:cstheme="minorHAnsi"/>
          <w:b/>
        </w:rPr>
      </w:pPr>
      <w:r w:rsidRPr="00882030">
        <w:rPr>
          <w:rFonts w:cstheme="minorHAnsi"/>
        </w:rPr>
        <w:t xml:space="preserve">NKÚ </w:t>
      </w:r>
      <w:r w:rsidR="000654B3">
        <w:rPr>
          <w:rFonts w:cstheme="minorHAnsi"/>
        </w:rPr>
        <w:t>o</w:t>
      </w:r>
      <w:r w:rsidRPr="00882030">
        <w:rPr>
          <w:rFonts w:cstheme="minorHAnsi"/>
        </w:rPr>
        <w:t>hodnotil z</w:t>
      </w:r>
      <w:r w:rsidR="00991864">
        <w:rPr>
          <w:rFonts w:cstheme="minorHAnsi"/>
        </w:rPr>
        <w:t xml:space="preserve"> </w:t>
      </w:r>
      <w:r w:rsidRPr="00882030">
        <w:rPr>
          <w:rFonts w:cstheme="minorHAnsi"/>
        </w:rPr>
        <w:t>pohledu vynaložených peněžních prostředků 15 projektů z</w:t>
      </w:r>
      <w:r w:rsidR="00991864">
        <w:rPr>
          <w:rFonts w:cstheme="minorHAnsi"/>
        </w:rPr>
        <w:t xml:space="preserve"> </w:t>
      </w:r>
      <w:r w:rsidRPr="00882030">
        <w:rPr>
          <w:rFonts w:cstheme="minorHAnsi"/>
        </w:rPr>
        <w:t>20 (75</w:t>
      </w:r>
      <w:r w:rsidR="000654B3">
        <w:rPr>
          <w:rFonts w:cstheme="minorHAnsi"/>
        </w:rPr>
        <w:t> </w:t>
      </w:r>
      <w:r w:rsidRPr="00882030">
        <w:rPr>
          <w:rFonts w:cstheme="minorHAnsi"/>
        </w:rPr>
        <w:t>% projektů) sníženým stupněm hodnocení účelnosti</w:t>
      </w:r>
      <w:r w:rsidR="00536963">
        <w:rPr>
          <w:rFonts w:cstheme="minorHAnsi"/>
        </w:rPr>
        <w:t xml:space="preserve"> (viz přílohy č. 2 a 3)</w:t>
      </w:r>
      <w:r w:rsidRPr="00882030">
        <w:rPr>
          <w:rFonts w:cstheme="minorHAnsi"/>
        </w:rPr>
        <w:t xml:space="preserve">. Nejhorší hodnocení z hlediska účelnosti získaly projekty zaměřené na rozšíření nezemědělské činnosti příjemců. </w:t>
      </w:r>
      <w:r w:rsidRPr="00882030">
        <w:t>Žádný z</w:t>
      </w:r>
      <w:r w:rsidR="00991864">
        <w:t xml:space="preserve"> </w:t>
      </w:r>
      <w:r w:rsidRPr="00882030">
        <w:t xml:space="preserve">těchto projektů </w:t>
      </w:r>
      <w:r w:rsidRPr="00882030">
        <w:rPr>
          <w:rFonts w:cstheme="minorHAnsi"/>
        </w:rPr>
        <w:t>nevyhodnotil NKÚ jako zcela účelný. Z</w:t>
      </w:r>
      <w:r w:rsidR="00991864">
        <w:rPr>
          <w:rFonts w:cstheme="minorHAnsi"/>
        </w:rPr>
        <w:t xml:space="preserve"> </w:t>
      </w:r>
      <w:r w:rsidRPr="00882030">
        <w:rPr>
          <w:rFonts w:cstheme="minorHAnsi"/>
        </w:rPr>
        <w:t>celkového počtu třinácti projektů</w:t>
      </w:r>
      <w:r w:rsidR="009F124E">
        <w:rPr>
          <w:rFonts w:cstheme="minorHAnsi"/>
        </w:rPr>
        <w:t xml:space="preserve"> zaměřených na rozšíření nezemědělských činností</w:t>
      </w:r>
      <w:r w:rsidRPr="00882030">
        <w:rPr>
          <w:rFonts w:cstheme="minorHAnsi"/>
        </w:rPr>
        <w:t xml:space="preserve"> bylo deset vyhodnoceno jako účelných s</w:t>
      </w:r>
      <w:r w:rsidR="00991864">
        <w:rPr>
          <w:rFonts w:cstheme="minorHAnsi"/>
        </w:rPr>
        <w:t xml:space="preserve"> </w:t>
      </w:r>
      <w:r w:rsidRPr="00882030">
        <w:rPr>
          <w:rFonts w:cstheme="minorHAnsi"/>
        </w:rPr>
        <w:t>výhradou</w:t>
      </w:r>
      <w:r>
        <w:rPr>
          <w:rFonts w:cstheme="minorHAnsi"/>
        </w:rPr>
        <w:t>, protože příjemci nenastavili cíle svých projektů konkrétním a</w:t>
      </w:r>
      <w:r w:rsidR="002D760D">
        <w:rPr>
          <w:rFonts w:cstheme="minorHAnsi"/>
        </w:rPr>
        <w:t> </w:t>
      </w:r>
      <w:r>
        <w:rPr>
          <w:rFonts w:cstheme="minorHAnsi"/>
        </w:rPr>
        <w:t>měřitelným způsobem</w:t>
      </w:r>
      <w:r w:rsidR="008A6DE4">
        <w:rPr>
          <w:rFonts w:cstheme="minorHAnsi"/>
        </w:rPr>
        <w:t xml:space="preserve"> (MZe to po nich ani nepožadovalo – viz písm. b) tohoto </w:t>
      </w:r>
      <w:r w:rsidR="000654B3">
        <w:rPr>
          <w:rFonts w:cstheme="minorHAnsi"/>
        </w:rPr>
        <w:t>výčtu</w:t>
      </w:r>
      <w:r w:rsidR="008A6DE4">
        <w:rPr>
          <w:rFonts w:cstheme="minorHAnsi"/>
        </w:rPr>
        <w:t>)</w:t>
      </w:r>
      <w:r w:rsidR="000654B3">
        <w:rPr>
          <w:rFonts w:cstheme="minorHAnsi"/>
        </w:rPr>
        <w:t>,</w:t>
      </w:r>
      <w:r>
        <w:rPr>
          <w:rFonts w:cstheme="minorHAnsi"/>
        </w:rPr>
        <w:t xml:space="preserve"> a</w:t>
      </w:r>
      <w:r w:rsidR="000654B3">
        <w:rPr>
          <w:rFonts w:cstheme="minorHAnsi"/>
        </w:rPr>
        <w:t> </w:t>
      </w:r>
      <w:r>
        <w:rPr>
          <w:rFonts w:cstheme="minorHAnsi"/>
        </w:rPr>
        <w:t>nebylo ta</w:t>
      </w:r>
      <w:r w:rsidR="008A6DE4">
        <w:rPr>
          <w:rFonts w:cstheme="minorHAnsi"/>
        </w:rPr>
        <w:t>k</w:t>
      </w:r>
      <w:r>
        <w:rPr>
          <w:rFonts w:cstheme="minorHAnsi"/>
        </w:rPr>
        <w:t xml:space="preserve"> možné ověřit jejich naplnění.</w:t>
      </w:r>
      <w:r w:rsidRPr="00882030">
        <w:rPr>
          <w:rFonts w:cstheme="minorHAnsi"/>
        </w:rPr>
        <w:t xml:space="preserve"> </w:t>
      </w:r>
      <w:r w:rsidR="009F124E">
        <w:rPr>
          <w:rFonts w:cstheme="minorHAnsi"/>
        </w:rPr>
        <w:t>Zbývající t</w:t>
      </w:r>
      <w:r w:rsidRPr="00882030">
        <w:rPr>
          <w:rFonts w:cstheme="minorHAnsi"/>
        </w:rPr>
        <w:t>ři projekty</w:t>
      </w:r>
      <w:r>
        <w:rPr>
          <w:rFonts w:cstheme="minorHAnsi"/>
        </w:rPr>
        <w:t xml:space="preserve"> vyhodnotil NKÚ z hlediska vynaložení peněžních prostředků</w:t>
      </w:r>
      <w:r w:rsidRPr="00882030">
        <w:rPr>
          <w:rFonts w:cstheme="minorHAnsi"/>
        </w:rPr>
        <w:t xml:space="preserve"> jako účelné pouze omezeně</w:t>
      </w:r>
      <w:r>
        <w:rPr>
          <w:rFonts w:cstheme="minorHAnsi"/>
        </w:rPr>
        <w:t>, protože příjemci významně nedosahovali předpokládaných ekonomických výsledků z nezemědělské činnosti, na něž podporu z</w:t>
      </w:r>
      <w:r w:rsidR="000654B3">
        <w:rPr>
          <w:rFonts w:cstheme="minorHAnsi"/>
        </w:rPr>
        <w:t xml:space="preserve"> </w:t>
      </w:r>
      <w:r>
        <w:rPr>
          <w:rFonts w:cstheme="minorHAnsi"/>
        </w:rPr>
        <w:t xml:space="preserve">PRV 2014–2020 získali. NKÚ naopak konstatuje, že </w:t>
      </w:r>
      <w:r>
        <w:t>p</w:t>
      </w:r>
      <w:r w:rsidRPr="00882030">
        <w:t>říjemci dotací u všech 20</w:t>
      </w:r>
      <w:r w:rsidR="000654B3">
        <w:t xml:space="preserve"> kontrolovaných </w:t>
      </w:r>
      <w:r w:rsidRPr="00882030">
        <w:t>projektů čerpali poskytnuté peněžní prostředky hospodárně a</w:t>
      </w:r>
      <w:r w:rsidR="000654B3">
        <w:t xml:space="preserve"> </w:t>
      </w:r>
      <w:r w:rsidRPr="00882030">
        <w:t>v</w:t>
      </w:r>
      <w:r w:rsidR="000654B3">
        <w:t xml:space="preserve"> </w:t>
      </w:r>
      <w:r w:rsidRPr="00882030">
        <w:t xml:space="preserve">souladu s právními </w:t>
      </w:r>
      <w:r w:rsidRPr="00BD3F18">
        <w:t>předpisy (viz odst. 4.</w:t>
      </w:r>
      <w:r w:rsidR="002B0B28">
        <w:t>29</w:t>
      </w:r>
      <w:r w:rsidR="00FE0DC3">
        <w:t xml:space="preserve"> až 4.3</w:t>
      </w:r>
      <w:r w:rsidR="002B0B28">
        <w:t>5</w:t>
      </w:r>
      <w:r w:rsidRPr="00BD3F18">
        <w:t xml:space="preserve">). </w:t>
      </w:r>
    </w:p>
    <w:p w:rsidR="00D14232" w:rsidRDefault="00D14232" w:rsidP="00F5505F">
      <w:pPr>
        <w:pStyle w:val="JK1"/>
        <w:numPr>
          <w:ilvl w:val="1"/>
          <w:numId w:val="10"/>
        </w:numPr>
        <w:rPr>
          <w:color w:val="auto"/>
          <w:szCs w:val="22"/>
          <w:lang w:eastAsia="en-US"/>
        </w:rPr>
      </w:pPr>
      <w:r w:rsidRPr="004C3407">
        <w:rPr>
          <w:color w:val="auto"/>
          <w:szCs w:val="22"/>
          <w:lang w:eastAsia="en-US"/>
        </w:rPr>
        <w:t>N</w:t>
      </w:r>
      <w:r w:rsidR="006F3954">
        <w:rPr>
          <w:color w:val="auto"/>
          <w:szCs w:val="22"/>
          <w:lang w:eastAsia="en-US"/>
        </w:rPr>
        <w:t>KÚ</w:t>
      </w:r>
      <w:r w:rsidRPr="004C3407">
        <w:rPr>
          <w:color w:val="auto"/>
          <w:szCs w:val="22"/>
          <w:lang w:eastAsia="en-US"/>
        </w:rPr>
        <w:t xml:space="preserve"> na základě výsledků kontroly doporučuje</w:t>
      </w:r>
      <w:r>
        <w:rPr>
          <w:color w:val="auto"/>
          <w:szCs w:val="22"/>
          <w:lang w:eastAsia="en-US"/>
        </w:rPr>
        <w:t xml:space="preserve"> v</w:t>
      </w:r>
      <w:r w:rsidR="00AA330E">
        <w:rPr>
          <w:color w:val="auto"/>
          <w:szCs w:val="22"/>
          <w:lang w:eastAsia="en-US"/>
        </w:rPr>
        <w:t xml:space="preserve"> </w:t>
      </w:r>
      <w:r w:rsidR="006F3954">
        <w:rPr>
          <w:color w:val="auto"/>
          <w:szCs w:val="22"/>
          <w:lang w:eastAsia="en-US"/>
        </w:rPr>
        <w:t xml:space="preserve">programových </w:t>
      </w:r>
      <w:r>
        <w:rPr>
          <w:color w:val="auto"/>
          <w:szCs w:val="22"/>
          <w:lang w:eastAsia="en-US"/>
        </w:rPr>
        <w:t>obdobích následujících po</w:t>
      </w:r>
      <w:r w:rsidR="0059509F">
        <w:rPr>
          <w:color w:val="auto"/>
          <w:szCs w:val="22"/>
          <w:lang w:eastAsia="en-US"/>
        </w:rPr>
        <w:t> </w:t>
      </w:r>
      <w:r>
        <w:rPr>
          <w:color w:val="auto"/>
          <w:szCs w:val="22"/>
          <w:lang w:eastAsia="en-US"/>
        </w:rPr>
        <w:t>kontrolovaném období PRV 2014–2020</w:t>
      </w:r>
      <w:r w:rsidRPr="004C3407">
        <w:rPr>
          <w:color w:val="auto"/>
          <w:szCs w:val="22"/>
          <w:lang w:eastAsia="en-US"/>
        </w:rPr>
        <w:t xml:space="preserve">: </w:t>
      </w:r>
    </w:p>
    <w:p w:rsidR="00D14232" w:rsidRPr="002F4A79" w:rsidRDefault="00D14232" w:rsidP="00F5505F">
      <w:pPr>
        <w:pStyle w:val="JK1"/>
        <w:numPr>
          <w:ilvl w:val="0"/>
          <w:numId w:val="0"/>
        </w:numPr>
        <w:spacing w:before="0" w:after="120"/>
        <w:ind w:left="993" w:hanging="279"/>
        <w:rPr>
          <w:bCs/>
        </w:rPr>
      </w:pPr>
      <w:r>
        <w:rPr>
          <w:bCs/>
        </w:rPr>
        <w:t xml:space="preserve">a) </w:t>
      </w:r>
      <w:r w:rsidR="00C65E66">
        <w:rPr>
          <w:bCs/>
        </w:rPr>
        <w:tab/>
      </w:r>
      <w:r w:rsidRPr="002F4A79">
        <w:rPr>
          <w:bCs/>
        </w:rPr>
        <w:t>Mini</w:t>
      </w:r>
      <w:r>
        <w:rPr>
          <w:bCs/>
        </w:rPr>
        <w:t xml:space="preserve">sterstvu zemědělství stanovit na úrovni programu rozvoje venkova konkrétní </w:t>
      </w:r>
      <w:r>
        <w:rPr>
          <w:bCs/>
        </w:rPr>
        <w:br/>
        <w:t xml:space="preserve">a měřitelné cíle a provázat je </w:t>
      </w:r>
      <w:r w:rsidRPr="009E24CB">
        <w:t>s</w:t>
      </w:r>
      <w:r>
        <w:t> </w:t>
      </w:r>
      <w:r w:rsidRPr="009E24CB">
        <w:t>takovými indikátory, na jejichž základě by bylo možné provést vyhodnocení plnění cílů, přínosů a dopadů podpory</w:t>
      </w:r>
      <w:r>
        <w:t xml:space="preserve">. Současně nastavit </w:t>
      </w:r>
      <w:r>
        <w:lastRenderedPageBreak/>
        <w:t>povinnost žadatelům definovat</w:t>
      </w:r>
      <w:r w:rsidR="00DC6668">
        <w:t xml:space="preserve"> konkrétní a měřitelné</w:t>
      </w:r>
      <w:r>
        <w:t xml:space="preserve"> cíle u projektů, aby bylo možné provádět hodnocení účelnosti vynaložených prostředků</w:t>
      </w:r>
      <w:r w:rsidR="00AA330E">
        <w:t>;</w:t>
      </w:r>
      <w:r>
        <w:t xml:space="preserve"> </w:t>
      </w:r>
    </w:p>
    <w:p w:rsidR="00D14232" w:rsidRDefault="00D14232" w:rsidP="00F5505F">
      <w:pPr>
        <w:pStyle w:val="JK1"/>
        <w:numPr>
          <w:ilvl w:val="0"/>
          <w:numId w:val="0"/>
        </w:numPr>
        <w:spacing w:before="0" w:after="120"/>
        <w:ind w:left="993" w:hanging="279"/>
        <w:rPr>
          <w:bCs/>
        </w:rPr>
      </w:pPr>
      <w:r>
        <w:rPr>
          <w:bCs/>
        </w:rPr>
        <w:t xml:space="preserve">b) </w:t>
      </w:r>
      <w:r w:rsidR="00C65E66">
        <w:rPr>
          <w:bCs/>
        </w:rPr>
        <w:tab/>
      </w:r>
      <w:r>
        <w:rPr>
          <w:bCs/>
        </w:rPr>
        <w:t xml:space="preserve">Ministerstvu zemědělství provést přezkum požadovaných informací a dat </w:t>
      </w:r>
      <w:r w:rsidR="00AA330E">
        <w:rPr>
          <w:bCs/>
        </w:rPr>
        <w:t>(jež</w:t>
      </w:r>
      <w:r w:rsidR="00606C50">
        <w:rPr>
          <w:bCs/>
        </w:rPr>
        <w:t xml:space="preserve"> </w:t>
      </w:r>
      <w:r>
        <w:rPr>
          <w:bCs/>
        </w:rPr>
        <w:t>uvádějí příjemci v</w:t>
      </w:r>
      <w:r w:rsidR="00606C50">
        <w:rPr>
          <w:bCs/>
        </w:rPr>
        <w:t xml:space="preserve"> </w:t>
      </w:r>
      <w:r>
        <w:rPr>
          <w:bCs/>
        </w:rPr>
        <w:t>žádostech o dotaci, žádostech o platbu a monitorovacích zprávách</w:t>
      </w:r>
      <w:r w:rsidR="00AA330E">
        <w:rPr>
          <w:bCs/>
        </w:rPr>
        <w:t>),</w:t>
      </w:r>
      <w:r>
        <w:rPr>
          <w:bCs/>
        </w:rPr>
        <w:t xml:space="preserve"> </w:t>
      </w:r>
      <w:r w:rsidR="00AA330E">
        <w:rPr>
          <w:bCs/>
        </w:rPr>
        <w:t xml:space="preserve">a to </w:t>
      </w:r>
      <w:r>
        <w:rPr>
          <w:bCs/>
        </w:rPr>
        <w:t xml:space="preserve">za účelem sjednocení </w:t>
      </w:r>
      <w:r w:rsidR="00AA330E">
        <w:rPr>
          <w:bCs/>
        </w:rPr>
        <w:t xml:space="preserve">těchto </w:t>
      </w:r>
      <w:r>
        <w:rPr>
          <w:bCs/>
        </w:rPr>
        <w:t>dat a informací, aby byly vzájemně porovnatelné a využitelné pro sledov</w:t>
      </w:r>
      <w:r w:rsidR="00AA330E">
        <w:rPr>
          <w:bCs/>
        </w:rPr>
        <w:t>á</w:t>
      </w:r>
      <w:r>
        <w:rPr>
          <w:bCs/>
        </w:rPr>
        <w:t>ní a hodnocení cílů, přínosů a dopadů poskytované podpory</w:t>
      </w:r>
      <w:r w:rsidR="00AA330E">
        <w:rPr>
          <w:bCs/>
        </w:rPr>
        <w:t>;</w:t>
      </w:r>
      <w:r>
        <w:rPr>
          <w:bCs/>
        </w:rPr>
        <w:t xml:space="preserve"> </w:t>
      </w:r>
    </w:p>
    <w:p w:rsidR="00D14232" w:rsidRDefault="00D14232" w:rsidP="00F5505F">
      <w:pPr>
        <w:pStyle w:val="JK1"/>
        <w:numPr>
          <w:ilvl w:val="0"/>
          <w:numId w:val="0"/>
        </w:numPr>
        <w:spacing w:before="0" w:after="120"/>
        <w:ind w:left="993" w:hanging="273"/>
        <w:rPr>
          <w:bCs/>
        </w:rPr>
      </w:pPr>
      <w:r>
        <w:rPr>
          <w:bCs/>
        </w:rPr>
        <w:t xml:space="preserve">c) </w:t>
      </w:r>
      <w:r w:rsidR="00C65E66">
        <w:rPr>
          <w:bCs/>
        </w:rPr>
        <w:tab/>
      </w:r>
      <w:r>
        <w:rPr>
          <w:bCs/>
        </w:rPr>
        <w:t>Ministerstvu zemědělství ve spolupráci se Státním zemědělským intervenčním fondem stanovit příjemcům dotací povinnost uvádět v</w:t>
      </w:r>
      <w:r w:rsidR="00F5493E">
        <w:rPr>
          <w:bCs/>
        </w:rPr>
        <w:t xml:space="preserve"> </w:t>
      </w:r>
      <w:r>
        <w:rPr>
          <w:bCs/>
        </w:rPr>
        <w:t>monitorovacích zprávách úplné a pravdivé informace a tuto povinnost vymáhat</w:t>
      </w:r>
      <w:r w:rsidR="00AA330E">
        <w:rPr>
          <w:bCs/>
        </w:rPr>
        <w:t>;</w:t>
      </w:r>
    </w:p>
    <w:p w:rsidR="003841C5" w:rsidRDefault="00D14232" w:rsidP="00DC5150">
      <w:pPr>
        <w:pStyle w:val="JK1"/>
        <w:numPr>
          <w:ilvl w:val="0"/>
          <w:numId w:val="12"/>
        </w:numPr>
        <w:spacing w:before="0" w:after="120"/>
        <w:ind w:left="993" w:hanging="273"/>
        <w:rPr>
          <w:bCs/>
        </w:rPr>
      </w:pPr>
      <w:r>
        <w:rPr>
          <w:bCs/>
        </w:rPr>
        <w:t xml:space="preserve">Ministerstvu zemědělství a Státnímu zemědělskému intervenčnímu fondu stanovit účinné postupy pro zajištění plnění </w:t>
      </w:r>
      <w:r w:rsidR="007B0818">
        <w:rPr>
          <w:bCs/>
        </w:rPr>
        <w:t xml:space="preserve">zákonem stanovené </w:t>
      </w:r>
      <w:r>
        <w:rPr>
          <w:bCs/>
        </w:rPr>
        <w:t>povinnosti oznamovat skutečnosti nasvědčující spáchání trestn</w:t>
      </w:r>
      <w:r w:rsidR="00B501BE">
        <w:rPr>
          <w:bCs/>
        </w:rPr>
        <w:t>é</w:t>
      </w:r>
      <w:r>
        <w:rPr>
          <w:bCs/>
        </w:rPr>
        <w:t>ho činu</w:t>
      </w:r>
      <w:r w:rsidR="00AA330E">
        <w:rPr>
          <w:bCs/>
        </w:rPr>
        <w:t xml:space="preserve"> orgánům činným v trestním řízení</w:t>
      </w:r>
      <w:r>
        <w:rPr>
          <w:bCs/>
        </w:rPr>
        <w:t>.</w:t>
      </w:r>
    </w:p>
    <w:p w:rsidR="00DC6668" w:rsidRPr="00D14232" w:rsidRDefault="00DC6668" w:rsidP="00DC6668">
      <w:pPr>
        <w:pStyle w:val="JK1"/>
        <w:numPr>
          <w:ilvl w:val="0"/>
          <w:numId w:val="0"/>
        </w:numPr>
        <w:spacing w:before="0" w:after="120"/>
        <w:ind w:left="993"/>
        <w:rPr>
          <w:bCs/>
        </w:rPr>
      </w:pPr>
    </w:p>
    <w:p w:rsidR="00861417" w:rsidRPr="00052839" w:rsidRDefault="00861417" w:rsidP="006D5FD6">
      <w:pPr>
        <w:spacing w:after="120"/>
        <w:jc w:val="center"/>
        <w:outlineLvl w:val="0"/>
        <w:rPr>
          <w:rFonts w:cstheme="minorHAnsi"/>
          <w:b/>
          <w:sz w:val="28"/>
        </w:rPr>
      </w:pPr>
      <w:r w:rsidRPr="00052839">
        <w:rPr>
          <w:rFonts w:cstheme="minorHAnsi"/>
          <w:b/>
          <w:sz w:val="28"/>
        </w:rPr>
        <w:t>II. Informace o kontrolované oblasti</w:t>
      </w:r>
    </w:p>
    <w:p w:rsidR="00640290" w:rsidRPr="009A1CFD" w:rsidRDefault="00640290" w:rsidP="00640290">
      <w:pPr>
        <w:spacing w:after="120"/>
        <w:rPr>
          <w:rFonts w:cstheme="minorHAnsi"/>
        </w:rPr>
      </w:pPr>
      <w:r>
        <w:rPr>
          <w:rFonts w:cstheme="minorHAnsi"/>
          <w:b/>
        </w:rPr>
        <w:t>2</w:t>
      </w:r>
      <w:r w:rsidRPr="009A1CFD">
        <w:rPr>
          <w:rFonts w:cstheme="minorHAnsi"/>
          <w:b/>
        </w:rPr>
        <w:t>.</w:t>
      </w:r>
      <w:r>
        <w:rPr>
          <w:rFonts w:cstheme="minorHAnsi"/>
          <w:b/>
        </w:rPr>
        <w:t>1</w:t>
      </w:r>
      <w:r w:rsidRPr="009A1CFD">
        <w:rPr>
          <w:rFonts w:cstheme="minorHAnsi"/>
        </w:rPr>
        <w:t xml:space="preserve"> Hlavní</w:t>
      </w:r>
      <w:r w:rsidR="00020014">
        <w:rPr>
          <w:rFonts w:cstheme="minorHAnsi"/>
        </w:rPr>
        <w:t>m</w:t>
      </w:r>
      <w:r w:rsidRPr="009A1CFD">
        <w:rPr>
          <w:rFonts w:cstheme="minorHAnsi"/>
        </w:rPr>
        <w:t xml:space="preserve"> strategickým cílem rozvoje zemědělství dle </w:t>
      </w:r>
      <w:r w:rsidRPr="009A1CFD">
        <w:rPr>
          <w:rFonts w:cstheme="minorHAnsi"/>
          <w:i/>
          <w:lang w:eastAsia="cs-CZ"/>
        </w:rPr>
        <w:t>Strategie resortu Ministerstva zemědělství České republiky s výhledem do roku 2030</w:t>
      </w:r>
      <w:r w:rsidRPr="00610B81">
        <w:rPr>
          <w:rStyle w:val="Znakapoznpodarou"/>
          <w:rFonts w:cstheme="minorHAnsi"/>
        </w:rPr>
        <w:footnoteReference w:id="2"/>
      </w:r>
      <w:r w:rsidRPr="00610B81">
        <w:rPr>
          <w:rFonts w:cstheme="minorHAnsi"/>
          <w:lang w:eastAsia="cs-CZ"/>
        </w:rPr>
        <w:t xml:space="preserve"> (dále </w:t>
      </w:r>
      <w:r w:rsidR="00E32226">
        <w:rPr>
          <w:rFonts w:cstheme="minorHAnsi"/>
          <w:lang w:eastAsia="cs-CZ"/>
        </w:rPr>
        <w:t>též</w:t>
      </w:r>
      <w:r w:rsidRPr="00610B81">
        <w:rPr>
          <w:rFonts w:cstheme="minorHAnsi"/>
          <w:lang w:eastAsia="cs-CZ"/>
        </w:rPr>
        <w:t xml:space="preserve"> „Strategie 2030“)</w:t>
      </w:r>
      <w:r>
        <w:rPr>
          <w:rFonts w:cstheme="minorHAnsi"/>
          <w:lang w:eastAsia="cs-CZ"/>
        </w:rPr>
        <w:t xml:space="preserve"> </w:t>
      </w:r>
      <w:r w:rsidRPr="009A1CFD">
        <w:rPr>
          <w:rFonts w:cstheme="minorHAnsi"/>
        </w:rPr>
        <w:t>je podílet se na</w:t>
      </w:r>
      <w:r w:rsidR="008368B3">
        <w:rPr>
          <w:rFonts w:cstheme="minorHAnsi"/>
        </w:rPr>
        <w:t xml:space="preserve"> </w:t>
      </w:r>
      <w:r w:rsidRPr="009A1CFD">
        <w:rPr>
          <w:rFonts w:cstheme="minorHAnsi"/>
        </w:rPr>
        <w:t>dlouhodobém a trvalém zajištění potravinové bezpečnosti na národní a evropské úrovni a přispět k energetické soběstačnosti ČR v</w:t>
      </w:r>
      <w:r w:rsidR="008368B3">
        <w:rPr>
          <w:rFonts w:cstheme="minorHAnsi"/>
        </w:rPr>
        <w:t xml:space="preserve"> </w:t>
      </w:r>
      <w:r w:rsidRPr="009A1CFD">
        <w:rPr>
          <w:rFonts w:cstheme="minorHAnsi"/>
        </w:rPr>
        <w:t>rámci stanoveného energetického mixu, a to při podstatném zvýšení jeho efektivnosti a</w:t>
      </w:r>
      <w:r w:rsidR="00AA330E">
        <w:rPr>
          <w:rFonts w:cstheme="minorHAnsi"/>
        </w:rPr>
        <w:t xml:space="preserve"> </w:t>
      </w:r>
      <w:r w:rsidRPr="009A1CFD">
        <w:rPr>
          <w:rFonts w:cstheme="minorHAnsi"/>
        </w:rPr>
        <w:t>konkurenceschopnosti a vztahů k</w:t>
      </w:r>
      <w:r w:rsidR="00E717CE">
        <w:rPr>
          <w:rFonts w:cstheme="minorHAnsi"/>
        </w:rPr>
        <w:t xml:space="preserve"> </w:t>
      </w:r>
      <w:r w:rsidRPr="009A1CFD">
        <w:rPr>
          <w:rFonts w:cstheme="minorHAnsi"/>
        </w:rPr>
        <w:t>jím užívaným přírodním zdrojům a rozvoji venkova, včetně zvyšování jeho rekreačního potenciálu.</w:t>
      </w:r>
    </w:p>
    <w:p w:rsidR="00640290" w:rsidRPr="00F839E0" w:rsidRDefault="00640290" w:rsidP="00640290">
      <w:pPr>
        <w:spacing w:after="120"/>
        <w:rPr>
          <w:rFonts w:cstheme="minorHAnsi"/>
        </w:rPr>
      </w:pPr>
      <w:r w:rsidRPr="0096409C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>2</w:t>
      </w:r>
      <w:r>
        <w:rPr>
          <w:rFonts w:cstheme="minorHAnsi"/>
          <w:bCs/>
        </w:rPr>
        <w:t xml:space="preserve"> </w:t>
      </w:r>
      <w:r w:rsidRPr="00D17BAD">
        <w:rPr>
          <w:rFonts w:cstheme="minorHAnsi"/>
          <w:bCs/>
          <w:i/>
        </w:rPr>
        <w:t xml:space="preserve">Program rozvoje venkova </w:t>
      </w:r>
      <w:r w:rsidRPr="00D17BAD">
        <w:rPr>
          <w:rFonts w:cstheme="minorHAnsi"/>
          <w:i/>
        </w:rPr>
        <w:t>na období 2014</w:t>
      </w:r>
      <w:r w:rsidR="004E2EE9" w:rsidRPr="00D17BAD">
        <w:rPr>
          <w:rFonts w:cstheme="minorHAnsi"/>
          <w:i/>
        </w:rPr>
        <w:t>–</w:t>
      </w:r>
      <w:r w:rsidRPr="00D17BAD">
        <w:rPr>
          <w:rFonts w:cstheme="minorHAnsi"/>
          <w:i/>
        </w:rPr>
        <w:t>2020</w:t>
      </w:r>
      <w:r>
        <w:rPr>
          <w:rFonts w:cstheme="minorHAnsi"/>
        </w:rPr>
        <w:t xml:space="preserve"> </w:t>
      </w:r>
      <w:r w:rsidRPr="00F839E0">
        <w:rPr>
          <w:rFonts w:cstheme="minorHAnsi"/>
        </w:rPr>
        <w:t xml:space="preserve">je strategický dokument, který </w:t>
      </w:r>
      <w:r>
        <w:rPr>
          <w:rFonts w:cstheme="minorHAnsi"/>
        </w:rPr>
        <w:t>schválila vláda ČR v červenci 2014</w:t>
      </w:r>
      <w:r w:rsidR="008368B3">
        <w:rPr>
          <w:rFonts w:cstheme="minorHAnsi"/>
        </w:rPr>
        <w:t>.</w:t>
      </w:r>
      <w:r w:rsidR="005828BC">
        <w:rPr>
          <w:rStyle w:val="Znakapoznpodarou"/>
          <w:rFonts w:cstheme="minorHAnsi"/>
        </w:rPr>
        <w:footnoteReference w:id="3"/>
      </w:r>
      <w:r w:rsidRPr="00F839E0">
        <w:rPr>
          <w:rFonts w:cstheme="minorHAnsi"/>
        </w:rPr>
        <w:t xml:space="preserve"> </w:t>
      </w:r>
      <w:r w:rsidR="008368B3">
        <w:rPr>
          <w:rFonts w:cstheme="minorHAnsi"/>
        </w:rPr>
        <w:t>Mezi c</w:t>
      </w:r>
      <w:r w:rsidRPr="00F839E0">
        <w:rPr>
          <w:rFonts w:cstheme="minorHAnsi"/>
        </w:rPr>
        <w:t xml:space="preserve">íle PRV </w:t>
      </w:r>
      <w:r>
        <w:rPr>
          <w:rFonts w:cstheme="minorHAnsi"/>
        </w:rPr>
        <w:t>2014</w:t>
      </w:r>
      <w:r w:rsidR="004E2EE9">
        <w:rPr>
          <w:rFonts w:cstheme="minorHAnsi"/>
        </w:rPr>
        <w:t>–</w:t>
      </w:r>
      <w:r>
        <w:rPr>
          <w:rFonts w:cstheme="minorHAnsi"/>
        </w:rPr>
        <w:t xml:space="preserve">2020 </w:t>
      </w:r>
      <w:r w:rsidR="008368B3">
        <w:rPr>
          <w:rFonts w:cstheme="minorHAnsi"/>
        </w:rPr>
        <w:t>patří</w:t>
      </w:r>
      <w:r>
        <w:rPr>
          <w:rFonts w:cstheme="minorHAnsi"/>
        </w:rPr>
        <w:t xml:space="preserve"> např. </w:t>
      </w:r>
      <w:r w:rsidRPr="00F839E0">
        <w:rPr>
          <w:rFonts w:cstheme="minorHAnsi"/>
        </w:rPr>
        <w:t>obnova, zachování a zlepšení ekosystémů závislých na zemědělství prostřednictvím zejména agroenvironmentálních opatření, dále investice pro</w:t>
      </w:r>
      <w:r>
        <w:rPr>
          <w:rFonts w:cstheme="minorHAnsi"/>
        </w:rPr>
        <w:t> </w:t>
      </w:r>
      <w:r w:rsidRPr="00F839E0">
        <w:rPr>
          <w:rFonts w:cstheme="minorHAnsi"/>
        </w:rPr>
        <w:t>konkurenceschopnost a inovace zemědělských podniků, podpora vstupu mladých lidí do</w:t>
      </w:r>
      <w:r>
        <w:rPr>
          <w:rFonts w:cstheme="minorHAnsi"/>
        </w:rPr>
        <w:t> </w:t>
      </w:r>
      <w:r w:rsidRPr="00F839E0">
        <w:rPr>
          <w:rFonts w:cstheme="minorHAnsi"/>
        </w:rPr>
        <w:t>zemědělství nebo krajinná infrastruktura.</w:t>
      </w:r>
      <w:r w:rsidRPr="00F839E0">
        <w:rPr>
          <w:rFonts w:cstheme="minorHAnsi"/>
          <w:b/>
        </w:rPr>
        <w:t xml:space="preserve"> </w:t>
      </w:r>
      <w:r w:rsidRPr="00F839E0">
        <w:rPr>
          <w:rFonts w:cstheme="minorHAnsi"/>
        </w:rPr>
        <w:t xml:space="preserve">Dále program podporuje diverzifikaci ekonomických aktivit ve venkovském prostoru s cílem vytvářet nová pracovní místa a zvýšit hospodářský rozvoj. Horizontální prioritou je předávání znalostí a inovací formou vzdělávacích aktivit a poradenství </w:t>
      </w:r>
      <w:r w:rsidR="008368B3">
        <w:rPr>
          <w:rFonts w:cstheme="minorHAnsi"/>
        </w:rPr>
        <w:t>či</w:t>
      </w:r>
      <w:r w:rsidRPr="00F839E0">
        <w:rPr>
          <w:rFonts w:cstheme="minorHAnsi"/>
        </w:rPr>
        <w:t xml:space="preserve"> spolupráce v oblasti zemědělství a lesnictví.</w:t>
      </w:r>
    </w:p>
    <w:p w:rsidR="00640290" w:rsidRDefault="00640290" w:rsidP="00640290">
      <w:pPr>
        <w:spacing w:after="120"/>
        <w:rPr>
          <w:rFonts w:cstheme="minorHAnsi"/>
        </w:rPr>
      </w:pPr>
      <w:r w:rsidRPr="0096409C">
        <w:rPr>
          <w:rFonts w:cstheme="minorHAnsi"/>
          <w:b/>
        </w:rPr>
        <w:t>2.</w:t>
      </w:r>
      <w:r>
        <w:rPr>
          <w:rFonts w:cstheme="minorHAnsi"/>
          <w:b/>
        </w:rPr>
        <w:t>3</w:t>
      </w:r>
      <w:r w:rsidRPr="00F839E0">
        <w:rPr>
          <w:rFonts w:cstheme="minorHAnsi"/>
        </w:rPr>
        <w:t xml:space="preserve"> PRV 2014</w:t>
      </w:r>
      <w:r w:rsidR="004E2EE9">
        <w:rPr>
          <w:rFonts w:cstheme="minorHAnsi"/>
        </w:rPr>
        <w:t>–</w:t>
      </w:r>
      <w:r w:rsidRPr="00F839E0">
        <w:rPr>
          <w:rFonts w:cstheme="minorHAnsi"/>
        </w:rPr>
        <w:t xml:space="preserve">2020 je spolufinancován z </w:t>
      </w:r>
      <w:r w:rsidRPr="00D17BAD">
        <w:rPr>
          <w:rFonts w:cstheme="minorHAnsi"/>
          <w:i/>
        </w:rPr>
        <w:t>Evropského zemědělského fondu pro rozvoj venkova</w:t>
      </w:r>
      <w:r w:rsidRPr="00F839E0">
        <w:rPr>
          <w:rFonts w:cstheme="minorHAnsi"/>
        </w:rPr>
        <w:t xml:space="preserve">. Evropská komise schválila finální znění programového dokumentu </w:t>
      </w:r>
      <w:r w:rsidRPr="002D760D">
        <w:rPr>
          <w:rFonts w:cstheme="minorHAnsi"/>
          <w:i/>
        </w:rPr>
        <w:t>Programu rozvoje venkova na období 2014</w:t>
      </w:r>
      <w:r w:rsidRPr="002D760D">
        <w:rPr>
          <w:rFonts w:cstheme="minorHAnsi"/>
          <w:i/>
          <w:iCs/>
        </w:rPr>
        <w:t>–2020</w:t>
      </w:r>
      <w:r w:rsidRPr="00F839E0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8368B3">
        <w:rPr>
          <w:rFonts w:cstheme="minorHAnsi"/>
        </w:rPr>
        <w:t xml:space="preserve"> </w:t>
      </w:r>
      <w:r>
        <w:rPr>
          <w:rFonts w:cstheme="minorHAnsi"/>
        </w:rPr>
        <w:t xml:space="preserve">květnu </w:t>
      </w:r>
      <w:r w:rsidRPr="00F839E0">
        <w:rPr>
          <w:rFonts w:cstheme="minorHAnsi"/>
        </w:rPr>
        <w:t xml:space="preserve">2015. </w:t>
      </w:r>
      <w:r>
        <w:rPr>
          <w:rFonts w:cstheme="minorHAnsi"/>
        </w:rPr>
        <w:t>V</w:t>
      </w:r>
      <w:r w:rsidR="008368B3">
        <w:rPr>
          <w:rFonts w:cstheme="minorHAnsi"/>
        </w:rPr>
        <w:t xml:space="preserve"> </w:t>
      </w:r>
      <w:r>
        <w:rPr>
          <w:rFonts w:cstheme="minorHAnsi"/>
        </w:rPr>
        <w:t xml:space="preserve">průběhu programového období </w:t>
      </w:r>
      <w:r w:rsidRPr="00F839E0">
        <w:rPr>
          <w:rFonts w:cstheme="minorHAnsi"/>
        </w:rPr>
        <w:t>byl PRV 2014</w:t>
      </w:r>
      <w:r w:rsidR="004E2EE9">
        <w:rPr>
          <w:rFonts w:cstheme="minorHAnsi"/>
        </w:rPr>
        <w:t>–</w:t>
      </w:r>
      <w:r w:rsidRPr="00F839E0">
        <w:rPr>
          <w:rFonts w:cstheme="minorHAnsi"/>
        </w:rPr>
        <w:t>2020 jedenáctkrát aktualizován, přičemž poslední aktualizace proběhla v</w:t>
      </w:r>
      <w:r w:rsidR="008368B3">
        <w:rPr>
          <w:rFonts w:cstheme="minorHAnsi"/>
        </w:rPr>
        <w:t xml:space="preserve"> </w:t>
      </w:r>
      <w:r w:rsidRPr="00F839E0">
        <w:rPr>
          <w:rFonts w:cstheme="minorHAnsi"/>
        </w:rPr>
        <w:t xml:space="preserve">červenci 2023. </w:t>
      </w:r>
      <w:r>
        <w:rPr>
          <w:rFonts w:cstheme="minorHAnsi"/>
        </w:rPr>
        <w:t>Poslední schválená výše přidělených peněžních prostředků na realizaci PRV 2014</w:t>
      </w:r>
      <w:r w:rsidR="004E2EE9">
        <w:rPr>
          <w:rFonts w:cstheme="minorHAnsi"/>
        </w:rPr>
        <w:t>–</w:t>
      </w:r>
      <w:r>
        <w:rPr>
          <w:rFonts w:cstheme="minorHAnsi"/>
        </w:rPr>
        <w:t>2020 byla v</w:t>
      </w:r>
      <w:r w:rsidR="00CD42CB">
        <w:rPr>
          <w:rFonts w:cstheme="minorHAnsi"/>
        </w:rPr>
        <w:t xml:space="preserve"> celkovém objemu </w:t>
      </w:r>
      <w:r>
        <w:rPr>
          <w:rFonts w:cstheme="minorHAnsi"/>
        </w:rPr>
        <w:t>115 184 mil. Kč</w:t>
      </w:r>
      <w:r>
        <w:rPr>
          <w:rStyle w:val="Znakapoznpodarou"/>
          <w:rFonts w:cstheme="minorHAnsi"/>
        </w:rPr>
        <w:footnoteReference w:id="4"/>
      </w:r>
      <w:r w:rsidR="00E62F30">
        <w:rPr>
          <w:rFonts w:cstheme="minorHAnsi"/>
        </w:rPr>
        <w:t xml:space="preserve"> (viz tabulka č. 1)</w:t>
      </w:r>
      <w:r>
        <w:rPr>
          <w:rFonts w:cstheme="minorHAnsi"/>
        </w:rPr>
        <w:t xml:space="preserve">. </w:t>
      </w:r>
    </w:p>
    <w:p w:rsidR="00640290" w:rsidRPr="00E62F30" w:rsidRDefault="00640290" w:rsidP="00D17BAD">
      <w:pPr>
        <w:keepNext/>
        <w:spacing w:after="40"/>
        <w:rPr>
          <w:rFonts w:cstheme="minorHAnsi"/>
          <w:b/>
        </w:rPr>
      </w:pPr>
      <w:r w:rsidRPr="00E62F30">
        <w:rPr>
          <w:rFonts w:cstheme="minorHAnsi"/>
          <w:b/>
        </w:rPr>
        <w:lastRenderedPageBreak/>
        <w:t>Tabulka č. 1: Finanční alokace PRV 2014</w:t>
      </w:r>
      <w:r w:rsidR="004E2EE9">
        <w:rPr>
          <w:rFonts w:cstheme="minorHAnsi"/>
          <w:b/>
        </w:rPr>
        <w:t>–</w:t>
      </w:r>
      <w:r w:rsidRPr="00E62F30">
        <w:rPr>
          <w:rFonts w:cstheme="minorHAnsi"/>
          <w:b/>
        </w:rPr>
        <w:t>2020 dle poslední aktualizace z července 2023</w:t>
      </w:r>
    </w:p>
    <w:tbl>
      <w:tblPr>
        <w:tblW w:w="905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2532"/>
        <w:gridCol w:w="3330"/>
      </w:tblGrid>
      <w:tr w:rsidR="008368B3" w:rsidRPr="00640290" w:rsidTr="00D17BAD">
        <w:trPr>
          <w:trHeight w:val="340"/>
        </w:trPr>
        <w:tc>
          <w:tcPr>
            <w:tcW w:w="31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8B3" w:rsidRPr="00640290" w:rsidRDefault="008368B3" w:rsidP="00D17BAD">
            <w:pPr>
              <w:spacing w:before="0"/>
              <w:jc w:val="center"/>
              <w:rPr>
                <w:b/>
                <w:bCs/>
                <w:sz w:val="20"/>
                <w:lang w:eastAsia="cs-CZ"/>
              </w:rPr>
            </w:pPr>
            <w:r w:rsidRPr="00640290">
              <w:rPr>
                <w:b/>
                <w:bCs/>
                <w:sz w:val="20"/>
                <w:lang w:eastAsia="cs-CZ"/>
              </w:rPr>
              <w:t>Celkové veřejné prostředky v Kč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8B3" w:rsidRPr="00640290" w:rsidRDefault="00991864" w:rsidP="00D17BAD">
            <w:pPr>
              <w:spacing w:before="0"/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z</w:t>
            </w:r>
            <w:r w:rsidR="008368B3">
              <w:rPr>
                <w:b/>
                <w:bCs/>
                <w:sz w:val="20"/>
                <w:lang w:eastAsia="cs-CZ"/>
              </w:rPr>
              <w:t xml:space="preserve"> toho:</w:t>
            </w:r>
          </w:p>
        </w:tc>
      </w:tr>
      <w:tr w:rsidR="008368B3" w:rsidRPr="00640290" w:rsidTr="00D17BAD">
        <w:trPr>
          <w:trHeight w:val="340"/>
        </w:trPr>
        <w:tc>
          <w:tcPr>
            <w:tcW w:w="3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68B3" w:rsidRPr="00640290" w:rsidRDefault="008368B3" w:rsidP="00640290">
            <w:pPr>
              <w:jc w:val="center"/>
              <w:rPr>
                <w:b/>
                <w:bCs/>
                <w:sz w:val="20"/>
                <w:lang w:eastAsia="cs-CZ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68B3" w:rsidRPr="00640290" w:rsidRDefault="008368B3" w:rsidP="00D17BAD">
            <w:pPr>
              <w:spacing w:before="0"/>
              <w:jc w:val="center"/>
              <w:rPr>
                <w:b/>
                <w:bCs/>
                <w:sz w:val="20"/>
                <w:lang w:eastAsia="cs-CZ"/>
              </w:rPr>
            </w:pPr>
            <w:r w:rsidRPr="00D17BAD">
              <w:rPr>
                <w:sz w:val="20"/>
                <w:szCs w:val="20"/>
              </w:rPr>
              <w:t>–</w:t>
            </w:r>
            <w:r w:rsidRPr="00640290">
              <w:rPr>
                <w:b/>
                <w:bCs/>
                <w:sz w:val="20"/>
                <w:lang w:eastAsia="cs-CZ"/>
              </w:rPr>
              <w:t xml:space="preserve"> příspěvek EU </w:t>
            </w:r>
            <w:r w:rsidR="005D31E5">
              <w:rPr>
                <w:b/>
                <w:bCs/>
                <w:sz w:val="20"/>
                <w:lang w:eastAsia="cs-CZ"/>
              </w:rPr>
              <w:t>(</w:t>
            </w:r>
            <w:r w:rsidRPr="00640290">
              <w:rPr>
                <w:b/>
                <w:bCs/>
                <w:sz w:val="20"/>
                <w:lang w:eastAsia="cs-CZ"/>
              </w:rPr>
              <w:t>v Kč</w:t>
            </w:r>
            <w:r w:rsidR="005D31E5">
              <w:rPr>
                <w:b/>
                <w:bCs/>
                <w:sz w:val="20"/>
                <w:lang w:eastAsia="cs-CZ"/>
              </w:rPr>
              <w:t>)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68B3" w:rsidRPr="00640290" w:rsidRDefault="008368B3" w:rsidP="00D17BAD">
            <w:pPr>
              <w:spacing w:before="0"/>
              <w:jc w:val="center"/>
              <w:rPr>
                <w:b/>
                <w:bCs/>
                <w:sz w:val="20"/>
                <w:lang w:eastAsia="cs-CZ"/>
              </w:rPr>
            </w:pPr>
            <w:r w:rsidRPr="008368B3">
              <w:rPr>
                <w:b/>
                <w:bCs/>
                <w:sz w:val="20"/>
                <w:lang w:eastAsia="cs-CZ"/>
              </w:rPr>
              <w:t>–</w:t>
            </w:r>
            <w:r w:rsidRPr="00640290">
              <w:rPr>
                <w:b/>
                <w:bCs/>
                <w:sz w:val="20"/>
                <w:lang w:eastAsia="cs-CZ"/>
              </w:rPr>
              <w:t xml:space="preserve"> příspěvek ČR </w:t>
            </w:r>
            <w:r w:rsidR="005D31E5">
              <w:rPr>
                <w:b/>
                <w:bCs/>
                <w:sz w:val="20"/>
                <w:lang w:eastAsia="cs-CZ"/>
              </w:rPr>
              <w:t>(</w:t>
            </w:r>
            <w:r w:rsidRPr="00640290">
              <w:rPr>
                <w:b/>
                <w:bCs/>
                <w:sz w:val="20"/>
                <w:lang w:eastAsia="cs-CZ"/>
              </w:rPr>
              <w:t>v Kč</w:t>
            </w:r>
            <w:r w:rsidR="005D31E5">
              <w:rPr>
                <w:b/>
                <w:bCs/>
                <w:sz w:val="20"/>
                <w:lang w:eastAsia="cs-CZ"/>
              </w:rPr>
              <w:t>)</w:t>
            </w:r>
          </w:p>
        </w:tc>
      </w:tr>
      <w:tr w:rsidR="00640290" w:rsidRPr="00640290" w:rsidTr="00D17BAD">
        <w:trPr>
          <w:trHeight w:val="340"/>
        </w:trPr>
        <w:tc>
          <w:tcPr>
            <w:tcW w:w="3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290" w:rsidRPr="00640290" w:rsidRDefault="00640290" w:rsidP="00D17BAD">
            <w:pPr>
              <w:spacing w:before="0"/>
              <w:jc w:val="center"/>
              <w:rPr>
                <w:sz w:val="20"/>
                <w:lang w:eastAsia="cs-CZ"/>
              </w:rPr>
            </w:pPr>
            <w:r w:rsidRPr="00640290">
              <w:rPr>
                <w:sz w:val="20"/>
                <w:lang w:eastAsia="cs-CZ"/>
              </w:rPr>
              <w:t>115 184 434 553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290" w:rsidRPr="00640290" w:rsidRDefault="00640290" w:rsidP="00D17BAD">
            <w:pPr>
              <w:spacing w:before="0"/>
              <w:jc w:val="center"/>
              <w:rPr>
                <w:sz w:val="20"/>
                <w:lang w:eastAsia="cs-CZ"/>
              </w:rPr>
            </w:pPr>
            <w:r w:rsidRPr="00640290">
              <w:rPr>
                <w:sz w:val="20"/>
                <w:lang w:eastAsia="cs-CZ"/>
              </w:rPr>
              <w:t>74 048 156 391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290" w:rsidRPr="00640290" w:rsidRDefault="00640290" w:rsidP="00D17BAD">
            <w:pPr>
              <w:spacing w:before="0"/>
              <w:jc w:val="center"/>
              <w:rPr>
                <w:sz w:val="20"/>
                <w:lang w:eastAsia="cs-CZ"/>
              </w:rPr>
            </w:pPr>
            <w:r w:rsidRPr="00640290">
              <w:rPr>
                <w:sz w:val="20"/>
                <w:lang w:eastAsia="cs-CZ"/>
              </w:rPr>
              <w:t>41 136 278 162</w:t>
            </w:r>
          </w:p>
        </w:tc>
      </w:tr>
    </w:tbl>
    <w:p w:rsidR="00640290" w:rsidRPr="00640290" w:rsidRDefault="00640290" w:rsidP="00D17BAD">
      <w:pPr>
        <w:spacing w:before="40"/>
        <w:rPr>
          <w:sz w:val="20"/>
        </w:rPr>
      </w:pPr>
      <w:r w:rsidRPr="00D17BAD">
        <w:rPr>
          <w:b/>
          <w:sz w:val="20"/>
        </w:rPr>
        <w:t>Zdroj:</w:t>
      </w:r>
      <w:r w:rsidRPr="00640290">
        <w:rPr>
          <w:sz w:val="20"/>
        </w:rPr>
        <w:t xml:space="preserve"> </w:t>
      </w:r>
      <w:r w:rsidR="008368B3">
        <w:rPr>
          <w:sz w:val="20"/>
        </w:rPr>
        <w:t>p</w:t>
      </w:r>
      <w:r w:rsidRPr="00640290">
        <w:rPr>
          <w:sz w:val="20"/>
        </w:rPr>
        <w:t>rogramový dokument PRV 2014</w:t>
      </w:r>
      <w:r w:rsidR="004E2EE9">
        <w:rPr>
          <w:sz w:val="20"/>
        </w:rPr>
        <w:t>–</w:t>
      </w:r>
      <w:r w:rsidRPr="00640290">
        <w:rPr>
          <w:sz w:val="20"/>
        </w:rPr>
        <w:t>2020 (11. aktualizace)</w:t>
      </w:r>
      <w:r w:rsidR="008368B3">
        <w:rPr>
          <w:sz w:val="20"/>
        </w:rPr>
        <w:t>;</w:t>
      </w:r>
      <w:r w:rsidR="00AA1CA1">
        <w:rPr>
          <w:sz w:val="20"/>
        </w:rPr>
        <w:t xml:space="preserve"> zpracováno NKÚ.</w:t>
      </w:r>
    </w:p>
    <w:p w:rsidR="00640290" w:rsidRDefault="00640290" w:rsidP="00640290">
      <w:pPr>
        <w:spacing w:after="120"/>
        <w:rPr>
          <w:rFonts w:cstheme="minorHAnsi"/>
        </w:rPr>
      </w:pPr>
      <w:r w:rsidRPr="0096409C">
        <w:rPr>
          <w:rFonts w:cstheme="minorHAnsi"/>
          <w:b/>
        </w:rPr>
        <w:t>2.4</w:t>
      </w:r>
      <w:r w:rsidRPr="00F839E0">
        <w:rPr>
          <w:rFonts w:cstheme="minorHAnsi"/>
        </w:rPr>
        <w:t xml:space="preserve"> MZe jako řídicí orgán </w:t>
      </w:r>
      <w:r>
        <w:rPr>
          <w:rFonts w:cstheme="minorHAnsi"/>
        </w:rPr>
        <w:t xml:space="preserve">PRV 2014–2020 zodpovídá za účinné, účelné a správné řízení </w:t>
      </w:r>
      <w:r>
        <w:rPr>
          <w:rFonts w:cstheme="minorHAnsi"/>
        </w:rPr>
        <w:br/>
        <w:t>a provádění programu.</w:t>
      </w:r>
      <w:r w:rsidR="00EE2421">
        <w:rPr>
          <w:rFonts w:cstheme="minorHAnsi"/>
        </w:rPr>
        <w:t xml:space="preserve"> </w:t>
      </w:r>
      <w:r>
        <w:rPr>
          <w:rFonts w:cstheme="minorHAnsi"/>
        </w:rPr>
        <w:t>MZe je zodpovědné za monitorování</w:t>
      </w:r>
      <w:r>
        <w:rPr>
          <w:rStyle w:val="Znakapoznpodarou"/>
          <w:rFonts w:cstheme="minorHAnsi"/>
        </w:rPr>
        <w:footnoteReference w:id="5"/>
      </w:r>
      <w:r>
        <w:rPr>
          <w:rFonts w:cstheme="minorHAnsi"/>
        </w:rPr>
        <w:t xml:space="preserve"> a hodnocení programu </w:t>
      </w:r>
      <w:r>
        <w:rPr>
          <w:rFonts w:cstheme="minorHAnsi"/>
        </w:rPr>
        <w:br/>
        <w:t>a předávání informací o pokroku realizace PRV 2014</w:t>
      </w:r>
      <w:r w:rsidR="004E2EE9">
        <w:rPr>
          <w:rFonts w:cstheme="minorHAnsi"/>
        </w:rPr>
        <w:t>–</w:t>
      </w:r>
      <w:r>
        <w:rPr>
          <w:rFonts w:cstheme="minorHAnsi"/>
        </w:rPr>
        <w:t>2020 Evropské komis</w:t>
      </w:r>
      <w:r w:rsidR="00EE2421">
        <w:rPr>
          <w:rFonts w:cstheme="minorHAnsi"/>
        </w:rPr>
        <w:t>i</w:t>
      </w:r>
      <w:r>
        <w:rPr>
          <w:rFonts w:cstheme="minorHAnsi"/>
        </w:rPr>
        <w:t xml:space="preserve">. </w:t>
      </w:r>
      <w:r w:rsidRPr="005C3D94">
        <w:rPr>
          <w:rFonts w:cstheme="minorHAnsi"/>
        </w:rPr>
        <w:t xml:space="preserve">MZe </w:t>
      </w:r>
      <w:r>
        <w:rPr>
          <w:rFonts w:cstheme="minorHAnsi"/>
        </w:rPr>
        <w:t xml:space="preserve">v roli </w:t>
      </w:r>
      <w:r w:rsidR="00EE2421">
        <w:rPr>
          <w:rFonts w:cstheme="minorHAnsi"/>
        </w:rPr>
        <w:t>řídicího</w:t>
      </w:r>
      <w:r w:rsidR="00020014">
        <w:rPr>
          <w:rFonts w:cstheme="minorHAnsi"/>
        </w:rPr>
        <w:t xml:space="preserve"> orgánu</w:t>
      </w:r>
      <w:r>
        <w:rPr>
          <w:rFonts w:cstheme="minorHAnsi"/>
        </w:rPr>
        <w:t xml:space="preserve"> </w:t>
      </w:r>
      <w:r w:rsidRPr="005C3D94">
        <w:rPr>
          <w:rFonts w:cstheme="minorHAnsi"/>
        </w:rPr>
        <w:t>provádí monitorování PRV 2014</w:t>
      </w:r>
      <w:r w:rsidR="004E2EE9">
        <w:rPr>
          <w:rFonts w:cstheme="minorHAnsi"/>
        </w:rPr>
        <w:t>–</w:t>
      </w:r>
      <w:r w:rsidRPr="005C3D94">
        <w:rPr>
          <w:rFonts w:cstheme="minorHAnsi"/>
        </w:rPr>
        <w:t>2020 prostřednictvím monitorovacích indikátorů.</w:t>
      </w:r>
      <w:r>
        <w:rPr>
          <w:rFonts w:cstheme="minorHAnsi"/>
        </w:rPr>
        <w:t xml:space="preserve"> Jedná</w:t>
      </w:r>
      <w:r w:rsidR="00020014">
        <w:rPr>
          <w:rFonts w:cstheme="minorHAnsi"/>
        </w:rPr>
        <w:t xml:space="preserve"> </w:t>
      </w:r>
      <w:r>
        <w:rPr>
          <w:rFonts w:cstheme="minorHAnsi"/>
        </w:rPr>
        <w:t xml:space="preserve">se o indikátory výsledku a výstupu (indikátorová soustava), kterým v závislosti na výši alokovaných zdrojů nastavilo MZe cílové hodnoty. </w:t>
      </w:r>
      <w:r w:rsidRPr="005C3D94">
        <w:rPr>
          <w:rFonts w:cstheme="minorHAnsi"/>
        </w:rPr>
        <w:t xml:space="preserve">Soubor společných </w:t>
      </w:r>
      <w:r>
        <w:rPr>
          <w:rFonts w:cstheme="minorHAnsi"/>
        </w:rPr>
        <w:t>indikátorů</w:t>
      </w:r>
      <w:r w:rsidRPr="005C3D94">
        <w:rPr>
          <w:rFonts w:cstheme="minorHAnsi"/>
        </w:rPr>
        <w:t xml:space="preserve"> je stanoven na základě nařízení o financování</w:t>
      </w:r>
      <w:r w:rsidR="00FA2F55">
        <w:rPr>
          <w:rFonts w:cstheme="minorHAnsi"/>
        </w:rPr>
        <w:t xml:space="preserve"> společné zemědělské politiky</w:t>
      </w:r>
      <w:r w:rsidR="00A606ED">
        <w:rPr>
          <w:rStyle w:val="Znakapoznpodarou"/>
          <w:rFonts w:cstheme="minorHAnsi"/>
        </w:rPr>
        <w:footnoteReference w:id="6"/>
      </w:r>
      <w:r w:rsidRPr="005C3D94">
        <w:rPr>
          <w:rFonts w:cstheme="minorHAnsi"/>
        </w:rPr>
        <w:t xml:space="preserve"> a byl vymezen prováděcím nařízením EK (EU) č. 834/2014</w:t>
      </w:r>
      <w:r w:rsidRPr="005C3D94">
        <w:rPr>
          <w:rStyle w:val="Znakapoznpodarou"/>
          <w:rFonts w:eastAsiaTheme="majorEastAsia" w:cstheme="minorHAnsi"/>
        </w:rPr>
        <w:footnoteReference w:id="7"/>
      </w:r>
      <w:r w:rsidRPr="005C3D94">
        <w:rPr>
          <w:rFonts w:cstheme="minorHAnsi"/>
        </w:rPr>
        <w:t>.</w:t>
      </w:r>
      <w:r>
        <w:rPr>
          <w:rFonts w:cstheme="minorHAnsi"/>
        </w:rPr>
        <w:t xml:space="preserve"> Současně odpovídá i za nastavení podmínek pro poskytování dotací. </w:t>
      </w:r>
      <w:r w:rsidRPr="00F839E0">
        <w:rPr>
          <w:rFonts w:cstheme="minorHAnsi"/>
        </w:rPr>
        <w:t>Pro jednotlivá kola příjmu žádostí o dotace vyd</w:t>
      </w:r>
      <w:r w:rsidR="00D60B82">
        <w:rPr>
          <w:rFonts w:cstheme="minorHAnsi"/>
        </w:rPr>
        <w:t>ávalo</w:t>
      </w:r>
      <w:r w:rsidRPr="00F839E0">
        <w:rPr>
          <w:rFonts w:cstheme="minorHAnsi"/>
        </w:rPr>
        <w:t xml:space="preserve"> MZe </w:t>
      </w:r>
      <w:r w:rsidR="00D60B82">
        <w:rPr>
          <w:rFonts w:cstheme="minorHAnsi"/>
        </w:rPr>
        <w:t xml:space="preserve">v rámci </w:t>
      </w:r>
      <w:r w:rsidR="00D60B82" w:rsidRPr="00F839E0">
        <w:rPr>
          <w:rFonts w:cstheme="minorHAnsi"/>
          <w:i/>
        </w:rPr>
        <w:t>Pravid</w:t>
      </w:r>
      <w:r w:rsidR="00D60B82">
        <w:rPr>
          <w:rFonts w:cstheme="minorHAnsi"/>
          <w:i/>
        </w:rPr>
        <w:t>e</w:t>
      </w:r>
      <w:r w:rsidR="00D60B82" w:rsidRPr="00F839E0">
        <w:rPr>
          <w:rFonts w:cstheme="minorHAnsi"/>
          <w:i/>
        </w:rPr>
        <w:t>l, kterými se stanovují podmínky pro poskytování dotace na projekty Programu rozvoje venkova na období 2014–2020</w:t>
      </w:r>
      <w:r w:rsidR="00D60B82" w:rsidRPr="00F839E0">
        <w:rPr>
          <w:rFonts w:cstheme="minorHAnsi"/>
        </w:rPr>
        <w:t xml:space="preserve"> (dále </w:t>
      </w:r>
      <w:r w:rsidR="00D60B82">
        <w:rPr>
          <w:rFonts w:cstheme="minorHAnsi"/>
        </w:rPr>
        <w:t>též</w:t>
      </w:r>
      <w:r w:rsidR="00D60B82" w:rsidRPr="00F839E0">
        <w:rPr>
          <w:rFonts w:cstheme="minorHAnsi"/>
        </w:rPr>
        <w:t xml:space="preserve"> „Pravidla“)</w:t>
      </w:r>
      <w:r w:rsidR="00D60B82">
        <w:rPr>
          <w:rFonts w:cstheme="minorHAnsi"/>
        </w:rPr>
        <w:t xml:space="preserve"> jednak „</w:t>
      </w:r>
      <w:r w:rsidRPr="00F839E0">
        <w:rPr>
          <w:rFonts w:cstheme="minorHAnsi"/>
        </w:rPr>
        <w:t>obecn</w:t>
      </w:r>
      <w:r w:rsidR="00D60B82">
        <w:rPr>
          <w:rFonts w:cstheme="minorHAnsi"/>
        </w:rPr>
        <w:t>é podmínky</w:t>
      </w:r>
      <w:r w:rsidR="001A43A9">
        <w:rPr>
          <w:rFonts w:cstheme="minorHAnsi"/>
        </w:rPr>
        <w:t xml:space="preserve"> pro poskytnutí dotace</w:t>
      </w:r>
      <w:r w:rsidR="00D60B82">
        <w:rPr>
          <w:rFonts w:cstheme="minorHAnsi"/>
        </w:rPr>
        <w:t>“, jednak</w:t>
      </w:r>
      <w:r w:rsidRPr="00F839E0">
        <w:rPr>
          <w:rFonts w:cstheme="minorHAnsi"/>
        </w:rPr>
        <w:t xml:space="preserve"> pro jednotlivé operace </w:t>
      </w:r>
      <w:r w:rsidR="00D60B82">
        <w:rPr>
          <w:rFonts w:cstheme="minorHAnsi"/>
        </w:rPr>
        <w:t>„</w:t>
      </w:r>
      <w:r w:rsidRPr="00F839E0">
        <w:rPr>
          <w:rFonts w:cstheme="minorHAnsi"/>
        </w:rPr>
        <w:t>specifick</w:t>
      </w:r>
      <w:r w:rsidR="00D60B82">
        <w:rPr>
          <w:rFonts w:cstheme="minorHAnsi"/>
        </w:rPr>
        <w:t>é</w:t>
      </w:r>
      <w:r w:rsidRPr="00F839E0">
        <w:rPr>
          <w:rFonts w:cstheme="minorHAnsi"/>
        </w:rPr>
        <w:t xml:space="preserve"> </w:t>
      </w:r>
      <w:r w:rsidR="00D60B82">
        <w:rPr>
          <w:rFonts w:cstheme="minorHAnsi"/>
        </w:rPr>
        <w:t>podmínky pro poskytnutí dotace</w:t>
      </w:r>
      <w:r w:rsidR="001A43A9">
        <w:rPr>
          <w:rFonts w:cstheme="minorHAnsi"/>
        </w:rPr>
        <w:t>“</w:t>
      </w:r>
      <w:r w:rsidRPr="00F839E0">
        <w:rPr>
          <w:rFonts w:cstheme="minorHAnsi"/>
        </w:rPr>
        <w:t>. MZe v</w:t>
      </w:r>
      <w:r w:rsidR="00D60B82">
        <w:rPr>
          <w:rFonts w:cstheme="minorHAnsi"/>
        </w:rPr>
        <w:t xml:space="preserve"> </w:t>
      </w:r>
      <w:r w:rsidRPr="00F839E0">
        <w:rPr>
          <w:rFonts w:cstheme="minorHAnsi"/>
        </w:rPr>
        <w:t xml:space="preserve">těchto Pravidlech mj. definovalo způsobilost žadatele, stanovilo podmínky pro získání dotace, </w:t>
      </w:r>
      <w:r>
        <w:rPr>
          <w:rFonts w:cstheme="minorHAnsi"/>
        </w:rPr>
        <w:t>defin</w:t>
      </w:r>
      <w:r w:rsidR="00EE2421">
        <w:rPr>
          <w:rFonts w:cstheme="minorHAnsi"/>
        </w:rPr>
        <w:t>ovalo</w:t>
      </w:r>
      <w:r>
        <w:rPr>
          <w:rFonts w:cstheme="minorHAnsi"/>
        </w:rPr>
        <w:t xml:space="preserve"> způsobil</w:t>
      </w:r>
      <w:r w:rsidR="00EE2421">
        <w:rPr>
          <w:rFonts w:cstheme="minorHAnsi"/>
        </w:rPr>
        <w:t>é</w:t>
      </w:r>
      <w:r>
        <w:rPr>
          <w:rFonts w:cstheme="minorHAnsi"/>
        </w:rPr>
        <w:t xml:space="preserve"> výdaj</w:t>
      </w:r>
      <w:r w:rsidR="00EE2421">
        <w:rPr>
          <w:rFonts w:cstheme="minorHAnsi"/>
        </w:rPr>
        <w:t>e</w:t>
      </w:r>
      <w:r>
        <w:rPr>
          <w:rFonts w:cstheme="minorHAnsi"/>
        </w:rPr>
        <w:t xml:space="preserve"> i</w:t>
      </w:r>
      <w:r w:rsidR="00D60B82">
        <w:rPr>
          <w:rFonts w:cstheme="minorHAnsi"/>
        </w:rPr>
        <w:t> </w:t>
      </w:r>
      <w:r>
        <w:rPr>
          <w:rFonts w:cstheme="minorHAnsi"/>
        </w:rPr>
        <w:t xml:space="preserve">jejich </w:t>
      </w:r>
      <w:r w:rsidRPr="00F839E0">
        <w:rPr>
          <w:rFonts w:cstheme="minorHAnsi"/>
        </w:rPr>
        <w:t>limity a</w:t>
      </w:r>
      <w:r w:rsidR="00D60B82">
        <w:rPr>
          <w:rFonts w:cstheme="minorHAnsi"/>
        </w:rPr>
        <w:t xml:space="preserve"> </w:t>
      </w:r>
      <w:r w:rsidRPr="00F839E0">
        <w:rPr>
          <w:rFonts w:cstheme="minorHAnsi"/>
        </w:rPr>
        <w:t>další podmínky</w:t>
      </w:r>
      <w:r>
        <w:rPr>
          <w:rFonts w:cstheme="minorHAnsi"/>
        </w:rPr>
        <w:t xml:space="preserve"> platné pro žadatele</w:t>
      </w:r>
      <w:r w:rsidR="00EE2421">
        <w:rPr>
          <w:rFonts w:cstheme="minorHAnsi"/>
        </w:rPr>
        <w:t>, resp. příjemce</w:t>
      </w:r>
      <w:r w:rsidRPr="00F839E0">
        <w:rPr>
          <w:rFonts w:cstheme="minorHAnsi"/>
        </w:rPr>
        <w:t xml:space="preserve">. </w:t>
      </w:r>
    </w:p>
    <w:p w:rsidR="00640290" w:rsidRPr="00F839E0" w:rsidRDefault="00640290" w:rsidP="00640290">
      <w:pPr>
        <w:spacing w:after="120"/>
        <w:rPr>
          <w:rFonts w:cstheme="minorHAnsi"/>
        </w:rPr>
      </w:pPr>
      <w:r w:rsidRPr="0046261D">
        <w:rPr>
          <w:rFonts w:cstheme="minorHAnsi"/>
          <w:b/>
        </w:rPr>
        <w:t>2.</w:t>
      </w:r>
      <w:r>
        <w:rPr>
          <w:rFonts w:cstheme="minorHAnsi"/>
          <w:b/>
        </w:rPr>
        <w:t>5</w:t>
      </w:r>
      <w:r>
        <w:rPr>
          <w:rFonts w:cstheme="minorHAnsi"/>
        </w:rPr>
        <w:t xml:space="preserve"> </w:t>
      </w:r>
      <w:r w:rsidRPr="00C6079D">
        <w:rPr>
          <w:rFonts w:cstheme="minorHAnsi"/>
        </w:rPr>
        <w:t>SZIF jako platební agentura zodpovídá za administrativní kontrolu žádostí o dotaci, hodnocení a výběr projektů dle stanovených kritérií, vytváří a podepisuje s vybranými příjemci dohodu o poskytnutí dotace. Dále je zodpovědn</w:t>
      </w:r>
      <w:r w:rsidR="00167650">
        <w:rPr>
          <w:rFonts w:cstheme="minorHAnsi"/>
        </w:rPr>
        <w:t>ý</w:t>
      </w:r>
      <w:r w:rsidRPr="00C6079D">
        <w:rPr>
          <w:rFonts w:cstheme="minorHAnsi"/>
        </w:rPr>
        <w:t xml:space="preserve"> za</w:t>
      </w:r>
      <w:r w:rsidRPr="00C6079D">
        <w:t xml:space="preserve"> administraci a kontrolu žádostí </w:t>
      </w:r>
      <w:r>
        <w:br/>
      </w:r>
      <w:r w:rsidRPr="00C6079D">
        <w:t>o proplacení, zajišťuje provádění plateb příjemcům dotací a realizuje kontrolu</w:t>
      </w:r>
      <w:r w:rsidR="00EE2421">
        <w:t xml:space="preserve"> na místě</w:t>
      </w:r>
      <w:r w:rsidRPr="00C6079D">
        <w:t xml:space="preserve"> </w:t>
      </w:r>
      <w:r w:rsidR="00F442BF">
        <w:br/>
      </w:r>
      <w:r w:rsidR="00DC6668">
        <w:t>u</w:t>
      </w:r>
      <w:r w:rsidR="00F442BF">
        <w:t xml:space="preserve"> </w:t>
      </w:r>
      <w:r w:rsidRPr="00C6079D">
        <w:t xml:space="preserve">příjemců po proplacení dotací. </w:t>
      </w:r>
      <w:r>
        <w:t xml:space="preserve">Současně SZIF spravuje informační systém, </w:t>
      </w:r>
      <w:r w:rsidR="00167650">
        <w:t>v</w:t>
      </w:r>
      <w:r w:rsidR="00F442BF">
        <w:t xml:space="preserve"> </w:t>
      </w:r>
      <w:r w:rsidR="00167650">
        <w:t xml:space="preserve">němž </w:t>
      </w:r>
      <w:r>
        <w:t>o</w:t>
      </w:r>
      <w:r w:rsidR="00167650">
        <w:t> </w:t>
      </w:r>
      <w:r>
        <w:t>jednotlivých projektech</w:t>
      </w:r>
      <w:r w:rsidR="00167650">
        <w:t xml:space="preserve"> shromažďuje údaje</w:t>
      </w:r>
      <w:r>
        <w:t>, kter</w:t>
      </w:r>
      <w:r w:rsidR="00167650">
        <w:t>é</w:t>
      </w:r>
      <w:r>
        <w:t xml:space="preserve"> získává z žádostí o proplacení a následně </w:t>
      </w:r>
      <w:r w:rsidR="00167650">
        <w:t>(</w:t>
      </w:r>
      <w:r w:rsidR="00167650" w:rsidRPr="008600A8">
        <w:t>po dobu vázanosti projektu na účel</w:t>
      </w:r>
      <w:r w:rsidR="00167650">
        <w:t xml:space="preserve">) </w:t>
      </w:r>
      <w:r>
        <w:t xml:space="preserve">z monitorovacích zpráv od </w:t>
      </w:r>
      <w:r w:rsidRPr="008600A8">
        <w:t>příjemců dotací.</w:t>
      </w:r>
      <w:r>
        <w:t xml:space="preserve"> Tento informační systém je h</w:t>
      </w:r>
      <w:r w:rsidRPr="005C3D94">
        <w:t xml:space="preserve">lavním zdrojem dat </w:t>
      </w:r>
      <w:r>
        <w:t>pro monitorování a hodnocení programu.</w:t>
      </w:r>
    </w:p>
    <w:p w:rsidR="00640290" w:rsidRDefault="00640290" w:rsidP="00640290">
      <w:pPr>
        <w:spacing w:after="120"/>
        <w:rPr>
          <w:rFonts w:cstheme="minorHAnsi"/>
        </w:rPr>
      </w:pPr>
      <w:r w:rsidRPr="0096409C">
        <w:rPr>
          <w:rFonts w:cstheme="minorHAnsi"/>
          <w:b/>
        </w:rPr>
        <w:t>2.</w:t>
      </w:r>
      <w:r>
        <w:rPr>
          <w:rFonts w:cstheme="minorHAnsi"/>
          <w:b/>
        </w:rPr>
        <w:t>6</w:t>
      </w:r>
      <w:r w:rsidRPr="00F839E0">
        <w:rPr>
          <w:rFonts w:cstheme="minorHAnsi"/>
        </w:rPr>
        <w:t xml:space="preserve"> V rámci PRV </w:t>
      </w:r>
      <w:r>
        <w:rPr>
          <w:rFonts w:cstheme="minorHAnsi"/>
        </w:rPr>
        <w:t>2014</w:t>
      </w:r>
      <w:r w:rsidR="004E2EE9">
        <w:rPr>
          <w:rFonts w:cstheme="minorHAnsi"/>
        </w:rPr>
        <w:t>–</w:t>
      </w:r>
      <w:r>
        <w:rPr>
          <w:rFonts w:cstheme="minorHAnsi"/>
        </w:rPr>
        <w:t xml:space="preserve">2020 </w:t>
      </w:r>
      <w:r w:rsidRPr="00F839E0">
        <w:rPr>
          <w:rFonts w:cstheme="minorHAnsi"/>
        </w:rPr>
        <w:t xml:space="preserve">mohou žadatelé podávat žádosti o </w:t>
      </w:r>
      <w:r>
        <w:rPr>
          <w:rFonts w:cstheme="minorHAnsi"/>
        </w:rPr>
        <w:t>dotaci</w:t>
      </w:r>
      <w:r w:rsidRPr="00F839E0">
        <w:rPr>
          <w:rFonts w:cstheme="minorHAnsi"/>
        </w:rPr>
        <w:t xml:space="preserve"> ve dvou typech opatření. </w:t>
      </w:r>
      <w:r w:rsidRPr="00DC6668">
        <w:rPr>
          <w:rFonts w:cstheme="minorHAnsi"/>
        </w:rPr>
        <w:t>Prvním typem</w:t>
      </w:r>
      <w:r w:rsidRPr="00F839E0">
        <w:rPr>
          <w:rFonts w:cstheme="minorHAnsi"/>
        </w:rPr>
        <w:t xml:space="preserve"> jsou </w:t>
      </w:r>
      <w:r w:rsidRPr="00DC6668">
        <w:rPr>
          <w:rFonts w:cstheme="minorHAnsi"/>
          <w:i/>
        </w:rPr>
        <w:t>neprojektová opatření</w:t>
      </w:r>
      <w:r w:rsidRPr="00F839E0">
        <w:rPr>
          <w:rFonts w:cstheme="minorHAnsi"/>
        </w:rPr>
        <w:t xml:space="preserve"> prováděná na základě nařízení vlády. Zde neprobíhá výběr</w:t>
      </w:r>
      <w:r>
        <w:rPr>
          <w:rFonts w:cstheme="minorHAnsi"/>
        </w:rPr>
        <w:t xml:space="preserve"> žádostí</w:t>
      </w:r>
      <w:r w:rsidRPr="00F839E0">
        <w:rPr>
          <w:rFonts w:cstheme="minorHAnsi"/>
        </w:rPr>
        <w:t xml:space="preserve">, na </w:t>
      </w:r>
      <w:r>
        <w:rPr>
          <w:rFonts w:cstheme="minorHAnsi"/>
        </w:rPr>
        <w:t>dotaci</w:t>
      </w:r>
      <w:r w:rsidRPr="00F839E0">
        <w:rPr>
          <w:rFonts w:cstheme="minorHAnsi"/>
        </w:rPr>
        <w:t xml:space="preserve"> mají nárok všichni žadatelé, kteří splnili </w:t>
      </w:r>
      <w:r>
        <w:rPr>
          <w:rFonts w:cstheme="minorHAnsi"/>
        </w:rPr>
        <w:t>stanovené závazné</w:t>
      </w:r>
      <w:r w:rsidRPr="00F839E0">
        <w:rPr>
          <w:rFonts w:cstheme="minorHAnsi"/>
        </w:rPr>
        <w:t xml:space="preserve"> podmín</w:t>
      </w:r>
      <w:r>
        <w:rPr>
          <w:rFonts w:cstheme="minorHAnsi"/>
        </w:rPr>
        <w:t>ky</w:t>
      </w:r>
      <w:r w:rsidRPr="00F839E0">
        <w:rPr>
          <w:rFonts w:cstheme="minorHAnsi"/>
        </w:rPr>
        <w:t xml:space="preserve">. Jedná se např. o </w:t>
      </w:r>
      <w:r>
        <w:rPr>
          <w:rFonts w:cstheme="minorHAnsi"/>
        </w:rPr>
        <w:t xml:space="preserve">dotace na podporu </w:t>
      </w:r>
      <w:r w:rsidRPr="00F839E0">
        <w:rPr>
          <w:rFonts w:cstheme="minorHAnsi"/>
        </w:rPr>
        <w:t>ekologické</w:t>
      </w:r>
      <w:r>
        <w:rPr>
          <w:rFonts w:cstheme="minorHAnsi"/>
        </w:rPr>
        <w:t>ho</w:t>
      </w:r>
      <w:r w:rsidRPr="00F839E0">
        <w:rPr>
          <w:rFonts w:cstheme="minorHAnsi"/>
        </w:rPr>
        <w:t xml:space="preserve"> zemědělství, agroenvironmentální</w:t>
      </w:r>
      <w:r>
        <w:rPr>
          <w:rFonts w:cstheme="minorHAnsi"/>
        </w:rPr>
        <w:t>ch</w:t>
      </w:r>
      <w:r w:rsidRPr="00F839E0">
        <w:rPr>
          <w:rFonts w:cstheme="minorHAnsi"/>
        </w:rPr>
        <w:t xml:space="preserve"> opatření nebo dobr</w:t>
      </w:r>
      <w:r>
        <w:rPr>
          <w:rFonts w:cstheme="minorHAnsi"/>
        </w:rPr>
        <w:t>ých</w:t>
      </w:r>
      <w:r w:rsidRPr="00F839E0">
        <w:rPr>
          <w:rFonts w:cstheme="minorHAnsi"/>
        </w:rPr>
        <w:t xml:space="preserve"> životní</w:t>
      </w:r>
      <w:r>
        <w:rPr>
          <w:rFonts w:cstheme="minorHAnsi"/>
        </w:rPr>
        <w:t>ch</w:t>
      </w:r>
      <w:r w:rsidRPr="00F839E0">
        <w:rPr>
          <w:rFonts w:cstheme="minorHAnsi"/>
        </w:rPr>
        <w:t xml:space="preserve"> podmín</w:t>
      </w:r>
      <w:r>
        <w:rPr>
          <w:rFonts w:cstheme="minorHAnsi"/>
        </w:rPr>
        <w:t>ek</w:t>
      </w:r>
      <w:r w:rsidRPr="00F839E0">
        <w:rPr>
          <w:rFonts w:cstheme="minorHAnsi"/>
        </w:rPr>
        <w:t xml:space="preserve"> zvířat. </w:t>
      </w:r>
      <w:r w:rsidRPr="00DC6668">
        <w:rPr>
          <w:rFonts w:cstheme="minorHAnsi"/>
        </w:rPr>
        <w:t>Druhým typem</w:t>
      </w:r>
      <w:r w:rsidRPr="00F839E0">
        <w:rPr>
          <w:rFonts w:cstheme="minorHAnsi"/>
        </w:rPr>
        <w:t xml:space="preserve"> jsou </w:t>
      </w:r>
      <w:r w:rsidRPr="00DC6668">
        <w:rPr>
          <w:rFonts w:cstheme="minorHAnsi"/>
          <w:i/>
        </w:rPr>
        <w:t>projektová opatření</w:t>
      </w:r>
      <w:r>
        <w:rPr>
          <w:rFonts w:cstheme="minorHAnsi"/>
        </w:rPr>
        <w:t xml:space="preserve">, kde </w:t>
      </w:r>
      <w:r w:rsidRPr="00F839E0">
        <w:rPr>
          <w:rFonts w:cstheme="minorHAnsi"/>
        </w:rPr>
        <w:t>žadatelé předkládají žádosti o dotaci</w:t>
      </w:r>
      <w:r>
        <w:rPr>
          <w:rFonts w:cstheme="minorHAnsi"/>
        </w:rPr>
        <w:t xml:space="preserve"> na jednotlivé projekty. Těchto opatření bylo v rámci PRV 2014</w:t>
      </w:r>
      <w:r w:rsidR="004E2EE9">
        <w:rPr>
          <w:rFonts w:cstheme="minorHAnsi"/>
        </w:rPr>
        <w:t>–</w:t>
      </w:r>
      <w:r>
        <w:rPr>
          <w:rFonts w:cstheme="minorHAnsi"/>
        </w:rPr>
        <w:t>2020 celkem šest. V</w:t>
      </w:r>
      <w:r w:rsidR="00167650">
        <w:rPr>
          <w:rFonts w:cstheme="minorHAnsi"/>
        </w:rPr>
        <w:t xml:space="preserve"> </w:t>
      </w:r>
      <w:r>
        <w:rPr>
          <w:rFonts w:cstheme="minorHAnsi"/>
        </w:rPr>
        <w:t xml:space="preserve">jejich případě </w:t>
      </w:r>
      <w:r w:rsidR="00167650">
        <w:rPr>
          <w:rFonts w:cstheme="minorHAnsi"/>
        </w:rPr>
        <w:t>jsou</w:t>
      </w:r>
      <w:r>
        <w:rPr>
          <w:rFonts w:cstheme="minorHAnsi"/>
        </w:rPr>
        <w:t xml:space="preserve"> žádosti o dotaci </w:t>
      </w:r>
      <w:r w:rsidR="00167650">
        <w:rPr>
          <w:rFonts w:cstheme="minorHAnsi"/>
        </w:rPr>
        <w:t>podrobeny</w:t>
      </w:r>
      <w:r>
        <w:rPr>
          <w:rFonts w:cstheme="minorHAnsi"/>
        </w:rPr>
        <w:t xml:space="preserve"> hodnocení </w:t>
      </w:r>
      <w:r w:rsidR="00167650">
        <w:rPr>
          <w:rFonts w:cstheme="minorHAnsi"/>
        </w:rPr>
        <w:t>a výběru</w:t>
      </w:r>
      <w:r w:rsidR="003B51C9">
        <w:rPr>
          <w:rFonts w:cstheme="minorHAnsi"/>
        </w:rPr>
        <w:t>, a to</w:t>
      </w:r>
      <w:r w:rsidR="00167650">
        <w:rPr>
          <w:rFonts w:cstheme="minorHAnsi"/>
        </w:rPr>
        <w:t xml:space="preserve"> </w:t>
      </w:r>
      <w:r>
        <w:rPr>
          <w:rFonts w:cstheme="minorHAnsi"/>
        </w:rPr>
        <w:t xml:space="preserve">na základě </w:t>
      </w:r>
      <w:r w:rsidRPr="00F839E0">
        <w:rPr>
          <w:rFonts w:cstheme="minorHAnsi"/>
        </w:rPr>
        <w:t>předem</w:t>
      </w:r>
      <w:r>
        <w:rPr>
          <w:rFonts w:cstheme="minorHAnsi"/>
        </w:rPr>
        <w:t xml:space="preserve"> </w:t>
      </w:r>
      <w:r w:rsidRPr="00F839E0">
        <w:rPr>
          <w:rFonts w:cstheme="minorHAnsi"/>
        </w:rPr>
        <w:t xml:space="preserve">nastavených kritérií. </w:t>
      </w:r>
    </w:p>
    <w:p w:rsidR="003B51C9" w:rsidRDefault="003B51C9">
      <w:pPr>
        <w:spacing w:before="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B51C9" w:rsidRDefault="00640290" w:rsidP="00D17BAD">
      <w:pPr>
        <w:ind w:right="-2"/>
        <w:rPr>
          <w:rFonts w:cstheme="minorHAnsi"/>
        </w:rPr>
      </w:pPr>
      <w:r w:rsidRPr="0096409C">
        <w:rPr>
          <w:rFonts w:cstheme="minorHAnsi"/>
          <w:b/>
        </w:rPr>
        <w:lastRenderedPageBreak/>
        <w:t>2.</w:t>
      </w:r>
      <w:r>
        <w:rPr>
          <w:rFonts w:cstheme="minorHAnsi"/>
          <w:b/>
        </w:rPr>
        <w:t>7</w:t>
      </w:r>
      <w:r w:rsidRPr="00F839E0">
        <w:rPr>
          <w:rFonts w:cstheme="minorHAnsi"/>
        </w:rPr>
        <w:t xml:space="preserve"> Kontrola </w:t>
      </w:r>
      <w:r>
        <w:rPr>
          <w:rFonts w:cstheme="minorHAnsi"/>
        </w:rPr>
        <w:t xml:space="preserve">NKÚ </w:t>
      </w:r>
      <w:r w:rsidRPr="00F839E0">
        <w:rPr>
          <w:rFonts w:cstheme="minorHAnsi"/>
        </w:rPr>
        <w:t>se zaměřila na</w:t>
      </w:r>
      <w:r>
        <w:rPr>
          <w:rFonts w:cstheme="minorHAnsi"/>
        </w:rPr>
        <w:t xml:space="preserve"> projektová opatření </w:t>
      </w:r>
      <w:r w:rsidR="00EE2421">
        <w:rPr>
          <w:rFonts w:cstheme="minorHAnsi"/>
        </w:rPr>
        <w:t xml:space="preserve">na </w:t>
      </w:r>
      <w:r>
        <w:rPr>
          <w:rFonts w:cstheme="minorHAnsi"/>
        </w:rPr>
        <w:t>podporu</w:t>
      </w:r>
      <w:r w:rsidR="003B51C9">
        <w:rPr>
          <w:rFonts w:cstheme="minorHAnsi"/>
        </w:rPr>
        <w:t>:</w:t>
      </w:r>
      <w:r w:rsidRPr="00F839E0">
        <w:rPr>
          <w:rFonts w:cstheme="minorHAnsi"/>
        </w:rPr>
        <w:t xml:space="preserve"> </w:t>
      </w:r>
    </w:p>
    <w:p w:rsidR="003B51C9" w:rsidRPr="003B51C9" w:rsidRDefault="00640290" w:rsidP="00D17BAD">
      <w:pPr>
        <w:pStyle w:val="Odstavecseseznamem"/>
        <w:numPr>
          <w:ilvl w:val="0"/>
          <w:numId w:val="14"/>
        </w:numPr>
        <w:spacing w:before="0"/>
        <w:ind w:hanging="294"/>
        <w:rPr>
          <w:rFonts w:cstheme="minorHAnsi"/>
        </w:rPr>
      </w:pPr>
      <w:r w:rsidRPr="003B51C9">
        <w:rPr>
          <w:rFonts w:cstheme="minorHAnsi"/>
        </w:rPr>
        <w:t>vzdělávání</w:t>
      </w:r>
      <w:r w:rsidR="00DC6668" w:rsidRPr="003B51C9">
        <w:rPr>
          <w:rFonts w:cstheme="minorHAnsi"/>
        </w:rPr>
        <w:t>,</w:t>
      </w:r>
      <w:r w:rsidRPr="003B51C9">
        <w:rPr>
          <w:rFonts w:cstheme="minorHAnsi"/>
        </w:rPr>
        <w:t xml:space="preserve"> </w:t>
      </w:r>
    </w:p>
    <w:p w:rsidR="003B51C9" w:rsidRPr="003B51C9" w:rsidRDefault="00640290" w:rsidP="00D17BAD">
      <w:pPr>
        <w:pStyle w:val="Odstavecseseznamem"/>
        <w:numPr>
          <w:ilvl w:val="0"/>
          <w:numId w:val="14"/>
        </w:numPr>
        <w:spacing w:before="0"/>
        <w:ind w:hanging="294"/>
        <w:rPr>
          <w:rFonts w:cstheme="minorHAnsi"/>
        </w:rPr>
      </w:pPr>
      <w:r w:rsidRPr="003B51C9">
        <w:rPr>
          <w:rFonts w:cstheme="minorHAnsi"/>
        </w:rPr>
        <w:t>investiční</w:t>
      </w:r>
      <w:r w:rsidR="00F442BF" w:rsidRPr="003B51C9">
        <w:rPr>
          <w:rFonts w:cstheme="minorHAnsi"/>
        </w:rPr>
        <w:t>ch</w:t>
      </w:r>
      <w:r w:rsidRPr="003B51C9">
        <w:rPr>
          <w:rFonts w:cstheme="minorHAnsi"/>
        </w:rPr>
        <w:t xml:space="preserve"> projekt</w:t>
      </w:r>
      <w:r w:rsidR="00F442BF" w:rsidRPr="003B51C9">
        <w:rPr>
          <w:rFonts w:cstheme="minorHAnsi"/>
        </w:rPr>
        <w:t>ů</w:t>
      </w:r>
      <w:r w:rsidRPr="003B51C9">
        <w:rPr>
          <w:rFonts w:cstheme="minorHAnsi"/>
        </w:rPr>
        <w:t xml:space="preserve"> na rozvoj zemědělských podniků</w:t>
      </w:r>
      <w:r w:rsidR="003B51C9">
        <w:rPr>
          <w:rFonts w:cstheme="minorHAnsi"/>
        </w:rPr>
        <w:t>,</w:t>
      </w:r>
      <w:r w:rsidRPr="003B51C9">
        <w:rPr>
          <w:rFonts w:cstheme="minorHAnsi"/>
        </w:rPr>
        <w:t xml:space="preserve"> </w:t>
      </w:r>
    </w:p>
    <w:p w:rsidR="003B51C9" w:rsidRPr="00A33574" w:rsidRDefault="00640290" w:rsidP="00D17BAD">
      <w:pPr>
        <w:pStyle w:val="Odstavecseseznamem"/>
        <w:numPr>
          <w:ilvl w:val="0"/>
          <w:numId w:val="14"/>
        </w:numPr>
        <w:spacing w:before="0" w:after="120"/>
        <w:ind w:hanging="294"/>
        <w:rPr>
          <w:rFonts w:cstheme="minorHAnsi"/>
        </w:rPr>
      </w:pPr>
      <w:r w:rsidRPr="003B51C9">
        <w:rPr>
          <w:rFonts w:cstheme="minorHAnsi"/>
        </w:rPr>
        <w:t>nezemědělsk</w:t>
      </w:r>
      <w:r w:rsidR="00F442BF" w:rsidRPr="003B51C9">
        <w:rPr>
          <w:rFonts w:cstheme="minorHAnsi"/>
        </w:rPr>
        <w:t>ých</w:t>
      </w:r>
      <w:r w:rsidRPr="003B51C9">
        <w:rPr>
          <w:rFonts w:cstheme="minorHAnsi"/>
        </w:rPr>
        <w:t xml:space="preserve"> podnikatelsk</w:t>
      </w:r>
      <w:r w:rsidR="00F442BF" w:rsidRPr="003B51C9">
        <w:rPr>
          <w:rFonts w:cstheme="minorHAnsi"/>
        </w:rPr>
        <w:t>ých</w:t>
      </w:r>
      <w:r w:rsidRPr="00E93444">
        <w:rPr>
          <w:rFonts w:cstheme="minorHAnsi"/>
        </w:rPr>
        <w:t xml:space="preserve"> činnost</w:t>
      </w:r>
      <w:r w:rsidR="00F442BF" w:rsidRPr="00E93444">
        <w:rPr>
          <w:rFonts w:cstheme="minorHAnsi"/>
        </w:rPr>
        <w:t>í</w:t>
      </w:r>
      <w:r w:rsidR="00F442BF" w:rsidRPr="00A33574">
        <w:rPr>
          <w:rFonts w:cstheme="minorHAnsi"/>
        </w:rPr>
        <w:t>.</w:t>
      </w:r>
      <w:r w:rsidRPr="00A33574">
        <w:rPr>
          <w:rFonts w:cstheme="minorHAnsi"/>
        </w:rPr>
        <w:t xml:space="preserve"> </w:t>
      </w:r>
    </w:p>
    <w:p w:rsidR="00640290" w:rsidRDefault="00F442BF" w:rsidP="00D17BAD">
      <w:pPr>
        <w:tabs>
          <w:tab w:val="left" w:pos="2977"/>
        </w:tabs>
        <w:spacing w:before="0" w:after="120"/>
        <w:ind w:right="-2"/>
        <w:rPr>
          <w:rFonts w:cstheme="minorHAnsi"/>
        </w:rPr>
      </w:pPr>
      <w:r>
        <w:rPr>
          <w:rFonts w:cstheme="minorHAnsi"/>
        </w:rPr>
        <w:t xml:space="preserve">Konkrétně šlo o </w:t>
      </w:r>
      <w:r w:rsidR="00640290" w:rsidRPr="00F839E0">
        <w:rPr>
          <w:rFonts w:cstheme="minorHAnsi"/>
        </w:rPr>
        <w:t>následující opatření</w:t>
      </w:r>
      <w:r w:rsidR="00640290">
        <w:rPr>
          <w:rFonts w:cstheme="minorHAnsi"/>
        </w:rPr>
        <w:t xml:space="preserve"> a operac</w:t>
      </w:r>
      <w:r>
        <w:rPr>
          <w:rFonts w:cstheme="minorHAnsi"/>
        </w:rPr>
        <w:t>e</w:t>
      </w:r>
      <w:r w:rsidR="00AB471D">
        <w:rPr>
          <w:rFonts w:cstheme="minorHAnsi"/>
        </w:rPr>
        <w:t>, ze kterých bylo ke dni 7.</w:t>
      </w:r>
      <w:r w:rsidR="008A6DE4">
        <w:rPr>
          <w:rFonts w:cstheme="minorHAnsi"/>
        </w:rPr>
        <w:t xml:space="preserve"> </w:t>
      </w:r>
      <w:r w:rsidR="00AB471D">
        <w:rPr>
          <w:rFonts w:cstheme="minorHAnsi"/>
        </w:rPr>
        <w:t>9. 2023 podpořeno celkem 10 993 projektů</w:t>
      </w:r>
      <w:r w:rsidR="00640290" w:rsidRPr="00F839E0">
        <w:rPr>
          <w:rFonts w:cstheme="minorHAnsi"/>
        </w:rPr>
        <w:t>:</w:t>
      </w:r>
    </w:p>
    <w:p w:rsidR="00640290" w:rsidRPr="00EA4111" w:rsidRDefault="00640290" w:rsidP="00DF1542">
      <w:pPr>
        <w:tabs>
          <w:tab w:val="left" w:pos="2977"/>
        </w:tabs>
        <w:spacing w:after="120"/>
        <w:ind w:left="-284" w:right="-2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58851CB8" wp14:editId="05ABB502">
            <wp:extent cx="6084000" cy="2375535"/>
            <wp:effectExtent l="0" t="0" r="0" b="247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40290" w:rsidRPr="00F839E0" w:rsidRDefault="00640290" w:rsidP="00640290">
      <w:pPr>
        <w:spacing w:after="120"/>
        <w:rPr>
          <w:rFonts w:cstheme="minorHAnsi"/>
          <w:u w:val="single"/>
        </w:rPr>
      </w:pPr>
      <w:bookmarkStart w:id="7" w:name="_Hlk151638923"/>
      <w:r>
        <w:rPr>
          <w:rFonts w:cstheme="minorHAnsi"/>
          <w:u w:val="single"/>
        </w:rPr>
        <w:t xml:space="preserve">Opatření </w:t>
      </w:r>
      <w:r w:rsidRPr="00F839E0">
        <w:rPr>
          <w:rFonts w:cstheme="minorHAnsi"/>
          <w:u w:val="single"/>
        </w:rPr>
        <w:t xml:space="preserve">M01 – </w:t>
      </w:r>
      <w:r w:rsidRPr="00D17BAD">
        <w:rPr>
          <w:rFonts w:cstheme="minorHAnsi"/>
          <w:i/>
          <w:u w:val="single"/>
        </w:rPr>
        <w:t>Předávání znalostí a informační akce</w:t>
      </w:r>
      <w:r w:rsidRPr="00F839E0">
        <w:rPr>
          <w:rFonts w:cstheme="minorHAnsi"/>
          <w:u w:val="single"/>
        </w:rPr>
        <w:t xml:space="preserve"> </w:t>
      </w:r>
    </w:p>
    <w:p w:rsidR="00640290" w:rsidRPr="00F839E0" w:rsidRDefault="00640290" w:rsidP="00640290">
      <w:pPr>
        <w:spacing w:after="120"/>
        <w:rPr>
          <w:rFonts w:cstheme="minorHAnsi"/>
          <w:u w:val="single"/>
        </w:rPr>
      </w:pPr>
      <w:r w:rsidRPr="0096409C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>8</w:t>
      </w:r>
      <w:r w:rsidRPr="00F839E0">
        <w:rPr>
          <w:rFonts w:cstheme="minorHAnsi"/>
          <w:bCs/>
        </w:rPr>
        <w:t xml:space="preserve"> </w:t>
      </w:r>
      <w:r>
        <w:rPr>
          <w:rFonts w:cstheme="minorHAnsi"/>
          <w:bCs/>
        </w:rPr>
        <w:t>Cílem tohoto opatření bylo</w:t>
      </w:r>
      <w:r w:rsidRPr="00661FF2">
        <w:rPr>
          <w:rFonts w:cstheme="minorHAnsi"/>
          <w:bCs/>
        </w:rPr>
        <w:t xml:space="preserve"> posílit znalostní základnu a podpořit předávání znalostí </w:t>
      </w:r>
      <w:r>
        <w:rPr>
          <w:rFonts w:cstheme="minorHAnsi"/>
          <w:bCs/>
        </w:rPr>
        <w:br/>
      </w:r>
      <w:r w:rsidRPr="00661FF2">
        <w:rPr>
          <w:rFonts w:cstheme="minorHAnsi"/>
          <w:bCs/>
        </w:rPr>
        <w:t>v zemědělství, potravinářství a lesnictví.</w:t>
      </w:r>
      <w:r>
        <w:rPr>
          <w:rFonts w:cstheme="minorHAnsi"/>
          <w:bCs/>
        </w:rPr>
        <w:t xml:space="preserve"> </w:t>
      </w:r>
      <w:r>
        <w:rPr>
          <w:rFonts w:cstheme="minorHAnsi"/>
        </w:rPr>
        <w:t xml:space="preserve">Opatření se dělilo na dvě operace (viz </w:t>
      </w:r>
      <w:r w:rsidR="00435E06">
        <w:rPr>
          <w:rFonts w:cstheme="minorHAnsi"/>
        </w:rPr>
        <w:t>odst.</w:t>
      </w:r>
      <w:r>
        <w:rPr>
          <w:rFonts w:cstheme="minorHAnsi"/>
        </w:rPr>
        <w:t xml:space="preserve"> 2.</w:t>
      </w:r>
      <w:r w:rsidR="00435E06">
        <w:rPr>
          <w:rFonts w:cstheme="minorHAnsi"/>
        </w:rPr>
        <w:t>7</w:t>
      </w:r>
      <w:r>
        <w:rPr>
          <w:rFonts w:cstheme="minorHAnsi"/>
        </w:rPr>
        <w:t>). Celková alokace na toto opatření činila 308 mil. Kč.</w:t>
      </w:r>
    </w:p>
    <w:p w:rsidR="00640290" w:rsidRPr="00F839E0" w:rsidRDefault="00640290" w:rsidP="00640290">
      <w:pPr>
        <w:spacing w:after="120"/>
        <w:rPr>
          <w:rFonts w:cstheme="minorHAnsi"/>
          <w:u w:val="single"/>
        </w:rPr>
      </w:pPr>
      <w:r w:rsidRPr="00F839E0">
        <w:rPr>
          <w:rFonts w:cstheme="minorHAnsi"/>
          <w:u w:val="single"/>
        </w:rPr>
        <w:t xml:space="preserve">Opatření M02 – </w:t>
      </w:r>
      <w:r w:rsidRPr="00D17BAD">
        <w:rPr>
          <w:rFonts w:cstheme="minorHAnsi"/>
          <w:i/>
          <w:u w:val="single"/>
        </w:rPr>
        <w:t>Poradenské, řídicí a pomocné služby pro zemědělství</w:t>
      </w:r>
      <w:r w:rsidRPr="00F839E0">
        <w:rPr>
          <w:rFonts w:cstheme="minorHAnsi"/>
          <w:u w:val="single"/>
        </w:rPr>
        <w:t xml:space="preserve"> </w:t>
      </w:r>
    </w:p>
    <w:p w:rsidR="00640290" w:rsidRPr="00F839E0" w:rsidRDefault="00640290" w:rsidP="00640290">
      <w:pPr>
        <w:rPr>
          <w:rFonts w:cstheme="minorHAnsi"/>
        </w:rPr>
      </w:pPr>
      <w:r w:rsidRPr="0096409C">
        <w:rPr>
          <w:rFonts w:cstheme="minorHAnsi"/>
          <w:b/>
        </w:rPr>
        <w:t>2.</w:t>
      </w:r>
      <w:r>
        <w:rPr>
          <w:rFonts w:cstheme="minorHAnsi"/>
          <w:b/>
        </w:rPr>
        <w:t>9</w:t>
      </w:r>
      <w:r w:rsidRPr="00F839E0">
        <w:rPr>
          <w:rFonts w:cstheme="minorHAnsi"/>
        </w:rPr>
        <w:t xml:space="preserve"> </w:t>
      </w:r>
      <w:r>
        <w:rPr>
          <w:rFonts w:cstheme="minorHAnsi"/>
          <w:bCs/>
        </w:rPr>
        <w:t>Cílem tohoto opatření</w:t>
      </w:r>
      <w:r w:rsidRPr="00F839E0">
        <w:rPr>
          <w:rFonts w:cstheme="minorHAnsi"/>
        </w:rPr>
        <w:t xml:space="preserve"> měl</w:t>
      </w:r>
      <w:r>
        <w:rPr>
          <w:rFonts w:cstheme="minorHAnsi"/>
        </w:rPr>
        <w:t>a být</w:t>
      </w:r>
      <w:r w:rsidRPr="00F839E0">
        <w:rPr>
          <w:rFonts w:cstheme="minorHAnsi"/>
        </w:rPr>
        <w:t xml:space="preserve"> podpor</w:t>
      </w:r>
      <w:r>
        <w:rPr>
          <w:rFonts w:cstheme="minorHAnsi"/>
        </w:rPr>
        <w:t>a</w:t>
      </w:r>
      <w:r w:rsidRPr="00F839E0">
        <w:rPr>
          <w:rFonts w:cstheme="minorHAnsi"/>
        </w:rPr>
        <w:t xml:space="preserve"> poskytování odborných individuálních poradenských služeb.</w:t>
      </w:r>
      <w:r>
        <w:rPr>
          <w:rFonts w:cstheme="minorHAnsi"/>
        </w:rPr>
        <w:t xml:space="preserve"> </w:t>
      </w:r>
      <w:r w:rsidRPr="00F839E0">
        <w:rPr>
          <w:rFonts w:cstheme="minorHAnsi"/>
        </w:rPr>
        <w:t xml:space="preserve">MZe se nepodařilo toto opatření </w:t>
      </w:r>
      <w:r w:rsidR="0088511A">
        <w:rPr>
          <w:rFonts w:cstheme="minorHAnsi"/>
        </w:rPr>
        <w:t>zahájit</w:t>
      </w:r>
      <w:r>
        <w:rPr>
          <w:rFonts w:cstheme="minorHAnsi"/>
        </w:rPr>
        <w:t xml:space="preserve"> a </w:t>
      </w:r>
      <w:r w:rsidRPr="00F839E0">
        <w:rPr>
          <w:rFonts w:cstheme="minorHAnsi"/>
        </w:rPr>
        <w:t>v</w:t>
      </w:r>
      <w:r w:rsidR="00F5493E">
        <w:rPr>
          <w:rFonts w:cstheme="minorHAnsi"/>
        </w:rPr>
        <w:t xml:space="preserve"> </w:t>
      </w:r>
      <w:r w:rsidRPr="00F839E0">
        <w:rPr>
          <w:rFonts w:cstheme="minorHAnsi"/>
        </w:rPr>
        <w:t>roce 2018</w:t>
      </w:r>
      <w:r w:rsidR="00112040">
        <w:rPr>
          <w:rFonts w:cstheme="minorHAnsi"/>
        </w:rPr>
        <w:t xml:space="preserve"> ho</w:t>
      </w:r>
      <w:r w:rsidRPr="00F839E0">
        <w:rPr>
          <w:rFonts w:cstheme="minorHAnsi"/>
        </w:rPr>
        <w:t xml:space="preserve"> zrušilo a</w:t>
      </w:r>
      <w:r w:rsidR="0059509F">
        <w:rPr>
          <w:rFonts w:cstheme="minorHAnsi"/>
        </w:rPr>
        <w:t> </w:t>
      </w:r>
      <w:r w:rsidRPr="00F839E0">
        <w:rPr>
          <w:rFonts w:cstheme="minorHAnsi"/>
        </w:rPr>
        <w:t>peněžní prostředky určen</w:t>
      </w:r>
      <w:r>
        <w:rPr>
          <w:rFonts w:cstheme="minorHAnsi"/>
        </w:rPr>
        <w:t>é</w:t>
      </w:r>
      <w:r w:rsidRPr="00F839E0">
        <w:rPr>
          <w:rFonts w:cstheme="minorHAnsi"/>
        </w:rPr>
        <w:t xml:space="preserve"> na</w:t>
      </w:r>
      <w:r>
        <w:rPr>
          <w:rFonts w:cstheme="minorHAnsi"/>
        </w:rPr>
        <w:t> </w:t>
      </w:r>
      <w:r w:rsidRPr="00F839E0">
        <w:rPr>
          <w:rFonts w:cstheme="minorHAnsi"/>
        </w:rPr>
        <w:t>poradenství</w:t>
      </w:r>
      <w:r w:rsidR="00112040">
        <w:rPr>
          <w:rFonts w:cstheme="minorHAnsi"/>
        </w:rPr>
        <w:t xml:space="preserve"> převedlo </w:t>
      </w:r>
      <w:r w:rsidRPr="00F839E0">
        <w:rPr>
          <w:rFonts w:cstheme="minorHAnsi"/>
        </w:rPr>
        <w:t xml:space="preserve">na podporu vzdělávání. </w:t>
      </w:r>
    </w:p>
    <w:p w:rsidR="00640290" w:rsidRPr="00F839E0" w:rsidRDefault="00640290" w:rsidP="00640290">
      <w:pPr>
        <w:spacing w:after="120"/>
        <w:rPr>
          <w:rFonts w:cstheme="minorHAnsi"/>
          <w:u w:val="single"/>
        </w:rPr>
      </w:pPr>
      <w:r w:rsidRPr="00F839E0">
        <w:rPr>
          <w:rFonts w:cstheme="minorHAnsi"/>
          <w:u w:val="single"/>
        </w:rPr>
        <w:t xml:space="preserve">Opatření M04 – </w:t>
      </w:r>
      <w:r w:rsidRPr="00D17BAD">
        <w:rPr>
          <w:rFonts w:cstheme="minorHAnsi"/>
          <w:i/>
          <w:u w:val="single"/>
        </w:rPr>
        <w:t>Investice do hmotného majetku</w:t>
      </w:r>
    </w:p>
    <w:p w:rsidR="00640290" w:rsidRPr="000F4BB3" w:rsidRDefault="00640290" w:rsidP="00640290">
      <w:pPr>
        <w:rPr>
          <w:rFonts w:cstheme="minorHAnsi"/>
        </w:rPr>
      </w:pPr>
      <w:r w:rsidRPr="0096409C">
        <w:rPr>
          <w:rFonts w:cstheme="minorHAnsi"/>
          <w:b/>
        </w:rPr>
        <w:t>2.1</w:t>
      </w:r>
      <w:r>
        <w:rPr>
          <w:rFonts w:cstheme="minorHAnsi"/>
          <w:b/>
        </w:rPr>
        <w:t>0</w:t>
      </w:r>
      <w:r>
        <w:rPr>
          <w:rFonts w:cstheme="minorHAnsi"/>
        </w:rPr>
        <w:t xml:space="preserve"> Cílem tohoto opatření bylo </w:t>
      </w:r>
      <w:r w:rsidRPr="000F4BB3">
        <w:rPr>
          <w:rFonts w:cstheme="minorHAnsi"/>
        </w:rPr>
        <w:t xml:space="preserve">zvýšení konkurenceschopnosti malých a středních zemědělských podniků. Účelem </w:t>
      </w:r>
      <w:r w:rsidR="00BD1637">
        <w:rPr>
          <w:rFonts w:cstheme="minorHAnsi"/>
        </w:rPr>
        <w:t>bylo</w:t>
      </w:r>
      <w:r w:rsidRPr="000F4BB3">
        <w:rPr>
          <w:rFonts w:cstheme="minorHAnsi"/>
        </w:rPr>
        <w:t xml:space="preserve"> přispět k dosažení konkurenceschopného zemědělství, potravinářství a lesnictví a také přispět k dosažení udržitelného hospodaření s přírodními zdroji.</w:t>
      </w:r>
      <w:r>
        <w:rPr>
          <w:rFonts w:cstheme="minorHAnsi"/>
        </w:rPr>
        <w:t xml:space="preserve"> </w:t>
      </w:r>
      <w:r w:rsidRPr="00F839E0">
        <w:rPr>
          <w:rFonts w:cstheme="minorHAnsi"/>
        </w:rPr>
        <w:t xml:space="preserve">Opatření se </w:t>
      </w:r>
      <w:r>
        <w:rPr>
          <w:rFonts w:cstheme="minorHAnsi"/>
        </w:rPr>
        <w:t>dělilo</w:t>
      </w:r>
      <w:r w:rsidRPr="00F839E0">
        <w:rPr>
          <w:rFonts w:cstheme="minorHAnsi"/>
        </w:rPr>
        <w:t xml:space="preserve"> na čtyři operace</w:t>
      </w:r>
      <w:r>
        <w:rPr>
          <w:rFonts w:cstheme="minorHAnsi"/>
        </w:rPr>
        <w:t>. V</w:t>
      </w:r>
      <w:r w:rsidRPr="00F839E0">
        <w:rPr>
          <w:rFonts w:cstheme="minorHAnsi"/>
        </w:rPr>
        <w:t> rámci provedené kontroly byla prověřena operace 4.1.1</w:t>
      </w:r>
      <w:r>
        <w:rPr>
          <w:rFonts w:cstheme="minorHAnsi"/>
        </w:rPr>
        <w:t xml:space="preserve"> s celkovou alokací 14 75</w:t>
      </w:r>
      <w:r w:rsidR="007E1EE6">
        <w:rPr>
          <w:rFonts w:cstheme="minorHAnsi"/>
        </w:rPr>
        <w:t>0</w:t>
      </w:r>
      <w:r>
        <w:rPr>
          <w:rFonts w:cstheme="minorHAnsi"/>
        </w:rPr>
        <w:t xml:space="preserve"> mil. Kč</w:t>
      </w:r>
      <w:r w:rsidR="005560B0">
        <w:rPr>
          <w:rFonts w:cstheme="minorHAnsi"/>
        </w:rPr>
        <w:t xml:space="preserve"> (viz odst. 2.7)</w:t>
      </w:r>
      <w:r w:rsidRPr="00F839E0">
        <w:rPr>
          <w:rFonts w:cstheme="minorHAnsi"/>
        </w:rPr>
        <w:t>.</w:t>
      </w:r>
    </w:p>
    <w:p w:rsidR="00640290" w:rsidRPr="00F839E0" w:rsidRDefault="00640290" w:rsidP="00640290">
      <w:pPr>
        <w:spacing w:after="120"/>
        <w:rPr>
          <w:rFonts w:cstheme="minorHAnsi"/>
          <w:u w:val="single"/>
        </w:rPr>
      </w:pPr>
      <w:r w:rsidRPr="00F839E0">
        <w:rPr>
          <w:rFonts w:cstheme="minorHAnsi"/>
          <w:u w:val="single"/>
        </w:rPr>
        <w:t xml:space="preserve">Opatření M06 – </w:t>
      </w:r>
      <w:r w:rsidRPr="00D17BAD">
        <w:rPr>
          <w:rFonts w:cstheme="minorHAnsi"/>
          <w:i/>
          <w:u w:val="single"/>
        </w:rPr>
        <w:t>Rozvoj zemědělských podniků a podnikatelsk</w:t>
      </w:r>
      <w:r w:rsidR="00FB610B">
        <w:rPr>
          <w:rFonts w:cstheme="minorHAnsi"/>
          <w:i/>
          <w:u w:val="single"/>
        </w:rPr>
        <w:t>é</w:t>
      </w:r>
      <w:r w:rsidRPr="00D17BAD">
        <w:rPr>
          <w:rFonts w:cstheme="minorHAnsi"/>
          <w:i/>
          <w:u w:val="single"/>
        </w:rPr>
        <w:t xml:space="preserve"> činnost</w:t>
      </w:r>
      <w:r w:rsidR="00FB610B">
        <w:rPr>
          <w:rFonts w:cstheme="minorHAnsi"/>
          <w:i/>
          <w:u w:val="single"/>
        </w:rPr>
        <w:t>i</w:t>
      </w:r>
    </w:p>
    <w:p w:rsidR="00640290" w:rsidRPr="00EE40CB" w:rsidRDefault="00640290" w:rsidP="00EE40CB">
      <w:pPr>
        <w:rPr>
          <w:rFonts w:cstheme="minorHAnsi"/>
          <w:bCs/>
          <w:color w:val="3B3B3B"/>
          <w:shd w:val="clear" w:color="auto" w:fill="FFFFFF"/>
        </w:rPr>
      </w:pPr>
      <w:r w:rsidRPr="0096409C">
        <w:rPr>
          <w:rFonts w:cstheme="minorHAnsi"/>
          <w:b/>
        </w:rPr>
        <w:t>2.1</w:t>
      </w:r>
      <w:r>
        <w:rPr>
          <w:rFonts w:cstheme="minorHAnsi"/>
          <w:b/>
        </w:rPr>
        <w:t>1</w:t>
      </w:r>
      <w:r w:rsidRPr="00F839E0">
        <w:rPr>
          <w:rFonts w:cstheme="minorHAnsi"/>
        </w:rPr>
        <w:t xml:space="preserve"> </w:t>
      </w:r>
      <w:r>
        <w:rPr>
          <w:rFonts w:cstheme="minorHAnsi"/>
        </w:rPr>
        <w:t xml:space="preserve">Cílem tohoto opatření bylo </w:t>
      </w:r>
      <w:r w:rsidRPr="000F4BB3">
        <w:rPr>
          <w:rFonts w:cstheme="minorHAnsi"/>
        </w:rPr>
        <w:t>napomoci generační obnově v zemědělství a současně usnadnit vstup dostatečně kvalifikovaných zemědělců do odvětví.</w:t>
      </w:r>
      <w:r>
        <w:rPr>
          <w:rFonts w:cstheme="minorHAnsi"/>
        </w:rPr>
        <w:t xml:space="preserve"> </w:t>
      </w:r>
      <w:r w:rsidRPr="000F4BB3">
        <w:rPr>
          <w:rFonts w:cstheme="minorHAnsi"/>
        </w:rPr>
        <w:t xml:space="preserve">Dalším cílem </w:t>
      </w:r>
      <w:r w:rsidR="00BD1637">
        <w:rPr>
          <w:rFonts w:cstheme="minorHAnsi"/>
        </w:rPr>
        <w:t>bylo</w:t>
      </w:r>
      <w:r w:rsidRPr="000F4BB3">
        <w:rPr>
          <w:rFonts w:cstheme="minorHAnsi"/>
        </w:rPr>
        <w:t xml:space="preserve"> usnadnit </w:t>
      </w:r>
      <w:r w:rsidR="009C331F">
        <w:rPr>
          <w:rFonts w:cstheme="minorHAnsi"/>
        </w:rPr>
        <w:t>rozšíření</w:t>
      </w:r>
      <w:r w:rsidRPr="000F4BB3">
        <w:rPr>
          <w:rFonts w:cstheme="minorHAnsi"/>
        </w:rPr>
        <w:t xml:space="preserve"> </w:t>
      </w:r>
      <w:r w:rsidR="00FB610B">
        <w:rPr>
          <w:rFonts w:cstheme="minorHAnsi"/>
        </w:rPr>
        <w:t xml:space="preserve">činnosti </w:t>
      </w:r>
      <w:r w:rsidR="009C331F">
        <w:rPr>
          <w:rFonts w:cstheme="minorHAnsi"/>
        </w:rPr>
        <w:t xml:space="preserve">zemědělských podniků </w:t>
      </w:r>
      <w:r w:rsidRPr="000F4BB3">
        <w:rPr>
          <w:rFonts w:cstheme="minorHAnsi"/>
        </w:rPr>
        <w:t>do nezemědělských činností a stimulovat tak vytváření pracovních míst.</w:t>
      </w:r>
      <w:r w:rsidR="00EE40CB">
        <w:rPr>
          <w:rFonts w:cstheme="minorHAnsi"/>
          <w:bCs/>
          <w:color w:val="3B3B3B"/>
          <w:shd w:val="clear" w:color="auto" w:fill="FFFFFF"/>
        </w:rPr>
        <w:t xml:space="preserve"> </w:t>
      </w:r>
      <w:r w:rsidRPr="00F839E0">
        <w:rPr>
          <w:rFonts w:cstheme="minorHAnsi"/>
        </w:rPr>
        <w:t>Opatření se člen</w:t>
      </w:r>
      <w:r>
        <w:rPr>
          <w:rFonts w:cstheme="minorHAnsi"/>
        </w:rPr>
        <w:t>ilo</w:t>
      </w:r>
      <w:r w:rsidRPr="00F839E0">
        <w:rPr>
          <w:rFonts w:cstheme="minorHAnsi"/>
        </w:rPr>
        <w:t xml:space="preserve"> na čtyři operace</w:t>
      </w:r>
      <w:r>
        <w:rPr>
          <w:rFonts w:cstheme="minorHAnsi"/>
        </w:rPr>
        <w:t xml:space="preserve"> (viz </w:t>
      </w:r>
      <w:r w:rsidR="00562FE4">
        <w:rPr>
          <w:rFonts w:cstheme="minorHAnsi"/>
        </w:rPr>
        <w:t>odst.</w:t>
      </w:r>
      <w:r>
        <w:rPr>
          <w:rFonts w:cstheme="minorHAnsi"/>
        </w:rPr>
        <w:t xml:space="preserve"> 2.</w:t>
      </w:r>
      <w:r w:rsidR="00435E06">
        <w:rPr>
          <w:rFonts w:cstheme="minorHAnsi"/>
        </w:rPr>
        <w:t>7</w:t>
      </w:r>
      <w:r>
        <w:rPr>
          <w:rFonts w:cstheme="minorHAnsi"/>
        </w:rPr>
        <w:t>)</w:t>
      </w:r>
      <w:r w:rsidRPr="00F839E0">
        <w:rPr>
          <w:rFonts w:cstheme="minorHAnsi"/>
        </w:rPr>
        <w:t>.</w:t>
      </w:r>
      <w:r>
        <w:rPr>
          <w:rFonts w:cstheme="minorHAnsi"/>
        </w:rPr>
        <w:t xml:space="preserve"> Celková alokace na toto opatření činila 3 420 mil. Kč.</w:t>
      </w:r>
    </w:p>
    <w:bookmarkEnd w:id="7"/>
    <w:p w:rsidR="00640290" w:rsidRDefault="00640290" w:rsidP="003B51C9">
      <w:pPr>
        <w:spacing w:after="240"/>
      </w:pPr>
      <w:r w:rsidRPr="0096409C">
        <w:rPr>
          <w:rFonts w:cstheme="minorHAnsi"/>
          <w:b/>
        </w:rPr>
        <w:t>2.</w:t>
      </w:r>
      <w:r>
        <w:rPr>
          <w:rFonts w:cstheme="minorHAnsi"/>
          <w:b/>
        </w:rPr>
        <w:t>12</w:t>
      </w:r>
      <w:r>
        <w:rPr>
          <w:rFonts w:cstheme="minorHAnsi"/>
        </w:rPr>
        <w:t xml:space="preserve"> Celkový přehled o alokaci prostředků na vybraná</w:t>
      </w:r>
      <w:r w:rsidRPr="00B36166">
        <w:rPr>
          <w:rFonts w:cstheme="minorHAnsi"/>
        </w:rPr>
        <w:t xml:space="preserve"> opatření </w:t>
      </w:r>
      <w:r>
        <w:rPr>
          <w:rFonts w:cstheme="minorHAnsi"/>
        </w:rPr>
        <w:t>uvádí graf č. 1.</w:t>
      </w:r>
      <w:r w:rsidRPr="007B08EC">
        <w:rPr>
          <w:noProof/>
        </w:rPr>
        <w:t xml:space="preserve"> </w:t>
      </w:r>
      <w:r w:rsidRPr="005E08FB">
        <w:t>Přehled podpory výše uvedených opatření a v</w:t>
      </w:r>
      <w:r w:rsidR="00FB610B">
        <w:t xml:space="preserve"> </w:t>
      </w:r>
      <w:r w:rsidRPr="005E08FB">
        <w:t>nich zahrnutých operací a jejich čerpání obsahuje příloha</w:t>
      </w:r>
      <w:r w:rsidR="00FB610B">
        <w:t> </w:t>
      </w:r>
      <w:r w:rsidRPr="005E08FB">
        <w:t>č. 1.</w:t>
      </w:r>
    </w:p>
    <w:p w:rsidR="00C6086E" w:rsidRDefault="00640290" w:rsidP="002B1DA9">
      <w:pPr>
        <w:ind w:left="964" w:hanging="964"/>
        <w:rPr>
          <w:b/>
          <w:noProof/>
        </w:rPr>
      </w:pPr>
      <w:r w:rsidRPr="00E62F30">
        <w:rPr>
          <w:b/>
          <w:noProof/>
        </w:rPr>
        <w:lastRenderedPageBreak/>
        <w:t xml:space="preserve">Graf č. 1: </w:t>
      </w:r>
      <w:r w:rsidR="00C6086E">
        <w:rPr>
          <w:b/>
          <w:noProof/>
        </w:rPr>
        <w:tab/>
      </w:r>
      <w:r w:rsidRPr="00E62F30">
        <w:rPr>
          <w:b/>
          <w:noProof/>
        </w:rPr>
        <w:t>Alokace peněžních prostředků na vybran</w:t>
      </w:r>
      <w:r w:rsidR="00B41284" w:rsidRPr="00E62F30">
        <w:rPr>
          <w:b/>
          <w:noProof/>
        </w:rPr>
        <w:t>á</w:t>
      </w:r>
      <w:r w:rsidRPr="00E62F30">
        <w:rPr>
          <w:b/>
          <w:noProof/>
        </w:rPr>
        <w:t xml:space="preserve"> opatření PRV 2014</w:t>
      </w:r>
      <w:r w:rsidR="004E2EE9">
        <w:rPr>
          <w:b/>
          <w:noProof/>
        </w:rPr>
        <w:t>–</w:t>
      </w:r>
      <w:r w:rsidRPr="00E62F30">
        <w:rPr>
          <w:b/>
          <w:noProof/>
        </w:rPr>
        <w:t xml:space="preserve">2020 </w:t>
      </w:r>
    </w:p>
    <w:p w:rsidR="005D2748" w:rsidRPr="005D2748" w:rsidRDefault="00640290" w:rsidP="002B1DA9">
      <w:pPr>
        <w:spacing w:before="0" w:after="120"/>
        <w:ind w:left="964"/>
        <w:rPr>
          <w:b/>
          <w:noProof/>
        </w:rPr>
      </w:pPr>
      <w:r w:rsidRPr="00E62F30">
        <w:rPr>
          <w:b/>
          <w:noProof/>
        </w:rPr>
        <w:t>(</w:t>
      </w:r>
      <w:r w:rsidRPr="00E62F30">
        <w:rPr>
          <w:rFonts w:cstheme="minorHAnsi"/>
          <w:b/>
        </w:rPr>
        <w:t>stav ke dni 31. 8. 2023)</w:t>
      </w:r>
    </w:p>
    <w:p w:rsidR="00640290" w:rsidRDefault="006252CB" w:rsidP="006252CB">
      <w:pPr>
        <w:spacing w:before="0"/>
      </w:pPr>
      <w:r>
        <w:rPr>
          <w:noProof/>
          <w:lang w:eastAsia="cs-CZ"/>
        </w:rPr>
        <w:drawing>
          <wp:inline distT="0" distB="0" distL="0" distR="0" wp14:anchorId="274BD25D" wp14:editId="797F73AD">
            <wp:extent cx="5895975" cy="3184525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8B40554-FAB2-42AE-83CA-C51BEE11FE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1417" w:rsidRPr="00640290" w:rsidRDefault="00640290" w:rsidP="00640290">
      <w:pPr>
        <w:rPr>
          <w:sz w:val="16"/>
        </w:rPr>
      </w:pPr>
      <w:r w:rsidRPr="00D17BAD">
        <w:rPr>
          <w:b/>
          <w:sz w:val="20"/>
        </w:rPr>
        <w:t>Zdroj:</w:t>
      </w:r>
      <w:r w:rsidRPr="00640290">
        <w:rPr>
          <w:sz w:val="20"/>
        </w:rPr>
        <w:t xml:space="preserve"> </w:t>
      </w:r>
      <w:r w:rsidR="00C6086E">
        <w:rPr>
          <w:sz w:val="20"/>
        </w:rPr>
        <w:t>p</w:t>
      </w:r>
      <w:r w:rsidRPr="00640290">
        <w:rPr>
          <w:sz w:val="20"/>
        </w:rPr>
        <w:t>rogramový dokument PRV 2014</w:t>
      </w:r>
      <w:r w:rsidR="004E2EE9">
        <w:rPr>
          <w:sz w:val="20"/>
        </w:rPr>
        <w:t>–</w:t>
      </w:r>
      <w:r w:rsidRPr="00640290">
        <w:rPr>
          <w:sz w:val="20"/>
        </w:rPr>
        <w:t>2020 (11. aktualizace)</w:t>
      </w:r>
      <w:r w:rsidR="00C6086E">
        <w:rPr>
          <w:sz w:val="20"/>
        </w:rPr>
        <w:t>;</w:t>
      </w:r>
      <w:r w:rsidRPr="00640290">
        <w:rPr>
          <w:sz w:val="20"/>
        </w:rPr>
        <w:t xml:space="preserve"> </w:t>
      </w:r>
      <w:r w:rsidR="00C6086E">
        <w:rPr>
          <w:sz w:val="20"/>
        </w:rPr>
        <w:t>graficky z</w:t>
      </w:r>
      <w:r w:rsidRPr="00640290">
        <w:rPr>
          <w:sz w:val="20"/>
        </w:rPr>
        <w:t>pracoval NKÚ</w:t>
      </w:r>
      <w:r w:rsidR="00156CFA">
        <w:rPr>
          <w:sz w:val="20"/>
        </w:rPr>
        <w:t>.</w:t>
      </w:r>
    </w:p>
    <w:p w:rsidR="00052839" w:rsidRDefault="00052839" w:rsidP="00052839">
      <w:pPr>
        <w:jc w:val="center"/>
        <w:rPr>
          <w:b/>
        </w:rPr>
      </w:pPr>
    </w:p>
    <w:p w:rsidR="00052839" w:rsidRPr="00052839" w:rsidRDefault="00052839" w:rsidP="006D5FD6">
      <w:pPr>
        <w:jc w:val="center"/>
        <w:outlineLvl w:val="0"/>
        <w:rPr>
          <w:b/>
          <w:sz w:val="28"/>
        </w:rPr>
      </w:pPr>
      <w:r w:rsidRPr="00052839">
        <w:rPr>
          <w:b/>
          <w:sz w:val="28"/>
        </w:rPr>
        <w:t>III. Rozsah kontroly</w:t>
      </w:r>
    </w:p>
    <w:p w:rsidR="00990FB8" w:rsidRPr="00D00545" w:rsidRDefault="00990FB8" w:rsidP="00990FB8">
      <w:pPr>
        <w:spacing w:after="120"/>
        <w:rPr>
          <w:rFonts w:cstheme="minorHAnsi"/>
        </w:rPr>
      </w:pPr>
      <w:r w:rsidRPr="00D00545">
        <w:rPr>
          <w:rFonts w:cstheme="minorHAnsi"/>
          <w:b/>
        </w:rPr>
        <w:t>3.1</w:t>
      </w:r>
      <w:r>
        <w:rPr>
          <w:rFonts w:cstheme="minorHAnsi"/>
        </w:rPr>
        <w:t xml:space="preserve"> </w:t>
      </w:r>
      <w:r w:rsidRPr="00D00545">
        <w:rPr>
          <w:rFonts w:cstheme="minorHAnsi"/>
        </w:rPr>
        <w:t>Cílem kontroly bylo prověřit, zda peněžní prostředky státu a Evropské unie určené na</w:t>
      </w:r>
      <w:r w:rsidR="005A7D0F">
        <w:rPr>
          <w:rFonts w:cstheme="minorHAnsi"/>
        </w:rPr>
        <w:t xml:space="preserve"> </w:t>
      </w:r>
      <w:r w:rsidRPr="00D00545">
        <w:rPr>
          <w:rFonts w:cstheme="minorHAnsi"/>
        </w:rPr>
        <w:t xml:space="preserve">vybraná opatření </w:t>
      </w:r>
      <w:r w:rsidRPr="00D00545">
        <w:rPr>
          <w:rFonts w:cstheme="minorHAnsi"/>
          <w:i/>
        </w:rPr>
        <w:t>Programu rozvoje venkova na období 2014–2020</w:t>
      </w:r>
      <w:r w:rsidRPr="00D00545">
        <w:rPr>
          <w:rFonts w:cstheme="minorHAnsi"/>
        </w:rPr>
        <w:t xml:space="preserve"> byly vynakládány účelně, hospodárně a v souladu s právními předpisy a zda došlo k naplnění cílů opatření</w:t>
      </w:r>
      <w:r w:rsidRPr="00D00545">
        <w:rPr>
          <w:rFonts w:cstheme="minorHAnsi"/>
          <w:i/>
        </w:rPr>
        <w:t xml:space="preserve"> Programu rozvoje venkova na období 2014–2020</w:t>
      </w:r>
      <w:r w:rsidRPr="00D00545">
        <w:rPr>
          <w:rFonts w:cstheme="minorHAnsi"/>
        </w:rPr>
        <w:t>.</w:t>
      </w:r>
    </w:p>
    <w:p w:rsidR="00990FB8" w:rsidRPr="00015910" w:rsidRDefault="00990FB8" w:rsidP="00990FB8">
      <w:pPr>
        <w:spacing w:after="120"/>
      </w:pPr>
      <w:r w:rsidRPr="00D00545">
        <w:rPr>
          <w:rFonts w:cstheme="minorHAnsi"/>
          <w:b/>
        </w:rPr>
        <w:t>3.2</w:t>
      </w:r>
      <w:r>
        <w:rPr>
          <w:rFonts w:cstheme="minorHAnsi"/>
        </w:rPr>
        <w:t xml:space="preserve"> </w:t>
      </w:r>
      <w:r>
        <w:t xml:space="preserve">Za účelné se považuje takové použití veřejných prostředků, které zajistí optimální </w:t>
      </w:r>
      <w:r w:rsidR="006811D0">
        <w:br/>
      </w:r>
      <w:r>
        <w:t>míru dosažení cílů při plnění stanovených úkolů</w:t>
      </w:r>
      <w:r w:rsidR="00E17AF1">
        <w:t>.</w:t>
      </w:r>
      <w:r w:rsidR="005D2748">
        <w:rPr>
          <w:rStyle w:val="Znakapoznpodarou"/>
        </w:rPr>
        <w:footnoteReference w:id="8"/>
      </w:r>
      <w:r>
        <w:t xml:space="preserve"> Poskytování a čerpání peněžních </w:t>
      </w:r>
      <w:r w:rsidR="006811D0">
        <w:br/>
      </w:r>
      <w:r>
        <w:t xml:space="preserve">prostředků bylo tedy účelné, pokud došlo k naplnění optimální míry stanovených cílů </w:t>
      </w:r>
      <w:r w:rsidR="006811D0">
        <w:br/>
      </w:r>
      <w:r>
        <w:t>PRV 2014</w:t>
      </w:r>
      <w:r w:rsidR="004E2EE9">
        <w:t>–</w:t>
      </w:r>
      <w:r>
        <w:t>2020 a jednotlivých projektů například v</w:t>
      </w:r>
      <w:r w:rsidR="00E17AF1">
        <w:t xml:space="preserve"> </w:t>
      </w:r>
      <w:r>
        <w:t xml:space="preserve">oblasti předávání znalostí a informací, zvýšení konkurenceschopnosti a modernizace zemědělských podniků, diverzifikace příjmů z nezemědělské činnosti a zahájení podnikání mladých zemědělců. </w:t>
      </w:r>
    </w:p>
    <w:p w:rsidR="00990FB8" w:rsidRDefault="00990FB8" w:rsidP="00C07EA1">
      <w:pPr>
        <w:spacing w:before="0"/>
        <w:rPr>
          <w:rFonts w:cstheme="minorHAnsi"/>
        </w:rPr>
      </w:pPr>
      <w:r w:rsidRPr="00D00545">
        <w:rPr>
          <w:rFonts w:cstheme="minorHAnsi"/>
          <w:b/>
        </w:rPr>
        <w:t>3.3</w:t>
      </w:r>
      <w:r>
        <w:rPr>
          <w:rFonts w:cstheme="minorHAnsi"/>
        </w:rPr>
        <w:t xml:space="preserve"> </w:t>
      </w:r>
      <w:r w:rsidRPr="00D00545">
        <w:rPr>
          <w:rFonts w:cstheme="minorHAnsi"/>
        </w:rPr>
        <w:t>Za hospodárné se považuje takové použití veřejných prostředků, které vede k zajištění stanovených úkolů s co nejnižším vynaložením těchto prostředků, a to při dodržení odpovídající kvality plněných úkolů</w:t>
      </w:r>
      <w:r w:rsidR="00E17AF1">
        <w:rPr>
          <w:rFonts w:cstheme="minorHAnsi"/>
        </w:rPr>
        <w:t>.</w:t>
      </w:r>
      <w:r w:rsidRPr="00F80198">
        <w:rPr>
          <w:rStyle w:val="Znakapoznpodarou"/>
          <w:rFonts w:cstheme="minorHAnsi"/>
        </w:rPr>
        <w:footnoteReference w:id="9"/>
      </w:r>
      <w:r w:rsidRPr="00D00545">
        <w:rPr>
          <w:rFonts w:cstheme="minorHAnsi"/>
        </w:rPr>
        <w:t xml:space="preserve"> </w:t>
      </w:r>
    </w:p>
    <w:p w:rsidR="00990FB8" w:rsidRDefault="00990FB8" w:rsidP="00C07EA1">
      <w:pPr>
        <w:spacing w:before="0"/>
        <w:rPr>
          <w:rFonts w:cstheme="minorHAnsi"/>
        </w:rPr>
      </w:pPr>
      <w:r w:rsidRPr="00C62799">
        <w:rPr>
          <w:rFonts w:cstheme="minorHAnsi"/>
        </w:rPr>
        <w:t>Čerpání peněžních prostředků bylo tedy hospodárné, pokud</w:t>
      </w:r>
      <w:r>
        <w:rPr>
          <w:rFonts w:cstheme="minorHAnsi"/>
        </w:rPr>
        <w:t>:</w:t>
      </w:r>
    </w:p>
    <w:p w:rsidR="00990FB8" w:rsidRDefault="00F12D81" w:rsidP="00D17BAD">
      <w:pPr>
        <w:pStyle w:val="Odstavecseseznamem"/>
        <w:numPr>
          <w:ilvl w:val="0"/>
          <w:numId w:val="2"/>
        </w:numPr>
        <w:spacing w:before="0" w:after="120"/>
        <w:ind w:left="709" w:hanging="289"/>
        <w:rPr>
          <w:rFonts w:cstheme="minorHAnsi"/>
        </w:rPr>
      </w:pPr>
      <w:r w:rsidRPr="00F12D81">
        <w:rPr>
          <w:rFonts w:cstheme="minorHAnsi"/>
        </w:rPr>
        <w:t xml:space="preserve">příjemce dotace použil prostředky v odpovídající výši na realizaci projektu dle </w:t>
      </w:r>
      <w:r w:rsidR="00E17AF1">
        <w:rPr>
          <w:rFonts w:cstheme="minorHAnsi"/>
        </w:rPr>
        <w:t>d</w:t>
      </w:r>
      <w:r w:rsidRPr="00F12D81">
        <w:rPr>
          <w:rFonts w:cstheme="minorHAnsi"/>
        </w:rPr>
        <w:t>ohody</w:t>
      </w:r>
      <w:r w:rsidR="00E17AF1">
        <w:rPr>
          <w:rFonts w:cstheme="minorHAnsi"/>
        </w:rPr>
        <w:t>;</w:t>
      </w:r>
    </w:p>
    <w:p w:rsidR="00990FB8" w:rsidRDefault="00B41284" w:rsidP="00D17BAD">
      <w:pPr>
        <w:pStyle w:val="Odstavecseseznamem"/>
        <w:numPr>
          <w:ilvl w:val="0"/>
          <w:numId w:val="2"/>
        </w:numPr>
        <w:spacing w:before="0" w:after="120"/>
        <w:ind w:left="709" w:hanging="289"/>
        <w:rPr>
          <w:rFonts w:cstheme="minorHAnsi"/>
        </w:rPr>
      </w:pPr>
      <w:r>
        <w:rPr>
          <w:rFonts w:cstheme="minorHAnsi"/>
        </w:rPr>
        <w:t>p</w:t>
      </w:r>
      <w:r w:rsidR="00990FB8" w:rsidRPr="0052177F">
        <w:rPr>
          <w:rFonts w:cstheme="minorHAnsi"/>
        </w:rPr>
        <w:t>eněžní prostředky vynaložené na pořízení výrobků a služeb v rámci projektu byly vynaloženy dle stanovených podmínek způsobilosti, přiměřeně</w:t>
      </w:r>
      <w:r w:rsidR="00E17AF1">
        <w:rPr>
          <w:rFonts w:cstheme="minorHAnsi"/>
        </w:rPr>
        <w:t xml:space="preserve"> a</w:t>
      </w:r>
      <w:r w:rsidR="00990FB8" w:rsidRPr="0052177F">
        <w:rPr>
          <w:rFonts w:cstheme="minorHAnsi"/>
        </w:rPr>
        <w:t xml:space="preserve"> </w:t>
      </w:r>
      <w:r>
        <w:rPr>
          <w:rFonts w:cstheme="minorHAnsi"/>
        </w:rPr>
        <w:t xml:space="preserve">za ceny </w:t>
      </w:r>
      <w:r w:rsidR="00990FB8" w:rsidRPr="0052177F">
        <w:t>v místě a čase obvyklé</w:t>
      </w:r>
      <w:r>
        <w:rPr>
          <w:rFonts w:cstheme="minorHAnsi"/>
        </w:rPr>
        <w:t xml:space="preserve">, resp. </w:t>
      </w:r>
      <w:r w:rsidR="00E17AF1">
        <w:rPr>
          <w:rFonts w:cstheme="minorHAnsi"/>
        </w:rPr>
        <w:t>za</w:t>
      </w:r>
      <w:r w:rsidR="00990FB8" w:rsidRPr="0052177F">
        <w:rPr>
          <w:rFonts w:cstheme="minorHAnsi"/>
        </w:rPr>
        <w:t xml:space="preserve"> cen</w:t>
      </w:r>
      <w:r w:rsidR="00E17AF1">
        <w:rPr>
          <w:rFonts w:cstheme="minorHAnsi"/>
        </w:rPr>
        <w:t>y</w:t>
      </w:r>
      <w:r w:rsidR="00990FB8" w:rsidRPr="0052177F">
        <w:rPr>
          <w:rFonts w:cstheme="minorHAnsi"/>
        </w:rPr>
        <w:t xml:space="preserve"> dle katalogu cen stavebních prací</w:t>
      </w:r>
      <w:r w:rsidR="00E17AF1">
        <w:rPr>
          <w:rFonts w:cstheme="minorHAnsi"/>
        </w:rPr>
        <w:t>;</w:t>
      </w:r>
      <w:r w:rsidR="00990FB8" w:rsidRPr="0052177F">
        <w:rPr>
          <w:rFonts w:cstheme="minorHAnsi"/>
        </w:rPr>
        <w:t xml:space="preserve"> </w:t>
      </w:r>
    </w:p>
    <w:p w:rsidR="00990FB8" w:rsidRPr="0052177F" w:rsidRDefault="00B41284" w:rsidP="00D17BAD">
      <w:pPr>
        <w:pStyle w:val="Odstavecseseznamem"/>
        <w:numPr>
          <w:ilvl w:val="0"/>
          <w:numId w:val="2"/>
        </w:numPr>
        <w:spacing w:before="0" w:after="120"/>
        <w:ind w:left="709" w:hanging="289"/>
        <w:rPr>
          <w:rFonts w:cstheme="minorHAnsi"/>
        </w:rPr>
      </w:pPr>
      <w:r>
        <w:rPr>
          <w:rFonts w:cstheme="minorHAnsi"/>
        </w:rPr>
        <w:lastRenderedPageBreak/>
        <w:t>v</w:t>
      </w:r>
      <w:r w:rsidR="00990FB8" w:rsidRPr="0052177F">
        <w:rPr>
          <w:rFonts w:cstheme="minorHAnsi"/>
        </w:rPr>
        <w:t>ýběr dodavatelů proběhl v</w:t>
      </w:r>
      <w:r w:rsidR="00F5493E">
        <w:rPr>
          <w:rFonts w:cstheme="minorHAnsi"/>
        </w:rPr>
        <w:t xml:space="preserve"> </w:t>
      </w:r>
      <w:r w:rsidR="00990FB8" w:rsidRPr="0052177F">
        <w:rPr>
          <w:rFonts w:cstheme="minorHAnsi"/>
        </w:rPr>
        <w:t>souladu se zákonem</w:t>
      </w:r>
      <w:r w:rsidR="00990FB8">
        <w:rPr>
          <w:rStyle w:val="Znakapoznpodarou"/>
          <w:rFonts w:cstheme="minorHAnsi"/>
        </w:rPr>
        <w:footnoteReference w:id="10"/>
      </w:r>
      <w:r w:rsidR="00990FB8" w:rsidRPr="0052177F">
        <w:rPr>
          <w:rFonts w:cstheme="minorHAnsi"/>
        </w:rPr>
        <w:t xml:space="preserve"> nebo s</w:t>
      </w:r>
      <w:r w:rsidR="00E17AF1">
        <w:rPr>
          <w:rFonts w:cstheme="minorHAnsi"/>
        </w:rPr>
        <w:t xml:space="preserve"> </w:t>
      </w:r>
      <w:r w:rsidR="00990FB8" w:rsidRPr="00D17BAD">
        <w:rPr>
          <w:rFonts w:cstheme="minorHAnsi"/>
          <w:i/>
        </w:rPr>
        <w:t>Příručkou pro zadávání zakázek</w:t>
      </w:r>
      <w:r w:rsidR="00990FB8" w:rsidRPr="0052177F">
        <w:rPr>
          <w:rFonts w:cstheme="minorHAnsi"/>
        </w:rPr>
        <w:t xml:space="preserve"> </w:t>
      </w:r>
      <w:r w:rsidR="00990FB8" w:rsidRPr="0052177F">
        <w:rPr>
          <w:rFonts w:cstheme="minorHAnsi"/>
          <w:i/>
        </w:rPr>
        <w:t>Programu rozvoje venkova na období 2014</w:t>
      </w:r>
      <w:r w:rsidR="004E2EE9">
        <w:rPr>
          <w:rFonts w:cstheme="minorHAnsi"/>
          <w:i/>
        </w:rPr>
        <w:t>–</w:t>
      </w:r>
      <w:r w:rsidR="00990FB8" w:rsidRPr="0052177F">
        <w:rPr>
          <w:rFonts w:cstheme="minorHAnsi"/>
          <w:i/>
        </w:rPr>
        <w:t>2020</w:t>
      </w:r>
      <w:r w:rsidR="00990FB8" w:rsidRPr="00180834">
        <w:rPr>
          <w:rFonts w:cstheme="minorHAnsi"/>
        </w:rPr>
        <w:t xml:space="preserve"> </w:t>
      </w:r>
      <w:r w:rsidR="00180834" w:rsidRPr="00180834">
        <w:rPr>
          <w:rFonts w:cstheme="minorHAnsi"/>
        </w:rPr>
        <w:t>(dále též „Příručka“)</w:t>
      </w:r>
      <w:r w:rsidR="00180834" w:rsidRPr="00180834">
        <w:rPr>
          <w:rFonts w:cstheme="minorHAnsi"/>
          <w:i/>
        </w:rPr>
        <w:t xml:space="preserve"> </w:t>
      </w:r>
      <w:r w:rsidR="00990FB8">
        <w:rPr>
          <w:rFonts w:cstheme="minorHAnsi"/>
        </w:rPr>
        <w:t>a</w:t>
      </w:r>
      <w:r w:rsidR="00C60A6F">
        <w:rPr>
          <w:rFonts w:cstheme="minorHAnsi"/>
        </w:rPr>
        <w:t xml:space="preserve"> vedl k hospodárnému vynaložení peněžních prostředků a</w:t>
      </w:r>
      <w:r w:rsidR="00990FB8">
        <w:rPr>
          <w:rFonts w:cstheme="minorHAnsi"/>
        </w:rPr>
        <w:t xml:space="preserve"> b</w:t>
      </w:r>
      <w:r w:rsidR="00990FB8" w:rsidRPr="0052177F">
        <w:rPr>
          <w:rFonts w:cstheme="minorHAnsi"/>
        </w:rPr>
        <w:t>yly vytvořeny podmínky</w:t>
      </w:r>
      <w:r w:rsidR="00990FB8" w:rsidRPr="0052177F">
        <w:t>, které preventivně zamezily vzniku dodatečných nákladů</w:t>
      </w:r>
      <w:r w:rsidR="00E17AF1">
        <w:t>;</w:t>
      </w:r>
    </w:p>
    <w:p w:rsidR="00990FB8" w:rsidRPr="0052177F" w:rsidRDefault="00B41284" w:rsidP="00D17BAD">
      <w:pPr>
        <w:pStyle w:val="Odstavecseseznamem"/>
        <w:numPr>
          <w:ilvl w:val="0"/>
          <w:numId w:val="2"/>
        </w:numPr>
        <w:spacing w:before="0" w:after="120"/>
        <w:ind w:left="709" w:hanging="289"/>
        <w:rPr>
          <w:rFonts w:cstheme="minorHAnsi"/>
        </w:rPr>
      </w:pPr>
      <w:r>
        <w:rPr>
          <w:rFonts w:cstheme="minorHAnsi"/>
        </w:rPr>
        <w:t>d</w:t>
      </w:r>
      <w:r w:rsidR="00990FB8">
        <w:rPr>
          <w:rFonts w:cstheme="minorHAnsi"/>
        </w:rPr>
        <w:t xml:space="preserve">ošlo k využívání </w:t>
      </w:r>
      <w:r w:rsidR="00990FB8" w:rsidRPr="000B4EA9">
        <w:rPr>
          <w:rFonts w:cstheme="minorHAnsi"/>
        </w:rPr>
        <w:t>všech technických vlastností/funkcionalit</w:t>
      </w:r>
      <w:r w:rsidR="00990FB8">
        <w:rPr>
          <w:rFonts w:cstheme="minorHAnsi"/>
        </w:rPr>
        <w:t xml:space="preserve"> pořízeného výrobku. </w:t>
      </w:r>
    </w:p>
    <w:p w:rsidR="00990FB8" w:rsidRPr="00D00545" w:rsidRDefault="00990FB8" w:rsidP="00990FB8">
      <w:pPr>
        <w:spacing w:after="120"/>
        <w:rPr>
          <w:rFonts w:cstheme="minorHAnsi"/>
        </w:rPr>
      </w:pPr>
      <w:r w:rsidRPr="00D00545">
        <w:rPr>
          <w:b/>
        </w:rPr>
        <w:t>3.4</w:t>
      </w:r>
      <w:r>
        <w:t xml:space="preserve"> </w:t>
      </w:r>
      <w:r w:rsidRPr="00D00545">
        <w:t>NKÚ provedl kontrolu u</w:t>
      </w:r>
      <w:r w:rsidRPr="00D00545">
        <w:rPr>
          <w:rFonts w:cstheme="minorHAnsi"/>
        </w:rPr>
        <w:t xml:space="preserve"> MZe jako řídicího orgánu PRV 201</w:t>
      </w:r>
      <w:r>
        <w:rPr>
          <w:rFonts w:cstheme="minorHAnsi"/>
        </w:rPr>
        <w:t>4</w:t>
      </w:r>
      <w:r w:rsidR="004E2EE9">
        <w:rPr>
          <w:rFonts w:cstheme="minorHAnsi"/>
        </w:rPr>
        <w:t>–</w:t>
      </w:r>
      <w:r w:rsidRPr="00D00545">
        <w:rPr>
          <w:rFonts w:cstheme="minorHAnsi"/>
        </w:rPr>
        <w:t>2020, u SZIF jako platební agentury tohoto programu a u vybraných příjemců dotací.</w:t>
      </w:r>
    </w:p>
    <w:p w:rsidR="00990FB8" w:rsidRPr="00D00545" w:rsidRDefault="00990FB8" w:rsidP="00990FB8">
      <w:pPr>
        <w:spacing w:after="120"/>
        <w:rPr>
          <w:rFonts w:cstheme="minorHAnsi"/>
        </w:rPr>
      </w:pPr>
      <w:r w:rsidRPr="00D00545">
        <w:rPr>
          <w:rFonts w:cstheme="minorHAnsi"/>
          <w:b/>
        </w:rPr>
        <w:t>3.5</w:t>
      </w:r>
      <w:r>
        <w:rPr>
          <w:rFonts w:cstheme="minorHAnsi"/>
        </w:rPr>
        <w:t xml:space="preserve"> </w:t>
      </w:r>
      <w:r w:rsidR="00E17AF1">
        <w:rPr>
          <w:rFonts w:cstheme="minorHAnsi"/>
        </w:rPr>
        <w:t>U</w:t>
      </w:r>
      <w:r w:rsidRPr="00D00545">
        <w:rPr>
          <w:rFonts w:cstheme="minorHAnsi"/>
        </w:rPr>
        <w:t xml:space="preserve"> MZe a SZIF </w:t>
      </w:r>
      <w:r w:rsidR="00E17AF1">
        <w:rPr>
          <w:rFonts w:cstheme="minorHAnsi"/>
        </w:rPr>
        <w:t>kontrola</w:t>
      </w:r>
      <w:r w:rsidRPr="00D00545">
        <w:rPr>
          <w:rFonts w:cstheme="minorHAnsi"/>
        </w:rPr>
        <w:t xml:space="preserve"> posou</w:t>
      </w:r>
      <w:r w:rsidR="00E17AF1">
        <w:rPr>
          <w:rFonts w:cstheme="minorHAnsi"/>
        </w:rPr>
        <w:t>dila</w:t>
      </w:r>
      <w:r w:rsidRPr="00D00545">
        <w:rPr>
          <w:rFonts w:cstheme="minorHAnsi"/>
        </w:rPr>
        <w:t xml:space="preserve"> nastavení a účinnost systému poskytování peněžních prostředků u vybraných opatření</w:t>
      </w:r>
      <w:r w:rsidR="00C07EA1">
        <w:rPr>
          <w:rFonts w:cstheme="minorHAnsi"/>
        </w:rPr>
        <w:t xml:space="preserve"> a </w:t>
      </w:r>
      <w:r w:rsidRPr="00D00545">
        <w:rPr>
          <w:rFonts w:cstheme="minorHAnsi"/>
        </w:rPr>
        <w:t>operací z hlediska zajištění účelnosti a</w:t>
      </w:r>
      <w:r w:rsidR="00E17AF1">
        <w:rPr>
          <w:rFonts w:cstheme="minorHAnsi"/>
        </w:rPr>
        <w:t xml:space="preserve"> </w:t>
      </w:r>
      <w:r w:rsidRPr="00D00545">
        <w:rPr>
          <w:rFonts w:cstheme="minorHAnsi"/>
        </w:rPr>
        <w:t xml:space="preserve">hospodárnosti poskytování veřejných prostředků a souladu s právními předpisy. </w:t>
      </w:r>
      <w:r w:rsidRPr="00D00545">
        <w:t>Při kontrole systému poskytování podpory posoudil NKÚ zejména stanovení cílů</w:t>
      </w:r>
      <w:r>
        <w:t xml:space="preserve"> jednotlivých opatření </w:t>
      </w:r>
      <w:r w:rsidR="00C07EA1">
        <w:t xml:space="preserve">a </w:t>
      </w:r>
      <w:r>
        <w:t xml:space="preserve">operací </w:t>
      </w:r>
      <w:r w:rsidR="006811D0">
        <w:br/>
      </w:r>
      <w:r>
        <w:t>a</w:t>
      </w:r>
      <w:r w:rsidR="006811D0">
        <w:t xml:space="preserve"> </w:t>
      </w:r>
      <w:r>
        <w:t>jejich dosahování</w:t>
      </w:r>
      <w:r w:rsidRPr="00D00545">
        <w:t>, monitorování výstupů a</w:t>
      </w:r>
      <w:r w:rsidR="00E17AF1">
        <w:t xml:space="preserve"> </w:t>
      </w:r>
      <w:r w:rsidRPr="00D00545">
        <w:t>výsledků, vyhodnocování dopadů poskytnuté podpory, nastavení a aplikaci pravidel k</w:t>
      </w:r>
      <w:r w:rsidR="00E17AF1">
        <w:t xml:space="preserve"> </w:t>
      </w:r>
      <w:r w:rsidRPr="00D00545">
        <w:t>zajištění výběru projektů k podpoře splňujících podmínky účelnosti a hospodárnosti a</w:t>
      </w:r>
      <w:r w:rsidR="00E17AF1">
        <w:t xml:space="preserve"> </w:t>
      </w:r>
      <w:r w:rsidRPr="00D00545">
        <w:t xml:space="preserve">nastavení a provádění kontrolní činnosti u příjemců </w:t>
      </w:r>
      <w:r w:rsidR="00BD1637">
        <w:t>dotací</w:t>
      </w:r>
      <w:r w:rsidRPr="00D00545">
        <w:t>.</w:t>
      </w:r>
    </w:p>
    <w:p w:rsidR="00990FB8" w:rsidRPr="00C134D4" w:rsidRDefault="00990FB8" w:rsidP="00990FB8">
      <w:pPr>
        <w:spacing w:after="120"/>
      </w:pPr>
      <w:r w:rsidRPr="00D00545">
        <w:rPr>
          <w:b/>
        </w:rPr>
        <w:t xml:space="preserve">3.6 </w:t>
      </w:r>
      <w:r w:rsidRPr="00C134D4">
        <w:t>U vybraných příjemců dotací bylo kontrolou NKÚ posouzeno, zda po</w:t>
      </w:r>
      <w:r w:rsidR="00B41284">
        <w:t>u</w:t>
      </w:r>
      <w:r w:rsidRPr="00C134D4">
        <w:t xml:space="preserve">žití prostředků </w:t>
      </w:r>
      <w:r w:rsidR="00C07EA1">
        <w:br/>
      </w:r>
      <w:r w:rsidRPr="00C134D4">
        <w:t>na realizaci projektů bylo účelné, hospodárné a v souladu se stanovenými podmínkami. NKÚ pomocí čtyřstupňové škály vyhodnotil u každého projektu na základě zjištěných skutečností</w:t>
      </w:r>
      <w:r w:rsidRPr="00D00545">
        <w:t xml:space="preserve"> účelnost a</w:t>
      </w:r>
      <w:r w:rsidR="00E17AF1">
        <w:t xml:space="preserve"> </w:t>
      </w:r>
      <w:r w:rsidRPr="00D00545">
        <w:t>hospodárnost vynaložených peněžních prostředků ve smyslu jejich vymezení uvedeného v</w:t>
      </w:r>
      <w:r>
        <w:t> </w:t>
      </w:r>
      <w:r w:rsidRPr="00D00545">
        <w:t xml:space="preserve">odstavci 3.2 a 3.3; podrobnosti ke kritériím vyhodnocení jsou uvedeny v příloze </w:t>
      </w:r>
      <w:r w:rsidRPr="00966DDE">
        <w:t xml:space="preserve">č. </w:t>
      </w:r>
      <w:r w:rsidR="00966DDE" w:rsidRPr="00966DDE">
        <w:t>2</w:t>
      </w:r>
      <w:r w:rsidRPr="00966DDE">
        <w:t>. Dá</w:t>
      </w:r>
      <w:r w:rsidRPr="00D00545">
        <w:t>le NKÚ u příjemců dotací ověřil dodržení podmínek poskytnuté podpory stanovených v Pravidlech, v</w:t>
      </w:r>
      <w:r w:rsidR="0069354D">
        <w:t xml:space="preserve"> Příručce</w:t>
      </w:r>
      <w:r w:rsidRPr="00D00545">
        <w:t xml:space="preserve"> a </w:t>
      </w:r>
      <w:r w:rsidR="007F0B33">
        <w:t xml:space="preserve">v </w:t>
      </w:r>
      <w:r w:rsidR="00AC13E7">
        <w:t>d</w:t>
      </w:r>
      <w:r w:rsidRPr="00D00545">
        <w:t>ohod</w:t>
      </w:r>
      <w:r w:rsidR="007F0B33">
        <w:t>ách</w:t>
      </w:r>
      <w:r w:rsidRPr="00D00545">
        <w:t xml:space="preserve"> o poskytnutí dotace. </w:t>
      </w:r>
    </w:p>
    <w:p w:rsidR="00990FB8" w:rsidRPr="00CD5BD9" w:rsidRDefault="00990FB8" w:rsidP="00990FB8">
      <w:pPr>
        <w:spacing w:after="120"/>
        <w:rPr>
          <w:rFonts w:cstheme="minorHAnsi"/>
        </w:rPr>
      </w:pPr>
      <w:r w:rsidRPr="00D00545">
        <w:rPr>
          <w:rFonts w:cstheme="minorHAnsi"/>
          <w:b/>
        </w:rPr>
        <w:t>3.7</w:t>
      </w:r>
      <w:r>
        <w:rPr>
          <w:rFonts w:cstheme="minorHAnsi"/>
        </w:rPr>
        <w:t xml:space="preserve"> </w:t>
      </w:r>
      <w:r w:rsidRPr="00D00545">
        <w:rPr>
          <w:rFonts w:cstheme="minorHAnsi"/>
        </w:rPr>
        <w:t>Ke kontrole u SZIF byl vybrán vzorek 50 projektů z operací uvedených v</w:t>
      </w:r>
      <w:r w:rsidR="00C07EA1">
        <w:rPr>
          <w:rFonts w:cstheme="minorHAnsi"/>
        </w:rPr>
        <w:t> odst.</w:t>
      </w:r>
      <w:r w:rsidRPr="00D00545">
        <w:rPr>
          <w:rFonts w:cstheme="minorHAnsi"/>
        </w:rPr>
        <w:t xml:space="preserve"> 2.</w:t>
      </w:r>
      <w:r w:rsidR="00C07EA1">
        <w:rPr>
          <w:rFonts w:cstheme="minorHAnsi"/>
        </w:rPr>
        <w:t>7</w:t>
      </w:r>
      <w:r w:rsidR="00D55ED9">
        <w:rPr>
          <w:rFonts w:cstheme="minorHAnsi"/>
        </w:rPr>
        <w:t>.</w:t>
      </w:r>
      <w:r w:rsidRPr="00D00545">
        <w:rPr>
          <w:rFonts w:cstheme="minorHAnsi"/>
        </w:rPr>
        <w:t xml:space="preserve"> </w:t>
      </w:r>
      <w:r w:rsidR="00E17AF1" w:rsidRPr="00D00545">
        <w:rPr>
          <w:rFonts w:cstheme="minorHAnsi"/>
        </w:rPr>
        <w:t xml:space="preserve">NKÚ </w:t>
      </w:r>
      <w:r w:rsidRPr="00D00545">
        <w:rPr>
          <w:rFonts w:cstheme="minorHAnsi"/>
        </w:rPr>
        <w:t xml:space="preserve">na </w:t>
      </w:r>
      <w:r w:rsidR="00E17AF1">
        <w:rPr>
          <w:rFonts w:cstheme="minorHAnsi"/>
        </w:rPr>
        <w:t>tomto vzorku ověřoval</w:t>
      </w:r>
      <w:r w:rsidRPr="00D00545">
        <w:rPr>
          <w:rFonts w:cstheme="minorHAnsi"/>
        </w:rPr>
        <w:t xml:space="preserve"> nastavení a účinnost řídicího a kontrolního systému poskytování peněžních prostředků.</w:t>
      </w:r>
      <w:r>
        <w:rPr>
          <w:rFonts w:cstheme="minorHAnsi"/>
        </w:rPr>
        <w:t xml:space="preserve"> </w:t>
      </w:r>
      <w:r w:rsidR="00D55ED9">
        <w:rPr>
          <w:rFonts w:cstheme="minorHAnsi"/>
        </w:rPr>
        <w:t>Dále kontrola ověřovala</w:t>
      </w:r>
      <w:r w:rsidR="00CC37E6">
        <w:rPr>
          <w:rFonts w:cstheme="minorHAnsi"/>
        </w:rPr>
        <w:t>,</w:t>
      </w:r>
      <w:r w:rsidRPr="00CD5BD9">
        <w:rPr>
          <w:rFonts w:cstheme="minorHAnsi"/>
        </w:rPr>
        <w:t xml:space="preserve"> zda SZIF provád</w:t>
      </w:r>
      <w:r w:rsidR="002B6136">
        <w:rPr>
          <w:rFonts w:cstheme="minorHAnsi"/>
        </w:rPr>
        <w:t>ěl</w:t>
      </w:r>
      <w:r w:rsidRPr="00CD5BD9">
        <w:rPr>
          <w:rFonts w:cstheme="minorHAnsi"/>
        </w:rPr>
        <w:t xml:space="preserve"> administraci a kontrolu v souladu s předpisy, nastavenými podmínkami a Pravidly a tak, aby byla zajištěna účelnost a</w:t>
      </w:r>
      <w:r w:rsidR="0059509F">
        <w:rPr>
          <w:rFonts w:cstheme="minorHAnsi"/>
        </w:rPr>
        <w:t> </w:t>
      </w:r>
      <w:r w:rsidRPr="00CD5BD9">
        <w:rPr>
          <w:rFonts w:cstheme="minorHAnsi"/>
        </w:rPr>
        <w:t>hospodárnost vynaložených prostředků a aby projekty vedly k naplnění stanovených cílů.</w:t>
      </w:r>
      <w:r>
        <w:rPr>
          <w:rFonts w:cstheme="minorHAnsi"/>
        </w:rPr>
        <w:t xml:space="preserve"> </w:t>
      </w:r>
    </w:p>
    <w:p w:rsidR="00990FB8" w:rsidRPr="005C1785" w:rsidRDefault="00990FB8" w:rsidP="00990FB8">
      <w:pPr>
        <w:spacing w:after="120"/>
        <w:rPr>
          <w:rFonts w:cstheme="minorHAnsi"/>
        </w:rPr>
      </w:pPr>
      <w:r w:rsidRPr="00D00545">
        <w:rPr>
          <w:rFonts w:cstheme="minorHAnsi"/>
          <w:b/>
        </w:rPr>
        <w:t>3.8</w:t>
      </w:r>
      <w:r>
        <w:rPr>
          <w:rFonts w:cstheme="minorHAnsi"/>
        </w:rPr>
        <w:t xml:space="preserve"> </w:t>
      </w:r>
      <w:r w:rsidRPr="00D00545">
        <w:rPr>
          <w:rFonts w:cstheme="minorHAnsi"/>
        </w:rPr>
        <w:t xml:space="preserve">NKÚ </w:t>
      </w:r>
      <w:r w:rsidR="00CC37E6">
        <w:rPr>
          <w:rFonts w:cstheme="minorHAnsi"/>
        </w:rPr>
        <w:t xml:space="preserve">provedl kontrolu </w:t>
      </w:r>
      <w:r w:rsidRPr="00D00545">
        <w:rPr>
          <w:rFonts w:cstheme="minorHAnsi"/>
        </w:rPr>
        <w:t xml:space="preserve">u šesti příjemců, </w:t>
      </w:r>
      <w:r>
        <w:rPr>
          <w:rFonts w:cstheme="minorHAnsi"/>
        </w:rPr>
        <w:t>u nichž</w:t>
      </w:r>
      <w:r w:rsidRPr="00D00545">
        <w:rPr>
          <w:rFonts w:cstheme="minorHAnsi"/>
        </w:rPr>
        <w:t xml:space="preserve"> ověřil vzorek 20 projektů</w:t>
      </w:r>
      <w:r w:rsidR="002B6136">
        <w:rPr>
          <w:rStyle w:val="Znakapoznpodarou"/>
          <w:rFonts w:cstheme="minorHAnsi"/>
        </w:rPr>
        <w:footnoteReference w:id="11"/>
      </w:r>
      <w:r>
        <w:rPr>
          <w:rFonts w:cstheme="minorHAnsi"/>
        </w:rPr>
        <w:t>, na které čerpali podporu z</w:t>
      </w:r>
      <w:r w:rsidR="00C32963">
        <w:rPr>
          <w:rFonts w:cstheme="minorHAnsi"/>
        </w:rPr>
        <w:t xml:space="preserve"> </w:t>
      </w:r>
      <w:r>
        <w:rPr>
          <w:rFonts w:cstheme="minorHAnsi"/>
        </w:rPr>
        <w:t>PRV 2014</w:t>
      </w:r>
      <w:r w:rsidR="004E2EE9">
        <w:rPr>
          <w:rFonts w:cstheme="minorHAnsi"/>
        </w:rPr>
        <w:t>–</w:t>
      </w:r>
      <w:r>
        <w:rPr>
          <w:rFonts w:cstheme="minorHAnsi"/>
        </w:rPr>
        <w:t>2020</w:t>
      </w:r>
      <w:r w:rsidRPr="00D00545">
        <w:rPr>
          <w:rFonts w:cstheme="minorHAnsi"/>
        </w:rPr>
        <w:t>. Vzorek se skládal z</w:t>
      </w:r>
      <w:r w:rsidR="0043791C">
        <w:rPr>
          <w:rFonts w:cstheme="minorHAnsi"/>
        </w:rPr>
        <w:t xml:space="preserve"> </w:t>
      </w:r>
      <w:r w:rsidRPr="00D00545">
        <w:rPr>
          <w:rFonts w:cstheme="minorHAnsi"/>
        </w:rPr>
        <w:t xml:space="preserve">jednoho projektu z operace 6.4.3, </w:t>
      </w:r>
      <w:r>
        <w:rPr>
          <w:rFonts w:cstheme="minorHAnsi"/>
        </w:rPr>
        <w:t>ze čtyř p</w:t>
      </w:r>
      <w:r w:rsidRPr="00D00545">
        <w:rPr>
          <w:rFonts w:cstheme="minorHAnsi"/>
        </w:rPr>
        <w:t xml:space="preserve">rojektů z operace 6.4.2, </w:t>
      </w:r>
      <w:r>
        <w:rPr>
          <w:rFonts w:cstheme="minorHAnsi"/>
        </w:rPr>
        <w:t>osmi</w:t>
      </w:r>
      <w:r w:rsidRPr="00D00545">
        <w:rPr>
          <w:rFonts w:cstheme="minorHAnsi"/>
        </w:rPr>
        <w:t xml:space="preserve"> </w:t>
      </w:r>
      <w:r w:rsidRPr="00C35E77">
        <w:rPr>
          <w:rFonts w:cstheme="minorHAnsi"/>
        </w:rPr>
        <w:t xml:space="preserve">projektů z operace 6.4.1 a sedmi projektů z operace 4.1.1. Přehled vybraných projektů je součástí přílohy č. </w:t>
      </w:r>
      <w:r w:rsidR="00C35E77" w:rsidRPr="00C35E77">
        <w:rPr>
          <w:rFonts w:cstheme="minorHAnsi"/>
        </w:rPr>
        <w:t>3</w:t>
      </w:r>
      <w:r w:rsidRPr="00C35E77">
        <w:rPr>
          <w:rFonts w:cstheme="minorHAnsi"/>
        </w:rPr>
        <w:t>. Při</w:t>
      </w:r>
      <w:r w:rsidRPr="00D00545">
        <w:rPr>
          <w:rFonts w:cstheme="minorHAnsi"/>
        </w:rPr>
        <w:t xml:space="preserve"> výběru projektů určených ke kontrole postupoval NKÚ především podle věcného kritéria, aby bylo zajištěno zastoupení různých typů podporovaných projektů a různých typů příjemců (fyzické a právnické osoby). Dále využil hledisko kvantitativní, kdy při výběru preferoval finančně významnější projekty, jejichž realizace již byla ukončena. Do výběru zahrnul NKÚ příjemce, kteří ve sledovaném období realizovali více projektů z různých operací. </w:t>
      </w:r>
    </w:p>
    <w:p w:rsidR="00990FB8" w:rsidRPr="005C1785" w:rsidRDefault="00990FB8" w:rsidP="00990FB8">
      <w:pPr>
        <w:spacing w:after="120"/>
      </w:pPr>
      <w:r w:rsidRPr="005C1785">
        <w:rPr>
          <w:b/>
        </w:rPr>
        <w:t>3.9</w:t>
      </w:r>
      <w:r w:rsidRPr="005C1785">
        <w:t xml:space="preserve"> Do kontrolní</w:t>
      </w:r>
      <w:r w:rsidR="00CC37E6">
        <w:t>ho</w:t>
      </w:r>
      <w:r w:rsidRPr="005C1785">
        <w:t xml:space="preserve"> vzorku </w:t>
      </w:r>
      <w:r w:rsidR="00282707">
        <w:t xml:space="preserve">ověřovaného u příjemců </w:t>
      </w:r>
      <w:r w:rsidRPr="005C1785">
        <w:t xml:space="preserve">nezahrnul </w:t>
      </w:r>
      <w:r w:rsidR="00D55ED9" w:rsidRPr="005C1785">
        <w:t xml:space="preserve">NKÚ </w:t>
      </w:r>
      <w:r w:rsidRPr="005C1785">
        <w:t xml:space="preserve">projekty z opatření M01 (vzdělávání a informační akce). </w:t>
      </w:r>
      <w:r w:rsidR="001534A2">
        <w:t>S p</w:t>
      </w:r>
      <w:r w:rsidRPr="005C1785">
        <w:t xml:space="preserve">odklady k těmto projektům (prezenční listiny, doklady, materiály ke školením a informačním akcím) disponoval SZIF, a proto byly projekty z tohoto opatření </w:t>
      </w:r>
      <w:r w:rsidR="005C1EC5" w:rsidRPr="005C1785">
        <w:t>prověřeny v</w:t>
      </w:r>
      <w:r w:rsidRPr="005C1785">
        <w:t xml:space="preserve"> rámci kontroly </w:t>
      </w:r>
      <w:r w:rsidR="00B41284">
        <w:t xml:space="preserve">u </w:t>
      </w:r>
      <w:r w:rsidRPr="005C1785">
        <w:t xml:space="preserve">SZIF. </w:t>
      </w:r>
    </w:p>
    <w:p w:rsidR="00990FB8" w:rsidRPr="00C35E77" w:rsidRDefault="00990FB8" w:rsidP="00C35E77">
      <w:pPr>
        <w:spacing w:after="120"/>
        <w:rPr>
          <w:rFonts w:cstheme="minorHAnsi"/>
        </w:rPr>
      </w:pPr>
      <w:r w:rsidRPr="00D00545">
        <w:rPr>
          <w:rFonts w:cstheme="minorHAnsi"/>
          <w:b/>
        </w:rPr>
        <w:lastRenderedPageBreak/>
        <w:t>3.10</w:t>
      </w:r>
      <w:r>
        <w:rPr>
          <w:rFonts w:cstheme="minorHAnsi"/>
        </w:rPr>
        <w:t xml:space="preserve"> </w:t>
      </w:r>
      <w:r w:rsidRPr="00D00545">
        <w:rPr>
          <w:rFonts w:cstheme="minorHAnsi"/>
        </w:rPr>
        <w:t>Kontrolovaným obdobím byly roky 2014 až 2022, v případě věcných souvislostí i období předcházející a následující. Kontrolovaný objem činil u MZe 18 478 mil. Kč (</w:t>
      </w:r>
      <w:r w:rsidR="00D55ED9" w:rsidRPr="00D00545">
        <w:rPr>
          <w:rFonts w:cstheme="minorHAnsi"/>
        </w:rPr>
        <w:t xml:space="preserve">prostředky </w:t>
      </w:r>
      <w:r w:rsidRPr="00D00545">
        <w:rPr>
          <w:rFonts w:cstheme="minorHAnsi"/>
        </w:rPr>
        <w:t>alokované na vybraná opatření</w:t>
      </w:r>
      <w:r w:rsidR="00AD2DE1">
        <w:rPr>
          <w:rFonts w:cstheme="minorHAnsi"/>
        </w:rPr>
        <w:t>, resp. operace</w:t>
      </w:r>
      <w:r w:rsidRPr="00D00545">
        <w:rPr>
          <w:rFonts w:cstheme="minorHAnsi"/>
        </w:rPr>
        <w:t>), u SZIF 15 64</w:t>
      </w:r>
      <w:r w:rsidR="005C1EC5">
        <w:rPr>
          <w:rFonts w:cstheme="minorHAnsi"/>
        </w:rPr>
        <w:t>5</w:t>
      </w:r>
      <w:r w:rsidRPr="00D00545">
        <w:rPr>
          <w:rFonts w:cstheme="minorHAnsi"/>
        </w:rPr>
        <w:t xml:space="preserve"> mil. Kč (objem prostředků vyplacených</w:t>
      </w:r>
      <w:r w:rsidR="00156CFA">
        <w:rPr>
          <w:rFonts w:cstheme="minorHAnsi"/>
        </w:rPr>
        <w:t xml:space="preserve"> </w:t>
      </w:r>
      <w:r w:rsidRPr="00D00545">
        <w:rPr>
          <w:rFonts w:cstheme="minorHAnsi"/>
        </w:rPr>
        <w:t>ve vybraných operacích) a u vybraných příjemců 107 mil. Kč (prostředky poskytnuté příjemcům).</w:t>
      </w:r>
    </w:p>
    <w:p w:rsidR="00861417" w:rsidRDefault="00990FB8" w:rsidP="00D17BAD">
      <w:pPr>
        <w:ind w:left="567" w:hanging="567"/>
        <w:rPr>
          <w:sz w:val="20"/>
        </w:rPr>
      </w:pPr>
      <w:r w:rsidRPr="003368C3">
        <w:rPr>
          <w:b/>
          <w:sz w:val="20"/>
        </w:rPr>
        <w:t>Pozn.:</w:t>
      </w:r>
      <w:r>
        <w:rPr>
          <w:sz w:val="20"/>
        </w:rPr>
        <w:t xml:space="preserve"> </w:t>
      </w:r>
      <w:r w:rsidR="003B05C4">
        <w:rPr>
          <w:sz w:val="20"/>
        </w:rPr>
        <w:tab/>
      </w:r>
      <w:r w:rsidRPr="003368C3">
        <w:rPr>
          <w:sz w:val="20"/>
        </w:rPr>
        <w:t>Právní předpisy uvedené v tomto kontrolním závěru jsou aplikovány ve znění účinném pro kontrolované období</w:t>
      </w:r>
      <w:r w:rsidR="00B41284">
        <w:rPr>
          <w:sz w:val="20"/>
        </w:rPr>
        <w:t>.</w:t>
      </w:r>
    </w:p>
    <w:p w:rsidR="00B41284" w:rsidRPr="00990FB8" w:rsidRDefault="00B41284" w:rsidP="00861417"/>
    <w:p w:rsidR="006D5FD6" w:rsidRDefault="006D5FD6" w:rsidP="00C35E77">
      <w:pPr>
        <w:spacing w:after="120"/>
        <w:jc w:val="center"/>
        <w:outlineLvl w:val="0"/>
        <w:rPr>
          <w:b/>
          <w:sz w:val="28"/>
        </w:rPr>
      </w:pPr>
      <w:r w:rsidRPr="006D5FD6">
        <w:rPr>
          <w:b/>
          <w:sz w:val="28"/>
        </w:rPr>
        <w:t>IV. Podrobné skutečnosti zjištěné kontrolou</w:t>
      </w:r>
    </w:p>
    <w:p w:rsidR="00E94D07" w:rsidRPr="00A7441A" w:rsidRDefault="00E94D07" w:rsidP="000F641D">
      <w:pPr>
        <w:pStyle w:val="Odstavecseseznamem"/>
        <w:numPr>
          <w:ilvl w:val="0"/>
          <w:numId w:val="6"/>
        </w:numPr>
        <w:spacing w:before="0" w:after="120"/>
        <w:jc w:val="left"/>
        <w:rPr>
          <w:b/>
          <w:color w:val="2EB3A1"/>
        </w:rPr>
      </w:pPr>
      <w:r w:rsidRPr="00A7441A">
        <w:rPr>
          <w:b/>
          <w:color w:val="2EB3A1"/>
        </w:rPr>
        <w:t>Nastavení programového dokumentu PRV 2014</w:t>
      </w:r>
      <w:r w:rsidR="004E2EE9">
        <w:rPr>
          <w:b/>
          <w:color w:val="2EB3A1"/>
        </w:rPr>
        <w:t>–</w:t>
      </w:r>
      <w:r w:rsidRPr="00A7441A">
        <w:rPr>
          <w:b/>
          <w:color w:val="2EB3A1"/>
        </w:rPr>
        <w:t>2020</w:t>
      </w:r>
    </w:p>
    <w:p w:rsidR="00E94D07" w:rsidRPr="006D3D93" w:rsidRDefault="00E94D07" w:rsidP="00E94D07">
      <w:pPr>
        <w:spacing w:after="120"/>
        <w:rPr>
          <w:rFonts w:cstheme="minorHAnsi"/>
          <w:sz w:val="28"/>
          <w:lang w:eastAsia="cs-CZ"/>
        </w:rPr>
      </w:pPr>
      <w:r w:rsidRPr="002A444D">
        <w:rPr>
          <w:rFonts w:cstheme="minorHAnsi"/>
          <w:b/>
          <w:lang w:eastAsia="cs-CZ"/>
        </w:rPr>
        <w:t>4.1</w:t>
      </w:r>
      <w:r>
        <w:rPr>
          <w:rFonts w:cstheme="minorHAnsi"/>
          <w:lang w:eastAsia="cs-CZ"/>
        </w:rPr>
        <w:t xml:space="preserve"> </w:t>
      </w:r>
      <w:bookmarkStart w:id="8" w:name="_Hlk152676433"/>
      <w:r>
        <w:rPr>
          <w:rFonts w:cstheme="minorHAnsi"/>
          <w:lang w:eastAsia="cs-CZ"/>
        </w:rPr>
        <w:t>Jedním z</w:t>
      </w:r>
      <w:r w:rsidR="00F5493E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předpokladů účelnosti PRV 2014</w:t>
      </w:r>
      <w:r w:rsidR="004E2EE9">
        <w:rPr>
          <w:rFonts w:cstheme="minorHAnsi"/>
          <w:lang w:eastAsia="cs-CZ"/>
        </w:rPr>
        <w:t>–</w:t>
      </w:r>
      <w:r>
        <w:rPr>
          <w:rFonts w:cstheme="minorHAnsi"/>
          <w:lang w:eastAsia="cs-CZ"/>
        </w:rPr>
        <w:t xml:space="preserve">2020 </w:t>
      </w:r>
      <w:r>
        <w:rPr>
          <w:rFonts w:cstheme="minorHAnsi"/>
        </w:rPr>
        <w:t>je jeho soulad</w:t>
      </w:r>
      <w:r>
        <w:rPr>
          <w:rFonts w:eastAsia="GillSansMT2" w:cstheme="minorHAnsi"/>
        </w:rPr>
        <w:t xml:space="preserve"> se</w:t>
      </w:r>
      <w:r w:rsidR="00F5493E">
        <w:rPr>
          <w:rFonts w:eastAsia="GillSansMT2" w:cstheme="minorHAnsi"/>
        </w:rPr>
        <w:t xml:space="preserve"> </w:t>
      </w:r>
      <w:r w:rsidRPr="00112663">
        <w:rPr>
          <w:rFonts w:eastAsia="GillSansMT2" w:cstheme="minorHAnsi"/>
        </w:rPr>
        <w:t>strategiemi ČR</w:t>
      </w:r>
      <w:r>
        <w:rPr>
          <w:rFonts w:eastAsia="GillSansMT2" w:cstheme="minorHAnsi"/>
        </w:rPr>
        <w:t xml:space="preserve"> v oblasti podpory zemědělského sektoru</w:t>
      </w:r>
      <w:r w:rsidRPr="00112663">
        <w:rPr>
          <w:rFonts w:cstheme="minorHAnsi"/>
        </w:rPr>
        <w:t xml:space="preserve">. Pro přípravu programového dokumentu je </w:t>
      </w:r>
      <w:r>
        <w:rPr>
          <w:rFonts w:cstheme="minorHAnsi"/>
        </w:rPr>
        <w:t>proto nutné, aby MZe jako řídicí orgán definovalo</w:t>
      </w:r>
      <w:r w:rsidRPr="00112663">
        <w:rPr>
          <w:rFonts w:cstheme="minorHAnsi"/>
        </w:rPr>
        <w:t xml:space="preserve"> priority a potřeby sektoru</w:t>
      </w:r>
      <w:r>
        <w:rPr>
          <w:rFonts w:cstheme="minorHAnsi"/>
        </w:rPr>
        <w:t>, k jejichž plnění má program přispět</w:t>
      </w:r>
      <w:r w:rsidRPr="00112663">
        <w:rPr>
          <w:rFonts w:cstheme="minorHAnsi"/>
        </w:rPr>
        <w:t xml:space="preserve">. </w:t>
      </w:r>
      <w:r>
        <w:rPr>
          <w:rFonts w:cstheme="minorHAnsi"/>
        </w:rPr>
        <w:t>Obdobně by mělo analyzovat tzv. absorpční kapacitu pro vybraná opatření a operace PRV 2014</w:t>
      </w:r>
      <w:r w:rsidR="004E2EE9">
        <w:rPr>
          <w:rFonts w:cstheme="minorHAnsi"/>
        </w:rPr>
        <w:t>–</w:t>
      </w:r>
      <w:r>
        <w:rPr>
          <w:rFonts w:cstheme="minorHAnsi"/>
        </w:rPr>
        <w:t>2020 za účelem nastavení odpovídající alokace</w:t>
      </w:r>
      <w:r w:rsidRPr="00112663">
        <w:rPr>
          <w:rFonts w:cstheme="minorHAnsi"/>
        </w:rPr>
        <w:t xml:space="preserve"> </w:t>
      </w:r>
      <w:r>
        <w:rPr>
          <w:rFonts w:cstheme="minorHAnsi"/>
        </w:rPr>
        <w:t>peněžních</w:t>
      </w:r>
      <w:r w:rsidRPr="00112663">
        <w:rPr>
          <w:rFonts w:cstheme="minorHAnsi"/>
        </w:rPr>
        <w:t xml:space="preserve"> prostředků na </w:t>
      </w:r>
      <w:r>
        <w:rPr>
          <w:rFonts w:cstheme="minorHAnsi"/>
        </w:rPr>
        <w:t xml:space="preserve">předpokládané množství a finanční objem </w:t>
      </w:r>
      <w:r w:rsidRPr="00112663">
        <w:rPr>
          <w:rFonts w:cstheme="minorHAnsi"/>
        </w:rPr>
        <w:t>projekt</w:t>
      </w:r>
      <w:r>
        <w:rPr>
          <w:rFonts w:cstheme="minorHAnsi"/>
        </w:rPr>
        <w:t>ů</w:t>
      </w:r>
      <w:r w:rsidRPr="00112663">
        <w:rPr>
          <w:rFonts w:cstheme="minorHAnsi"/>
        </w:rPr>
        <w:t>, které zajistí dosažení stanovených cílů</w:t>
      </w:r>
      <w:r>
        <w:t xml:space="preserve">. </w:t>
      </w:r>
      <w:r w:rsidRPr="006D3D93">
        <w:t xml:space="preserve">NKÚ proto </w:t>
      </w:r>
      <w:r w:rsidR="003B05C4">
        <w:t>zjišťoval</w:t>
      </w:r>
      <w:r w:rsidRPr="006D3D93">
        <w:t>, zda nastavené cíle PRV 2014–2020 korespondují s</w:t>
      </w:r>
      <w:r w:rsidR="005A7D0F">
        <w:t xml:space="preserve"> </w:t>
      </w:r>
      <w:r w:rsidRPr="006D3D93">
        <w:t xml:space="preserve">cíli klíčového strategického dokumentu pro toto období (Strategie 2030 – viz odst. 2.1) a zda </w:t>
      </w:r>
      <w:r w:rsidR="00235CF1">
        <w:t xml:space="preserve">MZe </w:t>
      </w:r>
      <w:r w:rsidRPr="006D3D93">
        <w:t>nastavilo odpovídajícím způsobem i alokaci peněžních prostředků na opatření a operace programu, kterými chce cílů programu dosáhnout.</w:t>
      </w:r>
    </w:p>
    <w:bookmarkEnd w:id="8"/>
    <w:p w:rsidR="00E94D07" w:rsidRPr="00A7441A" w:rsidRDefault="00E94D07" w:rsidP="00C35E77">
      <w:pPr>
        <w:spacing w:after="120"/>
        <w:rPr>
          <w:rFonts w:cstheme="minorHAnsi"/>
          <w:color w:val="AF1953"/>
          <w:lang w:eastAsia="cs-CZ"/>
        </w:rPr>
      </w:pPr>
      <w:r w:rsidRPr="00A7441A" w:rsidDel="00C2282A">
        <w:rPr>
          <w:b/>
          <w:i/>
          <w:color w:val="AF1953"/>
        </w:rPr>
        <w:t xml:space="preserve">→ MZe neprovedlo průzkum zájmu žadatelů, a zařadilo </w:t>
      </w:r>
      <w:r w:rsidRPr="00A7441A">
        <w:rPr>
          <w:b/>
          <w:i/>
          <w:color w:val="AF1953"/>
        </w:rPr>
        <w:t xml:space="preserve">tak </w:t>
      </w:r>
      <w:r w:rsidRPr="00A7441A" w:rsidDel="00C2282A">
        <w:rPr>
          <w:b/>
          <w:i/>
          <w:color w:val="AF1953"/>
        </w:rPr>
        <w:t>do PRV 2014</w:t>
      </w:r>
      <w:r w:rsidR="004E2EE9">
        <w:rPr>
          <w:b/>
          <w:i/>
          <w:color w:val="AF1953"/>
        </w:rPr>
        <w:t>–</w:t>
      </w:r>
      <w:r w:rsidRPr="00A7441A" w:rsidDel="00C2282A">
        <w:rPr>
          <w:b/>
          <w:i/>
          <w:color w:val="AF1953"/>
        </w:rPr>
        <w:t xml:space="preserve">2020 </w:t>
      </w:r>
      <w:r w:rsidRPr="00A7441A">
        <w:rPr>
          <w:b/>
          <w:i/>
          <w:color w:val="AF1953"/>
        </w:rPr>
        <w:t>opatření</w:t>
      </w:r>
      <w:r w:rsidRPr="00A7441A" w:rsidDel="00C2282A">
        <w:rPr>
          <w:b/>
          <w:i/>
          <w:color w:val="AF1953"/>
        </w:rPr>
        <w:t>, o</w:t>
      </w:r>
      <w:r w:rsidR="005A7D0F">
        <w:rPr>
          <w:b/>
          <w:i/>
          <w:color w:val="AF1953"/>
        </w:rPr>
        <w:t> </w:t>
      </w:r>
      <w:r w:rsidRPr="00A7441A" w:rsidDel="00C2282A">
        <w:rPr>
          <w:b/>
          <w:i/>
          <w:color w:val="AF1953"/>
        </w:rPr>
        <w:t>kter</w:t>
      </w:r>
      <w:r w:rsidR="00AB1D53">
        <w:rPr>
          <w:b/>
          <w:i/>
          <w:color w:val="AF1953"/>
        </w:rPr>
        <w:t>á</w:t>
      </w:r>
      <w:r w:rsidRPr="00A7441A" w:rsidDel="00C2282A">
        <w:rPr>
          <w:b/>
          <w:i/>
          <w:color w:val="AF1953"/>
        </w:rPr>
        <w:t xml:space="preserve"> žadatelé neměli zájem</w:t>
      </w:r>
      <w:r w:rsidRPr="00A7441A">
        <w:rPr>
          <w:b/>
          <w:i/>
          <w:color w:val="AF1953"/>
        </w:rPr>
        <w:t>, a dlouho tuto situaci adekvátně neřešilo</w:t>
      </w:r>
      <w:r w:rsidRPr="00A7441A" w:rsidDel="00C2282A">
        <w:rPr>
          <w:b/>
          <w:i/>
          <w:color w:val="AF1953"/>
        </w:rPr>
        <w:t xml:space="preserve">. </w:t>
      </w:r>
    </w:p>
    <w:p w:rsidR="00E94D07" w:rsidRPr="00E40922" w:rsidDel="00C2282A" w:rsidRDefault="00E94D07" w:rsidP="00E94D07">
      <w:pPr>
        <w:autoSpaceDE w:val="0"/>
        <w:autoSpaceDN w:val="0"/>
        <w:adjustRightInd w:val="0"/>
        <w:spacing w:after="120"/>
        <w:rPr>
          <w:rFonts w:cstheme="minorHAnsi"/>
          <w:bCs/>
          <w:iCs/>
        </w:rPr>
      </w:pPr>
      <w:r w:rsidRPr="00126430">
        <w:rPr>
          <w:b/>
        </w:rPr>
        <w:t>4.</w:t>
      </w:r>
      <w:r>
        <w:rPr>
          <w:b/>
        </w:rPr>
        <w:t>2</w:t>
      </w:r>
      <w:r>
        <w:t xml:space="preserve"> </w:t>
      </w:r>
      <w:r w:rsidRPr="009816BD">
        <w:t>MZe zařadilo do PRV 2014</w:t>
      </w:r>
      <w:r w:rsidR="004E2EE9">
        <w:t>–</w:t>
      </w:r>
      <w:r w:rsidRPr="009816BD">
        <w:t xml:space="preserve">2020 celkem 13 opatření, </w:t>
      </w:r>
      <w:r w:rsidR="003B05C4">
        <w:t xml:space="preserve">jejichž </w:t>
      </w:r>
      <w:r w:rsidRPr="009816BD">
        <w:t>pomocí chtělo přispět k dosahování cílů stanovených ve Strategii 2030.</w:t>
      </w:r>
      <w:r w:rsidRPr="009816BD">
        <w:rPr>
          <w:rFonts w:cstheme="minorHAnsi"/>
        </w:rPr>
        <w:t xml:space="preserve"> </w:t>
      </w:r>
      <w:r>
        <w:rPr>
          <w:rFonts w:cstheme="minorHAnsi"/>
        </w:rPr>
        <w:t>NKÚ ověřil, že tato opatření byla v souladu s definovanými potřebami sektoru a strategiemi MZe. Při</w:t>
      </w:r>
      <w:r w:rsidR="003B05C4">
        <w:rPr>
          <w:rFonts w:cstheme="minorHAnsi"/>
        </w:rPr>
        <w:t xml:space="preserve"> tvorbě</w:t>
      </w:r>
      <w:r w:rsidRPr="009816BD">
        <w:rPr>
          <w:rFonts w:cstheme="minorHAnsi"/>
        </w:rPr>
        <w:t xml:space="preserve"> programového dokumentu vycházelo</w:t>
      </w:r>
      <w:r>
        <w:rPr>
          <w:rFonts w:cstheme="minorHAnsi"/>
        </w:rPr>
        <w:t xml:space="preserve"> MZe</w:t>
      </w:r>
      <w:r w:rsidRPr="009816BD">
        <w:rPr>
          <w:rFonts w:cstheme="minorHAnsi"/>
        </w:rPr>
        <w:t xml:space="preserve"> </w:t>
      </w:r>
      <w:r>
        <w:rPr>
          <w:rFonts w:cstheme="minorHAnsi"/>
        </w:rPr>
        <w:t xml:space="preserve">zejména </w:t>
      </w:r>
      <w:r w:rsidRPr="009816BD">
        <w:rPr>
          <w:rFonts w:cstheme="minorHAnsi"/>
        </w:rPr>
        <w:t xml:space="preserve">z kvantifikace cílových skupin příjemců a </w:t>
      </w:r>
      <w:r>
        <w:rPr>
          <w:rFonts w:cstheme="minorHAnsi"/>
        </w:rPr>
        <w:t xml:space="preserve">ze </w:t>
      </w:r>
      <w:r w:rsidRPr="009816BD">
        <w:rPr>
          <w:rFonts w:cstheme="minorHAnsi"/>
        </w:rPr>
        <w:t>zkušeností z předchozího programového období,</w:t>
      </w:r>
      <w:r>
        <w:rPr>
          <w:rFonts w:cstheme="minorHAnsi"/>
        </w:rPr>
        <w:t xml:space="preserve"> avšak </w:t>
      </w:r>
      <w:r w:rsidRPr="009816BD">
        <w:rPr>
          <w:rFonts w:cstheme="minorHAnsi"/>
        </w:rPr>
        <w:t>nikoli</w:t>
      </w:r>
      <w:r>
        <w:rPr>
          <w:rFonts w:cstheme="minorHAnsi"/>
        </w:rPr>
        <w:t>v</w:t>
      </w:r>
      <w:r w:rsidRPr="009816BD">
        <w:rPr>
          <w:rFonts w:cstheme="minorHAnsi"/>
        </w:rPr>
        <w:t xml:space="preserve"> na základě průzkumu skutečného zájmu </w:t>
      </w:r>
      <w:r w:rsidRPr="009816BD">
        <w:rPr>
          <w:rFonts w:cstheme="minorHAnsi"/>
          <w:bCs/>
          <w:iCs/>
        </w:rPr>
        <w:t xml:space="preserve">potenciálních žadatelů o dotace </w:t>
      </w:r>
      <w:r w:rsidRPr="009816BD">
        <w:rPr>
          <w:rFonts w:cstheme="minorHAnsi"/>
        </w:rPr>
        <w:t>dle nastavených podmínek.</w:t>
      </w:r>
      <w:r>
        <w:rPr>
          <w:rFonts w:cstheme="minorHAnsi"/>
        </w:rPr>
        <w:t xml:space="preserve"> </w:t>
      </w:r>
      <w:r w:rsidRPr="002A5F17">
        <w:rPr>
          <w:rFonts w:cstheme="minorHAnsi"/>
          <w:bCs/>
          <w:iCs/>
        </w:rPr>
        <w:t xml:space="preserve">Programový dokument </w:t>
      </w:r>
      <w:r>
        <w:rPr>
          <w:rFonts w:cstheme="minorHAnsi"/>
          <w:bCs/>
          <w:iCs/>
        </w:rPr>
        <w:t xml:space="preserve">tak </w:t>
      </w:r>
      <w:r w:rsidRPr="002A5F17">
        <w:rPr>
          <w:rFonts w:cstheme="minorHAnsi"/>
          <w:bCs/>
          <w:iCs/>
        </w:rPr>
        <w:t>až do 5. aktualizace (tedy do roku 2018</w:t>
      </w:r>
      <w:r>
        <w:rPr>
          <w:rFonts w:cstheme="minorHAnsi"/>
          <w:bCs/>
          <w:iCs/>
        </w:rPr>
        <w:t>, který byl pátým rokem programového období</w:t>
      </w:r>
      <w:r w:rsidRPr="002A5F17">
        <w:rPr>
          <w:rFonts w:cstheme="minorHAnsi"/>
          <w:bCs/>
          <w:iCs/>
        </w:rPr>
        <w:t xml:space="preserve">) </w:t>
      </w:r>
      <w:r w:rsidR="003B05C4" w:rsidRPr="002A5F17">
        <w:rPr>
          <w:rFonts w:cstheme="minorHAnsi"/>
          <w:bCs/>
          <w:iCs/>
        </w:rPr>
        <w:t xml:space="preserve">obsahoval </w:t>
      </w:r>
      <w:r w:rsidRPr="002A5F17">
        <w:rPr>
          <w:rFonts w:cstheme="minorHAnsi"/>
          <w:bCs/>
          <w:iCs/>
        </w:rPr>
        <w:t xml:space="preserve">operace, o které nebyl ze strany žadatelů zájem, </w:t>
      </w:r>
      <w:r w:rsidR="009C2901">
        <w:rPr>
          <w:rFonts w:cstheme="minorHAnsi"/>
          <w:bCs/>
          <w:iCs/>
        </w:rPr>
        <w:t>resp.</w:t>
      </w:r>
      <w:r w:rsidRPr="002A5F17">
        <w:rPr>
          <w:rFonts w:cstheme="minorHAnsi"/>
          <w:bCs/>
          <w:iCs/>
        </w:rPr>
        <w:t xml:space="preserve"> opatření, které se vůbec nepodařilo </w:t>
      </w:r>
      <w:r w:rsidR="009907CF">
        <w:rPr>
          <w:rFonts w:cstheme="minorHAnsi"/>
          <w:bCs/>
          <w:iCs/>
        </w:rPr>
        <w:t>zahájit</w:t>
      </w:r>
      <w:r w:rsidRPr="002A5F17">
        <w:rPr>
          <w:rFonts w:cstheme="minorHAnsi"/>
          <w:bCs/>
          <w:iCs/>
        </w:rPr>
        <w:t xml:space="preserve">. </w:t>
      </w:r>
    </w:p>
    <w:p w:rsidR="00E94D07" w:rsidRDefault="00E94D07" w:rsidP="00E94D07">
      <w:pPr>
        <w:autoSpaceDE w:val="0"/>
        <w:autoSpaceDN w:val="0"/>
        <w:adjustRightInd w:val="0"/>
        <w:spacing w:after="120"/>
        <w:rPr>
          <w:rFonts w:cstheme="minorHAnsi"/>
          <w:bCs/>
          <w:iCs/>
        </w:rPr>
      </w:pPr>
      <w:r w:rsidRPr="00126430">
        <w:rPr>
          <w:b/>
        </w:rPr>
        <w:t>4.</w:t>
      </w:r>
      <w:r>
        <w:rPr>
          <w:b/>
        </w:rPr>
        <w:t xml:space="preserve">3 </w:t>
      </w:r>
      <w:r w:rsidRPr="009816BD">
        <w:rPr>
          <w:rFonts w:cstheme="minorHAnsi"/>
        </w:rPr>
        <w:t>Neprovedení průzkumu zájmu potenciálních žadatelů</w:t>
      </w:r>
      <w:r>
        <w:rPr>
          <w:rFonts w:cstheme="minorHAnsi"/>
        </w:rPr>
        <w:t xml:space="preserve"> ze strany MZe</w:t>
      </w:r>
      <w:r w:rsidRPr="009816BD">
        <w:rPr>
          <w:rFonts w:cstheme="minorHAnsi"/>
          <w:b/>
        </w:rPr>
        <w:t xml:space="preserve"> </w:t>
      </w:r>
      <w:r w:rsidRPr="009816BD">
        <w:rPr>
          <w:rFonts w:cstheme="minorHAnsi"/>
        </w:rPr>
        <w:t xml:space="preserve">se projevilo </w:t>
      </w:r>
      <w:r w:rsidR="003E2533">
        <w:rPr>
          <w:rFonts w:cstheme="minorHAnsi"/>
        </w:rPr>
        <w:br/>
      </w:r>
      <w:r w:rsidRPr="009816BD">
        <w:rPr>
          <w:rFonts w:cstheme="minorHAnsi"/>
        </w:rPr>
        <w:t xml:space="preserve">zejména u opatření </w:t>
      </w:r>
      <w:r w:rsidRPr="003F344B">
        <w:rPr>
          <w:rFonts w:cstheme="minorHAnsi"/>
        </w:rPr>
        <w:t xml:space="preserve">M02 </w:t>
      </w:r>
      <w:r w:rsidR="003E2533">
        <w:rPr>
          <w:rFonts w:cstheme="minorHAnsi"/>
          <w:bCs/>
          <w:iCs/>
        </w:rPr>
        <w:t>–</w:t>
      </w:r>
      <w:r w:rsidR="003E2533" w:rsidRPr="003F344B" w:rsidDel="003E2533">
        <w:rPr>
          <w:rFonts w:cstheme="minorHAnsi"/>
        </w:rPr>
        <w:t xml:space="preserve"> </w:t>
      </w:r>
      <w:r w:rsidRPr="00D17BAD">
        <w:rPr>
          <w:rFonts w:cstheme="minorHAnsi"/>
          <w:i/>
        </w:rPr>
        <w:t>Poradenské, řídicí a pomocné služby pro zemědělství</w:t>
      </w:r>
      <w:r w:rsidRPr="003F344B">
        <w:rPr>
          <w:rFonts w:cstheme="minorHAnsi"/>
        </w:rPr>
        <w:t>,</w:t>
      </w:r>
      <w:r w:rsidRPr="009816BD">
        <w:rPr>
          <w:rFonts w:cstheme="minorHAnsi"/>
        </w:rPr>
        <w:t xml:space="preserve"> </w:t>
      </w:r>
      <w:r>
        <w:rPr>
          <w:rFonts w:cstheme="minorHAnsi"/>
        </w:rPr>
        <w:t xml:space="preserve">u </w:t>
      </w:r>
      <w:r w:rsidRPr="009816BD">
        <w:rPr>
          <w:rFonts w:cstheme="minorHAnsi"/>
        </w:rPr>
        <w:t>které</w:t>
      </w:r>
      <w:r>
        <w:rPr>
          <w:rFonts w:cstheme="minorHAnsi"/>
        </w:rPr>
        <w:t>ho se poskytování podpory pro nezájem žadatelů nepodařilo vůbec zahájit,</w:t>
      </w:r>
      <w:r w:rsidRPr="009816BD">
        <w:rPr>
          <w:rFonts w:cstheme="minorHAnsi"/>
        </w:rPr>
        <w:t xml:space="preserve"> a u operace </w:t>
      </w:r>
      <w:r w:rsidR="003E2533">
        <w:rPr>
          <w:rFonts w:cstheme="minorHAnsi"/>
        </w:rPr>
        <w:br/>
      </w:r>
      <w:r w:rsidRPr="009816BD">
        <w:rPr>
          <w:rFonts w:cstheme="minorHAnsi"/>
        </w:rPr>
        <w:t>6.4.3</w:t>
      </w:r>
      <w:r>
        <w:rPr>
          <w:rFonts w:cstheme="minorHAnsi"/>
        </w:rPr>
        <w:t xml:space="preserve"> </w:t>
      </w:r>
      <w:r w:rsidR="003E2533">
        <w:rPr>
          <w:rFonts w:cstheme="minorHAnsi"/>
          <w:bCs/>
          <w:iCs/>
        </w:rPr>
        <w:t>–</w:t>
      </w:r>
      <w:r w:rsidR="003E2533">
        <w:rPr>
          <w:rFonts w:cstheme="minorHAnsi"/>
        </w:rPr>
        <w:t xml:space="preserve"> </w:t>
      </w:r>
      <w:r w:rsidRPr="00D17BAD">
        <w:rPr>
          <w:rFonts w:cstheme="minorHAnsi"/>
          <w:i/>
        </w:rPr>
        <w:t>Investice na podporu energie z obnovitelných zdrojů</w:t>
      </w:r>
      <w:r>
        <w:rPr>
          <w:rFonts w:cstheme="minorHAnsi"/>
        </w:rPr>
        <w:t xml:space="preserve"> v případě předpokládané</w:t>
      </w:r>
      <w:r w:rsidR="003E2533">
        <w:rPr>
          <w:rFonts w:cstheme="minorHAnsi"/>
        </w:rPr>
        <w:t xml:space="preserve"> </w:t>
      </w:r>
      <w:r w:rsidRPr="009816BD">
        <w:rPr>
          <w:rFonts w:cstheme="minorHAnsi"/>
        </w:rPr>
        <w:t>podpor</w:t>
      </w:r>
      <w:r>
        <w:rPr>
          <w:rFonts w:cstheme="minorHAnsi"/>
        </w:rPr>
        <w:t>y</w:t>
      </w:r>
      <w:r w:rsidRPr="009816BD">
        <w:rPr>
          <w:rFonts w:cstheme="minorHAnsi"/>
        </w:rPr>
        <w:t xml:space="preserve"> bioplynových stanic, </w:t>
      </w:r>
      <w:r w:rsidR="003E2533">
        <w:rPr>
          <w:rFonts w:cstheme="minorHAnsi"/>
        </w:rPr>
        <w:t>v této oblasti</w:t>
      </w:r>
      <w:r w:rsidRPr="009816BD">
        <w:rPr>
          <w:rFonts w:cstheme="minorHAnsi"/>
        </w:rPr>
        <w:t xml:space="preserve"> nebyla</w:t>
      </w:r>
      <w:r>
        <w:rPr>
          <w:rFonts w:cstheme="minorHAnsi"/>
        </w:rPr>
        <w:t xml:space="preserve"> </w:t>
      </w:r>
      <w:r w:rsidRPr="009816BD">
        <w:rPr>
          <w:rFonts w:cstheme="minorHAnsi"/>
        </w:rPr>
        <w:t>podána ani jedna žádost o</w:t>
      </w:r>
      <w:r>
        <w:rPr>
          <w:rFonts w:cstheme="minorHAnsi"/>
        </w:rPr>
        <w:t> dotaci</w:t>
      </w:r>
      <w:r w:rsidRPr="009816BD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A5F17">
        <w:rPr>
          <w:rFonts w:cstheme="minorHAnsi"/>
          <w:bCs/>
          <w:iCs/>
        </w:rPr>
        <w:t>MZe ani externí hodnotitel, který pro MZe vypracoval hodnocení ex-ante</w:t>
      </w:r>
      <w:r w:rsidRPr="002A5F17">
        <w:rPr>
          <w:rStyle w:val="Znakapoznpodarou"/>
          <w:rFonts w:cstheme="minorHAnsi"/>
          <w:bCs/>
          <w:iCs/>
        </w:rPr>
        <w:footnoteReference w:id="12"/>
      </w:r>
      <w:r>
        <w:rPr>
          <w:rFonts w:cstheme="minorHAnsi"/>
          <w:bCs/>
          <w:iCs/>
        </w:rPr>
        <w:t>,</w:t>
      </w:r>
      <w:r w:rsidRPr="002A5F17">
        <w:rPr>
          <w:rFonts w:cstheme="minorHAnsi"/>
          <w:bCs/>
          <w:iCs/>
        </w:rPr>
        <w:t xml:space="preserve"> neidentifikoval</w:t>
      </w:r>
      <w:r>
        <w:rPr>
          <w:rFonts w:cstheme="minorHAnsi"/>
          <w:bCs/>
          <w:iCs/>
        </w:rPr>
        <w:t>i</w:t>
      </w:r>
      <w:r w:rsidRPr="002A5F17">
        <w:rPr>
          <w:rFonts w:cstheme="minorHAnsi"/>
          <w:bCs/>
          <w:iCs/>
        </w:rPr>
        <w:t xml:space="preserve"> v rámci přípravy </w:t>
      </w:r>
      <w:r>
        <w:rPr>
          <w:rFonts w:cstheme="minorHAnsi"/>
          <w:bCs/>
          <w:iCs/>
        </w:rPr>
        <w:t xml:space="preserve">PRV </w:t>
      </w:r>
      <w:r w:rsidRPr="002A5F17">
        <w:rPr>
          <w:rFonts w:cstheme="minorHAnsi"/>
          <w:bCs/>
          <w:iCs/>
        </w:rPr>
        <w:t>2014</w:t>
      </w:r>
      <w:r w:rsidR="004E2EE9">
        <w:rPr>
          <w:rFonts w:cstheme="minorHAnsi"/>
          <w:bCs/>
          <w:iCs/>
        </w:rPr>
        <w:t>–</w:t>
      </w:r>
      <w:r w:rsidRPr="002A5F17">
        <w:rPr>
          <w:rFonts w:cstheme="minorHAnsi"/>
          <w:bCs/>
          <w:iCs/>
        </w:rPr>
        <w:t>2020 překážky v implementaci opatření M02</w:t>
      </w:r>
      <w:r>
        <w:rPr>
          <w:rFonts w:cstheme="minorHAnsi"/>
          <w:bCs/>
          <w:iCs/>
        </w:rPr>
        <w:t xml:space="preserve">. MZe </w:t>
      </w:r>
      <w:r w:rsidR="003E2533">
        <w:rPr>
          <w:rFonts w:cstheme="minorHAnsi"/>
          <w:bCs/>
          <w:iCs/>
        </w:rPr>
        <w:t xml:space="preserve">přes výše uvedené skutečnosti </w:t>
      </w:r>
      <w:r>
        <w:rPr>
          <w:rFonts w:cstheme="minorHAnsi"/>
          <w:bCs/>
          <w:iCs/>
        </w:rPr>
        <w:t>zrušilo opatření M02 až v</w:t>
      </w:r>
      <w:r w:rsidR="005A7D0F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roce 2018</w:t>
      </w:r>
      <w:r w:rsidRPr="002A5F17">
        <w:rPr>
          <w:rFonts w:cstheme="minorHAnsi"/>
          <w:bCs/>
          <w:iCs/>
        </w:rPr>
        <w:t xml:space="preserve">, tedy více než tři roky po schválení první verze programového dokumentu Evropskou komisí. </w:t>
      </w:r>
      <w:r w:rsidR="003E2533">
        <w:rPr>
          <w:rFonts w:cstheme="minorHAnsi"/>
          <w:bCs/>
          <w:iCs/>
        </w:rPr>
        <w:t>P</w:t>
      </w:r>
      <w:r>
        <w:rPr>
          <w:rFonts w:cstheme="minorHAnsi"/>
          <w:bCs/>
          <w:iCs/>
        </w:rPr>
        <w:t>rostředky</w:t>
      </w:r>
      <w:r w:rsidR="003E2533">
        <w:rPr>
          <w:rFonts w:cstheme="minorHAnsi"/>
          <w:bCs/>
          <w:iCs/>
        </w:rPr>
        <w:t xml:space="preserve"> vyčleněné na</w:t>
      </w:r>
      <w:r>
        <w:rPr>
          <w:rFonts w:cstheme="minorHAnsi"/>
          <w:bCs/>
          <w:iCs/>
        </w:rPr>
        <w:t xml:space="preserve"> opatření M02 </w:t>
      </w:r>
      <w:r>
        <w:rPr>
          <w:rFonts w:cstheme="minorHAnsi"/>
          <w:bCs/>
          <w:iCs/>
        </w:rPr>
        <w:lastRenderedPageBreak/>
        <w:t>převedlo do opatření M01. Prostředky alokované na podporu bioplynových stanic převedlo MZe do opatření M08</w:t>
      </w:r>
      <w:r w:rsidR="009D52F4">
        <w:rPr>
          <w:rFonts w:cstheme="minorHAnsi"/>
          <w:bCs/>
          <w:iCs/>
        </w:rPr>
        <w:t xml:space="preserve"> </w:t>
      </w:r>
      <w:r w:rsidR="003E2533">
        <w:rPr>
          <w:rFonts w:cstheme="minorHAnsi"/>
          <w:bCs/>
          <w:iCs/>
        </w:rPr>
        <w:t xml:space="preserve">– </w:t>
      </w:r>
      <w:r w:rsidRPr="00D17BAD">
        <w:rPr>
          <w:rFonts w:cstheme="minorHAnsi"/>
          <w:bCs/>
          <w:i/>
          <w:iCs/>
        </w:rPr>
        <w:t>Investice do rozvoje lesních oblastí a zlepšování životaschopnosti lesů</w:t>
      </w:r>
      <w:r>
        <w:rPr>
          <w:rFonts w:cstheme="minorHAnsi"/>
          <w:bCs/>
          <w:iCs/>
        </w:rPr>
        <w:t>.</w:t>
      </w:r>
    </w:p>
    <w:p w:rsidR="00B41284" w:rsidRPr="00466B4E" w:rsidRDefault="00B41284" w:rsidP="00E94D07">
      <w:pPr>
        <w:autoSpaceDE w:val="0"/>
        <w:autoSpaceDN w:val="0"/>
        <w:adjustRightInd w:val="0"/>
        <w:spacing w:after="120"/>
        <w:rPr>
          <w:rFonts w:cstheme="minorHAnsi"/>
          <w:bCs/>
          <w:iCs/>
        </w:rPr>
      </w:pPr>
    </w:p>
    <w:p w:rsidR="00E94D07" w:rsidRPr="00A7441A" w:rsidRDefault="00E94D07" w:rsidP="000F641D">
      <w:pPr>
        <w:pStyle w:val="Odstavecseseznamem"/>
        <w:numPr>
          <w:ilvl w:val="0"/>
          <w:numId w:val="6"/>
        </w:numPr>
        <w:spacing w:before="0" w:after="160"/>
        <w:jc w:val="left"/>
        <w:rPr>
          <w:b/>
          <w:color w:val="2EB3A1"/>
        </w:rPr>
      </w:pPr>
      <w:r w:rsidRPr="00A7441A">
        <w:rPr>
          <w:b/>
          <w:color w:val="2EB3A1"/>
        </w:rPr>
        <w:t xml:space="preserve">Nastavení cílů opatření/operací/projektů a jejich monitorování </w:t>
      </w:r>
    </w:p>
    <w:p w:rsidR="00E94D07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 xml:space="preserve">4 </w:t>
      </w:r>
      <w:r w:rsidRPr="002A5F17">
        <w:rPr>
          <w:rFonts w:cstheme="minorHAnsi"/>
        </w:rPr>
        <w:t>Jedním ze základních předpokladů zajištění účelnosti poskytov</w:t>
      </w:r>
      <w:r>
        <w:rPr>
          <w:rFonts w:cstheme="minorHAnsi"/>
        </w:rPr>
        <w:t>aných peněžních prostředků</w:t>
      </w:r>
      <w:r w:rsidRPr="002A5F17">
        <w:rPr>
          <w:rFonts w:cstheme="minorHAnsi"/>
        </w:rPr>
        <w:t xml:space="preserve"> je správné nastavení cílů </w:t>
      </w:r>
      <w:r>
        <w:rPr>
          <w:rFonts w:cstheme="minorHAnsi"/>
        </w:rPr>
        <w:t>jednotlivých opatření, operací, projektů</w:t>
      </w:r>
      <w:r w:rsidRPr="002A5F17">
        <w:rPr>
          <w:rFonts w:cstheme="minorHAnsi"/>
        </w:rPr>
        <w:t xml:space="preserve"> a indikátorů pro </w:t>
      </w:r>
      <w:r>
        <w:rPr>
          <w:rFonts w:cstheme="minorHAnsi"/>
        </w:rPr>
        <w:t xml:space="preserve">sledování </w:t>
      </w:r>
      <w:r w:rsidRPr="002A5F17">
        <w:rPr>
          <w:rFonts w:cstheme="minorHAnsi"/>
        </w:rPr>
        <w:t>jejich</w:t>
      </w:r>
      <w:r>
        <w:rPr>
          <w:rFonts w:cstheme="minorHAnsi"/>
        </w:rPr>
        <w:t xml:space="preserve"> dosažení</w:t>
      </w:r>
      <w:r w:rsidRPr="002A5F17">
        <w:rPr>
          <w:rFonts w:cstheme="minorHAnsi"/>
        </w:rPr>
        <w:t>. Správně nastavené cíle a indikátory mají přinášet</w:t>
      </w:r>
      <w:r>
        <w:rPr>
          <w:rFonts w:cstheme="minorHAnsi"/>
        </w:rPr>
        <w:t xml:space="preserve"> </w:t>
      </w:r>
      <w:r w:rsidRPr="002A5F17">
        <w:rPr>
          <w:rFonts w:cstheme="minorHAnsi"/>
        </w:rPr>
        <w:t>průběžné informace o</w:t>
      </w:r>
      <w:r>
        <w:rPr>
          <w:rFonts w:cstheme="minorHAnsi"/>
        </w:rPr>
        <w:t> </w:t>
      </w:r>
      <w:r w:rsidRPr="002A5F17">
        <w:rPr>
          <w:rFonts w:cstheme="minorHAnsi"/>
        </w:rPr>
        <w:t xml:space="preserve">dosahované účelnosti </w:t>
      </w:r>
      <w:r>
        <w:rPr>
          <w:rFonts w:cstheme="minorHAnsi"/>
        </w:rPr>
        <w:t>poskytovaných peněžních prostředků</w:t>
      </w:r>
      <w:r w:rsidRPr="002A5F17">
        <w:rPr>
          <w:rFonts w:cstheme="minorHAnsi"/>
        </w:rPr>
        <w:t xml:space="preserve"> a vést tak </w:t>
      </w:r>
      <w:r w:rsidR="00235CF1">
        <w:rPr>
          <w:rFonts w:cstheme="minorHAnsi"/>
        </w:rPr>
        <w:t xml:space="preserve">k </w:t>
      </w:r>
      <w:r w:rsidRPr="002A5F17">
        <w:rPr>
          <w:rFonts w:cstheme="minorHAnsi"/>
        </w:rPr>
        <w:t>případn</w:t>
      </w:r>
      <w:r>
        <w:rPr>
          <w:rFonts w:cstheme="minorHAnsi"/>
        </w:rPr>
        <w:t xml:space="preserve">ým úpravám nastavení opatření a operací v zájmu dosažení nastavených cílů v </w:t>
      </w:r>
      <w:r w:rsidRPr="002A5F17">
        <w:rPr>
          <w:rFonts w:cstheme="minorHAnsi"/>
        </w:rPr>
        <w:t>probíhajícím programovém období.</w:t>
      </w:r>
    </w:p>
    <w:p w:rsidR="00E94D07" w:rsidRPr="00A7441A" w:rsidRDefault="00E94D07" w:rsidP="00E94D07">
      <w:pPr>
        <w:spacing w:after="120"/>
        <w:rPr>
          <w:b/>
          <w:i/>
          <w:color w:val="AF1953"/>
        </w:rPr>
      </w:pPr>
      <w:r w:rsidRPr="00A7441A">
        <w:rPr>
          <w:b/>
          <w:i/>
          <w:color w:val="AF1953"/>
        </w:rPr>
        <w:t>→ MZe nenastavilo cíle operací v</w:t>
      </w:r>
      <w:r w:rsidR="00511BA8">
        <w:rPr>
          <w:b/>
          <w:i/>
          <w:color w:val="AF1953"/>
        </w:rPr>
        <w:t> některých případech</w:t>
      </w:r>
      <w:r w:rsidRPr="00A7441A">
        <w:rPr>
          <w:b/>
          <w:i/>
          <w:color w:val="AF1953"/>
        </w:rPr>
        <w:t xml:space="preserve"> tak, aby bylo možné vyhodnotit jejich naplnění. </w:t>
      </w:r>
    </w:p>
    <w:p w:rsidR="00E94D07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 xml:space="preserve">5 </w:t>
      </w:r>
      <w:r>
        <w:rPr>
          <w:rFonts w:cstheme="minorHAnsi"/>
        </w:rPr>
        <w:t xml:space="preserve">NKÚ posoudil nastavení cílů jednotlivých operací a následně i cíle projektů zahrnutých v kontrolním vzorku, tedy zda jsou jednotlivé cíle na úrovni programu a jeho jednotlivých opatření i projektů nastaveny dle </w:t>
      </w:r>
      <w:r w:rsidR="003E2533">
        <w:rPr>
          <w:rFonts w:cstheme="minorHAnsi"/>
        </w:rPr>
        <w:t>zásad</w:t>
      </w:r>
      <w:r w:rsidRPr="001E44DC">
        <w:rPr>
          <w:rFonts w:cstheme="minorHAnsi"/>
        </w:rPr>
        <w:t xml:space="preserve"> SMART. </w:t>
      </w:r>
    </w:p>
    <w:p w:rsidR="00E94D07" w:rsidRPr="00354132" w:rsidRDefault="00E94D07" w:rsidP="00E94D07">
      <w:pPr>
        <w:spacing w:after="120"/>
        <w:rPr>
          <w:rFonts w:cstheme="minorHAnsi"/>
        </w:rPr>
      </w:pPr>
      <w:r w:rsidRPr="00466B4E">
        <w:rPr>
          <w:rFonts w:cstheme="minorHAnsi"/>
          <w:b/>
        </w:rPr>
        <w:t>4.6</w:t>
      </w:r>
      <w:r>
        <w:rPr>
          <w:rFonts w:cstheme="minorHAnsi"/>
        </w:rPr>
        <w:t xml:space="preserve"> Jak je zřejmé z tabulky č. </w:t>
      </w:r>
      <w:r w:rsidR="00C35E77">
        <w:rPr>
          <w:rFonts w:cstheme="minorHAnsi"/>
        </w:rPr>
        <w:t>2</w:t>
      </w:r>
      <w:r>
        <w:rPr>
          <w:rFonts w:cstheme="minorHAnsi"/>
        </w:rPr>
        <w:t xml:space="preserve">, </w:t>
      </w:r>
      <w:r w:rsidRPr="008D12EE">
        <w:rPr>
          <w:rFonts w:cstheme="minorHAnsi"/>
        </w:rPr>
        <w:t>MZe nenastavilo cíle jednotlivých</w:t>
      </w:r>
      <w:r>
        <w:rPr>
          <w:rFonts w:cstheme="minorHAnsi"/>
        </w:rPr>
        <w:t xml:space="preserve"> </w:t>
      </w:r>
      <w:r w:rsidRPr="008D12EE">
        <w:rPr>
          <w:rFonts w:cstheme="minorHAnsi"/>
        </w:rPr>
        <w:t>operací zcela dle principu SMART. Opakujícím se problémem</w:t>
      </w:r>
      <w:r>
        <w:rPr>
          <w:rFonts w:cstheme="minorHAnsi"/>
        </w:rPr>
        <w:t xml:space="preserve"> u všech prověřovaných operací</w:t>
      </w:r>
      <w:r w:rsidRPr="008D12EE">
        <w:rPr>
          <w:rFonts w:cstheme="minorHAnsi"/>
        </w:rPr>
        <w:t xml:space="preserve"> </w:t>
      </w:r>
      <w:r w:rsidR="009D52F4">
        <w:rPr>
          <w:rFonts w:cstheme="minorHAnsi"/>
        </w:rPr>
        <w:t>byl</w:t>
      </w:r>
      <w:r w:rsidRPr="008D12EE">
        <w:rPr>
          <w:rFonts w:cstheme="minorHAnsi"/>
        </w:rPr>
        <w:t xml:space="preserve"> </w:t>
      </w:r>
      <w:r>
        <w:rPr>
          <w:rFonts w:cstheme="minorHAnsi"/>
        </w:rPr>
        <w:t xml:space="preserve">zejména </w:t>
      </w:r>
      <w:r w:rsidRPr="008D12EE">
        <w:rPr>
          <w:rFonts w:cstheme="minorHAnsi"/>
        </w:rPr>
        <w:t xml:space="preserve">nedostatek </w:t>
      </w:r>
      <w:r w:rsidR="00E149DE">
        <w:rPr>
          <w:rFonts w:cstheme="minorHAnsi"/>
        </w:rPr>
        <w:br/>
      </w:r>
      <w:r w:rsidRPr="008D12EE">
        <w:rPr>
          <w:rFonts w:cstheme="minorHAnsi"/>
        </w:rPr>
        <w:t xml:space="preserve">u aspektu měřitelnosti, tedy provázání cílů s takovými indikátory, na jejichž základě by bylo možné provést vyhodnocení plnění cílů, přínosů a dopadů podpory (viz </w:t>
      </w:r>
      <w:r>
        <w:rPr>
          <w:rFonts w:cstheme="minorHAnsi"/>
        </w:rPr>
        <w:t xml:space="preserve">také odst. </w:t>
      </w:r>
      <w:r w:rsidRPr="00E149DE">
        <w:rPr>
          <w:rFonts w:cstheme="minorHAnsi"/>
        </w:rPr>
        <w:t>4.10).</w:t>
      </w:r>
      <w:r>
        <w:rPr>
          <w:rFonts w:cstheme="minorHAnsi"/>
        </w:rPr>
        <w:t xml:space="preserve"> </w:t>
      </w:r>
      <w:r w:rsidR="00E149DE">
        <w:rPr>
          <w:rFonts w:cstheme="minorHAnsi"/>
        </w:rPr>
        <w:br/>
      </w:r>
      <w:r>
        <w:rPr>
          <w:rFonts w:cstheme="minorHAnsi"/>
        </w:rPr>
        <w:t>To NKÚ zjistil u všech kontrolovaných operací.</w:t>
      </w:r>
    </w:p>
    <w:p w:rsidR="00E94D07" w:rsidRPr="00D17BAD" w:rsidRDefault="00E94D07" w:rsidP="00D17BAD">
      <w:pPr>
        <w:spacing w:after="40"/>
        <w:rPr>
          <w:rFonts w:cstheme="minorHAnsi"/>
          <w:b/>
        </w:rPr>
      </w:pPr>
      <w:r w:rsidRPr="00D17BAD">
        <w:rPr>
          <w:rFonts w:cstheme="minorHAnsi"/>
          <w:b/>
        </w:rPr>
        <w:t xml:space="preserve">Tabulka č. </w:t>
      </w:r>
      <w:r w:rsidR="00C35E77" w:rsidRPr="00D17BAD">
        <w:rPr>
          <w:rFonts w:cstheme="minorHAnsi"/>
          <w:b/>
        </w:rPr>
        <w:t>2:</w:t>
      </w:r>
      <w:r w:rsidRPr="00D17BAD">
        <w:rPr>
          <w:rFonts w:cstheme="minorHAnsi"/>
          <w:b/>
        </w:rPr>
        <w:t xml:space="preserve"> Vyhodnocení nastavení cílů u jednotlivých operací dle </w:t>
      </w:r>
      <w:r w:rsidR="00487CA7">
        <w:rPr>
          <w:rFonts w:cstheme="minorHAnsi"/>
          <w:b/>
        </w:rPr>
        <w:t>zásad</w:t>
      </w:r>
      <w:r w:rsidRPr="00D17BAD">
        <w:rPr>
          <w:rFonts w:cstheme="minorHAnsi"/>
          <w:b/>
        </w:rPr>
        <w:t xml:space="preserve"> SMART</w:t>
      </w:r>
    </w:p>
    <w:tbl>
      <w:tblPr>
        <w:tblW w:w="9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936"/>
        <w:gridCol w:w="1078"/>
        <w:gridCol w:w="1224"/>
        <w:gridCol w:w="1078"/>
        <w:gridCol w:w="1078"/>
        <w:gridCol w:w="1078"/>
        <w:gridCol w:w="1078"/>
      </w:tblGrid>
      <w:tr w:rsidR="00E94D07" w:rsidRPr="00B466A3" w:rsidTr="00D17BAD">
        <w:trPr>
          <w:trHeight w:val="567"/>
        </w:trPr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Cíle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M01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4.1.1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6.1.1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6.4.1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6.4.2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6.4.3</w:t>
            </w:r>
          </w:p>
        </w:tc>
      </w:tr>
      <w:tr w:rsidR="00E94D07" w:rsidRPr="00B466A3" w:rsidTr="00D17BAD">
        <w:trPr>
          <w:trHeight w:val="56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(S)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Konkrétní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</w:tr>
      <w:tr w:rsidR="00E94D07" w:rsidRPr="00B466A3" w:rsidTr="00D17BAD">
        <w:trPr>
          <w:trHeight w:val="56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(M)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Měřitelné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 xml:space="preserve">ANO </w:t>
            </w:r>
            <w:r w:rsidR="00E149DE">
              <w:rPr>
                <w:rFonts w:cstheme="minorHAnsi"/>
                <w:sz w:val="20"/>
                <w:szCs w:val="20"/>
              </w:rPr>
              <w:br/>
            </w:r>
            <w:r w:rsidRPr="00B466A3">
              <w:rPr>
                <w:rFonts w:cstheme="minorHAnsi"/>
                <w:sz w:val="20"/>
                <w:szCs w:val="20"/>
              </w:rPr>
              <w:t>s výhradou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 xml:space="preserve">ANO s výhradou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 xml:space="preserve">ANO </w:t>
            </w:r>
            <w:r w:rsidR="00E149DE">
              <w:rPr>
                <w:rFonts w:cstheme="minorHAnsi"/>
                <w:sz w:val="20"/>
                <w:szCs w:val="20"/>
              </w:rPr>
              <w:br/>
            </w:r>
            <w:r w:rsidRPr="00B466A3">
              <w:rPr>
                <w:rFonts w:cstheme="minorHAnsi"/>
                <w:sz w:val="20"/>
                <w:szCs w:val="20"/>
              </w:rPr>
              <w:t>s výhradou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 xml:space="preserve">ANO </w:t>
            </w:r>
            <w:r w:rsidR="00E149DE">
              <w:rPr>
                <w:rFonts w:cstheme="minorHAnsi"/>
                <w:sz w:val="20"/>
                <w:szCs w:val="20"/>
              </w:rPr>
              <w:br/>
            </w:r>
            <w:r w:rsidRPr="00B466A3">
              <w:rPr>
                <w:rFonts w:cstheme="minorHAnsi"/>
                <w:sz w:val="20"/>
                <w:szCs w:val="20"/>
              </w:rPr>
              <w:t>s výhradou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 xml:space="preserve">ANO </w:t>
            </w:r>
            <w:r w:rsidR="00E149DE">
              <w:rPr>
                <w:rFonts w:cstheme="minorHAnsi"/>
                <w:sz w:val="20"/>
                <w:szCs w:val="20"/>
              </w:rPr>
              <w:br/>
            </w:r>
            <w:r w:rsidRPr="00B466A3">
              <w:rPr>
                <w:rFonts w:cstheme="minorHAnsi"/>
                <w:sz w:val="20"/>
                <w:szCs w:val="20"/>
              </w:rPr>
              <w:t>s výhradou</w:t>
            </w:r>
          </w:p>
        </w:tc>
      </w:tr>
      <w:tr w:rsidR="00E94D07" w:rsidRPr="00B466A3" w:rsidTr="00D17BAD">
        <w:trPr>
          <w:trHeight w:val="56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(A)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Dosažitelné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147A8F">
              <w:rPr>
                <w:rFonts w:cstheme="minorHAnsi"/>
                <w:sz w:val="20"/>
                <w:szCs w:val="20"/>
              </w:rPr>
              <w:t>ANO s výhradou</w:t>
            </w:r>
            <w:r w:rsidRPr="00B466A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 xml:space="preserve">ANO </w:t>
            </w:r>
            <w:r w:rsidR="00E149DE">
              <w:rPr>
                <w:rFonts w:cstheme="minorHAnsi"/>
                <w:sz w:val="20"/>
                <w:szCs w:val="20"/>
              </w:rPr>
              <w:br/>
            </w:r>
            <w:r w:rsidRPr="00B466A3">
              <w:rPr>
                <w:rFonts w:cstheme="minorHAnsi"/>
                <w:sz w:val="20"/>
                <w:szCs w:val="20"/>
              </w:rPr>
              <w:t>s výhradou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 xml:space="preserve">ANO </w:t>
            </w:r>
            <w:r w:rsidR="00E149DE">
              <w:rPr>
                <w:rFonts w:cstheme="minorHAnsi"/>
                <w:sz w:val="20"/>
                <w:szCs w:val="20"/>
              </w:rPr>
              <w:br/>
            </w:r>
            <w:r w:rsidRPr="00B466A3">
              <w:rPr>
                <w:rFonts w:cstheme="minorHAnsi"/>
                <w:sz w:val="20"/>
                <w:szCs w:val="20"/>
              </w:rPr>
              <w:t>s výhradou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 xml:space="preserve">ANO </w:t>
            </w:r>
            <w:r w:rsidR="00E149DE">
              <w:rPr>
                <w:rFonts w:cstheme="minorHAnsi"/>
                <w:sz w:val="20"/>
                <w:szCs w:val="20"/>
              </w:rPr>
              <w:br/>
            </w:r>
            <w:r w:rsidRPr="00B466A3">
              <w:rPr>
                <w:rFonts w:cstheme="minorHAnsi"/>
                <w:sz w:val="20"/>
                <w:szCs w:val="20"/>
              </w:rPr>
              <w:t>s výhradou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 xml:space="preserve">ANO </w:t>
            </w:r>
            <w:r w:rsidR="00E149DE">
              <w:rPr>
                <w:rFonts w:cstheme="minorHAnsi"/>
                <w:sz w:val="20"/>
                <w:szCs w:val="20"/>
              </w:rPr>
              <w:br/>
            </w:r>
            <w:r w:rsidRPr="00B466A3">
              <w:rPr>
                <w:rFonts w:cstheme="minorHAnsi"/>
                <w:sz w:val="20"/>
                <w:szCs w:val="20"/>
              </w:rPr>
              <w:t>s výhradou</w:t>
            </w:r>
          </w:p>
        </w:tc>
      </w:tr>
      <w:tr w:rsidR="00E94D07" w:rsidRPr="00B466A3" w:rsidTr="00D17BAD">
        <w:trPr>
          <w:trHeight w:val="56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(R)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Relevantní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</w:tr>
      <w:tr w:rsidR="00E94D07" w:rsidRPr="00B466A3" w:rsidTr="00D17BAD">
        <w:trPr>
          <w:trHeight w:val="56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(T)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b/>
                <w:sz w:val="20"/>
                <w:szCs w:val="20"/>
              </w:rPr>
            </w:pPr>
            <w:r w:rsidRPr="00B466A3">
              <w:rPr>
                <w:rFonts w:cstheme="minorHAnsi"/>
                <w:b/>
                <w:sz w:val="20"/>
                <w:szCs w:val="20"/>
              </w:rPr>
              <w:t>Časově vymezené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64643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D07" w:rsidRPr="00B466A3" w:rsidRDefault="00E94D07" w:rsidP="00D17BA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6A3">
              <w:rPr>
                <w:rFonts w:cstheme="minorHAnsi"/>
                <w:sz w:val="20"/>
                <w:szCs w:val="20"/>
              </w:rPr>
              <w:t>ANO</w:t>
            </w:r>
          </w:p>
        </w:tc>
      </w:tr>
    </w:tbl>
    <w:p w:rsidR="00E94D07" w:rsidRPr="00466B4E" w:rsidRDefault="00E94D07" w:rsidP="00D17BAD">
      <w:pPr>
        <w:spacing w:before="40" w:after="120"/>
        <w:rPr>
          <w:rFonts w:cstheme="minorHAnsi"/>
          <w:sz w:val="20"/>
        </w:rPr>
      </w:pPr>
      <w:r w:rsidRPr="00D17BAD">
        <w:rPr>
          <w:rFonts w:cstheme="minorHAnsi"/>
          <w:b/>
          <w:sz w:val="20"/>
        </w:rPr>
        <w:t>Zdroj:</w:t>
      </w:r>
      <w:r w:rsidRPr="002B52B2">
        <w:rPr>
          <w:rFonts w:cstheme="minorHAnsi"/>
          <w:sz w:val="20"/>
        </w:rPr>
        <w:t xml:space="preserve"> </w:t>
      </w:r>
      <w:r w:rsidR="007F0B33">
        <w:rPr>
          <w:rFonts w:cstheme="minorHAnsi"/>
          <w:sz w:val="20"/>
        </w:rPr>
        <w:t>p</w:t>
      </w:r>
      <w:r w:rsidRPr="002B52B2">
        <w:rPr>
          <w:rFonts w:cstheme="minorHAnsi"/>
          <w:sz w:val="20"/>
        </w:rPr>
        <w:t>rogramový dokument PRV 2014</w:t>
      </w:r>
      <w:r w:rsidR="007F0B33">
        <w:rPr>
          <w:rFonts w:cstheme="minorHAnsi"/>
          <w:sz w:val="20"/>
        </w:rPr>
        <w:t>–</w:t>
      </w:r>
      <w:r w:rsidRPr="002B52B2">
        <w:rPr>
          <w:rFonts w:cstheme="minorHAnsi"/>
          <w:sz w:val="20"/>
        </w:rPr>
        <w:t xml:space="preserve">2020 a </w:t>
      </w:r>
      <w:r w:rsidR="007F0B33">
        <w:rPr>
          <w:rFonts w:cstheme="minorHAnsi"/>
          <w:sz w:val="20"/>
        </w:rPr>
        <w:t>„</w:t>
      </w:r>
      <w:r w:rsidR="00AC13E7">
        <w:rPr>
          <w:rFonts w:cstheme="minorHAnsi"/>
          <w:sz w:val="20"/>
        </w:rPr>
        <w:t>s</w:t>
      </w:r>
      <w:r w:rsidRPr="002B52B2">
        <w:rPr>
          <w:rFonts w:cstheme="minorHAnsi"/>
          <w:sz w:val="20"/>
        </w:rPr>
        <w:t>pecifick</w:t>
      </w:r>
      <w:r w:rsidR="007F0B33">
        <w:rPr>
          <w:rFonts w:cstheme="minorHAnsi"/>
          <w:sz w:val="20"/>
        </w:rPr>
        <w:t>é podmínky“</w:t>
      </w:r>
      <w:r w:rsidRPr="002B52B2">
        <w:rPr>
          <w:rFonts w:cstheme="minorHAnsi"/>
          <w:sz w:val="20"/>
        </w:rPr>
        <w:t xml:space="preserve"> </w:t>
      </w:r>
      <w:r w:rsidR="00AC13E7">
        <w:rPr>
          <w:rFonts w:cstheme="minorHAnsi"/>
          <w:sz w:val="20"/>
        </w:rPr>
        <w:t>P</w:t>
      </w:r>
      <w:r w:rsidRPr="002B52B2">
        <w:rPr>
          <w:rFonts w:cstheme="minorHAnsi"/>
          <w:sz w:val="20"/>
        </w:rPr>
        <w:t>ravid</w:t>
      </w:r>
      <w:r w:rsidR="007F0B33">
        <w:rPr>
          <w:rFonts w:cstheme="minorHAnsi"/>
          <w:sz w:val="20"/>
        </w:rPr>
        <w:t>e</w:t>
      </w:r>
      <w:r w:rsidRPr="002B52B2">
        <w:rPr>
          <w:rFonts w:cstheme="minorHAnsi"/>
          <w:sz w:val="20"/>
        </w:rPr>
        <w:t>l.</w:t>
      </w:r>
    </w:p>
    <w:p w:rsidR="00E94D07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 xml:space="preserve">7 </w:t>
      </w:r>
      <w:r>
        <w:t xml:space="preserve">Obdobný nedostatek zjistil </w:t>
      </w:r>
      <w:r w:rsidR="00487CA7">
        <w:t xml:space="preserve">NKÚ </w:t>
      </w:r>
      <w:r>
        <w:t>i v</w:t>
      </w:r>
      <w:r w:rsidR="00495691">
        <w:t xml:space="preserve"> </w:t>
      </w:r>
      <w:r>
        <w:t>nastavení cílů na úrovni projektů. MZe v</w:t>
      </w:r>
      <w:r w:rsidR="008D5381">
        <w:t xml:space="preserve"> </w:t>
      </w:r>
      <w:r>
        <w:t xml:space="preserve">Pravidlech </w:t>
      </w:r>
      <w:r w:rsidR="00E149DE">
        <w:br/>
      </w:r>
      <w:r>
        <w:t>pro jednotlivé operace nenastavilo pro žadatele, resp. příjemce, povinnost</w:t>
      </w:r>
      <w:r w:rsidRPr="00C20735">
        <w:rPr>
          <w:rFonts w:cstheme="minorHAnsi"/>
          <w:bCs/>
        </w:rPr>
        <w:t xml:space="preserve"> </w:t>
      </w:r>
      <w:r>
        <w:rPr>
          <w:rFonts w:cstheme="minorHAnsi"/>
          <w:bCs/>
        </w:rPr>
        <w:t>stanovit si</w:t>
      </w:r>
      <w:r w:rsidRPr="00C20735">
        <w:rPr>
          <w:rFonts w:cstheme="minorHAnsi"/>
          <w:bCs/>
        </w:rPr>
        <w:t xml:space="preserve"> cíle projekt</w:t>
      </w:r>
      <w:r w:rsidR="00495691">
        <w:rPr>
          <w:rFonts w:cstheme="minorHAnsi"/>
          <w:bCs/>
        </w:rPr>
        <w:t>u</w:t>
      </w:r>
      <w:r w:rsidRPr="00C20735">
        <w:rPr>
          <w:rFonts w:cstheme="minorHAnsi"/>
          <w:bCs/>
        </w:rPr>
        <w:t xml:space="preserve"> v souladu s principy SMART</w:t>
      </w:r>
      <w:r>
        <w:rPr>
          <w:rFonts w:cstheme="minorHAnsi"/>
          <w:bCs/>
        </w:rPr>
        <w:t>.</w:t>
      </w:r>
      <w:r>
        <w:rPr>
          <w:rFonts w:cstheme="minorHAnsi"/>
        </w:rPr>
        <w:t xml:space="preserve"> Dokonce ani přesně </w:t>
      </w:r>
      <w:r w:rsidRPr="00C20735">
        <w:rPr>
          <w:rFonts w:cstheme="minorHAnsi"/>
        </w:rPr>
        <w:t>nestanovilo</w:t>
      </w:r>
      <w:r>
        <w:rPr>
          <w:rFonts w:cstheme="minorHAnsi"/>
        </w:rPr>
        <w:t xml:space="preserve">, </w:t>
      </w:r>
      <w:r w:rsidRPr="00C20735">
        <w:rPr>
          <w:rFonts w:cstheme="minorHAnsi"/>
        </w:rPr>
        <w:t xml:space="preserve">co má popis projektu </w:t>
      </w:r>
      <w:r w:rsidR="00E149DE">
        <w:rPr>
          <w:rFonts w:cstheme="minorHAnsi"/>
        </w:rPr>
        <w:br/>
      </w:r>
      <w:r w:rsidRPr="00C20735">
        <w:rPr>
          <w:rFonts w:cstheme="minorHAnsi"/>
        </w:rPr>
        <w:t>a jeho výsledk</w:t>
      </w:r>
      <w:r w:rsidR="00487CA7">
        <w:rPr>
          <w:rFonts w:cstheme="minorHAnsi"/>
        </w:rPr>
        <w:t>ů</w:t>
      </w:r>
      <w:r w:rsidRPr="00C20735">
        <w:rPr>
          <w:rFonts w:cstheme="minorHAnsi"/>
        </w:rPr>
        <w:t xml:space="preserve"> obsahovat.</w:t>
      </w:r>
      <w:r>
        <w:rPr>
          <w:rFonts w:cstheme="minorHAnsi"/>
        </w:rPr>
        <w:t xml:space="preserve"> Z tohoto důvodu</w:t>
      </w:r>
      <w:r w:rsidR="00487CA7">
        <w:rPr>
          <w:rFonts w:cstheme="minorHAnsi"/>
        </w:rPr>
        <w:t xml:space="preserve"> </w:t>
      </w:r>
      <w:r>
        <w:rPr>
          <w:rFonts w:cstheme="minorHAnsi"/>
        </w:rPr>
        <w:t>ani SZIF při administraci žádostí o</w:t>
      </w:r>
      <w:r w:rsidR="00487CA7">
        <w:rPr>
          <w:rFonts w:cstheme="minorHAnsi"/>
        </w:rPr>
        <w:t xml:space="preserve"> </w:t>
      </w:r>
      <w:r>
        <w:rPr>
          <w:rFonts w:cstheme="minorHAnsi"/>
        </w:rPr>
        <w:t>dotaci nepožadoval</w:t>
      </w:r>
      <w:r w:rsidR="00495691">
        <w:rPr>
          <w:rFonts w:cstheme="minorHAnsi"/>
        </w:rPr>
        <w:t xml:space="preserve"> po příjemcích, aby pro své projekty nastavili</w:t>
      </w:r>
      <w:r>
        <w:rPr>
          <w:rFonts w:cstheme="minorHAnsi"/>
        </w:rPr>
        <w:t xml:space="preserve"> konkrétní a měřiteln</w:t>
      </w:r>
      <w:r w:rsidR="00495691">
        <w:rPr>
          <w:rFonts w:cstheme="minorHAnsi"/>
        </w:rPr>
        <w:t>é cíle</w:t>
      </w:r>
      <w:r>
        <w:rPr>
          <w:rFonts w:cstheme="minorHAnsi"/>
        </w:rPr>
        <w:t xml:space="preserve">, jejichž plnění by bylo možné následně ověřit. NKÚ kontrolou vybraného vzorku projektů na SZIF zjistil, že ve většině případů (v 62 % projektů) nenastavili příjemci cíle jako SMART, což se projevilo zejména u projektů v operaci 4.1.1 a </w:t>
      </w:r>
      <w:r w:rsidR="00495691">
        <w:rPr>
          <w:rFonts w:cstheme="minorHAnsi"/>
        </w:rPr>
        <w:t xml:space="preserve">u projektů z </w:t>
      </w:r>
      <w:r>
        <w:rPr>
          <w:rFonts w:cstheme="minorHAnsi"/>
        </w:rPr>
        <w:t xml:space="preserve">opatření M06. </w:t>
      </w:r>
      <w:r w:rsidR="00495691">
        <w:rPr>
          <w:rFonts w:cstheme="minorHAnsi"/>
        </w:rPr>
        <w:t>V</w:t>
      </w:r>
      <w:r>
        <w:rPr>
          <w:rFonts w:cstheme="minorHAnsi"/>
        </w:rPr>
        <w:t xml:space="preserve">yhodnocení cílů v opatření M01, M06 a </w:t>
      </w:r>
      <w:r w:rsidR="00495691">
        <w:rPr>
          <w:rFonts w:cstheme="minorHAnsi"/>
        </w:rPr>
        <w:t xml:space="preserve">v </w:t>
      </w:r>
      <w:r>
        <w:rPr>
          <w:rFonts w:cstheme="minorHAnsi"/>
        </w:rPr>
        <w:t>operac</w:t>
      </w:r>
      <w:r w:rsidR="00495691">
        <w:rPr>
          <w:rFonts w:cstheme="minorHAnsi"/>
        </w:rPr>
        <w:t>i</w:t>
      </w:r>
      <w:r>
        <w:rPr>
          <w:rFonts w:cstheme="minorHAnsi"/>
        </w:rPr>
        <w:t xml:space="preserve"> 4.1.1, které NKÚ u SZIF provedl, je uveden</w:t>
      </w:r>
      <w:r w:rsidR="00495691">
        <w:rPr>
          <w:rFonts w:cstheme="minorHAnsi"/>
        </w:rPr>
        <w:t>o</w:t>
      </w:r>
      <w:r>
        <w:rPr>
          <w:rFonts w:cstheme="minorHAnsi"/>
        </w:rPr>
        <w:t xml:space="preserve"> v tabulce č. </w:t>
      </w:r>
      <w:r w:rsidR="00C35E77">
        <w:rPr>
          <w:rFonts w:cstheme="minorHAnsi"/>
        </w:rPr>
        <w:t>3</w:t>
      </w:r>
      <w:r>
        <w:rPr>
          <w:rFonts w:cstheme="minorHAnsi"/>
        </w:rPr>
        <w:t>.</w:t>
      </w:r>
    </w:p>
    <w:p w:rsidR="00E94D07" w:rsidRPr="00E62F30" w:rsidRDefault="00E94D07" w:rsidP="00D17BAD">
      <w:pPr>
        <w:spacing w:after="40"/>
        <w:rPr>
          <w:rFonts w:cstheme="minorHAnsi"/>
          <w:b/>
        </w:rPr>
      </w:pPr>
      <w:r w:rsidRPr="00E62F30">
        <w:rPr>
          <w:rFonts w:cstheme="minorHAnsi"/>
          <w:b/>
        </w:rPr>
        <w:lastRenderedPageBreak/>
        <w:t xml:space="preserve">Tabulka č. </w:t>
      </w:r>
      <w:r w:rsidR="00C35E77" w:rsidRPr="00E62F30">
        <w:rPr>
          <w:rFonts w:cstheme="minorHAnsi"/>
          <w:b/>
        </w:rPr>
        <w:t>3:</w:t>
      </w:r>
      <w:r w:rsidRPr="00E62F30">
        <w:rPr>
          <w:rFonts w:cstheme="minorHAnsi"/>
          <w:b/>
        </w:rPr>
        <w:t xml:space="preserve"> Přehled projektů a nastavení jejich cílů</w:t>
      </w:r>
    </w:p>
    <w:tbl>
      <w:tblPr>
        <w:tblpPr w:leftFromText="141" w:rightFromText="141" w:vertAnchor="text" w:tblpY="1"/>
        <w:tblOverlap w:val="never"/>
        <w:tblW w:w="90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36"/>
        <w:gridCol w:w="2636"/>
        <w:gridCol w:w="2637"/>
      </w:tblGrid>
      <w:tr w:rsidR="00CF14EB" w:rsidRPr="000D22A6" w:rsidTr="00D17BAD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4D07" w:rsidRPr="000D22A6" w:rsidRDefault="00E94D07" w:rsidP="00D17BA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Operace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4D07" w:rsidRPr="000D22A6" w:rsidRDefault="00E94D07" w:rsidP="00D17BA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Počet prověřených projektů u</w:t>
            </w:r>
            <w:r w:rsidR="008945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 </w:t>
            </w:r>
            <w:r w:rsidRPr="000D22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SZIF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4D07" w:rsidRPr="000D22A6" w:rsidRDefault="00E94D07" w:rsidP="00D17BA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Cíle dle principu SMART </w:t>
            </w:r>
            <w:r w:rsidR="004956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br/>
            </w:r>
            <w:r w:rsidRPr="000D22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(počet projektů)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4D07" w:rsidRPr="000D22A6" w:rsidRDefault="00E94D07" w:rsidP="00D17BA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Obecné a nespecifické cíle </w:t>
            </w:r>
            <w:r w:rsidR="004956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br/>
            </w:r>
            <w:r w:rsidRPr="000D22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(počet projektů)</w:t>
            </w:r>
          </w:p>
        </w:tc>
      </w:tr>
      <w:tr w:rsidR="00CF14EB" w:rsidRPr="000D22A6" w:rsidTr="00D17BAD">
        <w:trPr>
          <w:trHeight w:val="340"/>
        </w:trPr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D17BAD" w:rsidRDefault="00E94D07" w:rsidP="008945D5">
            <w:pPr>
              <w:spacing w:before="0"/>
              <w:ind w:right="1189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cs-CZ"/>
              </w:rPr>
            </w:pPr>
            <w:r w:rsidRPr="00D17BA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cs-CZ"/>
              </w:rPr>
              <w:t>M01</w:t>
            </w:r>
          </w:p>
        </w:tc>
      </w:tr>
      <w:tr w:rsidR="00E94D07" w:rsidRPr="000D22A6" w:rsidTr="00D17BAD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1.1.1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</w:t>
            </w:r>
          </w:p>
        </w:tc>
      </w:tr>
      <w:tr w:rsidR="00E94D07" w:rsidRPr="000D22A6" w:rsidTr="00D17BAD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1.2.1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</w:t>
            </w:r>
          </w:p>
        </w:tc>
      </w:tr>
      <w:tr w:rsidR="00E94D07" w:rsidRPr="000D22A6" w:rsidTr="00D17BAD">
        <w:trPr>
          <w:trHeight w:val="340"/>
        </w:trPr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D17BAD" w:rsidRDefault="00E94D07" w:rsidP="008945D5">
            <w:pPr>
              <w:spacing w:before="0"/>
              <w:ind w:right="1191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cs-CZ"/>
              </w:rPr>
            </w:pPr>
            <w:r w:rsidRPr="00D17BA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cs-CZ"/>
              </w:rPr>
              <w:t>M04</w:t>
            </w:r>
          </w:p>
        </w:tc>
      </w:tr>
      <w:tr w:rsidR="008945D5" w:rsidRPr="000D22A6" w:rsidTr="008945D5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4.1.1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9</w:t>
            </w:r>
          </w:p>
        </w:tc>
      </w:tr>
      <w:tr w:rsidR="00E94D07" w:rsidRPr="000D22A6" w:rsidTr="00D17BAD">
        <w:trPr>
          <w:trHeight w:val="340"/>
        </w:trPr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D17BAD" w:rsidRDefault="00E94D07" w:rsidP="008945D5">
            <w:pPr>
              <w:spacing w:before="0"/>
              <w:ind w:right="1191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cs-CZ"/>
              </w:rPr>
            </w:pPr>
            <w:r w:rsidRPr="00D17BA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cs-CZ"/>
              </w:rPr>
              <w:t>M06</w:t>
            </w:r>
          </w:p>
        </w:tc>
      </w:tr>
      <w:tr w:rsidR="00E94D07" w:rsidRPr="000D22A6" w:rsidTr="00D17BAD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6.1.1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</w:t>
            </w:r>
          </w:p>
        </w:tc>
      </w:tr>
      <w:tr w:rsidR="00E94D07" w:rsidRPr="000D22A6" w:rsidTr="00D17BAD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6.4.1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</w:t>
            </w:r>
          </w:p>
        </w:tc>
      </w:tr>
      <w:tr w:rsidR="00E94D07" w:rsidRPr="000D22A6" w:rsidTr="00D17BAD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6.4.2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</w:t>
            </w:r>
          </w:p>
        </w:tc>
      </w:tr>
      <w:tr w:rsidR="00E94D07" w:rsidRPr="000D22A6" w:rsidTr="00D17BAD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6.4.3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07" w:rsidRPr="000D22A6" w:rsidRDefault="00E94D07" w:rsidP="008945D5">
            <w:pPr>
              <w:spacing w:before="0"/>
              <w:ind w:right="1191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8945D5" w:rsidRPr="000D22A6" w:rsidTr="008945D5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  <w:hideMark/>
          </w:tcPr>
          <w:p w:rsidR="00E94D07" w:rsidRPr="000D22A6" w:rsidRDefault="00E94D07" w:rsidP="00D17BAD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  <w:hideMark/>
          </w:tcPr>
          <w:p w:rsidR="00E94D07" w:rsidRPr="000D22A6" w:rsidRDefault="00E94D07" w:rsidP="008945D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0D22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31</w:t>
            </w:r>
          </w:p>
        </w:tc>
      </w:tr>
    </w:tbl>
    <w:p w:rsidR="00E94D07" w:rsidRPr="00757D57" w:rsidRDefault="00E94D07" w:rsidP="00D17BAD">
      <w:pPr>
        <w:spacing w:before="40" w:after="120"/>
        <w:rPr>
          <w:rFonts w:cstheme="minorHAnsi"/>
          <w:sz w:val="20"/>
        </w:rPr>
      </w:pPr>
      <w:r w:rsidRPr="00D17BAD">
        <w:rPr>
          <w:rFonts w:cstheme="minorHAnsi"/>
          <w:b/>
          <w:sz w:val="20"/>
        </w:rPr>
        <w:t xml:space="preserve">Zdroj: </w:t>
      </w:r>
      <w:r w:rsidR="00495691" w:rsidRPr="00D17BAD">
        <w:rPr>
          <w:rFonts w:cstheme="minorHAnsi"/>
          <w:i/>
          <w:sz w:val="20"/>
        </w:rPr>
        <w:t>ž</w:t>
      </w:r>
      <w:r w:rsidRPr="00D17BAD">
        <w:rPr>
          <w:rFonts w:cstheme="minorHAnsi"/>
          <w:i/>
          <w:sz w:val="20"/>
        </w:rPr>
        <w:t>ádosti o dotaci</w:t>
      </w:r>
      <w:r w:rsidRPr="00757D57">
        <w:rPr>
          <w:rFonts w:cstheme="minorHAnsi"/>
          <w:sz w:val="20"/>
        </w:rPr>
        <w:t xml:space="preserve"> vybraného vzorku projektů.</w:t>
      </w:r>
    </w:p>
    <w:p w:rsidR="00BB6B67" w:rsidRPr="003B6A6F" w:rsidRDefault="00E94D07" w:rsidP="00E94D07">
      <w:pPr>
        <w:spacing w:after="120"/>
      </w:pPr>
      <w:r w:rsidRPr="00126430">
        <w:rPr>
          <w:b/>
        </w:rPr>
        <w:t>4.</w:t>
      </w:r>
      <w:r>
        <w:rPr>
          <w:b/>
        </w:rPr>
        <w:t xml:space="preserve">8 </w:t>
      </w:r>
      <w:r w:rsidRPr="00544933">
        <w:t xml:space="preserve">NKÚ vyhodnotil, že </w:t>
      </w:r>
      <w:r>
        <w:t>cíle všech prověřovaných projektů z opatření M01 a operace 6.1.1 nastavili příjemci dle principu</w:t>
      </w:r>
      <w:r w:rsidRPr="00544933">
        <w:t xml:space="preserve"> SMART</w:t>
      </w:r>
      <w:r>
        <w:t xml:space="preserve">. Současně i u operace 4.1.1 vyhodnotil NKÚ některé cíle jako SMART. Správně nastavený cíl projektu (SMART) ilustruje příklad č. 1. </w:t>
      </w:r>
    </w:p>
    <w:p w:rsidR="00E94D07" w:rsidRDefault="00E94D07" w:rsidP="00E94D07">
      <w:pPr>
        <w:rPr>
          <w:b/>
        </w:rPr>
      </w:pPr>
      <w:r>
        <w:rPr>
          <w:b/>
        </w:rPr>
        <w:t xml:space="preserve">Příklad č. 1 </w:t>
      </w:r>
      <w:r w:rsidR="00470072">
        <w:rPr>
          <w:b/>
        </w:rPr>
        <w:t>–</w:t>
      </w:r>
      <w:r>
        <w:rPr>
          <w:b/>
        </w:rPr>
        <w:t xml:space="preserve"> SMART cíl v žádosti o dotaci</w:t>
      </w:r>
    </w:p>
    <w:p w:rsidR="00E94D07" w:rsidRPr="00B3348B" w:rsidRDefault="00E94D07" w:rsidP="00D1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b/>
        </w:rPr>
      </w:pPr>
      <w:r w:rsidRPr="00E962EB">
        <w:rPr>
          <w:rFonts w:cstheme="minorHAnsi"/>
        </w:rPr>
        <w:t xml:space="preserve">U </w:t>
      </w:r>
      <w:r w:rsidRPr="00466B4E">
        <w:rPr>
          <w:rFonts w:cstheme="minorHAnsi"/>
        </w:rPr>
        <w:t xml:space="preserve">projektu č. 2030 </w:t>
      </w:r>
      <w:r w:rsidRPr="00B3348B">
        <w:rPr>
          <w:rFonts w:cstheme="minorHAnsi"/>
        </w:rPr>
        <w:t xml:space="preserve">na modernizaci farmy </w:t>
      </w:r>
      <w:r>
        <w:rPr>
          <w:rFonts w:cstheme="minorHAnsi"/>
        </w:rPr>
        <w:t>příjemce v žádosti o dotaci</w:t>
      </w:r>
      <w:r w:rsidRPr="00B3348B">
        <w:rPr>
          <w:rFonts w:cstheme="minorHAnsi"/>
        </w:rPr>
        <w:t xml:space="preserve"> uvedl cíle, resp. </w:t>
      </w:r>
      <w:r>
        <w:rPr>
          <w:rFonts w:cstheme="minorHAnsi"/>
        </w:rPr>
        <w:t>v</w:t>
      </w:r>
      <w:r w:rsidRPr="00B3348B">
        <w:rPr>
          <w:rFonts w:cstheme="minorHAnsi"/>
        </w:rPr>
        <w:t>ýsledky projektu:</w:t>
      </w:r>
    </w:p>
    <w:p w:rsidR="00E94D07" w:rsidRPr="00B3348B" w:rsidRDefault="00E94D07" w:rsidP="00E94D07">
      <w:pPr>
        <w:pStyle w:val="KP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firstLine="0"/>
        <w:rPr>
          <w:rFonts w:cstheme="minorHAnsi"/>
          <w:i/>
          <w:szCs w:val="24"/>
        </w:rPr>
      </w:pPr>
      <w:r w:rsidRPr="00D17BAD">
        <w:rPr>
          <w:rFonts w:cstheme="minorHAnsi"/>
          <w:szCs w:val="24"/>
        </w:rPr>
        <w:t>„</w:t>
      </w:r>
      <w:r w:rsidRPr="00B3348B">
        <w:rPr>
          <w:rFonts w:cstheme="minorHAnsi"/>
          <w:i/>
          <w:szCs w:val="24"/>
        </w:rPr>
        <w:t>Žadatel realizací projektu uzavře svůj obrat stáda prasat a stane se plně soběstačným. Výsledkem projektu budou budovy pro chov prasat splňující nejpřísnější standardy a normy pro</w:t>
      </w:r>
      <w:r>
        <w:rPr>
          <w:rFonts w:cstheme="minorHAnsi"/>
          <w:i/>
          <w:szCs w:val="24"/>
        </w:rPr>
        <w:t> </w:t>
      </w:r>
      <w:r w:rsidRPr="00B3348B">
        <w:rPr>
          <w:rFonts w:cstheme="minorHAnsi"/>
          <w:i/>
          <w:szCs w:val="24"/>
        </w:rPr>
        <w:t>welfare chovu prasat.</w:t>
      </w:r>
    </w:p>
    <w:p w:rsidR="00E94D07" w:rsidRPr="00B3348B" w:rsidRDefault="00E94D07" w:rsidP="00E94D07">
      <w:pPr>
        <w:pStyle w:val="KP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firstLine="0"/>
        <w:rPr>
          <w:rFonts w:cstheme="minorHAnsi"/>
          <w:i/>
          <w:szCs w:val="24"/>
        </w:rPr>
      </w:pPr>
      <w:r w:rsidRPr="00B3348B">
        <w:rPr>
          <w:rFonts w:cstheme="minorHAnsi"/>
          <w:i/>
          <w:szCs w:val="24"/>
        </w:rPr>
        <w:t>Žadatel hospodaří na dvou farmách, a to:</w:t>
      </w:r>
    </w:p>
    <w:p w:rsidR="00E94D07" w:rsidRPr="00B3348B" w:rsidRDefault="00E94D07" w:rsidP="00E94D07">
      <w:pPr>
        <w:pStyle w:val="KP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firstLine="0"/>
        <w:rPr>
          <w:rFonts w:cstheme="minorHAnsi"/>
          <w:i/>
          <w:szCs w:val="24"/>
        </w:rPr>
      </w:pPr>
      <w:r w:rsidRPr="00B3348B">
        <w:rPr>
          <w:rFonts w:cstheme="minorHAnsi"/>
          <w:i/>
          <w:szCs w:val="24"/>
        </w:rPr>
        <w:t>1) Farma A – průměrný počet prasat (bez prasnic) za rok 2018 je 6</w:t>
      </w:r>
      <w:r>
        <w:rPr>
          <w:rFonts w:cstheme="minorHAnsi"/>
          <w:i/>
          <w:szCs w:val="24"/>
        </w:rPr>
        <w:t xml:space="preserve"> </w:t>
      </w:r>
      <w:r w:rsidRPr="00B3348B">
        <w:rPr>
          <w:rFonts w:cstheme="minorHAnsi"/>
          <w:i/>
          <w:szCs w:val="24"/>
        </w:rPr>
        <w:t>435,81 ks a průměrný počet prasnic za rok 2018 je 625,02 ks;</w:t>
      </w:r>
    </w:p>
    <w:p w:rsidR="00E94D07" w:rsidRPr="00B3348B" w:rsidRDefault="00E94D07" w:rsidP="00E94D07">
      <w:pPr>
        <w:pStyle w:val="KP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firstLine="0"/>
        <w:rPr>
          <w:rFonts w:cstheme="minorHAnsi"/>
          <w:i/>
          <w:szCs w:val="24"/>
        </w:rPr>
      </w:pPr>
      <w:r w:rsidRPr="00B3348B">
        <w:rPr>
          <w:rFonts w:cstheme="minorHAnsi"/>
          <w:i/>
          <w:szCs w:val="24"/>
        </w:rPr>
        <w:t>2) Farma B – průměrný počet prasat (bez prasnic) za rok 2018 je 831,88 ks.</w:t>
      </w:r>
    </w:p>
    <w:p w:rsidR="00E94D07" w:rsidRPr="00D17BAD" w:rsidRDefault="00E94D07" w:rsidP="00166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theme="minorHAnsi"/>
        </w:rPr>
      </w:pPr>
      <w:r w:rsidRPr="00B3348B">
        <w:rPr>
          <w:rFonts w:cstheme="minorHAnsi"/>
          <w:i/>
        </w:rPr>
        <w:t>Realizací tohoto projektu vznikne nových 8</w:t>
      </w:r>
      <w:r>
        <w:rPr>
          <w:rFonts w:cstheme="minorHAnsi"/>
          <w:i/>
        </w:rPr>
        <w:t xml:space="preserve"> </w:t>
      </w:r>
      <w:r w:rsidRPr="00B3348B">
        <w:rPr>
          <w:rFonts w:cstheme="minorHAnsi"/>
          <w:i/>
        </w:rPr>
        <w:t>480 ustájovacích míst v</w:t>
      </w:r>
      <w:r>
        <w:rPr>
          <w:rFonts w:cstheme="minorHAnsi"/>
          <w:i/>
        </w:rPr>
        <w:t> </w:t>
      </w:r>
      <w:r w:rsidRPr="00B3348B">
        <w:rPr>
          <w:rFonts w:cstheme="minorHAnsi"/>
          <w:i/>
        </w:rPr>
        <w:t>areálu farmy A. Výsledkem projektu je zvýšení počtu ustájovacích míst min. o 20 %...</w:t>
      </w:r>
      <w:r w:rsidRPr="00D17BAD">
        <w:rPr>
          <w:rFonts w:cstheme="minorHAnsi"/>
        </w:rPr>
        <w:t xml:space="preserve">“ </w:t>
      </w:r>
    </w:p>
    <w:p w:rsidR="00E94D07" w:rsidRPr="00D17BAD" w:rsidRDefault="00E94D07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Dále </w:t>
      </w:r>
      <w:r w:rsidR="008945D5">
        <w:rPr>
          <w:rFonts w:cstheme="minorHAnsi"/>
        </w:rPr>
        <w:t xml:space="preserve">příjemce </w:t>
      </w:r>
      <w:r>
        <w:rPr>
          <w:rFonts w:cstheme="minorHAnsi"/>
        </w:rPr>
        <w:t>v žádosti o dotaci</w:t>
      </w:r>
      <w:r w:rsidRPr="00B3348B">
        <w:rPr>
          <w:rFonts w:cstheme="minorHAnsi"/>
        </w:rPr>
        <w:t xml:space="preserve"> </w:t>
      </w:r>
      <w:r>
        <w:rPr>
          <w:rFonts w:cstheme="minorHAnsi"/>
        </w:rPr>
        <w:t xml:space="preserve">uvedl </w:t>
      </w:r>
      <w:r w:rsidRPr="00B3348B">
        <w:rPr>
          <w:rFonts w:cstheme="minorHAnsi"/>
        </w:rPr>
        <w:t xml:space="preserve">předpokládaný rozsah výroby </w:t>
      </w:r>
      <w:r>
        <w:rPr>
          <w:rFonts w:cstheme="minorHAnsi"/>
        </w:rPr>
        <w:t>„</w:t>
      </w:r>
      <w:r w:rsidRPr="00B53F29">
        <w:rPr>
          <w:rFonts w:cstheme="minorHAnsi"/>
          <w:i/>
        </w:rPr>
        <w:t xml:space="preserve">8 480 ustájovacích míst, intenzitu výroby: maso </w:t>
      </w:r>
      <w:r w:rsidRPr="00B53F29">
        <w:rPr>
          <w:i/>
        </w:rPr>
        <w:t>třída jakosti I</w:t>
      </w:r>
      <w:r w:rsidRPr="00B53F29">
        <w:rPr>
          <w:rFonts w:cstheme="minorHAnsi"/>
          <w:i/>
        </w:rPr>
        <w:t xml:space="preserve"> 233,3 kg za ustájené místo a jednotkovou cenu 31 Kč/Kg</w:t>
      </w:r>
      <w:r w:rsidRPr="00D17BAD">
        <w:rPr>
          <w:rFonts w:cstheme="minorHAnsi"/>
        </w:rPr>
        <w:t>“</w:t>
      </w:r>
      <w:r w:rsidRPr="008945D5">
        <w:rPr>
          <w:rFonts w:cstheme="minorHAnsi"/>
        </w:rPr>
        <w:t xml:space="preserve">. </w:t>
      </w:r>
    </w:p>
    <w:p w:rsidR="00E94D07" w:rsidRPr="00B3348B" w:rsidRDefault="00E94D07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Příjemce</w:t>
      </w:r>
      <w:r w:rsidRPr="00B3348B">
        <w:t xml:space="preserve"> v</w:t>
      </w:r>
      <w:r>
        <w:t> </w:t>
      </w:r>
      <w:r w:rsidRPr="00B3348B">
        <w:t>žádost</w:t>
      </w:r>
      <w:r>
        <w:t>i</w:t>
      </w:r>
      <w:r w:rsidRPr="00B3348B">
        <w:t xml:space="preserve"> o dotaci uvedl konkrétní a měřitelné </w:t>
      </w:r>
      <w:r>
        <w:t>cíle projektu</w:t>
      </w:r>
      <w:r w:rsidR="003212BC">
        <w:t xml:space="preserve"> a termín jeho dokončení</w:t>
      </w:r>
      <w:r w:rsidRPr="00B3348B">
        <w:t>,</w:t>
      </w:r>
      <w:r>
        <w:t xml:space="preserve"> z tohoto důvodu</w:t>
      </w:r>
      <w:r w:rsidRPr="00B3348B">
        <w:t xml:space="preserve"> NKÚ vyhodnotil dan</w:t>
      </w:r>
      <w:r w:rsidR="008945D5">
        <w:t>é</w:t>
      </w:r>
      <w:r w:rsidRPr="00B3348B">
        <w:t xml:space="preserve"> cíl</w:t>
      </w:r>
      <w:r w:rsidR="008945D5">
        <w:t>e</w:t>
      </w:r>
      <w:r>
        <w:t xml:space="preserve"> </w:t>
      </w:r>
      <w:r w:rsidRPr="00B3348B">
        <w:t>projektu jako SMART.</w:t>
      </w:r>
    </w:p>
    <w:p w:rsidR="00E94D07" w:rsidRPr="003B6A6F" w:rsidRDefault="00E94D07" w:rsidP="00E94D07">
      <w:pPr>
        <w:spacing w:after="120"/>
      </w:pPr>
      <w:r w:rsidRPr="00126430">
        <w:rPr>
          <w:b/>
        </w:rPr>
        <w:t>4.</w:t>
      </w:r>
      <w:r>
        <w:rPr>
          <w:b/>
        </w:rPr>
        <w:t xml:space="preserve">9 </w:t>
      </w:r>
      <w:r w:rsidRPr="006E7936">
        <w:t xml:space="preserve">SZIF dle nastavených podmínek Pravidel </w:t>
      </w:r>
      <w:r>
        <w:t xml:space="preserve">ale </w:t>
      </w:r>
      <w:r w:rsidRPr="006E7936">
        <w:t>schv</w:t>
      </w:r>
      <w:r>
        <w:t>álil i</w:t>
      </w:r>
      <w:r w:rsidRPr="006E7936">
        <w:t xml:space="preserve"> projekty, které neměl</w:t>
      </w:r>
      <w:r>
        <w:t>y</w:t>
      </w:r>
      <w:r w:rsidRPr="006E7936">
        <w:t xml:space="preserve"> nastaven</w:t>
      </w:r>
      <w:r w:rsidR="008945D5">
        <w:t>y</w:t>
      </w:r>
      <w:r w:rsidRPr="006E7936">
        <w:t xml:space="preserve"> SMART cíle</w:t>
      </w:r>
      <w:r>
        <w:t xml:space="preserve"> </w:t>
      </w:r>
      <w:r w:rsidRPr="006E7936">
        <w:rPr>
          <w:rFonts w:cstheme="minorHAnsi"/>
        </w:rPr>
        <w:t>a k</w:t>
      </w:r>
      <w:r>
        <w:rPr>
          <w:rFonts w:cstheme="minorHAnsi"/>
        </w:rPr>
        <w:t> </w:t>
      </w:r>
      <w:r w:rsidRPr="006E7936">
        <w:rPr>
          <w:rFonts w:cstheme="minorHAnsi"/>
        </w:rPr>
        <w:t xml:space="preserve">nim relevantní </w:t>
      </w:r>
      <w:r>
        <w:rPr>
          <w:rFonts w:cstheme="minorHAnsi"/>
        </w:rPr>
        <w:t>indikátory</w:t>
      </w:r>
      <w:r w:rsidRPr="006E7936">
        <w:rPr>
          <w:rFonts w:cstheme="minorHAnsi"/>
        </w:rPr>
        <w:t xml:space="preserve">, na jejichž základě by SZIF </w:t>
      </w:r>
      <w:r>
        <w:rPr>
          <w:rFonts w:cstheme="minorHAnsi"/>
        </w:rPr>
        <w:t xml:space="preserve">mohl </w:t>
      </w:r>
      <w:r w:rsidRPr="006E7936">
        <w:rPr>
          <w:rFonts w:cstheme="minorHAnsi"/>
        </w:rPr>
        <w:t>sledova</w:t>
      </w:r>
      <w:r>
        <w:rPr>
          <w:rFonts w:cstheme="minorHAnsi"/>
        </w:rPr>
        <w:t>t</w:t>
      </w:r>
      <w:r w:rsidRPr="006E7936">
        <w:rPr>
          <w:rFonts w:cstheme="minorHAnsi"/>
        </w:rPr>
        <w:t xml:space="preserve"> a hodnoti</w:t>
      </w:r>
      <w:r>
        <w:rPr>
          <w:rFonts w:cstheme="minorHAnsi"/>
        </w:rPr>
        <w:t>t</w:t>
      </w:r>
      <w:r w:rsidRPr="006E7936">
        <w:rPr>
          <w:rFonts w:cstheme="minorHAnsi"/>
        </w:rPr>
        <w:t xml:space="preserve"> míru dosažení výsledků a cílů projektu</w:t>
      </w:r>
      <w:r>
        <w:rPr>
          <w:rFonts w:cstheme="minorHAnsi"/>
        </w:rPr>
        <w:t xml:space="preserve"> </w:t>
      </w:r>
      <w:r>
        <w:t>(</w:t>
      </w:r>
      <w:r w:rsidRPr="006E7936">
        <w:t xml:space="preserve">hlavně u projektů zaměřených na </w:t>
      </w:r>
      <w:r>
        <w:t>rozvoj nezemědělských činností vedoucích k </w:t>
      </w:r>
      <w:r w:rsidRPr="006E7936">
        <w:t>diverzifikaci</w:t>
      </w:r>
      <w:r>
        <w:t xml:space="preserve"> příjmů)</w:t>
      </w:r>
      <w:r w:rsidRPr="006E7936">
        <w:rPr>
          <w:rFonts w:cstheme="minorHAnsi"/>
        </w:rPr>
        <w:t>.</w:t>
      </w:r>
      <w:r>
        <w:rPr>
          <w:rFonts w:cstheme="minorHAnsi"/>
        </w:rPr>
        <w:t xml:space="preserve"> Tři případy obecně nastavených cílů jednotlivých projektů</w:t>
      </w:r>
      <w:r w:rsidR="003C53FC">
        <w:rPr>
          <w:rFonts w:cstheme="minorHAnsi"/>
        </w:rPr>
        <w:t xml:space="preserve"> </w:t>
      </w:r>
      <w:r>
        <w:rPr>
          <w:rFonts w:cstheme="minorHAnsi"/>
        </w:rPr>
        <w:t>ilustruje příklad</w:t>
      </w:r>
      <w:r>
        <w:t xml:space="preserve"> č. 2. </w:t>
      </w:r>
    </w:p>
    <w:p w:rsidR="00E94D07" w:rsidRPr="00021E30" w:rsidRDefault="00E94D07" w:rsidP="00D17BAD">
      <w:pPr>
        <w:keepNext/>
        <w:rPr>
          <w:b/>
        </w:rPr>
      </w:pPr>
      <w:r w:rsidRPr="000133A5">
        <w:rPr>
          <w:b/>
        </w:rPr>
        <w:lastRenderedPageBreak/>
        <w:t>Příklad č. 2 – příliš obecné cíle v žádosti o dotaci</w:t>
      </w:r>
    </w:p>
    <w:p w:rsidR="00E94D07" w:rsidRPr="00B3348B" w:rsidRDefault="00E94D07" w:rsidP="00D17BA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b/>
        </w:rPr>
      </w:pPr>
      <w:r w:rsidRPr="00B3348B">
        <w:t xml:space="preserve">U </w:t>
      </w:r>
      <w:r w:rsidR="008A6DE4" w:rsidRPr="00B3348B">
        <w:t>projektu</w:t>
      </w:r>
      <w:r w:rsidR="000133A5">
        <w:t>, který byl</w:t>
      </w:r>
      <w:r w:rsidR="008A6DE4" w:rsidRPr="00B3348B">
        <w:t xml:space="preserve"> </w:t>
      </w:r>
      <w:r w:rsidR="008A6DE4">
        <w:rPr>
          <w:rFonts w:cstheme="minorHAnsi"/>
        </w:rPr>
        <w:t>kontrolov</w:t>
      </w:r>
      <w:r w:rsidR="000133A5">
        <w:rPr>
          <w:rFonts w:cstheme="minorHAnsi"/>
        </w:rPr>
        <w:t>án</w:t>
      </w:r>
      <w:r w:rsidR="003C53FC">
        <w:rPr>
          <w:rFonts w:cstheme="minorHAnsi"/>
        </w:rPr>
        <w:t xml:space="preserve"> u SZIF </w:t>
      </w:r>
      <w:r w:rsidR="000133A5">
        <w:rPr>
          <w:rFonts w:cstheme="minorHAnsi"/>
        </w:rPr>
        <w:t xml:space="preserve">a byl </w:t>
      </w:r>
      <w:r w:rsidR="003C53FC">
        <w:rPr>
          <w:rFonts w:cstheme="minorHAnsi"/>
        </w:rPr>
        <w:t xml:space="preserve">zaměřen </w:t>
      </w:r>
      <w:r w:rsidRPr="00B3348B">
        <w:t xml:space="preserve">na </w:t>
      </w:r>
      <w:r w:rsidRPr="00B3348B">
        <w:rPr>
          <w:rFonts w:cstheme="minorHAnsi"/>
        </w:rPr>
        <w:t>investice do nezemědělských činností</w:t>
      </w:r>
      <w:r w:rsidR="000133A5">
        <w:rPr>
          <w:rFonts w:cstheme="minorHAnsi"/>
        </w:rPr>
        <w:t>,</w:t>
      </w:r>
      <w:r w:rsidRPr="00B3348B">
        <w:rPr>
          <w:rFonts w:cstheme="minorHAnsi"/>
        </w:rPr>
        <w:t xml:space="preserve"> </w:t>
      </w:r>
      <w:r>
        <w:rPr>
          <w:rFonts w:cstheme="minorHAnsi"/>
        </w:rPr>
        <w:t>příjemce</w:t>
      </w:r>
      <w:r w:rsidRPr="00B3348B">
        <w:t xml:space="preserve"> </w:t>
      </w:r>
      <w:r>
        <w:rPr>
          <w:rFonts w:cstheme="minorHAnsi"/>
        </w:rPr>
        <w:t>v žádosti o dotaci</w:t>
      </w:r>
      <w:r w:rsidRPr="00B3348B">
        <w:t xml:space="preserve"> uvedl cíle, </w:t>
      </w:r>
      <w:r w:rsidRPr="00B3348B">
        <w:rPr>
          <w:rFonts w:cstheme="minorHAnsi"/>
        </w:rPr>
        <w:t xml:space="preserve">resp. </w:t>
      </w:r>
      <w:r>
        <w:rPr>
          <w:rFonts w:cstheme="minorHAnsi"/>
        </w:rPr>
        <w:t>v</w:t>
      </w:r>
      <w:r w:rsidRPr="00B3348B">
        <w:rPr>
          <w:rFonts w:cstheme="minorHAnsi"/>
        </w:rPr>
        <w:t>ýsledky projektu:</w:t>
      </w:r>
    </w:p>
    <w:p w:rsidR="00E94D07" w:rsidRPr="00D17BAD" w:rsidRDefault="00E94D07" w:rsidP="005B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120"/>
        <w:rPr>
          <w:rFonts w:cstheme="minorHAnsi"/>
          <w:iCs/>
        </w:rPr>
      </w:pPr>
      <w:r w:rsidRPr="00D17BAD">
        <w:rPr>
          <w:rFonts w:cstheme="minorHAnsi"/>
          <w:iCs/>
        </w:rPr>
        <w:t>„</w:t>
      </w:r>
      <w:r w:rsidRPr="00B3348B">
        <w:rPr>
          <w:rFonts w:cstheme="minorHAnsi"/>
          <w:i/>
          <w:iCs/>
        </w:rPr>
        <w:t>Výsledkem projektu je nákup cisterny na vodu, zametacího kartáče a návěsu na převoz suti na staveništích. Pořízením strojů dojde k</w:t>
      </w:r>
      <w:r w:rsidR="005A7D0F">
        <w:rPr>
          <w:rFonts w:cstheme="minorHAnsi"/>
          <w:i/>
          <w:iCs/>
        </w:rPr>
        <w:t xml:space="preserve"> </w:t>
      </w:r>
      <w:r w:rsidRPr="00B3348B">
        <w:rPr>
          <w:rFonts w:cstheme="minorHAnsi"/>
          <w:i/>
          <w:iCs/>
        </w:rPr>
        <w:t>zefektivnění prací a lepší nabídce v</w:t>
      </w:r>
      <w:r w:rsidR="005A7D0F">
        <w:rPr>
          <w:rFonts w:cstheme="minorHAnsi"/>
          <w:i/>
          <w:iCs/>
        </w:rPr>
        <w:t xml:space="preserve"> </w:t>
      </w:r>
      <w:r w:rsidRPr="00B3348B">
        <w:rPr>
          <w:rFonts w:cstheme="minorHAnsi"/>
          <w:i/>
          <w:iCs/>
        </w:rPr>
        <w:t>poskytování služeb</w:t>
      </w:r>
      <w:r w:rsidRPr="00D17BAD">
        <w:rPr>
          <w:rFonts w:cstheme="minorHAnsi"/>
          <w:iCs/>
        </w:rPr>
        <w:t>.“</w:t>
      </w:r>
    </w:p>
    <w:p w:rsidR="00E94D07" w:rsidRPr="00B3348B" w:rsidRDefault="00E94D07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3348B">
        <w:t xml:space="preserve">U projektu </w:t>
      </w:r>
      <w:r>
        <w:t>č.</w:t>
      </w:r>
      <w:r w:rsidRPr="00B3348B">
        <w:t xml:space="preserve"> 0976 na w</w:t>
      </w:r>
      <w:r w:rsidRPr="00B3348B">
        <w:rPr>
          <w:lang w:eastAsia="cs-CZ"/>
        </w:rPr>
        <w:t xml:space="preserve">ellness </w:t>
      </w:r>
      <w:r>
        <w:rPr>
          <w:rFonts w:cstheme="minorHAnsi"/>
        </w:rPr>
        <w:t>příjemce</w:t>
      </w:r>
      <w:r>
        <w:t xml:space="preserve"> </w:t>
      </w:r>
      <w:r>
        <w:rPr>
          <w:rFonts w:cstheme="minorHAnsi"/>
        </w:rPr>
        <w:t>v žádosti o dotaci</w:t>
      </w:r>
      <w:r w:rsidRPr="00B3348B">
        <w:t xml:space="preserve"> uvedl cíle, </w:t>
      </w:r>
      <w:r w:rsidRPr="00B3348B">
        <w:rPr>
          <w:rFonts w:cstheme="minorHAnsi"/>
        </w:rPr>
        <w:t xml:space="preserve">resp. </w:t>
      </w:r>
      <w:r>
        <w:rPr>
          <w:rFonts w:cstheme="minorHAnsi"/>
        </w:rPr>
        <w:t>v</w:t>
      </w:r>
      <w:r w:rsidRPr="00B3348B">
        <w:rPr>
          <w:rFonts w:cstheme="minorHAnsi"/>
        </w:rPr>
        <w:t>ýsledky projektu:</w:t>
      </w:r>
    </w:p>
    <w:p w:rsidR="00E94D07" w:rsidRPr="00B3348B" w:rsidRDefault="00E94D07" w:rsidP="005B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i/>
          <w:iCs/>
        </w:rPr>
      </w:pPr>
      <w:r w:rsidRPr="00D17BAD">
        <w:rPr>
          <w:iCs/>
        </w:rPr>
        <w:t>„</w:t>
      </w:r>
      <w:r w:rsidRPr="00B3348B">
        <w:rPr>
          <w:i/>
          <w:iCs/>
        </w:rPr>
        <w:t>Vybudováním wellness dojde k</w:t>
      </w:r>
      <w:r w:rsidR="005A7D0F">
        <w:rPr>
          <w:i/>
          <w:iCs/>
        </w:rPr>
        <w:t xml:space="preserve"> </w:t>
      </w:r>
      <w:r w:rsidRPr="00B3348B">
        <w:rPr>
          <w:i/>
          <w:iCs/>
        </w:rPr>
        <w:t>uspokojení občanů a návštěvníků obce Choťovice a okolí a zároveň zvýšení návštěvnosti tohoto kraje.</w:t>
      </w:r>
      <w:r w:rsidRPr="00D17BAD">
        <w:rPr>
          <w:iCs/>
        </w:rPr>
        <w:t>“</w:t>
      </w:r>
    </w:p>
    <w:p w:rsidR="00E94D07" w:rsidRPr="00B3348B" w:rsidRDefault="00E94D07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348B">
        <w:t>U projektu</w:t>
      </w:r>
      <w:r>
        <w:t xml:space="preserve"> č. </w:t>
      </w:r>
      <w:r w:rsidRPr="00B3348B">
        <w:t xml:space="preserve">0617 </w:t>
      </w:r>
      <w:r w:rsidR="003C53FC">
        <w:t xml:space="preserve">zaměřeného </w:t>
      </w:r>
      <w:r w:rsidRPr="00B3348B">
        <w:t>na investice do nezemědělských činností</w:t>
      </w:r>
      <w:r>
        <w:t xml:space="preserve"> </w:t>
      </w:r>
      <w:r w:rsidR="000133A5" w:rsidRPr="00B3348B">
        <w:t xml:space="preserve">uvedl </w:t>
      </w:r>
      <w:r>
        <w:rPr>
          <w:rFonts w:cstheme="minorHAnsi"/>
        </w:rPr>
        <w:t>příjemce v žádosti o</w:t>
      </w:r>
      <w:r w:rsidR="0059509F">
        <w:rPr>
          <w:rFonts w:cstheme="minorHAnsi"/>
        </w:rPr>
        <w:t> </w:t>
      </w:r>
      <w:r>
        <w:rPr>
          <w:rFonts w:cstheme="minorHAnsi"/>
        </w:rPr>
        <w:t>dotaci</w:t>
      </w:r>
      <w:r w:rsidRPr="00B3348B">
        <w:t xml:space="preserve"> </w:t>
      </w:r>
      <w:r w:rsidR="000133A5">
        <w:t xml:space="preserve">tyto </w:t>
      </w:r>
      <w:r w:rsidRPr="00B3348B">
        <w:t xml:space="preserve">cíle, resp. </w:t>
      </w:r>
      <w:r>
        <w:t>v</w:t>
      </w:r>
      <w:r w:rsidRPr="00B3348B">
        <w:t>ýsledky projektu:</w:t>
      </w:r>
    </w:p>
    <w:p w:rsidR="00E94D07" w:rsidRPr="00B3348B" w:rsidRDefault="00E94D07" w:rsidP="005B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</w:pPr>
      <w:r w:rsidRPr="00B3348B">
        <w:t>„</w:t>
      </w:r>
      <w:r w:rsidRPr="00B3348B">
        <w:rPr>
          <w:i/>
        </w:rPr>
        <w:t>Zajištění možnosti rozvoje výroby žadatele, zajištění kvalitní a dostupné služby, zlepšení konkurenčního prostředí, využití potenciálu venkova a venkovského prostředí, podpora a</w:t>
      </w:r>
      <w:r>
        <w:rPr>
          <w:i/>
        </w:rPr>
        <w:t> </w:t>
      </w:r>
      <w:r w:rsidRPr="00B3348B">
        <w:rPr>
          <w:i/>
        </w:rPr>
        <w:t>stabilizace podnikatelských aktivit, sekundární efekt v</w:t>
      </w:r>
      <w:r>
        <w:rPr>
          <w:i/>
        </w:rPr>
        <w:t> </w:t>
      </w:r>
      <w:r w:rsidRPr="00B3348B">
        <w:rPr>
          <w:i/>
        </w:rPr>
        <w:t>podobě podpory venkovského podnikání, zlepšení kvality života ve venkovských oblastech</w:t>
      </w:r>
      <w:r w:rsidRPr="00B3348B">
        <w:t>.“</w:t>
      </w:r>
    </w:p>
    <w:p w:rsidR="00BB6B67" w:rsidRPr="00F5505F" w:rsidRDefault="00E94D07" w:rsidP="00F5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Příjemci</w:t>
      </w:r>
      <w:r w:rsidRPr="00B3348B">
        <w:t xml:space="preserve"> v</w:t>
      </w:r>
      <w:r>
        <w:t> </w:t>
      </w:r>
      <w:r w:rsidRPr="00B3348B">
        <w:t>žádost</w:t>
      </w:r>
      <w:r>
        <w:t>ech</w:t>
      </w:r>
      <w:r w:rsidRPr="00B3348B">
        <w:t xml:space="preserve"> o dotaci </w:t>
      </w:r>
      <w:r>
        <w:t>nenastavili konkrétní a měřiteln</w:t>
      </w:r>
      <w:r w:rsidR="005C1EC5">
        <w:t>é</w:t>
      </w:r>
      <w:r>
        <w:t xml:space="preserve"> cíle projektů. Žádosti n</w:t>
      </w:r>
      <w:r w:rsidRPr="00B3348B">
        <w:t xml:space="preserve">eobsahují ani relevantní </w:t>
      </w:r>
      <w:r>
        <w:t>indikátory,</w:t>
      </w:r>
      <w:r w:rsidRPr="00B3348B">
        <w:t xml:space="preserve"> na </w:t>
      </w:r>
      <w:r w:rsidR="000133A5">
        <w:t xml:space="preserve">jejichž </w:t>
      </w:r>
      <w:r w:rsidRPr="00B3348B">
        <w:t xml:space="preserve">základě by SZIF </w:t>
      </w:r>
      <w:r>
        <w:t xml:space="preserve">mohl </w:t>
      </w:r>
      <w:r w:rsidRPr="00B3348B">
        <w:t>sledova</w:t>
      </w:r>
      <w:r>
        <w:t>t</w:t>
      </w:r>
      <w:r w:rsidRPr="00B3348B">
        <w:t xml:space="preserve"> a hodnoti</w:t>
      </w:r>
      <w:r>
        <w:t>t</w:t>
      </w:r>
      <w:r w:rsidRPr="00B3348B">
        <w:t xml:space="preserve"> míru dosažení výsledků a cílů projektu.</w:t>
      </w:r>
      <w:r>
        <w:t xml:space="preserve"> Z tohoto důvodu</w:t>
      </w:r>
      <w:r w:rsidRPr="00B3348B">
        <w:t xml:space="preserve"> vyhodnotil </w:t>
      </w:r>
      <w:r w:rsidR="000133A5" w:rsidRPr="00B3348B">
        <w:t xml:space="preserve">NKÚ </w:t>
      </w:r>
      <w:r w:rsidRPr="00B3348B">
        <w:t>dan</w:t>
      </w:r>
      <w:r>
        <w:t>é</w:t>
      </w:r>
      <w:r w:rsidRPr="00B3348B">
        <w:t xml:space="preserve"> cíl</w:t>
      </w:r>
      <w:r>
        <w:t xml:space="preserve">e </w:t>
      </w:r>
      <w:r w:rsidRPr="00B3348B">
        <w:t>projekt</w:t>
      </w:r>
      <w:r>
        <w:t>ů</w:t>
      </w:r>
      <w:r w:rsidRPr="00B3348B">
        <w:t xml:space="preserve"> jako </w:t>
      </w:r>
      <w:r>
        <w:t>příliš obecné a neměřitelné</w:t>
      </w:r>
      <w:r w:rsidRPr="00B3348B">
        <w:t>.</w:t>
      </w:r>
    </w:p>
    <w:p w:rsidR="00E94D07" w:rsidRPr="00A7441A" w:rsidRDefault="00E94D07" w:rsidP="00F5505F">
      <w:pPr>
        <w:spacing w:after="120"/>
        <w:rPr>
          <w:b/>
          <w:i/>
          <w:color w:val="AF1953"/>
        </w:rPr>
      </w:pPr>
      <w:r w:rsidRPr="00A7441A">
        <w:rPr>
          <w:b/>
          <w:i/>
          <w:color w:val="AF1953"/>
        </w:rPr>
        <w:t>→ MZe nenastavilo indikátory jednotlivých operací PRV 2014</w:t>
      </w:r>
      <w:r w:rsidR="004E2EE9">
        <w:rPr>
          <w:b/>
          <w:i/>
          <w:color w:val="AF1953"/>
        </w:rPr>
        <w:t>–</w:t>
      </w:r>
      <w:r w:rsidRPr="00A7441A">
        <w:rPr>
          <w:b/>
          <w:i/>
          <w:color w:val="AF1953"/>
        </w:rPr>
        <w:t xml:space="preserve">2020 tak, aby vypovídaly o kvalitě realizace operací a projektů. </w:t>
      </w:r>
    </w:p>
    <w:p w:rsidR="00E94D07" w:rsidRPr="00D33945" w:rsidRDefault="00E94D07" w:rsidP="00E94D07">
      <w:pPr>
        <w:spacing w:after="120"/>
        <w:rPr>
          <w:rFonts w:eastAsia="Calibri" w:cstheme="minorHAnsi"/>
          <w:lang w:eastAsia="cs-CZ"/>
        </w:rPr>
      </w:pPr>
      <w:r w:rsidRPr="00126430">
        <w:rPr>
          <w:b/>
        </w:rPr>
        <w:t>4.</w:t>
      </w:r>
      <w:r>
        <w:rPr>
          <w:b/>
        </w:rPr>
        <w:t xml:space="preserve">10 </w:t>
      </w:r>
      <w:r w:rsidRPr="00B65E3A">
        <w:rPr>
          <w:rFonts w:cstheme="minorHAnsi"/>
        </w:rPr>
        <w:t xml:space="preserve">NKÚ zjistil, že </w:t>
      </w:r>
      <w:r w:rsidRPr="00B65E3A">
        <w:rPr>
          <w:rFonts w:cstheme="minorHAnsi"/>
          <w:bCs/>
          <w:iCs/>
        </w:rPr>
        <w:t>M</w:t>
      </w:r>
      <w:r>
        <w:rPr>
          <w:rFonts w:cstheme="minorHAnsi"/>
          <w:bCs/>
          <w:iCs/>
        </w:rPr>
        <w:t>Z</w:t>
      </w:r>
      <w:r w:rsidRPr="00B65E3A">
        <w:rPr>
          <w:rFonts w:cstheme="minorHAnsi"/>
          <w:bCs/>
          <w:iCs/>
        </w:rPr>
        <w:t xml:space="preserve">e nastavilo </w:t>
      </w:r>
      <w:r>
        <w:rPr>
          <w:rFonts w:cstheme="minorHAnsi"/>
        </w:rPr>
        <w:t xml:space="preserve">indikátory sledující </w:t>
      </w:r>
      <w:r w:rsidRPr="00B65E3A">
        <w:rPr>
          <w:rFonts w:eastAsia="Calibri" w:cstheme="minorHAnsi"/>
          <w:lang w:eastAsia="cs-CZ"/>
        </w:rPr>
        <w:t xml:space="preserve">celkové veřejné výdaje (v </w:t>
      </w:r>
      <w:r w:rsidR="000133A5">
        <w:rPr>
          <w:rFonts w:eastAsia="Calibri" w:cstheme="minorHAnsi"/>
          <w:lang w:eastAsia="cs-CZ"/>
        </w:rPr>
        <w:t>eurech</w:t>
      </w:r>
      <w:r w:rsidRPr="00B65E3A">
        <w:rPr>
          <w:rFonts w:eastAsia="Calibri" w:cstheme="minorHAnsi"/>
          <w:lang w:eastAsia="cs-CZ"/>
        </w:rPr>
        <w:t>)</w:t>
      </w:r>
      <w:r>
        <w:rPr>
          <w:rFonts w:eastAsia="Calibri" w:cstheme="minorHAnsi"/>
          <w:lang w:eastAsia="cs-CZ"/>
        </w:rPr>
        <w:t xml:space="preserve"> na</w:t>
      </w:r>
      <w:r w:rsidR="000133A5">
        <w:rPr>
          <w:rFonts w:eastAsia="Calibri" w:cstheme="minorHAnsi"/>
          <w:lang w:eastAsia="cs-CZ"/>
        </w:rPr>
        <w:t xml:space="preserve"> </w:t>
      </w:r>
      <w:r>
        <w:rPr>
          <w:rFonts w:eastAsia="Calibri" w:cstheme="minorHAnsi"/>
          <w:lang w:eastAsia="cs-CZ"/>
        </w:rPr>
        <w:t>podpořené projekty</w:t>
      </w:r>
      <w:r w:rsidRPr="00B65E3A">
        <w:rPr>
          <w:rFonts w:eastAsia="Calibri" w:cstheme="minorHAnsi"/>
          <w:lang w:eastAsia="cs-CZ"/>
        </w:rPr>
        <w:t xml:space="preserve"> nebo počty podpořených projektů</w:t>
      </w:r>
      <w:r w:rsidRPr="00B65E3A">
        <w:rPr>
          <w:rStyle w:val="Znakapoznpodarou"/>
          <w:rFonts w:eastAsia="Calibri" w:cstheme="minorHAnsi"/>
          <w:lang w:eastAsia="cs-CZ"/>
        </w:rPr>
        <w:footnoteReference w:id="13"/>
      </w:r>
      <w:r w:rsidRPr="00B65E3A">
        <w:rPr>
          <w:rFonts w:eastAsia="Calibri" w:cstheme="minorHAnsi"/>
          <w:lang w:eastAsia="cs-CZ"/>
        </w:rPr>
        <w:t xml:space="preserve">, </w:t>
      </w:r>
      <w:r w:rsidR="000133A5">
        <w:rPr>
          <w:rFonts w:eastAsia="Calibri" w:cstheme="minorHAnsi"/>
          <w:lang w:eastAsia="cs-CZ"/>
        </w:rPr>
        <w:t>příp.</w:t>
      </w:r>
      <w:r>
        <w:rPr>
          <w:rFonts w:eastAsia="Calibri" w:cstheme="minorHAnsi"/>
          <w:lang w:eastAsia="cs-CZ"/>
        </w:rPr>
        <w:t xml:space="preserve"> </w:t>
      </w:r>
      <w:r w:rsidRPr="00B65E3A">
        <w:rPr>
          <w:rFonts w:eastAsia="Calibri" w:cstheme="minorHAnsi"/>
          <w:lang w:eastAsia="cs-CZ"/>
        </w:rPr>
        <w:t>počty účastníků</w:t>
      </w:r>
      <w:r>
        <w:rPr>
          <w:rFonts w:eastAsia="Calibri" w:cstheme="minorHAnsi"/>
          <w:lang w:eastAsia="cs-CZ"/>
        </w:rPr>
        <w:t xml:space="preserve"> vzdělávacích akcí</w:t>
      </w:r>
      <w:r w:rsidR="000133A5">
        <w:rPr>
          <w:rFonts w:eastAsia="Calibri" w:cstheme="minorHAnsi"/>
          <w:lang w:eastAsia="cs-CZ"/>
        </w:rPr>
        <w:t xml:space="preserve"> apod</w:t>
      </w:r>
      <w:r w:rsidRPr="00B65E3A">
        <w:rPr>
          <w:rFonts w:eastAsia="Calibri" w:cstheme="minorHAnsi"/>
          <w:lang w:eastAsia="cs-CZ"/>
        </w:rPr>
        <w:t>.</w:t>
      </w:r>
      <w:r>
        <w:rPr>
          <w:rFonts w:eastAsia="Calibri" w:cstheme="minorHAnsi"/>
          <w:lang w:eastAsia="cs-CZ"/>
        </w:rPr>
        <w:t xml:space="preserve"> Kvantitativní i</w:t>
      </w:r>
      <w:r w:rsidRPr="00B65E3A">
        <w:rPr>
          <w:rFonts w:eastAsia="Calibri" w:cstheme="minorHAnsi"/>
          <w:lang w:eastAsia="cs-CZ"/>
        </w:rPr>
        <w:t>ndikátory tohoto typu však nevypovídají o kvalitě realizace</w:t>
      </w:r>
      <w:r>
        <w:rPr>
          <w:rFonts w:eastAsia="Calibri" w:cstheme="minorHAnsi"/>
          <w:lang w:eastAsia="cs-CZ"/>
        </w:rPr>
        <w:t xml:space="preserve"> </w:t>
      </w:r>
      <w:r w:rsidRPr="00B65E3A">
        <w:rPr>
          <w:rFonts w:eastAsia="Calibri" w:cstheme="minorHAnsi"/>
          <w:lang w:eastAsia="cs-CZ"/>
        </w:rPr>
        <w:t>operací</w:t>
      </w:r>
      <w:r>
        <w:rPr>
          <w:rFonts w:eastAsia="Calibri" w:cstheme="minorHAnsi"/>
          <w:lang w:eastAsia="cs-CZ"/>
        </w:rPr>
        <w:t xml:space="preserve">, </w:t>
      </w:r>
      <w:r w:rsidR="008D5381">
        <w:rPr>
          <w:rFonts w:eastAsia="Calibri" w:cstheme="minorHAnsi"/>
          <w:lang w:eastAsia="cs-CZ"/>
        </w:rPr>
        <w:br/>
      </w:r>
      <w:r>
        <w:rPr>
          <w:rFonts w:eastAsia="Calibri" w:cstheme="minorHAnsi"/>
          <w:lang w:eastAsia="cs-CZ"/>
        </w:rPr>
        <w:t>a</w:t>
      </w:r>
      <w:r w:rsidR="008D5381">
        <w:rPr>
          <w:rFonts w:eastAsia="Calibri" w:cstheme="minorHAnsi"/>
          <w:lang w:eastAsia="cs-CZ"/>
        </w:rPr>
        <w:t xml:space="preserve"> </w:t>
      </w:r>
      <w:r>
        <w:rPr>
          <w:rFonts w:eastAsia="Calibri" w:cstheme="minorHAnsi"/>
          <w:lang w:eastAsia="cs-CZ"/>
        </w:rPr>
        <w:t>obdobně ani projektů,</w:t>
      </w:r>
      <w:r w:rsidRPr="00B65E3A">
        <w:rPr>
          <w:rFonts w:eastAsia="Calibri" w:cstheme="minorHAnsi"/>
          <w:lang w:eastAsia="cs-CZ"/>
        </w:rPr>
        <w:t xml:space="preserve"> ve</w:t>
      </w:r>
      <w:r w:rsidR="00604106">
        <w:rPr>
          <w:rFonts w:eastAsia="Calibri" w:cstheme="minorHAnsi"/>
          <w:lang w:eastAsia="cs-CZ"/>
        </w:rPr>
        <w:t xml:space="preserve"> </w:t>
      </w:r>
      <w:r w:rsidRPr="00B65E3A">
        <w:rPr>
          <w:rFonts w:eastAsia="Calibri" w:cstheme="minorHAnsi"/>
          <w:lang w:eastAsia="cs-CZ"/>
        </w:rPr>
        <w:t xml:space="preserve">vztahu </w:t>
      </w:r>
      <w:r>
        <w:rPr>
          <w:rFonts w:eastAsia="Calibri" w:cstheme="minorHAnsi"/>
          <w:lang w:eastAsia="cs-CZ"/>
        </w:rPr>
        <w:t>k</w:t>
      </w:r>
      <w:r w:rsidR="00604106">
        <w:rPr>
          <w:rFonts w:eastAsia="Calibri" w:cstheme="minorHAnsi"/>
          <w:lang w:eastAsia="cs-CZ"/>
        </w:rPr>
        <w:t xml:space="preserve"> </w:t>
      </w:r>
      <w:r w:rsidRPr="00B65E3A">
        <w:rPr>
          <w:rFonts w:eastAsia="Calibri" w:cstheme="minorHAnsi"/>
          <w:lang w:eastAsia="cs-CZ"/>
        </w:rPr>
        <w:t xml:space="preserve">cílům, tedy </w:t>
      </w:r>
      <w:r>
        <w:rPr>
          <w:rFonts w:eastAsia="Calibri" w:cstheme="minorHAnsi"/>
          <w:lang w:eastAsia="cs-CZ"/>
        </w:rPr>
        <w:t xml:space="preserve">očekávanému </w:t>
      </w:r>
      <w:r w:rsidRPr="00B65E3A">
        <w:rPr>
          <w:rFonts w:eastAsia="Calibri" w:cstheme="minorHAnsi"/>
          <w:lang w:eastAsia="cs-CZ"/>
        </w:rPr>
        <w:t>výsledku a</w:t>
      </w:r>
      <w:r w:rsidR="00604106">
        <w:rPr>
          <w:rFonts w:eastAsia="Calibri" w:cstheme="minorHAnsi"/>
          <w:lang w:eastAsia="cs-CZ"/>
        </w:rPr>
        <w:t xml:space="preserve"> </w:t>
      </w:r>
      <w:r w:rsidRPr="00B65E3A">
        <w:rPr>
          <w:rFonts w:eastAsia="Calibri" w:cstheme="minorHAnsi"/>
          <w:lang w:eastAsia="cs-CZ"/>
        </w:rPr>
        <w:t xml:space="preserve">dopadu </w:t>
      </w:r>
      <w:r>
        <w:rPr>
          <w:rFonts w:eastAsia="Calibri" w:cstheme="minorHAnsi"/>
          <w:lang w:eastAsia="cs-CZ"/>
        </w:rPr>
        <w:t xml:space="preserve">jejich </w:t>
      </w:r>
      <w:r w:rsidRPr="00B65E3A">
        <w:rPr>
          <w:rFonts w:eastAsia="Calibri" w:cstheme="minorHAnsi"/>
          <w:lang w:eastAsia="cs-CZ"/>
        </w:rPr>
        <w:t>realizace</w:t>
      </w:r>
      <w:r w:rsidRPr="00B65E3A">
        <w:rPr>
          <w:rFonts w:cstheme="minorHAnsi"/>
        </w:rPr>
        <w:t xml:space="preserve">. </w:t>
      </w:r>
      <w:r>
        <w:rPr>
          <w:rFonts w:cstheme="minorHAnsi"/>
        </w:rPr>
        <w:t xml:space="preserve">NKÚ navíc zjistil, že cíle jednotlivých operací a monitorovací indikátory nebyly vždy vzájemně provázány. </w:t>
      </w:r>
      <w:r w:rsidRPr="00D33945">
        <w:t xml:space="preserve">Neprovázanost cílů a indikátorů </w:t>
      </w:r>
      <w:r w:rsidRPr="00D33945">
        <w:rPr>
          <w:rFonts w:cstheme="minorHAnsi"/>
        </w:rPr>
        <w:t xml:space="preserve">ilustruje příklad č. </w:t>
      </w:r>
      <w:r>
        <w:rPr>
          <w:rFonts w:cstheme="minorHAnsi"/>
        </w:rPr>
        <w:t>3</w:t>
      </w:r>
      <w:r w:rsidRPr="00D33945">
        <w:rPr>
          <w:rFonts w:cstheme="minorHAnsi"/>
        </w:rPr>
        <w:t>.</w:t>
      </w:r>
    </w:p>
    <w:p w:rsidR="00E94D07" w:rsidRPr="006123D3" w:rsidRDefault="00E94D07" w:rsidP="00E94D07">
      <w:pPr>
        <w:rPr>
          <w:rFonts w:cstheme="minorHAnsi"/>
          <w:b/>
        </w:rPr>
      </w:pPr>
      <w:r w:rsidRPr="006123D3">
        <w:rPr>
          <w:rFonts w:cstheme="minorHAnsi"/>
          <w:b/>
        </w:rPr>
        <w:t xml:space="preserve">Příklad č. </w:t>
      </w:r>
      <w:r>
        <w:rPr>
          <w:rFonts w:cstheme="minorHAnsi"/>
          <w:b/>
        </w:rPr>
        <w:t>3 – neprovázání cílů a indikátorů operace</w:t>
      </w:r>
    </w:p>
    <w:p w:rsidR="00E94D07" w:rsidRPr="00264057" w:rsidRDefault="00E94D07" w:rsidP="00D1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theme="minorHAnsi"/>
          <w:u w:val="single"/>
        </w:rPr>
      </w:pPr>
      <w:r w:rsidRPr="00264057">
        <w:rPr>
          <w:rFonts w:cstheme="minorHAnsi"/>
          <w:u w:val="single"/>
        </w:rPr>
        <w:t xml:space="preserve">Operace 6.1.1 </w:t>
      </w:r>
      <w:r w:rsidR="000133A5" w:rsidRPr="000133A5">
        <w:rPr>
          <w:rFonts w:cstheme="minorHAnsi"/>
          <w:u w:val="single"/>
        </w:rPr>
        <w:t>–</w:t>
      </w:r>
      <w:r w:rsidR="000133A5">
        <w:rPr>
          <w:rFonts w:cstheme="minorHAnsi"/>
          <w:u w:val="single"/>
        </w:rPr>
        <w:t xml:space="preserve"> </w:t>
      </w:r>
      <w:r w:rsidRPr="00D17BAD">
        <w:rPr>
          <w:rFonts w:cstheme="minorHAnsi"/>
          <w:i/>
          <w:u w:val="single"/>
        </w:rPr>
        <w:t>Zahájení činnosti mladých zemědělců</w:t>
      </w:r>
    </w:p>
    <w:p w:rsidR="00E94D07" w:rsidRDefault="00E94D07" w:rsidP="005B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theme="minorHAnsi"/>
          <w:bCs/>
        </w:rPr>
      </w:pPr>
      <w:r w:rsidRPr="00787E9A">
        <w:rPr>
          <w:rFonts w:cstheme="minorHAnsi"/>
          <w:bCs/>
        </w:rPr>
        <w:t>V</w:t>
      </w:r>
      <w:r w:rsidR="00604106">
        <w:rPr>
          <w:rFonts w:cstheme="minorHAnsi"/>
          <w:bCs/>
        </w:rPr>
        <w:t> </w:t>
      </w:r>
      <w:r w:rsidRPr="00787E9A">
        <w:rPr>
          <w:rFonts w:cstheme="minorHAnsi"/>
          <w:bCs/>
        </w:rPr>
        <w:t>poslední</w:t>
      </w:r>
      <w:r w:rsidR="00604106">
        <w:rPr>
          <w:rFonts w:cstheme="minorHAnsi"/>
          <w:bCs/>
        </w:rPr>
        <w:t>,</w:t>
      </w:r>
      <w:r>
        <w:rPr>
          <w:rFonts w:cstheme="minorHAnsi"/>
          <w:bCs/>
        </w:rPr>
        <w:t xml:space="preserve"> jedenácté</w:t>
      </w:r>
      <w:r w:rsidRPr="00787E9A">
        <w:rPr>
          <w:rFonts w:cstheme="minorHAnsi"/>
          <w:bCs/>
        </w:rPr>
        <w:t xml:space="preserve"> aktualizaci programového dokumentu</w:t>
      </w:r>
      <w:r>
        <w:rPr>
          <w:rFonts w:cstheme="minorHAnsi"/>
          <w:bCs/>
        </w:rPr>
        <w:t xml:space="preserve"> z července 2023</w:t>
      </w:r>
      <w:r w:rsidRPr="00787E9A">
        <w:rPr>
          <w:rFonts w:cstheme="minorHAnsi"/>
          <w:bCs/>
        </w:rPr>
        <w:t xml:space="preserve"> stanovilo M</w:t>
      </w:r>
      <w:r>
        <w:rPr>
          <w:rFonts w:cstheme="minorHAnsi"/>
          <w:bCs/>
        </w:rPr>
        <w:t>Z</w:t>
      </w:r>
      <w:r w:rsidRPr="00787E9A">
        <w:rPr>
          <w:rFonts w:cstheme="minorHAnsi"/>
          <w:bCs/>
        </w:rPr>
        <w:t>e pro operaci 6.1.1 následující cíle:</w:t>
      </w:r>
    </w:p>
    <w:p w:rsidR="00E94D07" w:rsidRPr="0074375A" w:rsidRDefault="00E94D07" w:rsidP="005B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theme="minorHAnsi"/>
          <w:bCs/>
          <w:i/>
        </w:rPr>
      </w:pPr>
      <w:r w:rsidRPr="0074375A">
        <w:rPr>
          <w:rFonts w:cstheme="minorHAnsi"/>
          <w:bCs/>
          <w:i/>
        </w:rPr>
        <w:t xml:space="preserve">- podpora podnikatelských plánů – </w:t>
      </w:r>
      <w:r w:rsidR="00604106">
        <w:rPr>
          <w:rFonts w:cstheme="minorHAnsi"/>
          <w:bCs/>
          <w:i/>
        </w:rPr>
        <w:t>i</w:t>
      </w:r>
      <w:r w:rsidRPr="0074375A">
        <w:rPr>
          <w:rFonts w:cstheme="minorHAnsi"/>
          <w:bCs/>
          <w:i/>
        </w:rPr>
        <w:t>nvestice v</w:t>
      </w:r>
      <w:r>
        <w:rPr>
          <w:rFonts w:cstheme="minorHAnsi"/>
          <w:bCs/>
          <w:i/>
        </w:rPr>
        <w:t> </w:t>
      </w:r>
      <w:r w:rsidRPr="0074375A">
        <w:rPr>
          <w:rFonts w:cstheme="minorHAnsi"/>
          <w:bCs/>
          <w:i/>
        </w:rPr>
        <w:t>živočišné a rostlinné výrobě vedoucí k</w:t>
      </w:r>
      <w:r>
        <w:rPr>
          <w:rFonts w:cstheme="minorHAnsi"/>
          <w:bCs/>
          <w:i/>
        </w:rPr>
        <w:t> </w:t>
      </w:r>
      <w:r w:rsidRPr="0074375A">
        <w:rPr>
          <w:rFonts w:cstheme="minorHAnsi"/>
          <w:bCs/>
          <w:i/>
        </w:rPr>
        <w:t>zahájení aktivního podnikání mladých zemědělců</w:t>
      </w:r>
      <w:r w:rsidR="0011377B">
        <w:rPr>
          <w:rFonts w:cstheme="minorHAnsi"/>
          <w:bCs/>
          <w:i/>
        </w:rPr>
        <w:t>,</w:t>
      </w:r>
    </w:p>
    <w:p w:rsidR="00E94D07" w:rsidRPr="00E64A60" w:rsidRDefault="00E94D07" w:rsidP="00AC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cstheme="minorHAnsi"/>
          <w:bCs/>
        </w:rPr>
      </w:pPr>
      <w:r w:rsidRPr="0074375A">
        <w:rPr>
          <w:rFonts w:cstheme="minorHAnsi"/>
          <w:bCs/>
          <w:i/>
        </w:rPr>
        <w:t>- usnadnění vstupu dostatečně kvalifikovaných zemědělců do odvětví zemědělství, a zejména generační obnovy v</w:t>
      </w:r>
      <w:r>
        <w:rPr>
          <w:rFonts w:cstheme="minorHAnsi"/>
          <w:bCs/>
          <w:i/>
        </w:rPr>
        <w:t> </w:t>
      </w:r>
      <w:r w:rsidRPr="0074375A">
        <w:rPr>
          <w:rFonts w:cstheme="minorHAnsi"/>
          <w:bCs/>
          <w:i/>
        </w:rPr>
        <w:t>tomto odvětví</w:t>
      </w:r>
      <w:r w:rsidR="0011377B">
        <w:rPr>
          <w:rFonts w:cstheme="minorHAnsi"/>
          <w:bCs/>
          <w:i/>
        </w:rPr>
        <w:t>.</w:t>
      </w:r>
    </w:p>
    <w:p w:rsidR="00E94D07" w:rsidRDefault="00E94D07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Pro sledování těchto cílů si MZe stanovilo v programovém dokumentu </w:t>
      </w:r>
      <w:r w:rsidR="00604106">
        <w:rPr>
          <w:rFonts w:cstheme="minorHAnsi"/>
        </w:rPr>
        <w:t xml:space="preserve">PRV </w:t>
      </w:r>
      <w:r w:rsidR="00604106" w:rsidRPr="00604106">
        <w:rPr>
          <w:rFonts w:cstheme="minorHAnsi"/>
        </w:rPr>
        <w:t xml:space="preserve">2014–2020 </w:t>
      </w:r>
      <w:r>
        <w:rPr>
          <w:rFonts w:cstheme="minorHAnsi"/>
        </w:rPr>
        <w:t>celkem pět indikátorů</w:t>
      </w:r>
      <w:r w:rsidR="00604106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26A7D">
        <w:rPr>
          <w:rFonts w:cstheme="minorHAnsi"/>
          <w:i/>
        </w:rPr>
        <w:t>celkové veřejné výdaje (92501), celkové investice (92500), počet podpořených zemědělských podniků/příjemců (93701), podíl zemědělských podniků s</w:t>
      </w:r>
      <w:r>
        <w:rPr>
          <w:rFonts w:cstheme="minorHAnsi"/>
          <w:i/>
        </w:rPr>
        <w:t> </w:t>
      </w:r>
      <w:r w:rsidRPr="00126A7D">
        <w:rPr>
          <w:rFonts w:cstheme="minorHAnsi"/>
          <w:i/>
        </w:rPr>
        <w:t>podporou z</w:t>
      </w:r>
      <w:r>
        <w:rPr>
          <w:rFonts w:cstheme="minorHAnsi"/>
          <w:i/>
        </w:rPr>
        <w:t> </w:t>
      </w:r>
      <w:r w:rsidRPr="00126A7D">
        <w:rPr>
          <w:rFonts w:cstheme="minorHAnsi"/>
          <w:i/>
        </w:rPr>
        <w:t>programu rozvoje venkova na plán rozvoje podnikatelské činnosti/investice pro mladé zemědělce (94201) a</w:t>
      </w:r>
      <w:r>
        <w:rPr>
          <w:rFonts w:cstheme="minorHAnsi"/>
          <w:i/>
        </w:rPr>
        <w:t> </w:t>
      </w:r>
      <w:r w:rsidRPr="00126A7D">
        <w:rPr>
          <w:rFonts w:cstheme="minorHAnsi"/>
          <w:i/>
        </w:rPr>
        <w:t>standardní produkce (93800</w:t>
      </w:r>
      <w:r w:rsidRPr="00D17BAD">
        <w:rPr>
          <w:rFonts w:cstheme="minorHAnsi"/>
          <w:i/>
        </w:rPr>
        <w:t>)</w:t>
      </w:r>
      <w:r>
        <w:rPr>
          <w:rFonts w:cstheme="minorHAnsi"/>
        </w:rPr>
        <w:t>.</w:t>
      </w:r>
    </w:p>
    <w:p w:rsidR="00E94D07" w:rsidRPr="00D17BAD" w:rsidRDefault="00E94D07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color w:val="auto"/>
        </w:rPr>
      </w:pPr>
      <w:r w:rsidRPr="00264057">
        <w:rPr>
          <w:rFonts w:cstheme="minorHAnsi"/>
        </w:rPr>
        <w:lastRenderedPageBreak/>
        <w:t>Prostřednictvím takto nastavených indikátorů nelze sledovat a hodnotit</w:t>
      </w:r>
      <w:r w:rsidRPr="00D17BAD">
        <w:rPr>
          <w:rFonts w:cstheme="minorHAnsi"/>
          <w:color w:val="auto"/>
        </w:rPr>
        <w:t xml:space="preserve"> </w:t>
      </w:r>
      <w:r w:rsidRPr="00126A7D">
        <w:rPr>
          <w:rFonts w:cstheme="minorHAnsi"/>
        </w:rPr>
        <w:t xml:space="preserve">pokrok plnění stanovených cílů, kterými jsou např. úspěšnost generační obměny </w:t>
      </w:r>
      <w:r>
        <w:rPr>
          <w:rFonts w:cstheme="minorHAnsi"/>
        </w:rPr>
        <w:t>nebo</w:t>
      </w:r>
      <w:r w:rsidRPr="00126A7D">
        <w:rPr>
          <w:rFonts w:cstheme="minorHAnsi"/>
        </w:rPr>
        <w:t xml:space="preserve"> vstup kvalifikovaných mladých zemědělců</w:t>
      </w:r>
      <w:r w:rsidRPr="00126A7D">
        <w:rPr>
          <w:rFonts w:cstheme="minorHAnsi"/>
          <w:bCs/>
        </w:rPr>
        <w:t xml:space="preserve">. </w:t>
      </w:r>
      <w:r w:rsidRPr="00126A7D">
        <w:rPr>
          <w:rFonts w:cstheme="minorHAnsi"/>
        </w:rPr>
        <w:t>Současně NKÚ zjistil, že M</w:t>
      </w:r>
      <w:r>
        <w:rPr>
          <w:rFonts w:cstheme="minorHAnsi"/>
        </w:rPr>
        <w:t>Z</w:t>
      </w:r>
      <w:r w:rsidRPr="00126A7D">
        <w:rPr>
          <w:rFonts w:cstheme="minorHAnsi"/>
        </w:rPr>
        <w:t xml:space="preserve">e zařadilo do programového </w:t>
      </w:r>
      <w:r w:rsidRPr="00264057">
        <w:rPr>
          <w:rFonts w:cstheme="minorHAnsi"/>
        </w:rPr>
        <w:t xml:space="preserve">dokumentu </w:t>
      </w:r>
      <w:r w:rsidR="008D5381">
        <w:rPr>
          <w:rFonts w:cstheme="minorHAnsi"/>
        </w:rPr>
        <w:br/>
      </w:r>
      <w:r w:rsidRPr="00264057">
        <w:rPr>
          <w:rFonts w:cstheme="minorHAnsi"/>
        </w:rPr>
        <w:t>PRV</w:t>
      </w:r>
      <w:r w:rsidR="008D5381">
        <w:rPr>
          <w:rFonts w:cstheme="minorHAnsi"/>
        </w:rPr>
        <w:t xml:space="preserve"> </w:t>
      </w:r>
      <w:r w:rsidRPr="00264057">
        <w:rPr>
          <w:rFonts w:cstheme="minorHAnsi"/>
        </w:rPr>
        <w:t>2014</w:t>
      </w:r>
      <w:r w:rsidR="004E2EE9">
        <w:rPr>
          <w:rFonts w:cstheme="minorHAnsi"/>
        </w:rPr>
        <w:t>–</w:t>
      </w:r>
      <w:r w:rsidRPr="00264057">
        <w:rPr>
          <w:rFonts w:cstheme="minorHAnsi"/>
        </w:rPr>
        <w:t>2020 indikátor (</w:t>
      </w:r>
      <w:r w:rsidR="00180834" w:rsidRPr="00180834">
        <w:rPr>
          <w:rFonts w:cstheme="minorHAnsi"/>
          <w:i/>
        </w:rPr>
        <w:t xml:space="preserve">93800 </w:t>
      </w:r>
      <w:r w:rsidRPr="00D17BAD">
        <w:rPr>
          <w:rFonts w:cstheme="minorHAnsi"/>
          <w:i/>
        </w:rPr>
        <w:t>Standardní produkce</w:t>
      </w:r>
      <w:r w:rsidRPr="00264057">
        <w:rPr>
          <w:rFonts w:cstheme="minorHAnsi"/>
        </w:rPr>
        <w:t xml:space="preserve">), který </w:t>
      </w:r>
      <w:r>
        <w:rPr>
          <w:rFonts w:cstheme="minorHAnsi"/>
        </w:rPr>
        <w:t>vůbec</w:t>
      </w:r>
      <w:r w:rsidRPr="00264057">
        <w:rPr>
          <w:rFonts w:cstheme="minorHAnsi"/>
        </w:rPr>
        <w:t xml:space="preserve"> </w:t>
      </w:r>
      <w:r w:rsidR="00604106">
        <w:rPr>
          <w:rFonts w:cstheme="minorHAnsi"/>
        </w:rPr>
        <w:t>neměl</w:t>
      </w:r>
      <w:r w:rsidRPr="00264057">
        <w:rPr>
          <w:rFonts w:cstheme="minorHAnsi"/>
        </w:rPr>
        <w:t xml:space="preserve"> vazb</w:t>
      </w:r>
      <w:r w:rsidR="00604106">
        <w:rPr>
          <w:rFonts w:cstheme="minorHAnsi"/>
        </w:rPr>
        <w:t>u</w:t>
      </w:r>
      <w:r w:rsidRPr="00264057">
        <w:rPr>
          <w:rFonts w:cstheme="minorHAnsi"/>
        </w:rPr>
        <w:t xml:space="preserve"> na cíl operace</w:t>
      </w:r>
      <w:r>
        <w:rPr>
          <w:rFonts w:cstheme="minorHAnsi"/>
        </w:rPr>
        <w:t>.</w:t>
      </w:r>
    </w:p>
    <w:p w:rsidR="00E94D07" w:rsidRPr="00A7441A" w:rsidRDefault="00E94D07" w:rsidP="00E94D07">
      <w:pPr>
        <w:spacing w:after="120"/>
        <w:rPr>
          <w:b/>
          <w:i/>
          <w:color w:val="AF1953"/>
        </w:rPr>
      </w:pPr>
      <w:r w:rsidRPr="00A7441A">
        <w:rPr>
          <w:b/>
          <w:i/>
          <w:color w:val="AF1953"/>
        </w:rPr>
        <w:t xml:space="preserve">→ Monitorovací zprávy projektů nenavazovaly na stanovené cíle a </w:t>
      </w:r>
      <w:r w:rsidR="00604106" w:rsidRPr="00A7441A">
        <w:rPr>
          <w:b/>
          <w:i/>
          <w:color w:val="AF1953"/>
        </w:rPr>
        <w:t xml:space="preserve">příjemci </w:t>
      </w:r>
      <w:r w:rsidRPr="00A7441A">
        <w:rPr>
          <w:b/>
          <w:i/>
          <w:color w:val="AF1953"/>
        </w:rPr>
        <w:t xml:space="preserve">je vyplňovali nesprávně. </w:t>
      </w:r>
    </w:p>
    <w:p w:rsidR="00E94D07" w:rsidRPr="00126A7D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 xml:space="preserve">11 </w:t>
      </w:r>
      <w:r w:rsidRPr="00FB09A9">
        <w:rPr>
          <w:rFonts w:cstheme="minorHAnsi"/>
        </w:rPr>
        <w:t>M</w:t>
      </w:r>
      <w:r>
        <w:rPr>
          <w:rFonts w:cstheme="minorHAnsi"/>
        </w:rPr>
        <w:t>Z</w:t>
      </w:r>
      <w:r w:rsidRPr="00FB09A9">
        <w:rPr>
          <w:rFonts w:cstheme="minorHAnsi"/>
        </w:rPr>
        <w:t xml:space="preserve">e stanovilo ve </w:t>
      </w:r>
      <w:r w:rsidR="007F0B33">
        <w:rPr>
          <w:rFonts w:cstheme="minorHAnsi"/>
        </w:rPr>
        <w:t>„</w:t>
      </w:r>
      <w:r w:rsidR="00AC13E7">
        <w:rPr>
          <w:rFonts w:cstheme="minorHAnsi"/>
        </w:rPr>
        <w:t>s</w:t>
      </w:r>
      <w:r w:rsidRPr="00FB09A9">
        <w:rPr>
          <w:rFonts w:cstheme="minorHAnsi"/>
        </w:rPr>
        <w:t>pecifických</w:t>
      </w:r>
      <w:r w:rsidR="007F0B33">
        <w:rPr>
          <w:rFonts w:cstheme="minorHAnsi"/>
        </w:rPr>
        <w:t xml:space="preserve"> podmínkách“</w:t>
      </w:r>
      <w:r w:rsidRPr="00FB09A9">
        <w:rPr>
          <w:rFonts w:cstheme="minorHAnsi"/>
        </w:rPr>
        <w:t xml:space="preserve"> </w:t>
      </w:r>
      <w:r w:rsidR="00AC13E7">
        <w:rPr>
          <w:rFonts w:cstheme="minorHAnsi"/>
        </w:rPr>
        <w:t>P</w:t>
      </w:r>
      <w:r w:rsidRPr="00FB09A9">
        <w:rPr>
          <w:rFonts w:cstheme="minorHAnsi"/>
        </w:rPr>
        <w:t>ravid</w:t>
      </w:r>
      <w:r w:rsidR="007F0B33">
        <w:rPr>
          <w:rFonts w:cstheme="minorHAnsi"/>
        </w:rPr>
        <w:t>e</w:t>
      </w:r>
      <w:r w:rsidRPr="00FB09A9">
        <w:rPr>
          <w:rFonts w:cstheme="minorHAnsi"/>
        </w:rPr>
        <w:t xml:space="preserve">l </w:t>
      </w:r>
      <w:r w:rsidR="00604106">
        <w:rPr>
          <w:rFonts w:cstheme="minorHAnsi"/>
        </w:rPr>
        <w:t>u</w:t>
      </w:r>
      <w:r w:rsidRPr="00FB09A9">
        <w:rPr>
          <w:rFonts w:cstheme="minorHAnsi"/>
        </w:rPr>
        <w:t xml:space="preserve"> všech vybraných opatření</w:t>
      </w:r>
      <w:r>
        <w:rPr>
          <w:rFonts w:cstheme="minorHAnsi"/>
        </w:rPr>
        <w:t>, resp.</w:t>
      </w:r>
      <w:r w:rsidRPr="00FB09A9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FB09A9">
        <w:rPr>
          <w:rFonts w:cstheme="minorHAnsi"/>
        </w:rPr>
        <w:t>perací</w:t>
      </w:r>
      <w:r>
        <w:rPr>
          <w:rFonts w:cstheme="minorHAnsi"/>
        </w:rPr>
        <w:t>,</w:t>
      </w:r>
      <w:r w:rsidRPr="00FB09A9">
        <w:rPr>
          <w:rFonts w:cstheme="minorHAnsi"/>
        </w:rPr>
        <w:t xml:space="preserve"> </w:t>
      </w:r>
      <w:r w:rsidR="00690742">
        <w:rPr>
          <w:rFonts w:cstheme="minorHAnsi"/>
        </w:rPr>
        <w:t>povinnost</w:t>
      </w:r>
      <w:r w:rsidR="00690742" w:rsidRPr="00FB09A9">
        <w:rPr>
          <w:rFonts w:cstheme="minorHAnsi"/>
        </w:rPr>
        <w:t xml:space="preserve"> </w:t>
      </w:r>
      <w:r w:rsidRPr="00FB09A9">
        <w:rPr>
          <w:rFonts w:cstheme="minorHAnsi"/>
        </w:rPr>
        <w:t>pro</w:t>
      </w:r>
      <w:r w:rsidR="00604106">
        <w:rPr>
          <w:rFonts w:cstheme="minorHAnsi"/>
        </w:rPr>
        <w:t xml:space="preserve"> </w:t>
      </w:r>
      <w:r w:rsidRPr="00FB09A9">
        <w:rPr>
          <w:rFonts w:cstheme="minorHAnsi"/>
        </w:rPr>
        <w:t>příjemce dotace</w:t>
      </w:r>
      <w:r>
        <w:rPr>
          <w:rFonts w:cstheme="minorHAnsi"/>
        </w:rPr>
        <w:t xml:space="preserve"> </w:t>
      </w:r>
      <w:r w:rsidRPr="00FB09A9">
        <w:rPr>
          <w:rFonts w:cstheme="minorHAnsi"/>
        </w:rPr>
        <w:t xml:space="preserve">předkládat po proplacení projektu </w:t>
      </w:r>
      <w:r>
        <w:rPr>
          <w:rFonts w:cstheme="minorHAnsi"/>
        </w:rPr>
        <w:t>m</w:t>
      </w:r>
      <w:r w:rsidRPr="00FB09A9">
        <w:rPr>
          <w:rFonts w:cstheme="minorHAnsi"/>
        </w:rPr>
        <w:t>onitorovací zpráv</w:t>
      </w:r>
      <w:r w:rsidR="00604106">
        <w:rPr>
          <w:rFonts w:cstheme="minorHAnsi"/>
        </w:rPr>
        <w:t>y</w:t>
      </w:r>
      <w:r w:rsidRPr="00FB09A9">
        <w:rPr>
          <w:rFonts w:cstheme="minorHAnsi"/>
        </w:rPr>
        <w:t xml:space="preserve">, a to po celou </w:t>
      </w:r>
      <w:r>
        <w:rPr>
          <w:rFonts w:cstheme="minorHAnsi"/>
        </w:rPr>
        <w:t xml:space="preserve">tzv. </w:t>
      </w:r>
      <w:r w:rsidR="004744B8">
        <w:rPr>
          <w:rFonts w:cstheme="minorHAnsi"/>
        </w:rPr>
        <w:t>lhůtu</w:t>
      </w:r>
      <w:r w:rsidRPr="00FB09A9">
        <w:rPr>
          <w:rFonts w:cstheme="minorHAnsi"/>
        </w:rPr>
        <w:t xml:space="preserve"> vázanosti projektu na účel</w:t>
      </w:r>
      <w:r w:rsidRPr="00FB09A9">
        <w:rPr>
          <w:rStyle w:val="Znakapoznpodarou"/>
          <w:rFonts w:cstheme="minorHAnsi"/>
        </w:rPr>
        <w:footnoteReference w:id="14"/>
      </w:r>
      <w:r w:rsidRPr="00FB09A9">
        <w:rPr>
          <w:rFonts w:cstheme="minorHAnsi"/>
        </w:rPr>
        <w:t xml:space="preserve">. Tyto monitorovací zprávy </w:t>
      </w:r>
      <w:r w:rsidR="00595EFC">
        <w:rPr>
          <w:rFonts w:cstheme="minorHAnsi"/>
        </w:rPr>
        <w:br/>
      </w:r>
      <w:r w:rsidRPr="00FB09A9">
        <w:rPr>
          <w:rFonts w:cstheme="minorHAnsi"/>
        </w:rPr>
        <w:t>a</w:t>
      </w:r>
      <w:r w:rsidR="00595EFC">
        <w:rPr>
          <w:rFonts w:cstheme="minorHAnsi"/>
        </w:rPr>
        <w:t xml:space="preserve"> </w:t>
      </w:r>
      <w:r w:rsidRPr="00FB09A9">
        <w:rPr>
          <w:rFonts w:cstheme="minorHAnsi"/>
        </w:rPr>
        <w:t>informace v</w:t>
      </w:r>
      <w:r w:rsidR="00690742">
        <w:rPr>
          <w:rFonts w:cstheme="minorHAnsi"/>
        </w:rPr>
        <w:t xml:space="preserve"> </w:t>
      </w:r>
      <w:r w:rsidRPr="00FB09A9">
        <w:rPr>
          <w:rFonts w:cstheme="minorHAnsi"/>
        </w:rPr>
        <w:t xml:space="preserve">nich uvedené </w:t>
      </w:r>
      <w:r>
        <w:rPr>
          <w:rFonts w:cstheme="minorHAnsi"/>
        </w:rPr>
        <w:t>m</w:t>
      </w:r>
      <w:r w:rsidR="009D52F4">
        <w:rPr>
          <w:rFonts w:cstheme="minorHAnsi"/>
        </w:rPr>
        <w:t>ají</w:t>
      </w:r>
      <w:r>
        <w:rPr>
          <w:rFonts w:cstheme="minorHAnsi"/>
        </w:rPr>
        <w:t xml:space="preserve"> sloužit</w:t>
      </w:r>
      <w:r w:rsidRPr="00FB09A9">
        <w:rPr>
          <w:rFonts w:cstheme="minorHAnsi"/>
        </w:rPr>
        <w:t xml:space="preserve"> jako podklad pro monitorování PRV 2014</w:t>
      </w:r>
      <w:r w:rsidR="004E2EE9">
        <w:rPr>
          <w:rFonts w:cstheme="minorHAnsi"/>
        </w:rPr>
        <w:t>–</w:t>
      </w:r>
      <w:r w:rsidRPr="00FB09A9">
        <w:rPr>
          <w:rFonts w:cstheme="minorHAnsi"/>
        </w:rPr>
        <w:t xml:space="preserve">2020. </w:t>
      </w:r>
      <w:r w:rsidR="00B277B1">
        <w:rPr>
          <w:rFonts w:cstheme="minorHAnsi"/>
        </w:rPr>
        <w:br/>
      </w:r>
      <w:r>
        <w:rPr>
          <w:rFonts w:cstheme="minorHAnsi"/>
        </w:rPr>
        <w:t xml:space="preserve">NKÚ proto </w:t>
      </w:r>
      <w:r w:rsidR="00604106">
        <w:rPr>
          <w:rFonts w:cstheme="minorHAnsi"/>
        </w:rPr>
        <w:t>zjišťoval</w:t>
      </w:r>
      <w:r>
        <w:rPr>
          <w:rFonts w:cstheme="minorHAnsi"/>
        </w:rPr>
        <w:t xml:space="preserve">, zda monitorovací zprávy poskytují informace o plnění stanovených cílů projektů. </w:t>
      </w:r>
    </w:p>
    <w:p w:rsidR="00E94D07" w:rsidRPr="00827DCA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 xml:space="preserve">12 </w:t>
      </w:r>
      <w:r w:rsidR="00604106" w:rsidRPr="00D17BAD">
        <w:t>Kontrola ukázala</w:t>
      </w:r>
      <w:r w:rsidRPr="002546DB">
        <w:t xml:space="preserve">, </w:t>
      </w:r>
      <w:r w:rsidR="00690742">
        <w:t xml:space="preserve">že </w:t>
      </w:r>
      <w:r w:rsidRPr="005F77A9">
        <w:rPr>
          <w:rFonts w:cstheme="minorHAnsi"/>
        </w:rPr>
        <w:t>M</w:t>
      </w:r>
      <w:r>
        <w:rPr>
          <w:rFonts w:cstheme="minorHAnsi"/>
        </w:rPr>
        <w:t>Z</w:t>
      </w:r>
      <w:r w:rsidRPr="005F77A9">
        <w:rPr>
          <w:rFonts w:cstheme="minorHAnsi"/>
        </w:rPr>
        <w:t>e v</w:t>
      </w:r>
      <w:r>
        <w:rPr>
          <w:rFonts w:cstheme="minorHAnsi"/>
        </w:rPr>
        <w:t> </w:t>
      </w:r>
      <w:r w:rsidRPr="005F77A9">
        <w:rPr>
          <w:rFonts w:cstheme="minorHAnsi"/>
        </w:rPr>
        <w:t>Pravidlech</w:t>
      </w:r>
      <w:r>
        <w:rPr>
          <w:rFonts w:cstheme="minorHAnsi"/>
        </w:rPr>
        <w:t xml:space="preserve"> </w:t>
      </w:r>
      <w:r w:rsidRPr="005F77A9">
        <w:rPr>
          <w:rFonts w:cstheme="minorHAnsi"/>
        </w:rPr>
        <w:t xml:space="preserve">nenastavilo </w:t>
      </w:r>
      <w:r w:rsidR="00690742">
        <w:rPr>
          <w:rFonts w:cstheme="minorHAnsi"/>
        </w:rPr>
        <w:t xml:space="preserve">jednoznačným způsobem </w:t>
      </w:r>
      <w:r w:rsidRPr="005F77A9">
        <w:rPr>
          <w:rFonts w:cstheme="minorHAnsi"/>
        </w:rPr>
        <w:t xml:space="preserve">povinnost </w:t>
      </w:r>
      <w:r w:rsidR="00690742">
        <w:rPr>
          <w:rFonts w:cstheme="minorHAnsi"/>
        </w:rPr>
        <w:t xml:space="preserve">vykazovat v rámci </w:t>
      </w:r>
      <w:r w:rsidR="00690742" w:rsidRPr="005F77A9">
        <w:rPr>
          <w:rFonts w:cstheme="minorHAnsi"/>
        </w:rPr>
        <w:t xml:space="preserve">monitorovacích zpráv </w:t>
      </w:r>
      <w:r w:rsidR="00690742">
        <w:rPr>
          <w:rFonts w:cstheme="minorHAnsi"/>
        </w:rPr>
        <w:t>správné informace</w:t>
      </w:r>
      <w:r w:rsidRPr="005F77A9">
        <w:rPr>
          <w:rFonts w:cstheme="minorHAnsi"/>
        </w:rPr>
        <w:t>. M</w:t>
      </w:r>
      <w:r>
        <w:rPr>
          <w:rFonts w:cstheme="minorHAnsi"/>
        </w:rPr>
        <w:t>Z</w:t>
      </w:r>
      <w:r w:rsidRPr="005F77A9">
        <w:rPr>
          <w:rFonts w:cstheme="minorHAnsi"/>
        </w:rPr>
        <w:t xml:space="preserve">e stanovilo pouze povinnost poskytovat </w:t>
      </w:r>
      <w:r>
        <w:rPr>
          <w:rFonts w:cstheme="minorHAnsi"/>
        </w:rPr>
        <w:t>„</w:t>
      </w:r>
      <w:r w:rsidRPr="00A32C01">
        <w:rPr>
          <w:rFonts w:cstheme="minorHAnsi"/>
        </w:rPr>
        <w:t>úplné informace</w:t>
      </w:r>
      <w:r>
        <w:rPr>
          <w:rFonts w:cstheme="minorHAnsi"/>
        </w:rPr>
        <w:t>“</w:t>
      </w:r>
      <w:r w:rsidRPr="005F77A9">
        <w:rPr>
          <w:rFonts w:cstheme="minorHAnsi"/>
        </w:rPr>
        <w:t xml:space="preserve">. </w:t>
      </w:r>
      <w:r>
        <w:rPr>
          <w:rFonts w:cstheme="minorHAnsi"/>
        </w:rPr>
        <w:t>Jak NKÚ zjistil, p</w:t>
      </w:r>
      <w:r w:rsidRPr="005F77A9">
        <w:rPr>
          <w:rFonts w:cstheme="minorHAnsi"/>
        </w:rPr>
        <w:t xml:space="preserve">říjemci </w:t>
      </w:r>
      <w:r>
        <w:rPr>
          <w:rFonts w:cstheme="minorHAnsi"/>
        </w:rPr>
        <w:t xml:space="preserve">tím byli </w:t>
      </w:r>
      <w:r w:rsidRPr="005F77A9">
        <w:rPr>
          <w:rFonts w:cstheme="minorHAnsi"/>
        </w:rPr>
        <w:t>výslovně (pod sankcí) zavázáni pouze k</w:t>
      </w:r>
      <w:r w:rsidR="008D5381">
        <w:rPr>
          <w:rFonts w:cstheme="minorHAnsi"/>
        </w:rPr>
        <w:t xml:space="preserve"> </w:t>
      </w:r>
      <w:r w:rsidRPr="005F77A9">
        <w:rPr>
          <w:rFonts w:cstheme="minorHAnsi"/>
        </w:rPr>
        <w:t>předkládání monitorovacích zpráv</w:t>
      </w:r>
      <w:r>
        <w:rPr>
          <w:rFonts w:cstheme="minorHAnsi"/>
        </w:rPr>
        <w:t>.</w:t>
      </w:r>
      <w:r w:rsidRPr="005F77A9">
        <w:rPr>
          <w:rFonts w:cstheme="minorHAnsi"/>
        </w:rPr>
        <w:t xml:space="preserve"> </w:t>
      </w:r>
      <w:r>
        <w:rPr>
          <w:rFonts w:cstheme="minorHAnsi"/>
        </w:rPr>
        <w:t>To</w:t>
      </w:r>
      <w:r w:rsidRPr="008D7AD1">
        <w:rPr>
          <w:rFonts w:cstheme="minorHAnsi"/>
        </w:rPr>
        <w:t xml:space="preserve">to sankční ustanovení se </w:t>
      </w:r>
      <w:r>
        <w:rPr>
          <w:rFonts w:cstheme="minorHAnsi"/>
        </w:rPr>
        <w:t xml:space="preserve">však </w:t>
      </w:r>
      <w:r w:rsidRPr="008D7AD1">
        <w:rPr>
          <w:rFonts w:cstheme="minorHAnsi"/>
        </w:rPr>
        <w:t>již nevztahuj</w:t>
      </w:r>
      <w:r>
        <w:rPr>
          <w:rFonts w:cstheme="minorHAnsi"/>
        </w:rPr>
        <w:t>e</w:t>
      </w:r>
      <w:r w:rsidRPr="008D7AD1">
        <w:rPr>
          <w:rFonts w:cstheme="minorHAnsi"/>
        </w:rPr>
        <w:t xml:space="preserve"> na</w:t>
      </w:r>
      <w:r>
        <w:rPr>
          <w:rFonts w:cstheme="minorHAnsi"/>
        </w:rPr>
        <w:t> </w:t>
      </w:r>
      <w:r w:rsidRPr="008D7AD1">
        <w:rPr>
          <w:rFonts w:cstheme="minorHAnsi"/>
        </w:rPr>
        <w:t>případnou nesprávnost poskytovaných informací.</w:t>
      </w:r>
    </w:p>
    <w:p w:rsidR="00E94D07" w:rsidRPr="000D22A6" w:rsidRDefault="00E94D07" w:rsidP="00AF2770">
      <w:pPr>
        <w:rPr>
          <w:rFonts w:asciiTheme="minorHAnsi" w:hAnsiTheme="minorHAnsi" w:cstheme="minorHAnsi"/>
        </w:rPr>
      </w:pPr>
      <w:r w:rsidRPr="00126430">
        <w:rPr>
          <w:b/>
        </w:rPr>
        <w:t>4.</w:t>
      </w:r>
      <w:r>
        <w:rPr>
          <w:b/>
        </w:rPr>
        <w:t>13</w:t>
      </w:r>
      <w:r w:rsidR="00690742">
        <w:rPr>
          <w:b/>
        </w:rPr>
        <w:t xml:space="preserve"> </w:t>
      </w:r>
      <w:r w:rsidRPr="000D22A6">
        <w:rPr>
          <w:rFonts w:asciiTheme="minorHAnsi" w:hAnsiTheme="minorHAnsi" w:cstheme="minorHAnsi"/>
        </w:rPr>
        <w:t>NKÚ dále zjistil, že SZIF nekontroluje správnost a relevantnost jednotlivých dat a informací poskytovaných</w:t>
      </w:r>
      <w:r w:rsidR="00690742">
        <w:rPr>
          <w:rFonts w:asciiTheme="minorHAnsi" w:hAnsiTheme="minorHAnsi" w:cstheme="minorHAnsi"/>
        </w:rPr>
        <w:t xml:space="preserve"> ze strany</w:t>
      </w:r>
      <w:r w:rsidRPr="000D22A6">
        <w:rPr>
          <w:rFonts w:asciiTheme="minorHAnsi" w:hAnsiTheme="minorHAnsi" w:cstheme="minorHAnsi"/>
        </w:rPr>
        <w:t xml:space="preserve"> příjemc</w:t>
      </w:r>
      <w:r w:rsidR="00690742">
        <w:rPr>
          <w:rFonts w:asciiTheme="minorHAnsi" w:hAnsiTheme="minorHAnsi" w:cstheme="minorHAnsi"/>
        </w:rPr>
        <w:t>ů</w:t>
      </w:r>
      <w:r w:rsidRPr="000D22A6">
        <w:rPr>
          <w:rFonts w:asciiTheme="minorHAnsi" w:hAnsiTheme="minorHAnsi" w:cstheme="minorHAnsi"/>
        </w:rPr>
        <w:t xml:space="preserve"> v monitorovacích zprávách. Stejně tak SZIF tyto informace ani nijak nevyužívá</w:t>
      </w:r>
      <w:r w:rsidR="003560CB">
        <w:rPr>
          <w:rStyle w:val="Znakapoznpodarou"/>
          <w:rFonts w:asciiTheme="minorHAnsi" w:hAnsiTheme="minorHAnsi" w:cstheme="minorHAnsi"/>
        </w:rPr>
        <w:footnoteReference w:id="15"/>
      </w:r>
      <w:r w:rsidRPr="000D22A6">
        <w:rPr>
          <w:rFonts w:asciiTheme="minorHAnsi" w:hAnsiTheme="minorHAnsi" w:cstheme="minorHAnsi"/>
        </w:rPr>
        <w:t xml:space="preserve">. </w:t>
      </w:r>
    </w:p>
    <w:p w:rsidR="00F5505F" w:rsidRDefault="00E94D07" w:rsidP="00AC5556">
      <w:pPr>
        <w:rPr>
          <w:rFonts w:asciiTheme="minorHAnsi" w:hAnsiTheme="minorHAnsi" w:cstheme="minorHAnsi"/>
          <w:iCs/>
        </w:rPr>
      </w:pPr>
      <w:r w:rsidRPr="000D22A6">
        <w:rPr>
          <w:rFonts w:asciiTheme="minorHAnsi" w:hAnsiTheme="minorHAnsi" w:cstheme="minorHAnsi"/>
          <w:b/>
        </w:rPr>
        <w:t>4.14</w:t>
      </w:r>
      <w:r w:rsidR="00690742">
        <w:rPr>
          <w:rFonts w:asciiTheme="minorHAnsi" w:hAnsiTheme="minorHAnsi" w:cstheme="minorHAnsi"/>
          <w:b/>
        </w:rPr>
        <w:t xml:space="preserve"> </w:t>
      </w:r>
      <w:r w:rsidRPr="000D22A6">
        <w:rPr>
          <w:rFonts w:asciiTheme="minorHAnsi" w:hAnsiTheme="minorHAnsi" w:cstheme="minorHAnsi"/>
        </w:rPr>
        <w:t>V případě neinvestičních projektů realizovaných</w:t>
      </w:r>
      <w:r w:rsidR="00690742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>z</w:t>
      </w:r>
      <w:r w:rsidR="00690742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 xml:space="preserve">opatření M01 (operace 1.1.1 a 1.2.1) </w:t>
      </w:r>
      <w:r w:rsidR="00690742" w:rsidRPr="000D22A6">
        <w:rPr>
          <w:rFonts w:asciiTheme="minorHAnsi" w:hAnsiTheme="minorHAnsi" w:cstheme="minorHAnsi"/>
        </w:rPr>
        <w:t xml:space="preserve">obsahují </w:t>
      </w:r>
      <w:r w:rsidRPr="000D22A6">
        <w:rPr>
          <w:rFonts w:asciiTheme="minorHAnsi" w:hAnsiTheme="minorHAnsi" w:cstheme="minorHAnsi"/>
        </w:rPr>
        <w:t xml:space="preserve">monitorovací zprávy pouze </w:t>
      </w:r>
      <w:r w:rsidR="00690742">
        <w:rPr>
          <w:rFonts w:asciiTheme="minorHAnsi" w:hAnsiTheme="minorHAnsi" w:cstheme="minorHAnsi"/>
        </w:rPr>
        <w:t>„</w:t>
      </w:r>
      <w:r w:rsidRPr="000D22A6">
        <w:rPr>
          <w:rFonts w:asciiTheme="minorHAnsi" w:hAnsiTheme="minorHAnsi" w:cstheme="minorHAnsi"/>
          <w:i/>
        </w:rPr>
        <w:t>Obecnou část</w:t>
      </w:r>
      <w:r w:rsidR="00690742" w:rsidRPr="00D17BAD">
        <w:rPr>
          <w:rFonts w:asciiTheme="minorHAnsi" w:hAnsiTheme="minorHAnsi" w:cstheme="minorHAnsi"/>
        </w:rPr>
        <w:t>“</w:t>
      </w:r>
      <w:r w:rsidRPr="00690742">
        <w:rPr>
          <w:rFonts w:asciiTheme="minorHAnsi" w:hAnsiTheme="minorHAnsi" w:cstheme="minorHAnsi"/>
        </w:rPr>
        <w:t>.</w:t>
      </w:r>
      <w:r w:rsidRPr="000D22A6">
        <w:rPr>
          <w:rFonts w:asciiTheme="minorHAnsi" w:hAnsiTheme="minorHAnsi" w:cstheme="minorHAnsi"/>
        </w:rPr>
        <w:t xml:space="preserve"> Informace uváděné</w:t>
      </w:r>
      <w:r w:rsidR="00690742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>v</w:t>
      </w:r>
      <w:r w:rsidR="00690742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>této části přitom nesouvisí se samotným</w:t>
      </w:r>
      <w:r w:rsidR="00690742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>projektem. Jedná se o ekonomická data, kter</w:t>
      </w:r>
      <w:r w:rsidR="00690742">
        <w:rPr>
          <w:rFonts w:asciiTheme="minorHAnsi" w:hAnsiTheme="minorHAnsi" w:cstheme="minorHAnsi"/>
        </w:rPr>
        <w:t>á</w:t>
      </w:r>
      <w:r w:rsidRPr="000D22A6">
        <w:rPr>
          <w:rFonts w:asciiTheme="minorHAnsi" w:hAnsiTheme="minorHAnsi" w:cstheme="minorHAnsi"/>
        </w:rPr>
        <w:t xml:space="preserve"> podniky musí zveřejňovat</w:t>
      </w:r>
      <w:r w:rsidR="00690742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>v</w:t>
      </w:r>
      <w:r w:rsidR="00690742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 xml:space="preserve">rámci účetní závěrky. Výjimkou je pouze bod </w:t>
      </w:r>
      <w:r w:rsidR="00690742">
        <w:rPr>
          <w:rFonts w:asciiTheme="minorHAnsi" w:hAnsiTheme="minorHAnsi" w:cstheme="minorHAnsi"/>
        </w:rPr>
        <w:t>„</w:t>
      </w:r>
      <w:r w:rsidRPr="000D22A6">
        <w:rPr>
          <w:rFonts w:asciiTheme="minorHAnsi" w:hAnsiTheme="minorHAnsi" w:cstheme="minorHAnsi"/>
          <w:i/>
          <w:lang w:val="pl-PL"/>
        </w:rPr>
        <w:t>Zhodnocení projektu a jeho dopadů od data podání žádosti o</w:t>
      </w:r>
      <w:r w:rsidR="00690742">
        <w:rPr>
          <w:rFonts w:asciiTheme="minorHAnsi" w:hAnsiTheme="minorHAnsi" w:cstheme="minorHAnsi"/>
          <w:i/>
          <w:lang w:val="pl-PL"/>
        </w:rPr>
        <w:t xml:space="preserve"> </w:t>
      </w:r>
      <w:r w:rsidRPr="00690742">
        <w:rPr>
          <w:rFonts w:asciiTheme="minorHAnsi" w:hAnsiTheme="minorHAnsi" w:cstheme="minorHAnsi"/>
          <w:i/>
        </w:rPr>
        <w:t>platbu</w:t>
      </w:r>
      <w:r w:rsidR="00690742">
        <w:rPr>
          <w:rFonts w:asciiTheme="minorHAnsi" w:hAnsiTheme="minorHAnsi" w:cstheme="minorHAnsi"/>
        </w:rPr>
        <w:t>“</w:t>
      </w:r>
      <w:r w:rsidRPr="00690742">
        <w:rPr>
          <w:rFonts w:asciiTheme="minorHAnsi" w:hAnsiTheme="minorHAnsi" w:cstheme="minorHAnsi"/>
          <w:i/>
        </w:rPr>
        <w:t>.</w:t>
      </w:r>
      <w:r w:rsidRPr="000D22A6">
        <w:rPr>
          <w:rFonts w:asciiTheme="minorHAnsi" w:hAnsiTheme="minorHAnsi" w:cstheme="minorHAnsi"/>
          <w:i/>
          <w:lang w:val="pl-PL"/>
        </w:rPr>
        <w:t xml:space="preserve"> </w:t>
      </w:r>
      <w:r w:rsidRPr="000D22A6">
        <w:rPr>
          <w:rFonts w:asciiTheme="minorHAnsi" w:hAnsiTheme="minorHAnsi" w:cstheme="minorHAnsi"/>
          <w:lang w:val="pl-PL"/>
        </w:rPr>
        <w:t>V tomto bodě uváděli někteří příjemci jen velmi obecný komentář k úspěšnosti projektu, který navíc opakovali ve</w:t>
      </w:r>
      <w:r w:rsidR="00C33FEF">
        <w:rPr>
          <w:rFonts w:asciiTheme="minorHAnsi" w:hAnsiTheme="minorHAnsi" w:cstheme="minorHAnsi"/>
          <w:lang w:val="pl-PL"/>
        </w:rPr>
        <w:t xml:space="preserve"> </w:t>
      </w:r>
      <w:r w:rsidRPr="000D22A6">
        <w:rPr>
          <w:rFonts w:asciiTheme="minorHAnsi" w:hAnsiTheme="minorHAnsi" w:cstheme="minorHAnsi"/>
          <w:lang w:val="pl-PL"/>
        </w:rPr>
        <w:t>všech následujících monit</w:t>
      </w:r>
      <w:r w:rsidR="00256586">
        <w:rPr>
          <w:rFonts w:asciiTheme="minorHAnsi" w:hAnsiTheme="minorHAnsi" w:cstheme="minorHAnsi"/>
          <w:lang w:val="pl-PL"/>
        </w:rPr>
        <w:t>o</w:t>
      </w:r>
      <w:r w:rsidRPr="000D22A6">
        <w:rPr>
          <w:rFonts w:asciiTheme="minorHAnsi" w:hAnsiTheme="minorHAnsi" w:cstheme="minorHAnsi"/>
          <w:lang w:val="pl-PL"/>
        </w:rPr>
        <w:t xml:space="preserve">rovacích zprávách. </w:t>
      </w:r>
      <w:r w:rsidRPr="000D22A6">
        <w:rPr>
          <w:rFonts w:asciiTheme="minorHAnsi" w:hAnsiTheme="minorHAnsi" w:cstheme="minorHAnsi"/>
        </w:rPr>
        <w:t>Obecný komentář uváděný příjemcem</w:t>
      </w:r>
      <w:r w:rsidR="00C33FEF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>v</w:t>
      </w:r>
      <w:r w:rsidR="00C33FEF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>monitorovacích zprávách ilustruje příklad</w:t>
      </w:r>
      <w:r w:rsidR="00256586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>č.</w:t>
      </w:r>
      <w:r w:rsidR="00166251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>4.</w:t>
      </w:r>
      <w:r w:rsidR="00166251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  <w:iCs/>
        </w:rPr>
        <w:t>Požadavek na vykazování ekonomických dat podniku u opatření M01</w:t>
      </w:r>
      <w:r w:rsidR="00256586">
        <w:rPr>
          <w:rFonts w:asciiTheme="minorHAnsi" w:hAnsiTheme="minorHAnsi" w:cstheme="minorHAnsi"/>
          <w:iCs/>
        </w:rPr>
        <w:t xml:space="preserve"> </w:t>
      </w:r>
      <w:r w:rsidRPr="000D22A6">
        <w:rPr>
          <w:rFonts w:asciiTheme="minorHAnsi" w:hAnsiTheme="minorHAnsi" w:cstheme="minorHAnsi"/>
          <w:iCs/>
        </w:rPr>
        <w:t>v</w:t>
      </w:r>
      <w:r w:rsidR="00C33FEF">
        <w:rPr>
          <w:rFonts w:asciiTheme="minorHAnsi" w:hAnsiTheme="minorHAnsi" w:cstheme="minorHAnsi"/>
          <w:iCs/>
        </w:rPr>
        <w:t> </w:t>
      </w:r>
      <w:r w:rsidRPr="000D22A6">
        <w:rPr>
          <w:rFonts w:asciiTheme="minorHAnsi" w:hAnsiTheme="minorHAnsi" w:cstheme="minorHAnsi"/>
          <w:iCs/>
        </w:rPr>
        <w:t>souvislosti</w:t>
      </w:r>
      <w:r w:rsidR="00C33FEF">
        <w:rPr>
          <w:rFonts w:asciiTheme="minorHAnsi" w:hAnsiTheme="minorHAnsi" w:cstheme="minorHAnsi"/>
          <w:iCs/>
        </w:rPr>
        <w:t xml:space="preserve"> </w:t>
      </w:r>
      <w:r w:rsidRPr="000D22A6">
        <w:rPr>
          <w:rFonts w:asciiTheme="minorHAnsi" w:hAnsiTheme="minorHAnsi" w:cstheme="minorHAnsi"/>
          <w:iCs/>
        </w:rPr>
        <w:t xml:space="preserve">s předkládáním monitorovacích zpráv považuje </w:t>
      </w:r>
      <w:r w:rsidR="00C33FEF" w:rsidRPr="000D22A6">
        <w:rPr>
          <w:rFonts w:asciiTheme="minorHAnsi" w:hAnsiTheme="minorHAnsi" w:cstheme="minorHAnsi"/>
          <w:iCs/>
        </w:rPr>
        <w:t xml:space="preserve">NKÚ </w:t>
      </w:r>
      <w:r w:rsidRPr="000D22A6">
        <w:rPr>
          <w:rFonts w:asciiTheme="minorHAnsi" w:hAnsiTheme="minorHAnsi" w:cstheme="minorHAnsi"/>
          <w:iCs/>
        </w:rPr>
        <w:t>za zbytečnou administrativní zátěž příjemce.</w:t>
      </w:r>
    </w:p>
    <w:p w:rsidR="00166251" w:rsidRDefault="00166251" w:rsidP="00AC5556">
      <w:pPr>
        <w:rPr>
          <w:rFonts w:asciiTheme="minorHAnsi" w:hAnsiTheme="minorHAnsi" w:cstheme="minorHAnsi"/>
          <w:iCs/>
        </w:rPr>
      </w:pPr>
    </w:p>
    <w:p w:rsidR="00166251" w:rsidRPr="005C1EC5" w:rsidRDefault="00166251" w:rsidP="00AC5556">
      <w:pPr>
        <w:rPr>
          <w:rFonts w:asciiTheme="minorHAnsi" w:hAnsiTheme="minorHAnsi" w:cstheme="minorHAnsi"/>
          <w:iCs/>
        </w:rPr>
      </w:pPr>
    </w:p>
    <w:p w:rsidR="00E94D07" w:rsidRPr="000D22A6" w:rsidRDefault="00E94D07" w:rsidP="00D17BAD">
      <w:pPr>
        <w:pStyle w:val="KPnormal"/>
        <w:keepNext/>
        <w:spacing w:before="120" w:line="240" w:lineRule="auto"/>
        <w:ind w:left="1332" w:hanging="1332"/>
        <w:rPr>
          <w:rFonts w:asciiTheme="minorHAnsi" w:hAnsiTheme="minorHAnsi" w:cstheme="minorHAnsi"/>
          <w:b/>
        </w:rPr>
      </w:pPr>
      <w:r w:rsidRPr="000D22A6">
        <w:rPr>
          <w:rFonts w:asciiTheme="minorHAnsi" w:hAnsiTheme="minorHAnsi" w:cstheme="minorHAnsi"/>
          <w:b/>
        </w:rPr>
        <w:lastRenderedPageBreak/>
        <w:t xml:space="preserve">Příklad č. 4 – </w:t>
      </w:r>
      <w:r w:rsidR="00C33FEF">
        <w:rPr>
          <w:rFonts w:asciiTheme="minorHAnsi" w:hAnsiTheme="minorHAnsi" w:cstheme="minorHAnsi"/>
          <w:b/>
        </w:rPr>
        <w:tab/>
      </w:r>
      <w:r w:rsidRPr="000D22A6">
        <w:rPr>
          <w:rFonts w:asciiTheme="minorHAnsi" w:hAnsiTheme="minorHAnsi" w:cstheme="minorHAnsi"/>
          <w:b/>
        </w:rPr>
        <w:t xml:space="preserve">pouze </w:t>
      </w:r>
      <w:r w:rsidRPr="00D17BAD">
        <w:rPr>
          <w:rFonts w:asciiTheme="minorHAnsi" w:hAnsiTheme="minorHAnsi" w:cstheme="minorHAnsi"/>
          <w:b/>
        </w:rPr>
        <w:t>obecný komentář k úspěšnosti projektu</w:t>
      </w:r>
      <w:r w:rsidR="00C33FEF">
        <w:rPr>
          <w:rFonts w:asciiTheme="minorHAnsi" w:hAnsiTheme="minorHAnsi" w:cstheme="minorHAnsi"/>
          <w:b/>
        </w:rPr>
        <w:t xml:space="preserve"> </w:t>
      </w:r>
      <w:r w:rsidRPr="000D22A6">
        <w:rPr>
          <w:rFonts w:asciiTheme="minorHAnsi" w:hAnsiTheme="minorHAnsi" w:cstheme="minorHAnsi"/>
          <w:b/>
        </w:rPr>
        <w:t>v</w:t>
      </w:r>
      <w:r w:rsidR="00C33FEF">
        <w:rPr>
          <w:rFonts w:asciiTheme="minorHAnsi" w:hAnsiTheme="minorHAnsi" w:cstheme="minorHAnsi"/>
          <w:b/>
        </w:rPr>
        <w:t xml:space="preserve"> </w:t>
      </w:r>
      <w:r w:rsidRPr="000D22A6">
        <w:rPr>
          <w:rFonts w:asciiTheme="minorHAnsi" w:hAnsiTheme="minorHAnsi" w:cstheme="minorHAnsi"/>
          <w:b/>
        </w:rPr>
        <w:t>monitorovacích zprávách příjemců</w:t>
      </w:r>
    </w:p>
    <w:p w:rsidR="00E94D07" w:rsidRPr="00D17BAD" w:rsidRDefault="00E94D07" w:rsidP="00D1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20"/>
        <w:rPr>
          <w:rFonts w:asciiTheme="minorHAnsi" w:hAnsiTheme="minorHAnsi" w:cstheme="minorHAnsi"/>
        </w:rPr>
      </w:pPr>
      <w:r w:rsidRPr="000D22A6">
        <w:rPr>
          <w:rFonts w:asciiTheme="minorHAnsi" w:hAnsiTheme="minorHAnsi" w:cstheme="minorHAnsi"/>
        </w:rPr>
        <w:t>U projektu</w:t>
      </w:r>
      <w:r w:rsidR="00C33FEF">
        <w:rPr>
          <w:rFonts w:asciiTheme="minorHAnsi" w:hAnsiTheme="minorHAnsi" w:cstheme="minorHAnsi"/>
        </w:rPr>
        <w:t>, který byl</w:t>
      </w:r>
      <w:r w:rsidRPr="000D22A6">
        <w:rPr>
          <w:rFonts w:asciiTheme="minorHAnsi" w:hAnsiTheme="minorHAnsi" w:cstheme="minorHAnsi"/>
        </w:rPr>
        <w:t xml:space="preserve"> </w:t>
      </w:r>
      <w:r w:rsidR="0081426F">
        <w:rPr>
          <w:rFonts w:asciiTheme="minorHAnsi" w:hAnsiTheme="minorHAnsi" w:cstheme="minorHAnsi"/>
        </w:rPr>
        <w:t>kontrolov</w:t>
      </w:r>
      <w:r w:rsidR="00C33FEF">
        <w:rPr>
          <w:rFonts w:asciiTheme="minorHAnsi" w:hAnsiTheme="minorHAnsi" w:cstheme="minorHAnsi"/>
        </w:rPr>
        <w:t>án</w:t>
      </w:r>
      <w:r w:rsidR="0081426F">
        <w:rPr>
          <w:rFonts w:asciiTheme="minorHAnsi" w:hAnsiTheme="minorHAnsi" w:cstheme="minorHAnsi"/>
        </w:rPr>
        <w:t xml:space="preserve"> u SZIF </w:t>
      </w:r>
      <w:r w:rsidR="00C33FEF">
        <w:rPr>
          <w:rFonts w:asciiTheme="minorHAnsi" w:hAnsiTheme="minorHAnsi" w:cstheme="minorHAnsi"/>
        </w:rPr>
        <w:t xml:space="preserve">a byl </w:t>
      </w:r>
      <w:r w:rsidR="0081426F">
        <w:rPr>
          <w:rFonts w:asciiTheme="minorHAnsi" w:hAnsiTheme="minorHAnsi" w:cstheme="minorHAnsi"/>
        </w:rPr>
        <w:t>zaměřen</w:t>
      </w:r>
      <w:r w:rsidR="003C53FC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>na vzdělávací akci</w:t>
      </w:r>
      <w:r w:rsidR="00C33FEF">
        <w:rPr>
          <w:rFonts w:asciiTheme="minorHAnsi" w:hAnsiTheme="minorHAnsi" w:cstheme="minorHAnsi"/>
        </w:rPr>
        <w:t>,</w:t>
      </w:r>
      <w:r w:rsidRPr="000D22A6">
        <w:rPr>
          <w:rFonts w:asciiTheme="minorHAnsi" w:hAnsiTheme="minorHAnsi" w:cstheme="minorHAnsi"/>
        </w:rPr>
        <w:t xml:space="preserve"> příjemce</w:t>
      </w:r>
      <w:r w:rsidR="00C33FEF">
        <w:rPr>
          <w:rFonts w:asciiTheme="minorHAnsi" w:hAnsiTheme="minorHAnsi" w:cstheme="minorHAnsi"/>
        </w:rPr>
        <w:t xml:space="preserve"> </w:t>
      </w:r>
      <w:r w:rsidRPr="000D22A6">
        <w:rPr>
          <w:rFonts w:asciiTheme="minorHAnsi" w:hAnsiTheme="minorHAnsi" w:cstheme="minorHAnsi"/>
        </w:rPr>
        <w:t>v</w:t>
      </w:r>
      <w:r w:rsidR="00C33FEF">
        <w:rPr>
          <w:rFonts w:asciiTheme="minorHAnsi" w:hAnsiTheme="minorHAnsi" w:cstheme="minorHAnsi"/>
        </w:rPr>
        <w:t> </w:t>
      </w:r>
      <w:r w:rsidRPr="000D22A6">
        <w:rPr>
          <w:rFonts w:asciiTheme="minorHAnsi" w:hAnsiTheme="minorHAnsi" w:cstheme="minorHAnsi"/>
        </w:rPr>
        <w:t xml:space="preserve">monitorovací zprávě v bodě </w:t>
      </w:r>
      <w:r w:rsidRPr="00D17BAD">
        <w:rPr>
          <w:rFonts w:asciiTheme="minorHAnsi" w:hAnsiTheme="minorHAnsi" w:cstheme="minorHAnsi"/>
          <w:i/>
        </w:rPr>
        <w:t>Zhodnocení projektu a jeho dopadů od data podání žádosti o</w:t>
      </w:r>
      <w:r w:rsidR="00C33FEF">
        <w:rPr>
          <w:rFonts w:asciiTheme="minorHAnsi" w:hAnsiTheme="minorHAnsi" w:cstheme="minorHAnsi"/>
          <w:i/>
        </w:rPr>
        <w:t> </w:t>
      </w:r>
      <w:r w:rsidRPr="00D17BAD">
        <w:rPr>
          <w:rFonts w:asciiTheme="minorHAnsi" w:hAnsiTheme="minorHAnsi" w:cstheme="minorHAnsi"/>
          <w:i/>
        </w:rPr>
        <w:t>platbu</w:t>
      </w:r>
      <w:r w:rsidRPr="000D22A6">
        <w:rPr>
          <w:rFonts w:asciiTheme="minorHAnsi" w:hAnsiTheme="minorHAnsi" w:cstheme="minorHAnsi"/>
        </w:rPr>
        <w:t xml:space="preserve"> uvedl</w:t>
      </w:r>
      <w:r w:rsidR="00C33FEF">
        <w:rPr>
          <w:rFonts w:asciiTheme="minorHAnsi" w:hAnsiTheme="minorHAnsi" w:cstheme="minorHAnsi"/>
        </w:rPr>
        <w:t>:</w:t>
      </w:r>
      <w:r w:rsidRPr="000D22A6">
        <w:rPr>
          <w:rFonts w:asciiTheme="minorHAnsi" w:hAnsiTheme="minorHAnsi" w:cstheme="minorHAnsi"/>
        </w:rPr>
        <w:t xml:space="preserve"> „</w:t>
      </w:r>
      <w:r w:rsidRPr="000D22A6">
        <w:rPr>
          <w:rFonts w:asciiTheme="minorHAnsi" w:hAnsiTheme="minorHAnsi" w:cstheme="minorHAnsi"/>
          <w:i/>
        </w:rPr>
        <w:t>beneficienti si nabyté poznatky pochvalují, jsou použitelné v jejich praxi</w:t>
      </w:r>
      <w:r w:rsidRPr="00D17BAD">
        <w:rPr>
          <w:rFonts w:asciiTheme="minorHAnsi" w:hAnsiTheme="minorHAnsi" w:cstheme="minorHAnsi"/>
        </w:rPr>
        <w:t xml:space="preserve">.“ </w:t>
      </w:r>
    </w:p>
    <w:p w:rsidR="00E94D07" w:rsidRPr="00D17BAD" w:rsidRDefault="00E94D07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D22A6">
        <w:rPr>
          <w:rFonts w:asciiTheme="minorHAnsi" w:hAnsiTheme="minorHAnsi" w:cstheme="minorHAnsi"/>
        </w:rPr>
        <w:t xml:space="preserve">U projektu </w:t>
      </w:r>
      <w:r w:rsidR="0081426F">
        <w:rPr>
          <w:rFonts w:asciiTheme="minorHAnsi" w:hAnsiTheme="minorHAnsi" w:cstheme="minorHAnsi"/>
        </w:rPr>
        <w:t xml:space="preserve">kontrolovaného u SZIF </w:t>
      </w:r>
      <w:r w:rsidR="00C33FEF">
        <w:rPr>
          <w:rFonts w:asciiTheme="minorHAnsi" w:hAnsiTheme="minorHAnsi" w:cstheme="minorHAnsi"/>
        </w:rPr>
        <w:t xml:space="preserve">a </w:t>
      </w:r>
      <w:r w:rsidR="003C53FC">
        <w:rPr>
          <w:rFonts w:asciiTheme="minorHAnsi" w:hAnsiTheme="minorHAnsi" w:cstheme="minorHAnsi"/>
        </w:rPr>
        <w:t xml:space="preserve">zaměřeného </w:t>
      </w:r>
      <w:r w:rsidRPr="000D22A6">
        <w:rPr>
          <w:rFonts w:asciiTheme="minorHAnsi" w:hAnsiTheme="minorHAnsi" w:cstheme="minorHAnsi"/>
        </w:rPr>
        <w:t xml:space="preserve">na informační akci </w:t>
      </w:r>
      <w:r w:rsidR="00C33FEF">
        <w:rPr>
          <w:rFonts w:asciiTheme="minorHAnsi" w:hAnsiTheme="minorHAnsi" w:cstheme="minorHAnsi"/>
        </w:rPr>
        <w:t xml:space="preserve">uvedl </w:t>
      </w:r>
      <w:r w:rsidRPr="000D22A6">
        <w:rPr>
          <w:rFonts w:asciiTheme="minorHAnsi" w:hAnsiTheme="minorHAnsi" w:cstheme="minorHAnsi"/>
        </w:rPr>
        <w:t xml:space="preserve">příjemce v monitorovací zprávě v bodě </w:t>
      </w:r>
      <w:r w:rsidRPr="00D17BAD">
        <w:rPr>
          <w:rFonts w:asciiTheme="minorHAnsi" w:hAnsiTheme="minorHAnsi" w:cstheme="minorHAnsi"/>
          <w:i/>
        </w:rPr>
        <w:t xml:space="preserve">Zhodnocení projektu a jeho dopadů od data podání žádosti </w:t>
      </w:r>
      <w:r w:rsidR="00E8215E">
        <w:rPr>
          <w:rFonts w:asciiTheme="minorHAnsi" w:hAnsiTheme="minorHAnsi" w:cstheme="minorHAnsi"/>
          <w:i/>
        </w:rPr>
        <w:br/>
      </w:r>
      <w:r w:rsidRPr="00D17BAD">
        <w:rPr>
          <w:rFonts w:asciiTheme="minorHAnsi" w:hAnsiTheme="minorHAnsi" w:cstheme="minorHAnsi"/>
          <w:i/>
        </w:rPr>
        <w:t>o</w:t>
      </w:r>
      <w:r w:rsidR="00E8215E">
        <w:rPr>
          <w:rFonts w:asciiTheme="minorHAnsi" w:hAnsiTheme="minorHAnsi" w:cstheme="minorHAnsi"/>
          <w:i/>
        </w:rPr>
        <w:t xml:space="preserve"> </w:t>
      </w:r>
      <w:r w:rsidRPr="00D17BAD">
        <w:rPr>
          <w:rFonts w:asciiTheme="minorHAnsi" w:hAnsiTheme="minorHAnsi" w:cstheme="minorHAnsi"/>
          <w:i/>
        </w:rPr>
        <w:t>platbu</w:t>
      </w:r>
      <w:r w:rsidRPr="000D22A6">
        <w:rPr>
          <w:rFonts w:asciiTheme="minorHAnsi" w:hAnsiTheme="minorHAnsi" w:cstheme="minorHAnsi"/>
        </w:rPr>
        <w:t xml:space="preserve"> </w:t>
      </w:r>
      <w:r w:rsidR="00C33FEF">
        <w:rPr>
          <w:rFonts w:asciiTheme="minorHAnsi" w:hAnsiTheme="minorHAnsi" w:cstheme="minorHAnsi"/>
        </w:rPr>
        <w:t>tento komentář:</w:t>
      </w:r>
      <w:r w:rsidRPr="000D22A6">
        <w:rPr>
          <w:rFonts w:asciiTheme="minorHAnsi" w:hAnsiTheme="minorHAnsi" w:cstheme="minorHAnsi"/>
        </w:rPr>
        <w:t xml:space="preserve"> „</w:t>
      </w:r>
      <w:r w:rsidRPr="000D22A6">
        <w:rPr>
          <w:rFonts w:asciiTheme="minorHAnsi" w:hAnsiTheme="minorHAnsi" w:cstheme="minorHAnsi"/>
          <w:i/>
        </w:rPr>
        <w:t>Projekt VÚVeL Fest IV měl pozitivní dopad do zemědělské prvovýroby, protože zajistil přenos nových výsledků výzkumu do zemědělské praxe. Význam akce dokládá stále se zvyšující zájem o dané semináře ze strany pracovníků v zemědělství a</w:t>
      </w:r>
      <w:r w:rsidR="00C33FEF">
        <w:rPr>
          <w:rFonts w:asciiTheme="minorHAnsi" w:hAnsiTheme="minorHAnsi" w:cstheme="minorHAnsi"/>
          <w:i/>
        </w:rPr>
        <w:t> </w:t>
      </w:r>
      <w:r w:rsidRPr="000D22A6">
        <w:rPr>
          <w:rFonts w:asciiTheme="minorHAnsi" w:hAnsiTheme="minorHAnsi" w:cstheme="minorHAnsi"/>
          <w:i/>
        </w:rPr>
        <w:t>pozitivní ohlasy účastníků na probíraná témata. Byly navázány i hlubší pracovní vztahy mezi VÚVeL a některými účastníky za účelem řešení aktuálních problémů</w:t>
      </w:r>
      <w:r w:rsidR="00C33FEF">
        <w:rPr>
          <w:rFonts w:asciiTheme="minorHAnsi" w:hAnsiTheme="minorHAnsi" w:cstheme="minorHAnsi"/>
          <w:i/>
        </w:rPr>
        <w:t xml:space="preserve"> </w:t>
      </w:r>
      <w:r w:rsidRPr="000D22A6">
        <w:rPr>
          <w:rFonts w:asciiTheme="minorHAnsi" w:hAnsiTheme="minorHAnsi" w:cstheme="minorHAnsi"/>
          <w:i/>
        </w:rPr>
        <w:t>v zemědělské výrobě. Zejména</w:t>
      </w:r>
      <w:r w:rsidR="00C33FEF">
        <w:rPr>
          <w:rFonts w:asciiTheme="minorHAnsi" w:hAnsiTheme="minorHAnsi" w:cstheme="minorHAnsi"/>
          <w:i/>
        </w:rPr>
        <w:t xml:space="preserve"> </w:t>
      </w:r>
      <w:r w:rsidRPr="000D22A6">
        <w:rPr>
          <w:rFonts w:asciiTheme="minorHAnsi" w:hAnsiTheme="minorHAnsi" w:cstheme="minorHAnsi"/>
          <w:i/>
        </w:rPr>
        <w:t>v aplikaci nových poznatků pro řešení poruch zdraví a jejich prevence s cílem zdravotně nezávadné a kvalitní produkce surovin pro výrobu potravin</w:t>
      </w:r>
      <w:r w:rsidRPr="00D17BAD">
        <w:rPr>
          <w:rFonts w:asciiTheme="minorHAnsi" w:hAnsiTheme="minorHAnsi" w:cstheme="minorHAnsi"/>
        </w:rPr>
        <w:t xml:space="preserve">.“ </w:t>
      </w:r>
    </w:p>
    <w:p w:rsidR="00E94D07" w:rsidRPr="00D17BAD" w:rsidRDefault="00E94D07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D22A6">
        <w:rPr>
          <w:rFonts w:asciiTheme="minorHAnsi" w:hAnsiTheme="minorHAnsi" w:cstheme="minorHAnsi"/>
        </w:rPr>
        <w:t xml:space="preserve">Příjemci v monitorovacích zprávách v bodě </w:t>
      </w:r>
      <w:r w:rsidRPr="00D17BAD">
        <w:rPr>
          <w:rFonts w:asciiTheme="minorHAnsi" w:hAnsiTheme="minorHAnsi" w:cstheme="minorHAnsi"/>
          <w:i/>
        </w:rPr>
        <w:t xml:space="preserve">Zhodnocení projektu a jeho dopadů od data podání žádosti o platbu </w:t>
      </w:r>
      <w:r w:rsidRPr="00D17BAD">
        <w:rPr>
          <w:rFonts w:asciiTheme="minorHAnsi" w:hAnsiTheme="minorHAnsi" w:cstheme="minorHAnsi"/>
        </w:rPr>
        <w:t>slovně popisovali přínosy vzdělávacích a informačních akcí. Tyto popisy jsou ovšem obecné</w:t>
      </w:r>
      <w:r w:rsidR="00C33FEF">
        <w:rPr>
          <w:rFonts w:asciiTheme="minorHAnsi" w:hAnsiTheme="minorHAnsi" w:cstheme="minorHAnsi"/>
        </w:rPr>
        <w:t>,</w:t>
      </w:r>
      <w:r w:rsidRPr="00D17BAD">
        <w:rPr>
          <w:rFonts w:asciiTheme="minorHAnsi" w:hAnsiTheme="minorHAnsi" w:cstheme="minorHAnsi"/>
        </w:rPr>
        <w:t xml:space="preserve"> na </w:t>
      </w:r>
      <w:r w:rsidR="00C33FEF">
        <w:rPr>
          <w:rFonts w:asciiTheme="minorHAnsi" w:hAnsiTheme="minorHAnsi" w:cstheme="minorHAnsi"/>
        </w:rPr>
        <w:t xml:space="preserve">jejich </w:t>
      </w:r>
      <w:r w:rsidRPr="00D17BAD">
        <w:rPr>
          <w:rFonts w:asciiTheme="minorHAnsi" w:hAnsiTheme="minorHAnsi" w:cstheme="minorHAnsi"/>
        </w:rPr>
        <w:t>základě nemohl SZIF provádět sledování plnění cílů projektu.</w:t>
      </w:r>
    </w:p>
    <w:p w:rsidR="00E94D07" w:rsidRDefault="00E94D07" w:rsidP="00E94D07">
      <w:pPr>
        <w:pStyle w:val="KPnormal"/>
        <w:spacing w:before="120" w:line="240" w:lineRule="auto"/>
        <w:ind w:firstLine="0"/>
        <w:rPr>
          <w:szCs w:val="24"/>
        </w:rPr>
      </w:pPr>
      <w:r w:rsidRPr="008D7AD1">
        <w:rPr>
          <w:b/>
          <w:szCs w:val="24"/>
        </w:rPr>
        <w:t>4.</w:t>
      </w:r>
      <w:r>
        <w:rPr>
          <w:b/>
          <w:szCs w:val="24"/>
        </w:rPr>
        <w:t>15</w:t>
      </w:r>
      <w:r w:rsidRPr="008D7AD1">
        <w:rPr>
          <w:szCs w:val="24"/>
        </w:rPr>
        <w:t xml:space="preserve"> </w:t>
      </w:r>
      <w:r w:rsidRPr="00A01AA3">
        <w:rPr>
          <w:szCs w:val="24"/>
        </w:rPr>
        <w:t>NKÚ dále kontrolou u vybraného</w:t>
      </w:r>
      <w:r w:rsidRPr="008D7AD1">
        <w:rPr>
          <w:szCs w:val="24"/>
        </w:rPr>
        <w:t xml:space="preserve"> vzorku příjemců </w:t>
      </w:r>
      <w:r>
        <w:rPr>
          <w:szCs w:val="24"/>
        </w:rPr>
        <w:t>dotací zjistil následující nedostatky:</w:t>
      </w:r>
    </w:p>
    <w:p w:rsidR="00E94D07" w:rsidRDefault="00E94D07" w:rsidP="000F641D">
      <w:pPr>
        <w:pStyle w:val="KPnormal"/>
        <w:numPr>
          <w:ilvl w:val="0"/>
          <w:numId w:val="8"/>
        </w:numPr>
        <w:spacing w:before="0" w:line="240" w:lineRule="auto"/>
        <w:rPr>
          <w:szCs w:val="24"/>
        </w:rPr>
      </w:pPr>
      <w:r>
        <w:rPr>
          <w:szCs w:val="24"/>
        </w:rPr>
        <w:t>Monitorovací zprávy obsahovaly obecné informace o příjemci (finanční údaje z účetních závěrek). Tuto skutečnost zjistil NKÚ u všech 20 kontrolovaných projektů. V jednom případě (projekt zaměřený na výrobu tvarovaných biopaliv) monitorovací zprávy obsahovaly pouze tuto obecnou část, nikoliv ale i část specifickou, která by se měla týkat projektu.</w:t>
      </w:r>
    </w:p>
    <w:p w:rsidR="00E94D07" w:rsidRPr="008662D1" w:rsidRDefault="00E94D07" w:rsidP="000F641D">
      <w:pPr>
        <w:pStyle w:val="KPnormal"/>
        <w:numPr>
          <w:ilvl w:val="0"/>
          <w:numId w:val="8"/>
        </w:numPr>
        <w:spacing w:before="0" w:line="240" w:lineRule="auto"/>
        <w:rPr>
          <w:szCs w:val="24"/>
        </w:rPr>
      </w:pPr>
      <w:r>
        <w:rPr>
          <w:rFonts w:cstheme="minorHAnsi"/>
        </w:rPr>
        <w:t xml:space="preserve">Informace a údaje, které </w:t>
      </w:r>
      <w:r>
        <w:rPr>
          <w:rFonts w:cstheme="minorHAnsi"/>
          <w:szCs w:val="24"/>
        </w:rPr>
        <w:t>příjemci</w:t>
      </w:r>
      <w:r>
        <w:rPr>
          <w:rFonts w:cstheme="minorHAnsi"/>
        </w:rPr>
        <w:t xml:space="preserve"> uváděli v</w:t>
      </w:r>
      <w:r w:rsidR="00A01AA3">
        <w:rPr>
          <w:rFonts w:cstheme="minorHAnsi"/>
        </w:rPr>
        <w:t xml:space="preserve"> </w:t>
      </w:r>
      <w:r>
        <w:rPr>
          <w:rFonts w:cstheme="minorHAnsi"/>
        </w:rPr>
        <w:t>žádosti o dotaci, v</w:t>
      </w:r>
      <w:r w:rsidR="00A01AA3">
        <w:rPr>
          <w:rFonts w:cstheme="minorHAnsi"/>
        </w:rPr>
        <w:t xml:space="preserve"> </w:t>
      </w:r>
      <w:r>
        <w:rPr>
          <w:rFonts w:cstheme="minorHAnsi"/>
        </w:rPr>
        <w:t xml:space="preserve">žádosti o proplacení </w:t>
      </w:r>
      <w:r w:rsidR="00A01AA3">
        <w:rPr>
          <w:rFonts w:cstheme="minorHAnsi"/>
        </w:rPr>
        <w:br/>
      </w:r>
      <w:r>
        <w:rPr>
          <w:rFonts w:cstheme="minorHAnsi"/>
        </w:rPr>
        <w:t>a</w:t>
      </w:r>
      <w:r w:rsidR="00A01AA3">
        <w:rPr>
          <w:rFonts w:cstheme="minorHAnsi"/>
        </w:rPr>
        <w:t xml:space="preserve"> </w:t>
      </w:r>
      <w:r>
        <w:rPr>
          <w:rFonts w:cstheme="minorHAnsi"/>
        </w:rPr>
        <w:t>následně v</w:t>
      </w:r>
      <w:r w:rsidR="00A01AA3">
        <w:rPr>
          <w:rFonts w:cstheme="minorHAnsi"/>
        </w:rPr>
        <w:t xml:space="preserve"> </w:t>
      </w:r>
      <w:r>
        <w:rPr>
          <w:rFonts w:cstheme="minorHAnsi"/>
        </w:rPr>
        <w:t>monitor</w:t>
      </w:r>
      <w:r w:rsidR="00223B0E">
        <w:rPr>
          <w:rFonts w:cstheme="minorHAnsi"/>
        </w:rPr>
        <w:t>ov</w:t>
      </w:r>
      <w:r>
        <w:rPr>
          <w:rFonts w:cstheme="minorHAnsi"/>
        </w:rPr>
        <w:t>acích zprávách po proplacení projektu, nejsou vůbec provázány</w:t>
      </w:r>
      <w:r w:rsidR="00A01AA3">
        <w:rPr>
          <w:rFonts w:cstheme="minorHAnsi"/>
        </w:rPr>
        <w:t>,</w:t>
      </w:r>
      <w:r>
        <w:rPr>
          <w:rFonts w:cstheme="minorHAnsi"/>
        </w:rPr>
        <w:t xml:space="preserve"> a</w:t>
      </w:r>
      <w:r w:rsidR="00A01AA3">
        <w:rPr>
          <w:rFonts w:cstheme="minorHAnsi"/>
        </w:rPr>
        <w:t xml:space="preserve"> </w:t>
      </w:r>
      <w:r>
        <w:rPr>
          <w:rFonts w:cstheme="minorHAnsi"/>
        </w:rPr>
        <w:t xml:space="preserve">nelze je </w:t>
      </w:r>
      <w:r w:rsidR="00A01AA3">
        <w:rPr>
          <w:rFonts w:cstheme="minorHAnsi"/>
        </w:rPr>
        <w:t>tudíž</w:t>
      </w:r>
      <w:r>
        <w:rPr>
          <w:rFonts w:cstheme="minorHAnsi"/>
        </w:rPr>
        <w:t xml:space="preserve"> použít k </w:t>
      </w:r>
      <w:r w:rsidRPr="0032655B">
        <w:rPr>
          <w:rFonts w:cstheme="minorHAnsi"/>
        </w:rPr>
        <w:t>ověř</w:t>
      </w:r>
      <w:r>
        <w:rPr>
          <w:rFonts w:cstheme="minorHAnsi"/>
        </w:rPr>
        <w:t>ení</w:t>
      </w:r>
      <w:r w:rsidRPr="0032655B">
        <w:rPr>
          <w:rFonts w:cstheme="minorHAnsi"/>
        </w:rPr>
        <w:t>, zda realizací projekt</w:t>
      </w:r>
      <w:r>
        <w:rPr>
          <w:rFonts w:cstheme="minorHAnsi"/>
        </w:rPr>
        <w:t>u</w:t>
      </w:r>
      <w:r w:rsidRPr="0032655B">
        <w:rPr>
          <w:rFonts w:cstheme="minorHAnsi"/>
        </w:rPr>
        <w:t xml:space="preserve"> došlo </w:t>
      </w:r>
      <w:r>
        <w:rPr>
          <w:rFonts w:cstheme="minorHAnsi"/>
        </w:rPr>
        <w:t xml:space="preserve">k naplnění cíle </w:t>
      </w:r>
      <w:r w:rsidR="00A01AA3">
        <w:rPr>
          <w:rFonts w:cstheme="minorHAnsi"/>
        </w:rPr>
        <w:t>(příp.</w:t>
      </w:r>
      <w:r>
        <w:rPr>
          <w:rFonts w:cstheme="minorHAnsi"/>
        </w:rPr>
        <w:t xml:space="preserve"> výsledku</w:t>
      </w:r>
      <w:r w:rsidR="00A01AA3">
        <w:rPr>
          <w:rFonts w:cstheme="minorHAnsi"/>
        </w:rPr>
        <w:t>)</w:t>
      </w:r>
      <w:r>
        <w:rPr>
          <w:rFonts w:cstheme="minorHAnsi"/>
        </w:rPr>
        <w:t>,</w:t>
      </w:r>
      <w:r w:rsidRPr="0032655B">
        <w:rPr>
          <w:rFonts w:cstheme="minorHAnsi"/>
        </w:rPr>
        <w:t xml:space="preserve"> </w:t>
      </w:r>
      <w:r w:rsidR="00A01AA3">
        <w:rPr>
          <w:rFonts w:cstheme="minorHAnsi"/>
        </w:rPr>
        <w:t>jejž</w:t>
      </w:r>
      <w:r w:rsidRPr="0032655B">
        <w:rPr>
          <w:rFonts w:cstheme="minorHAnsi"/>
        </w:rPr>
        <w:t xml:space="preserve"> </w:t>
      </w:r>
      <w:r>
        <w:rPr>
          <w:rFonts w:cstheme="minorHAnsi"/>
          <w:szCs w:val="24"/>
        </w:rPr>
        <w:t>příjemce</w:t>
      </w:r>
      <w:r w:rsidRPr="0032655B">
        <w:rPr>
          <w:rFonts w:cstheme="minorHAnsi"/>
        </w:rPr>
        <w:t xml:space="preserve"> </w:t>
      </w:r>
      <w:r>
        <w:rPr>
          <w:rFonts w:cstheme="minorHAnsi"/>
        </w:rPr>
        <w:t>uvedl</w:t>
      </w:r>
      <w:r w:rsidRPr="0032655B">
        <w:rPr>
          <w:rFonts w:cstheme="minorHAnsi"/>
        </w:rPr>
        <w:t xml:space="preserve"> v</w:t>
      </w:r>
      <w:r w:rsidR="00A01AA3">
        <w:rPr>
          <w:rFonts w:cstheme="minorHAnsi"/>
        </w:rPr>
        <w:t xml:space="preserve"> </w:t>
      </w:r>
      <w:r w:rsidRPr="0032655B">
        <w:rPr>
          <w:rFonts w:cstheme="minorHAnsi"/>
        </w:rPr>
        <w:t>žádosti o dotaci.</w:t>
      </w:r>
      <w:r>
        <w:rPr>
          <w:rFonts w:cstheme="minorHAnsi"/>
        </w:rPr>
        <w:t xml:space="preserve"> Tuto skutečnost zjistil NKÚ u</w:t>
      </w:r>
      <w:r w:rsidR="00A01AA3">
        <w:rPr>
          <w:rFonts w:cstheme="minorHAnsi"/>
        </w:rPr>
        <w:t> </w:t>
      </w:r>
      <w:r>
        <w:rPr>
          <w:rFonts w:cstheme="minorHAnsi"/>
        </w:rPr>
        <w:t>15</w:t>
      </w:r>
      <w:r w:rsidR="00A01AA3">
        <w:rPr>
          <w:rFonts w:cstheme="minorHAnsi"/>
        </w:rPr>
        <w:t> </w:t>
      </w:r>
      <w:r>
        <w:rPr>
          <w:rFonts w:cstheme="minorHAnsi"/>
        </w:rPr>
        <w:t>projektů z</w:t>
      </w:r>
      <w:r w:rsidR="00A01AA3">
        <w:rPr>
          <w:rFonts w:cstheme="minorHAnsi"/>
        </w:rPr>
        <w:t xml:space="preserve"> </w:t>
      </w:r>
      <w:r>
        <w:rPr>
          <w:rFonts w:cstheme="minorHAnsi"/>
        </w:rPr>
        <w:t>20. Neprovázanost údajů mezi žádostmi a</w:t>
      </w:r>
      <w:r w:rsidR="00A01AA3">
        <w:rPr>
          <w:rFonts w:cstheme="minorHAnsi"/>
        </w:rPr>
        <w:t xml:space="preserve"> </w:t>
      </w:r>
      <w:r>
        <w:rPr>
          <w:rFonts w:cstheme="minorHAnsi"/>
        </w:rPr>
        <w:t>monitorovacími zprávami ilustruje příklad č. 5.</w:t>
      </w:r>
    </w:p>
    <w:p w:rsidR="00E94D07" w:rsidRPr="00DE1FB4" w:rsidRDefault="00E94D07" w:rsidP="000F641D">
      <w:pPr>
        <w:pStyle w:val="KPnormal"/>
        <w:numPr>
          <w:ilvl w:val="0"/>
          <w:numId w:val="8"/>
        </w:numPr>
        <w:spacing w:before="0" w:after="120" w:line="240" w:lineRule="auto"/>
        <w:rPr>
          <w:szCs w:val="24"/>
        </w:rPr>
      </w:pPr>
      <w:r>
        <w:rPr>
          <w:szCs w:val="24"/>
        </w:rPr>
        <w:t xml:space="preserve">Příjemci </w:t>
      </w:r>
      <w:r w:rsidR="00A01AA3">
        <w:rPr>
          <w:szCs w:val="24"/>
        </w:rPr>
        <w:t xml:space="preserve">často </w:t>
      </w:r>
      <w:r>
        <w:rPr>
          <w:szCs w:val="24"/>
        </w:rPr>
        <w:t>v monitorovacích zprávách vykazují zcela nesprávné hodnoty. Například nevykazují tržby za projekt, ale za celý podnik</w:t>
      </w:r>
      <w:r w:rsidR="00353769">
        <w:rPr>
          <w:szCs w:val="24"/>
        </w:rPr>
        <w:t>,</w:t>
      </w:r>
      <w:r>
        <w:rPr>
          <w:szCs w:val="24"/>
        </w:rPr>
        <w:t xml:space="preserve"> nebo nevykazují žádné tržby, ačkoliv jich dosáhli. Tuto skutečnost zjistil NKÚ u celé poloviny</w:t>
      </w:r>
      <w:r w:rsidR="00A4784E">
        <w:rPr>
          <w:szCs w:val="24"/>
        </w:rPr>
        <w:t xml:space="preserve"> projektů</w:t>
      </w:r>
      <w:r>
        <w:rPr>
          <w:szCs w:val="24"/>
        </w:rPr>
        <w:t xml:space="preserve">, tedy </w:t>
      </w:r>
      <w:r w:rsidR="00A4784E">
        <w:rPr>
          <w:szCs w:val="24"/>
        </w:rPr>
        <w:t xml:space="preserve">u </w:t>
      </w:r>
      <w:r>
        <w:rPr>
          <w:szCs w:val="24"/>
        </w:rPr>
        <w:t>10 projektů z 20</w:t>
      </w:r>
      <w:r w:rsidR="005A7D0F">
        <w:rPr>
          <w:szCs w:val="24"/>
        </w:rPr>
        <w:t> </w:t>
      </w:r>
      <w:r>
        <w:rPr>
          <w:szCs w:val="24"/>
        </w:rPr>
        <w:t>kontrolovaných. Nesprávně vyplněné údaje v monitorovacích zprávách ilustruje příklad č. 6.</w:t>
      </w:r>
    </w:p>
    <w:p w:rsidR="00E94D07" w:rsidRPr="0022660A" w:rsidRDefault="00E94D07" w:rsidP="00E94D07">
      <w:pPr>
        <w:rPr>
          <w:b/>
        </w:rPr>
      </w:pPr>
      <w:r w:rsidRPr="0022660A">
        <w:rPr>
          <w:b/>
        </w:rPr>
        <w:t xml:space="preserve">Příklad č. </w:t>
      </w:r>
      <w:r>
        <w:rPr>
          <w:b/>
        </w:rPr>
        <w:t>5</w:t>
      </w:r>
      <w:r w:rsidRPr="0022660A">
        <w:rPr>
          <w:b/>
        </w:rPr>
        <w:t xml:space="preserve"> – neprovázanost údajů</w:t>
      </w:r>
    </w:p>
    <w:p w:rsidR="00E94D07" w:rsidRPr="000D22A6" w:rsidRDefault="00E94D07" w:rsidP="00D1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20"/>
        <w:rPr>
          <w:rFonts w:asciiTheme="minorHAnsi" w:hAnsiTheme="minorHAnsi" w:cstheme="minorHAnsi"/>
        </w:rPr>
      </w:pPr>
      <w:r w:rsidRPr="000D22A6">
        <w:rPr>
          <w:rFonts w:asciiTheme="minorHAnsi" w:hAnsiTheme="minorHAnsi" w:cstheme="minorHAnsi"/>
        </w:rPr>
        <w:t>U projektu č. 0805 na výstavbu penzionu (podpora agroturistiky) příjemce v žádosti o dotaci uvedl indikátor „</w:t>
      </w:r>
      <w:r w:rsidRPr="000D22A6">
        <w:rPr>
          <w:rFonts w:asciiTheme="minorHAnsi" w:hAnsiTheme="minorHAnsi" w:cstheme="minorHAnsi"/>
          <w:i/>
        </w:rPr>
        <w:t>předpokládaný počet obsazených lůžek za rok</w:t>
      </w:r>
      <w:r w:rsidRPr="000D22A6">
        <w:rPr>
          <w:rFonts w:asciiTheme="minorHAnsi" w:hAnsiTheme="minorHAnsi" w:cstheme="minorHAnsi"/>
        </w:rPr>
        <w:t>“, v monitorovacích zprávách však již uvedl indikátor „</w:t>
      </w:r>
      <w:r w:rsidRPr="000D22A6">
        <w:rPr>
          <w:rFonts w:asciiTheme="minorHAnsi" w:hAnsiTheme="minorHAnsi" w:cstheme="minorHAnsi"/>
          <w:i/>
        </w:rPr>
        <w:t>počet hostů bez rozlišení počtu nocí strávených na ubytování</w:t>
      </w:r>
      <w:r w:rsidRPr="000D22A6">
        <w:rPr>
          <w:rFonts w:asciiTheme="minorHAnsi" w:hAnsiTheme="minorHAnsi" w:cstheme="minorHAnsi"/>
        </w:rPr>
        <w:t>“.</w:t>
      </w:r>
    </w:p>
    <w:p w:rsidR="00E94D07" w:rsidRPr="000D22A6" w:rsidRDefault="00E94D07" w:rsidP="00E94D07">
      <w:pPr>
        <w:pStyle w:val="KP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0"/>
        <w:rPr>
          <w:rFonts w:asciiTheme="minorHAnsi" w:hAnsiTheme="minorHAnsi" w:cstheme="minorHAnsi"/>
        </w:rPr>
      </w:pPr>
      <w:r w:rsidRPr="000D22A6">
        <w:rPr>
          <w:rFonts w:asciiTheme="minorHAnsi" w:hAnsiTheme="minorHAnsi" w:cstheme="minorHAnsi"/>
        </w:rPr>
        <w:t>Z důvodu rozdílných a nesrovnatelných indikátorů získaných z monitorovacích zpráv tak není možné ověřit naplnění cílů projektu bez provedení kontroly</w:t>
      </w:r>
      <w:r w:rsidR="00FF24C5">
        <w:rPr>
          <w:rFonts w:asciiTheme="minorHAnsi" w:hAnsiTheme="minorHAnsi" w:cstheme="minorHAnsi"/>
        </w:rPr>
        <w:t xml:space="preserve"> u příjemce dotace</w:t>
      </w:r>
      <w:r w:rsidRPr="000D22A6">
        <w:rPr>
          <w:rFonts w:asciiTheme="minorHAnsi" w:hAnsiTheme="minorHAnsi" w:cstheme="minorHAnsi"/>
        </w:rPr>
        <w:t>.</w:t>
      </w:r>
    </w:p>
    <w:p w:rsidR="00CC6A32" w:rsidRDefault="00CC6A32" w:rsidP="00E94D07">
      <w:pPr>
        <w:rPr>
          <w:b/>
        </w:rPr>
      </w:pPr>
    </w:p>
    <w:p w:rsidR="00E94D07" w:rsidRPr="0022660A" w:rsidRDefault="00E94D07" w:rsidP="00D17BAD">
      <w:pPr>
        <w:keepNext/>
        <w:rPr>
          <w:b/>
        </w:rPr>
      </w:pPr>
      <w:r w:rsidRPr="0022660A">
        <w:rPr>
          <w:b/>
        </w:rPr>
        <w:lastRenderedPageBreak/>
        <w:t xml:space="preserve">Příklad č. </w:t>
      </w:r>
      <w:r>
        <w:rPr>
          <w:b/>
        </w:rPr>
        <w:t>6</w:t>
      </w:r>
      <w:r w:rsidRPr="0022660A">
        <w:rPr>
          <w:b/>
        </w:rPr>
        <w:t xml:space="preserve"> – špatně vykazované hodnoty v monitorovacích zprávách</w:t>
      </w:r>
    </w:p>
    <w:p w:rsidR="00E94D07" w:rsidRDefault="00E94D07" w:rsidP="00D17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</w:pPr>
      <w:r w:rsidRPr="00B3348B">
        <w:t>U projektu</w:t>
      </w:r>
      <w:r>
        <w:t xml:space="preserve"> </w:t>
      </w:r>
      <w:r w:rsidRPr="00B3348B">
        <w:t xml:space="preserve">č. </w:t>
      </w:r>
      <w:r w:rsidRPr="00B3348B">
        <w:rPr>
          <w:rFonts w:cstheme="minorHAnsi"/>
        </w:rPr>
        <w:t xml:space="preserve">0140 </w:t>
      </w:r>
      <w:bookmarkStart w:id="9" w:name="_Hlk144715813"/>
      <w:r>
        <w:t xml:space="preserve">na pořízení stroje </w:t>
      </w:r>
      <w:r w:rsidR="00A01AA3">
        <w:t xml:space="preserve">uvedl </w:t>
      </w:r>
      <w:r>
        <w:t>příjemce v žádosti o platbu a</w:t>
      </w:r>
      <w:r w:rsidR="00A01AA3">
        <w:t xml:space="preserve"> </w:t>
      </w:r>
      <w:r>
        <w:t>v</w:t>
      </w:r>
      <w:r w:rsidR="00A01AA3">
        <w:t xml:space="preserve"> </w:t>
      </w:r>
      <w:r>
        <w:t>monitorovacích zprávách ú</w:t>
      </w:r>
      <w:r w:rsidRPr="00F03446">
        <w:t xml:space="preserve">daje o celkových tržbách </w:t>
      </w:r>
      <w:r>
        <w:t xml:space="preserve">podniku </w:t>
      </w:r>
      <w:r w:rsidRPr="00F03446">
        <w:t>a tržbách z nezemědělské činnosti</w:t>
      </w:r>
      <w:r>
        <w:t xml:space="preserve">, aniž by měly přímou vazbu </w:t>
      </w:r>
      <w:r w:rsidRPr="00F03446">
        <w:t>na</w:t>
      </w:r>
      <w:r w:rsidR="00A01AA3">
        <w:t xml:space="preserve"> </w:t>
      </w:r>
      <w:r>
        <w:t xml:space="preserve">konkrétní </w:t>
      </w:r>
      <w:r w:rsidRPr="00F03446">
        <w:t>kontrolovaný projekt.</w:t>
      </w:r>
      <w:r>
        <w:t xml:space="preserve"> V</w:t>
      </w:r>
      <w:r w:rsidR="00A01AA3">
        <w:t xml:space="preserve"> </w:t>
      </w:r>
      <w:r w:rsidRPr="00F03446">
        <w:t xml:space="preserve">žádosti o platbu </w:t>
      </w:r>
      <w:r>
        <w:t>a</w:t>
      </w:r>
      <w:r w:rsidRPr="00F03446">
        <w:t xml:space="preserve"> monitorovacích zprávách </w:t>
      </w:r>
      <w:r>
        <w:t xml:space="preserve">pak </w:t>
      </w:r>
      <w:r w:rsidRPr="00F03446">
        <w:t>ne</w:t>
      </w:r>
      <w:r>
        <w:t>byly uvedeny</w:t>
      </w:r>
      <w:r w:rsidRPr="00F03446">
        <w:t xml:space="preserve"> údaje týkající se</w:t>
      </w:r>
      <w:r w:rsidR="00A01AA3">
        <w:t xml:space="preserve"> </w:t>
      </w:r>
      <w:r w:rsidRPr="00F03446">
        <w:t xml:space="preserve">počtu hodin využití pořízeného stroje, </w:t>
      </w:r>
      <w:r>
        <w:t>které byly</w:t>
      </w:r>
      <w:r w:rsidRPr="00F03446">
        <w:t xml:space="preserve"> uveden</w:t>
      </w:r>
      <w:r>
        <w:t>y</w:t>
      </w:r>
      <w:r w:rsidRPr="00F03446">
        <w:t xml:space="preserve"> v</w:t>
      </w:r>
      <w:r>
        <w:t> </w:t>
      </w:r>
      <w:r w:rsidRPr="00F03446">
        <w:t xml:space="preserve">žádosti o dotaci. </w:t>
      </w:r>
    </w:p>
    <w:p w:rsidR="00E94D07" w:rsidRPr="00B3348B" w:rsidRDefault="00E94D07" w:rsidP="00E94D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B3348B">
        <w:t>V</w:t>
      </w:r>
      <w:r w:rsidR="00A01AA3">
        <w:t xml:space="preserve"> </w:t>
      </w:r>
      <w:r>
        <w:t>m</w:t>
      </w:r>
      <w:r w:rsidRPr="00B3348B">
        <w:t xml:space="preserve">onitorovacích zprávách za roky 2020 až 2022 příjemce uvedl nesprávně tržby z nezemědělské činnosti, když je </w:t>
      </w:r>
      <w:r w:rsidR="00CC6A32">
        <w:t>vykázal</w:t>
      </w:r>
      <w:r w:rsidRPr="00B3348B">
        <w:t xml:space="preserve"> ve </w:t>
      </w:r>
      <w:r>
        <w:t xml:space="preserve">zjevně nepravdivé </w:t>
      </w:r>
      <w:r w:rsidRPr="00B3348B">
        <w:t xml:space="preserve">výši 0 Kč. </w:t>
      </w:r>
      <w:bookmarkEnd w:id="9"/>
    </w:p>
    <w:p w:rsidR="00E94D07" w:rsidRPr="003855D2" w:rsidRDefault="00E94D07" w:rsidP="00E94D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cstheme="minorHAnsi"/>
        </w:rPr>
      </w:pPr>
      <w:r w:rsidRPr="00B3348B">
        <w:rPr>
          <w:rFonts w:cstheme="minorHAnsi"/>
        </w:rPr>
        <w:t>NKÚ kontrolou ověřil, že ve skutečnosti realizace projektu (nákup stroje) generovala příjemci tržby</w:t>
      </w:r>
      <w:r>
        <w:rPr>
          <w:rFonts w:cstheme="minorHAnsi"/>
        </w:rPr>
        <w:t xml:space="preserve"> např. v roce 2021 ve výši 705 200 Kč</w:t>
      </w:r>
      <w:r w:rsidRPr="00B3348B">
        <w:rPr>
          <w:rFonts w:cstheme="minorHAnsi"/>
        </w:rPr>
        <w:t xml:space="preserve">. </w:t>
      </w:r>
    </w:p>
    <w:p w:rsidR="00E94D07" w:rsidRPr="00164F6C" w:rsidRDefault="00E94D07" w:rsidP="00E94D07">
      <w:pPr>
        <w:pStyle w:val="KPnormal"/>
        <w:spacing w:before="120" w:after="120" w:line="240" w:lineRule="auto"/>
        <w:ind w:firstLine="0"/>
        <w:rPr>
          <w:rFonts w:cstheme="minorHAnsi"/>
        </w:rPr>
      </w:pPr>
      <w:r w:rsidRPr="00564F57">
        <w:rPr>
          <w:b/>
          <w:szCs w:val="24"/>
        </w:rPr>
        <w:t>4.1</w:t>
      </w:r>
      <w:r>
        <w:rPr>
          <w:b/>
          <w:szCs w:val="24"/>
        </w:rPr>
        <w:t>6</w:t>
      </w:r>
      <w:r>
        <w:rPr>
          <w:szCs w:val="24"/>
        </w:rPr>
        <w:t xml:space="preserve"> NKÚ proto shrnuje, že z výše uvedených</w:t>
      </w:r>
      <w:r w:rsidR="00A01AA3">
        <w:rPr>
          <w:szCs w:val="24"/>
        </w:rPr>
        <w:t xml:space="preserve"> </w:t>
      </w:r>
      <w:r w:rsidRPr="007D2EBB">
        <w:rPr>
          <w:szCs w:val="24"/>
        </w:rPr>
        <w:t>důvod</w:t>
      </w:r>
      <w:r>
        <w:rPr>
          <w:szCs w:val="24"/>
        </w:rPr>
        <w:t>ů</w:t>
      </w:r>
      <w:r w:rsidRPr="007D2EBB">
        <w:rPr>
          <w:szCs w:val="24"/>
        </w:rPr>
        <w:t xml:space="preserve"> došlo k významnému omezení využitelnosti informací</w:t>
      </w:r>
      <w:r>
        <w:rPr>
          <w:szCs w:val="24"/>
        </w:rPr>
        <w:t xml:space="preserve"> uváděných v</w:t>
      </w:r>
      <w:r w:rsidR="00A01AA3">
        <w:rPr>
          <w:szCs w:val="24"/>
        </w:rPr>
        <w:t xml:space="preserve"> </w:t>
      </w:r>
      <w:r>
        <w:rPr>
          <w:szCs w:val="24"/>
        </w:rPr>
        <w:t xml:space="preserve">monitorovacích zprávách příjemců. Tyto nedostatky snižují vypovídací hodnotu informací získaných pro průběžné hodnocení účelnosti </w:t>
      </w:r>
      <w:r w:rsidR="00A01AA3">
        <w:rPr>
          <w:szCs w:val="24"/>
        </w:rPr>
        <w:br/>
      </w:r>
      <w:r>
        <w:rPr>
          <w:szCs w:val="24"/>
        </w:rPr>
        <w:t>PRV 2014</w:t>
      </w:r>
      <w:r w:rsidR="004E2EE9">
        <w:rPr>
          <w:szCs w:val="24"/>
        </w:rPr>
        <w:t>–</w:t>
      </w:r>
      <w:r>
        <w:rPr>
          <w:szCs w:val="24"/>
        </w:rPr>
        <w:t>2020, obdobně pak i jejich potenciál pro jeho závěrečné vyhodnocení po skončení programového období. Obecně pak snižuj</w:t>
      </w:r>
      <w:r w:rsidR="00A01AA3">
        <w:rPr>
          <w:szCs w:val="24"/>
        </w:rPr>
        <w:t>í</w:t>
      </w:r>
      <w:r>
        <w:rPr>
          <w:szCs w:val="24"/>
        </w:rPr>
        <w:t xml:space="preserve"> význam a smysl takového způsobu monitorov</w:t>
      </w:r>
      <w:r w:rsidR="00A01AA3">
        <w:rPr>
          <w:szCs w:val="24"/>
        </w:rPr>
        <w:t>á</w:t>
      </w:r>
      <w:r>
        <w:rPr>
          <w:szCs w:val="24"/>
        </w:rPr>
        <w:t>ní.</w:t>
      </w:r>
      <w:r w:rsidR="00A01AA3">
        <w:rPr>
          <w:szCs w:val="24"/>
        </w:rPr>
        <w:t xml:space="preserve"> </w:t>
      </w:r>
      <w:r>
        <w:rPr>
          <w:szCs w:val="24"/>
        </w:rPr>
        <w:t xml:space="preserve">V důsledku omezené využitelnosti </w:t>
      </w:r>
      <w:r w:rsidR="00A01AA3">
        <w:rPr>
          <w:szCs w:val="24"/>
        </w:rPr>
        <w:t>uvedených informací pak tento monitoring</w:t>
      </w:r>
      <w:r w:rsidR="00CC6A32">
        <w:rPr>
          <w:szCs w:val="24"/>
        </w:rPr>
        <w:t xml:space="preserve"> </w:t>
      </w:r>
      <w:r>
        <w:rPr>
          <w:szCs w:val="24"/>
        </w:rPr>
        <w:t>znamená i</w:t>
      </w:r>
      <w:r w:rsidR="00A01AA3">
        <w:rPr>
          <w:szCs w:val="24"/>
        </w:rPr>
        <w:t> </w:t>
      </w:r>
      <w:r>
        <w:rPr>
          <w:szCs w:val="24"/>
        </w:rPr>
        <w:t>nadbytečnou administrativní zátěž pro příjemce dotací.</w:t>
      </w:r>
    </w:p>
    <w:p w:rsidR="00E94D07" w:rsidRPr="00A7441A" w:rsidRDefault="00E94D07" w:rsidP="00E94D07">
      <w:pPr>
        <w:spacing w:after="120"/>
        <w:rPr>
          <w:b/>
          <w:i/>
          <w:color w:val="AF1953"/>
        </w:rPr>
      </w:pPr>
      <w:r w:rsidRPr="00A7441A">
        <w:rPr>
          <w:b/>
          <w:i/>
          <w:color w:val="AF1953"/>
        </w:rPr>
        <w:t>→ MZe v</w:t>
      </w:r>
      <w:r w:rsidR="005A7D0F">
        <w:rPr>
          <w:b/>
          <w:i/>
          <w:color w:val="AF1953"/>
        </w:rPr>
        <w:t xml:space="preserve"> </w:t>
      </w:r>
      <w:r w:rsidRPr="00A7441A">
        <w:rPr>
          <w:b/>
          <w:i/>
          <w:color w:val="AF1953"/>
        </w:rPr>
        <w:t>současné době nemá informace o výsledcích a přínosech PRV 2014</w:t>
      </w:r>
      <w:r w:rsidR="004E2EE9">
        <w:rPr>
          <w:b/>
          <w:i/>
          <w:color w:val="AF1953"/>
        </w:rPr>
        <w:t>–</w:t>
      </w:r>
      <w:r w:rsidRPr="00A7441A">
        <w:rPr>
          <w:b/>
          <w:i/>
          <w:color w:val="AF1953"/>
        </w:rPr>
        <w:t xml:space="preserve">2020; vyhodnocení přínosů a dopadů PRV 2014–2020 provede až v roce 2026. </w:t>
      </w:r>
    </w:p>
    <w:p w:rsidR="00E94D07" w:rsidRPr="00E60B53" w:rsidRDefault="00E94D07" w:rsidP="00E94D07">
      <w:pPr>
        <w:spacing w:after="120"/>
        <w:rPr>
          <w:rFonts w:cstheme="minorHAnsi"/>
          <w:bCs/>
          <w:iCs/>
        </w:rPr>
      </w:pPr>
      <w:r w:rsidRPr="00126430">
        <w:rPr>
          <w:b/>
        </w:rPr>
        <w:t>4.</w:t>
      </w:r>
      <w:r>
        <w:rPr>
          <w:b/>
        </w:rPr>
        <w:t xml:space="preserve">17 </w:t>
      </w:r>
      <w:r w:rsidRPr="00443C39">
        <w:rPr>
          <w:rFonts w:cstheme="minorHAnsi"/>
          <w:bCs/>
          <w:iCs/>
        </w:rPr>
        <w:t>Vzhledem k</w:t>
      </w:r>
      <w:r w:rsidR="00D27F86" w:rsidRPr="00443C39">
        <w:rPr>
          <w:rFonts w:cstheme="minorHAnsi"/>
          <w:bCs/>
          <w:iCs/>
        </w:rPr>
        <w:t xml:space="preserve"> </w:t>
      </w:r>
      <w:r w:rsidRPr="00443C39">
        <w:rPr>
          <w:rFonts w:cstheme="minorHAnsi"/>
          <w:bCs/>
          <w:iCs/>
        </w:rPr>
        <w:t>výše popsaným nedostatkům</w:t>
      </w:r>
      <w:r>
        <w:rPr>
          <w:rFonts w:cstheme="minorHAnsi"/>
          <w:bCs/>
          <w:iCs/>
        </w:rPr>
        <w:t xml:space="preserve"> </w:t>
      </w:r>
      <w:r w:rsidR="00443C39">
        <w:rPr>
          <w:rFonts w:cstheme="minorHAnsi"/>
          <w:bCs/>
          <w:iCs/>
        </w:rPr>
        <w:t xml:space="preserve">nemá MZe </w:t>
      </w:r>
      <w:r>
        <w:rPr>
          <w:rFonts w:cstheme="minorHAnsi"/>
          <w:bCs/>
          <w:iCs/>
        </w:rPr>
        <w:t>na konci roku 2023, tedy na samém konci realizace PRV 2014–2020</w:t>
      </w:r>
      <w:r w:rsidR="00274F0B">
        <w:rPr>
          <w:rFonts w:cstheme="minorHAnsi"/>
          <w:bCs/>
          <w:iCs/>
        </w:rPr>
        <w:t>,</w:t>
      </w:r>
      <w:r>
        <w:rPr>
          <w:rFonts w:cstheme="minorHAnsi"/>
          <w:bCs/>
          <w:iCs/>
        </w:rPr>
        <w:t xml:space="preserve"> potřebné informace </w:t>
      </w:r>
      <w:r w:rsidR="00563BAA">
        <w:rPr>
          <w:rFonts w:cstheme="minorHAnsi"/>
          <w:bCs/>
          <w:iCs/>
        </w:rPr>
        <w:t>o</w:t>
      </w:r>
      <w:r>
        <w:rPr>
          <w:rFonts w:cstheme="minorHAnsi"/>
          <w:bCs/>
          <w:iCs/>
        </w:rPr>
        <w:t xml:space="preserve"> plnění cílů a</w:t>
      </w:r>
      <w:r w:rsidR="00443C39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očekávaných dopadů PRV</w:t>
      </w:r>
      <w:r w:rsidR="00443C39">
        <w:rPr>
          <w:rFonts w:cstheme="minorHAnsi"/>
          <w:bCs/>
          <w:iCs/>
        </w:rPr>
        <w:t> </w:t>
      </w:r>
      <w:r>
        <w:rPr>
          <w:rFonts w:cstheme="minorHAnsi"/>
          <w:bCs/>
          <w:iCs/>
        </w:rPr>
        <w:t>2014</w:t>
      </w:r>
      <w:r w:rsidR="004E2EE9">
        <w:rPr>
          <w:rFonts w:cstheme="minorHAnsi"/>
          <w:bCs/>
          <w:iCs/>
        </w:rPr>
        <w:t>–</w:t>
      </w:r>
      <w:r>
        <w:rPr>
          <w:rFonts w:cstheme="minorHAnsi"/>
          <w:bCs/>
          <w:iCs/>
        </w:rPr>
        <w:t xml:space="preserve">2020. </w:t>
      </w:r>
    </w:p>
    <w:p w:rsidR="00E94D07" w:rsidRDefault="00E94D07" w:rsidP="00E94D07">
      <w:pPr>
        <w:spacing w:after="120"/>
        <w:rPr>
          <w:rFonts w:cstheme="minorHAnsi"/>
          <w:bCs/>
          <w:iCs/>
        </w:rPr>
      </w:pPr>
      <w:r w:rsidRPr="00126430">
        <w:rPr>
          <w:b/>
        </w:rPr>
        <w:t>4.</w:t>
      </w:r>
      <w:r>
        <w:rPr>
          <w:b/>
        </w:rPr>
        <w:t xml:space="preserve">18 </w:t>
      </w:r>
      <w:r w:rsidRPr="001F7345">
        <w:t>NKÚ dále upozorňuje, že</w:t>
      </w:r>
      <w:r>
        <w:rPr>
          <w:b/>
        </w:rPr>
        <w:t xml:space="preserve"> </w:t>
      </w:r>
      <w:r>
        <w:t xml:space="preserve">v průběhu programového období upravovalo </w:t>
      </w:r>
      <w:r w:rsidR="00443C39">
        <w:t xml:space="preserve">MZe </w:t>
      </w:r>
      <w:r>
        <w:t xml:space="preserve">výši cílových hodnot některých stanovených indikátorů. </w:t>
      </w:r>
      <w:r w:rsidRPr="00E60B53">
        <w:rPr>
          <w:rFonts w:cstheme="minorHAnsi"/>
          <w:bCs/>
          <w:iCs/>
        </w:rPr>
        <w:t xml:space="preserve">V některých případech </w:t>
      </w:r>
      <w:r w:rsidR="00443C39">
        <w:rPr>
          <w:rFonts w:cstheme="minorHAnsi"/>
          <w:bCs/>
          <w:iCs/>
        </w:rPr>
        <w:t>šlo</w:t>
      </w:r>
      <w:r w:rsidRPr="00E60B53">
        <w:rPr>
          <w:rFonts w:cstheme="minorHAnsi"/>
          <w:bCs/>
          <w:iCs/>
        </w:rPr>
        <w:t xml:space="preserve"> o drobné</w:t>
      </w:r>
      <w:r w:rsidR="00443C39">
        <w:rPr>
          <w:rFonts w:cstheme="minorHAnsi"/>
          <w:bCs/>
          <w:iCs/>
        </w:rPr>
        <w:t>,</w:t>
      </w:r>
      <w:r w:rsidRPr="00E60B53">
        <w:rPr>
          <w:rFonts w:cstheme="minorHAnsi"/>
          <w:bCs/>
          <w:iCs/>
        </w:rPr>
        <w:t xml:space="preserve"> nevýznamné změny, ale například v rámci opatření M01 se jednalo o více </w:t>
      </w:r>
      <w:r w:rsidR="00443C39">
        <w:rPr>
          <w:rFonts w:cstheme="minorHAnsi"/>
          <w:bCs/>
          <w:iCs/>
        </w:rPr>
        <w:t>než</w:t>
      </w:r>
      <w:r w:rsidRPr="00E60B53">
        <w:rPr>
          <w:rFonts w:cstheme="minorHAnsi"/>
          <w:bCs/>
          <w:iCs/>
        </w:rPr>
        <w:t xml:space="preserve"> 50% snížení cílových hodnot</w:t>
      </w:r>
      <w:r>
        <w:rPr>
          <w:rFonts w:cstheme="minorHAnsi"/>
          <w:bCs/>
          <w:iCs/>
        </w:rPr>
        <w:t xml:space="preserve"> u indikátorů sledujících např. počet účastníků školení nebo vzdělávacích akcí</w:t>
      </w:r>
      <w:r w:rsidRPr="00E60B53">
        <w:rPr>
          <w:rFonts w:cstheme="minorHAnsi"/>
          <w:bCs/>
          <w:iCs/>
        </w:rPr>
        <w:t xml:space="preserve"> oproti předch</w:t>
      </w:r>
      <w:r w:rsidR="00443C39">
        <w:rPr>
          <w:rFonts w:cstheme="minorHAnsi"/>
          <w:bCs/>
          <w:iCs/>
        </w:rPr>
        <w:t>ozí</w:t>
      </w:r>
      <w:r w:rsidRPr="00E60B53">
        <w:rPr>
          <w:rFonts w:cstheme="minorHAnsi"/>
          <w:bCs/>
          <w:iCs/>
        </w:rPr>
        <w:t xml:space="preserve"> (desáté) aktualizaci programového dokumentu PRV</w:t>
      </w:r>
      <w:r>
        <w:rPr>
          <w:rFonts w:cstheme="minorHAnsi"/>
          <w:bCs/>
          <w:iCs/>
        </w:rPr>
        <w:t xml:space="preserve"> 2014</w:t>
      </w:r>
      <w:r w:rsidR="004E2EE9">
        <w:rPr>
          <w:rFonts w:cstheme="minorHAnsi"/>
          <w:bCs/>
          <w:iCs/>
        </w:rPr>
        <w:t>–</w:t>
      </w:r>
      <w:r>
        <w:rPr>
          <w:rFonts w:cstheme="minorHAnsi"/>
          <w:bCs/>
          <w:iCs/>
        </w:rPr>
        <w:t>2020 (viz příloha č. 4)</w:t>
      </w:r>
      <w:r w:rsidRPr="00E60B53">
        <w:rPr>
          <w:rFonts w:cstheme="minorHAnsi"/>
          <w:bCs/>
          <w:iCs/>
        </w:rPr>
        <w:t>.</w:t>
      </w:r>
      <w:r>
        <w:rPr>
          <w:rFonts w:cstheme="minorHAnsi"/>
          <w:bCs/>
          <w:iCs/>
        </w:rPr>
        <w:t xml:space="preserve"> I přes takto zásadní snížení cílových hodnot </w:t>
      </w:r>
      <w:r w:rsidR="00443C39">
        <w:rPr>
          <w:rFonts w:cstheme="minorHAnsi"/>
          <w:bCs/>
          <w:iCs/>
        </w:rPr>
        <w:t xml:space="preserve">indikátorů </w:t>
      </w:r>
      <w:r>
        <w:rPr>
          <w:rFonts w:cstheme="minorHAnsi"/>
          <w:bCs/>
          <w:iCs/>
        </w:rPr>
        <w:t>v</w:t>
      </w:r>
      <w:r w:rsidR="00443C39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rámci M01 není dle posledních dat pravděpodobné, že dojde k</w:t>
      </w:r>
      <w:r w:rsidR="00443C39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jejich naplnění. Hodnot</w:t>
      </w:r>
      <w:r w:rsidR="00443C39">
        <w:rPr>
          <w:rFonts w:cstheme="minorHAnsi"/>
          <w:bCs/>
          <w:iCs/>
        </w:rPr>
        <w:t>a</w:t>
      </w:r>
      <w:r>
        <w:rPr>
          <w:rFonts w:cstheme="minorHAnsi"/>
          <w:bCs/>
          <w:iCs/>
        </w:rPr>
        <w:t xml:space="preserve"> plnění j</w:t>
      </w:r>
      <w:r w:rsidR="00443C39">
        <w:rPr>
          <w:rFonts w:cstheme="minorHAnsi"/>
          <w:bCs/>
          <w:iCs/>
        </w:rPr>
        <w:t>e</w:t>
      </w:r>
      <w:r>
        <w:rPr>
          <w:rFonts w:cstheme="minorHAnsi"/>
          <w:bCs/>
          <w:iCs/>
        </w:rPr>
        <w:t xml:space="preserve"> u</w:t>
      </w:r>
      <w:r w:rsidR="00443C39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opatření M01 velmi nízk</w:t>
      </w:r>
      <w:r w:rsidR="00443C39">
        <w:rPr>
          <w:rFonts w:cstheme="minorHAnsi"/>
          <w:bCs/>
          <w:iCs/>
        </w:rPr>
        <w:t>á</w:t>
      </w:r>
      <w:r>
        <w:rPr>
          <w:rFonts w:cstheme="minorHAnsi"/>
          <w:bCs/>
          <w:iCs/>
        </w:rPr>
        <w:t xml:space="preserve"> např. u indikátoru</w:t>
      </w:r>
      <w:r w:rsidR="00443C39">
        <w:rPr>
          <w:rFonts w:cstheme="minorHAnsi"/>
          <w:bCs/>
          <w:iCs/>
        </w:rPr>
        <w:t xml:space="preserve"> „</w:t>
      </w:r>
      <w:r w:rsidRPr="00D17BAD">
        <w:rPr>
          <w:rFonts w:cstheme="minorHAnsi"/>
          <w:bCs/>
          <w:i/>
          <w:iCs/>
        </w:rPr>
        <w:t>c</w:t>
      </w:r>
      <w:r w:rsidRPr="000F1521">
        <w:rPr>
          <w:rFonts w:cstheme="minorHAnsi"/>
          <w:bCs/>
          <w:iCs/>
        </w:rPr>
        <w:t>e</w:t>
      </w:r>
      <w:r w:rsidRPr="00FD4FE8">
        <w:rPr>
          <w:rFonts w:cstheme="minorHAnsi"/>
          <w:bCs/>
          <w:i/>
          <w:iCs/>
        </w:rPr>
        <w:t>lkové veřejné výdaje za operace 1.1.1, 1.2.1</w:t>
      </w:r>
      <w:r w:rsidR="00443C39">
        <w:rPr>
          <w:rFonts w:cstheme="minorHAnsi"/>
          <w:bCs/>
          <w:iCs/>
        </w:rPr>
        <w:t>“</w:t>
      </w:r>
      <w:r w:rsidR="00CC6A32">
        <w:rPr>
          <w:rFonts w:cstheme="minorHAnsi"/>
          <w:bCs/>
          <w:i/>
          <w:iCs/>
        </w:rPr>
        <w:t xml:space="preserve">, </w:t>
      </w:r>
      <w:r>
        <w:rPr>
          <w:rFonts w:cstheme="minorHAnsi"/>
          <w:bCs/>
          <w:iCs/>
        </w:rPr>
        <w:t>dosáhl</w:t>
      </w:r>
      <w:r w:rsidR="00443C39">
        <w:rPr>
          <w:rFonts w:cstheme="minorHAnsi"/>
          <w:bCs/>
          <w:iCs/>
        </w:rPr>
        <w:t>a</w:t>
      </w:r>
      <w:r>
        <w:rPr>
          <w:rFonts w:cstheme="minorHAnsi"/>
          <w:bCs/>
          <w:iCs/>
        </w:rPr>
        <w:t xml:space="preserve"> </w:t>
      </w:r>
      <w:r w:rsidR="00443C39">
        <w:rPr>
          <w:rFonts w:cstheme="minorHAnsi"/>
          <w:bCs/>
          <w:iCs/>
        </w:rPr>
        <w:t>výše</w:t>
      </w:r>
      <w:r w:rsidR="00CC6A32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pouze 12,2</w:t>
      </w:r>
      <w:r w:rsidR="00443C39">
        <w:rPr>
          <w:rFonts w:cstheme="minorHAnsi"/>
          <w:bCs/>
          <w:iCs/>
        </w:rPr>
        <w:t> </w:t>
      </w:r>
      <w:r>
        <w:rPr>
          <w:rFonts w:cstheme="minorHAnsi"/>
          <w:bCs/>
          <w:iCs/>
        </w:rPr>
        <w:t xml:space="preserve">%. Dále např. indikátor </w:t>
      </w:r>
      <w:r w:rsidR="00443C39">
        <w:rPr>
          <w:rFonts w:cstheme="minorHAnsi"/>
          <w:bCs/>
          <w:iCs/>
        </w:rPr>
        <w:t>„</w:t>
      </w:r>
      <w:r w:rsidRPr="00FD4FE8">
        <w:rPr>
          <w:rFonts w:cstheme="minorHAnsi"/>
          <w:bCs/>
          <w:i/>
          <w:iCs/>
        </w:rPr>
        <w:t>celkový počet vyškolených účastníků</w:t>
      </w:r>
      <w:r w:rsidR="00443C39">
        <w:rPr>
          <w:rFonts w:cstheme="minorHAnsi"/>
          <w:bCs/>
          <w:iCs/>
        </w:rPr>
        <w:t>“</w:t>
      </w:r>
      <w:r>
        <w:rPr>
          <w:rFonts w:cstheme="minorHAnsi"/>
          <w:bCs/>
          <w:iCs/>
        </w:rPr>
        <w:t xml:space="preserve"> dosáhl </w:t>
      </w:r>
      <w:r w:rsidR="00CC6A32">
        <w:rPr>
          <w:rFonts w:cstheme="minorHAnsi"/>
          <w:bCs/>
          <w:iCs/>
        </w:rPr>
        <w:t>úrovně plnění</w:t>
      </w:r>
      <w:r>
        <w:rPr>
          <w:rFonts w:cstheme="minorHAnsi"/>
          <w:bCs/>
          <w:iCs/>
        </w:rPr>
        <w:t xml:space="preserve"> 35,4</w:t>
      </w:r>
      <w:r w:rsidR="00443C39">
        <w:rPr>
          <w:rFonts w:cstheme="minorHAnsi"/>
          <w:bCs/>
          <w:iCs/>
        </w:rPr>
        <w:t> </w:t>
      </w:r>
      <w:r>
        <w:rPr>
          <w:rFonts w:cstheme="minorHAnsi"/>
          <w:bCs/>
          <w:iCs/>
        </w:rPr>
        <w:t>%.</w:t>
      </w:r>
    </w:p>
    <w:p w:rsidR="00E94D07" w:rsidRPr="00CC12F9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 xml:space="preserve">19 </w:t>
      </w:r>
      <w:r w:rsidR="00D22EB1">
        <w:rPr>
          <w:rFonts w:cstheme="minorHAnsi"/>
        </w:rPr>
        <w:t>U</w:t>
      </w:r>
      <w:r>
        <w:rPr>
          <w:rFonts w:cstheme="minorHAnsi"/>
        </w:rPr>
        <w:t xml:space="preserve"> opatření M06 a operace 4.1.1</w:t>
      </w:r>
      <w:r w:rsidRPr="00CC12F9">
        <w:rPr>
          <w:rFonts w:cstheme="minorHAnsi"/>
        </w:rPr>
        <w:t xml:space="preserve"> vykaz</w:t>
      </w:r>
      <w:r>
        <w:rPr>
          <w:rFonts w:cstheme="minorHAnsi"/>
        </w:rPr>
        <w:t xml:space="preserve">ovalo </w:t>
      </w:r>
      <w:r w:rsidR="00D22EB1" w:rsidRPr="00CC12F9">
        <w:rPr>
          <w:rFonts w:cstheme="minorHAnsi"/>
        </w:rPr>
        <w:t xml:space="preserve">MZe </w:t>
      </w:r>
      <w:r>
        <w:rPr>
          <w:rFonts w:cstheme="minorHAnsi"/>
        </w:rPr>
        <w:t>k</w:t>
      </w:r>
      <w:r w:rsidR="00D22EB1">
        <w:rPr>
          <w:rFonts w:cstheme="minorHAnsi"/>
        </w:rPr>
        <w:t xml:space="preserve"> </w:t>
      </w:r>
      <w:r>
        <w:rPr>
          <w:rFonts w:cstheme="minorHAnsi"/>
        </w:rPr>
        <w:t xml:space="preserve">30. 6. 2023 </w:t>
      </w:r>
      <w:r w:rsidR="00D22EB1">
        <w:rPr>
          <w:rFonts w:cstheme="minorHAnsi"/>
        </w:rPr>
        <w:t xml:space="preserve">naopak </w:t>
      </w:r>
      <w:r w:rsidRPr="00CC12F9">
        <w:rPr>
          <w:rFonts w:cstheme="minorHAnsi"/>
        </w:rPr>
        <w:t>vysoká procenta plnění cílových hodnot indikátorů</w:t>
      </w:r>
      <w:r>
        <w:rPr>
          <w:rFonts w:cstheme="minorHAnsi"/>
        </w:rPr>
        <w:t xml:space="preserve">. U opatření M06 </w:t>
      </w:r>
      <w:r>
        <w:rPr>
          <w:rFonts w:cstheme="minorHAnsi"/>
          <w:bCs/>
          <w:iCs/>
        </w:rPr>
        <w:t xml:space="preserve">např. u indikátoru </w:t>
      </w:r>
      <w:r w:rsidR="00180834" w:rsidRPr="00180834">
        <w:rPr>
          <w:rFonts w:cstheme="minorHAnsi"/>
          <w:bCs/>
          <w:i/>
          <w:iCs/>
        </w:rPr>
        <w:t>6.4.1 P</w:t>
      </w:r>
      <w:r w:rsidRPr="00180834">
        <w:rPr>
          <w:rFonts w:cstheme="minorHAnsi"/>
          <w:bCs/>
          <w:i/>
          <w:iCs/>
        </w:rPr>
        <w:t>očet</w:t>
      </w:r>
      <w:r w:rsidRPr="00112EC1">
        <w:rPr>
          <w:rFonts w:cstheme="minorHAnsi"/>
          <w:bCs/>
          <w:i/>
          <w:iCs/>
        </w:rPr>
        <w:t xml:space="preserve"> podpořených operací </w:t>
      </w:r>
      <w:r w:rsidR="006D1FBB" w:rsidRPr="00D22EB1">
        <w:rPr>
          <w:rFonts w:cstheme="minorHAnsi"/>
          <w:bCs/>
          <w:iCs/>
        </w:rPr>
        <w:t>bylo</w:t>
      </w:r>
      <w:r w:rsidR="006D1FBB">
        <w:rPr>
          <w:rFonts w:cstheme="minorHAnsi"/>
          <w:bCs/>
          <w:iCs/>
        </w:rPr>
        <w:t xml:space="preserve"> dosaženo úrovně</w:t>
      </w:r>
      <w:r>
        <w:rPr>
          <w:rFonts w:cstheme="minorHAnsi"/>
          <w:bCs/>
          <w:iCs/>
        </w:rPr>
        <w:t xml:space="preserve"> 120,5 % a</w:t>
      </w:r>
      <w:r w:rsidR="006D1FBB">
        <w:rPr>
          <w:rFonts w:cstheme="minorHAnsi"/>
          <w:bCs/>
          <w:iCs/>
        </w:rPr>
        <w:t xml:space="preserve"> plnění </w:t>
      </w:r>
      <w:r>
        <w:rPr>
          <w:rFonts w:cstheme="minorHAnsi"/>
          <w:bCs/>
          <w:iCs/>
        </w:rPr>
        <w:t xml:space="preserve">indikátoru </w:t>
      </w:r>
      <w:r w:rsidR="00D22EB1">
        <w:rPr>
          <w:rFonts w:cstheme="minorHAnsi"/>
          <w:bCs/>
          <w:iCs/>
        </w:rPr>
        <w:t>„</w:t>
      </w:r>
      <w:r w:rsidR="00D22EB1">
        <w:rPr>
          <w:rFonts w:cstheme="minorHAnsi"/>
          <w:bCs/>
          <w:i/>
          <w:iCs/>
        </w:rPr>
        <w:t>p</w:t>
      </w:r>
      <w:r w:rsidRPr="00112EC1">
        <w:rPr>
          <w:rFonts w:cstheme="minorHAnsi"/>
          <w:bCs/>
          <w:i/>
          <w:iCs/>
        </w:rPr>
        <w:t>odíl podniků, u kterých došlo ke zvýšení hrubé přidané hodnoty</w:t>
      </w:r>
      <w:r w:rsidR="00D22EB1">
        <w:rPr>
          <w:rFonts w:cstheme="minorHAnsi"/>
          <w:bCs/>
          <w:iCs/>
        </w:rPr>
        <w:t>“</w:t>
      </w:r>
      <w:r>
        <w:rPr>
          <w:rFonts w:cstheme="minorHAnsi"/>
          <w:bCs/>
          <w:iCs/>
        </w:rPr>
        <w:t xml:space="preserve"> dosáhl</w:t>
      </w:r>
      <w:r w:rsidR="006D1FBB">
        <w:rPr>
          <w:rFonts w:cstheme="minorHAnsi"/>
          <w:bCs/>
          <w:iCs/>
        </w:rPr>
        <w:t>o</w:t>
      </w:r>
      <w:r>
        <w:rPr>
          <w:rFonts w:cstheme="minorHAnsi"/>
          <w:bCs/>
          <w:iCs/>
        </w:rPr>
        <w:t xml:space="preserve"> </w:t>
      </w:r>
      <w:r w:rsidR="006D1FBB">
        <w:rPr>
          <w:rFonts w:cstheme="minorHAnsi"/>
          <w:bCs/>
          <w:iCs/>
        </w:rPr>
        <w:t>úrovně</w:t>
      </w:r>
      <w:r>
        <w:rPr>
          <w:rFonts w:cstheme="minorHAnsi"/>
          <w:bCs/>
          <w:iCs/>
        </w:rPr>
        <w:t xml:space="preserve"> 187,7</w:t>
      </w:r>
      <w:r w:rsidR="00D22EB1">
        <w:rPr>
          <w:rFonts w:cstheme="minorHAnsi"/>
          <w:bCs/>
          <w:iCs/>
        </w:rPr>
        <w:t> </w:t>
      </w:r>
      <w:r>
        <w:rPr>
          <w:rFonts w:cstheme="minorHAnsi"/>
          <w:bCs/>
          <w:iCs/>
        </w:rPr>
        <w:t>%.</w:t>
      </w:r>
      <w:r>
        <w:rPr>
          <w:rFonts w:cstheme="minorHAnsi"/>
        </w:rPr>
        <w:t xml:space="preserve"> Dále </w:t>
      </w:r>
      <w:r w:rsidR="006D1FBB">
        <w:rPr>
          <w:rFonts w:cstheme="minorHAnsi"/>
        </w:rPr>
        <w:t>v případě</w:t>
      </w:r>
      <w:r>
        <w:rPr>
          <w:rFonts w:cstheme="minorHAnsi"/>
        </w:rPr>
        <w:t xml:space="preserve"> operace 4.1.1</w:t>
      </w:r>
      <w:r>
        <w:rPr>
          <w:rFonts w:cstheme="minorHAnsi"/>
          <w:bCs/>
          <w:iCs/>
        </w:rPr>
        <w:t xml:space="preserve"> </w:t>
      </w:r>
      <w:r w:rsidR="00D22EB1">
        <w:rPr>
          <w:rFonts w:cstheme="minorHAnsi"/>
          <w:bCs/>
          <w:iCs/>
        </w:rPr>
        <w:t xml:space="preserve">dosáhlo plnění </w:t>
      </w:r>
      <w:r>
        <w:rPr>
          <w:rFonts w:cstheme="minorHAnsi"/>
          <w:bCs/>
          <w:iCs/>
        </w:rPr>
        <w:t xml:space="preserve">indikátoru </w:t>
      </w:r>
      <w:r w:rsidR="00D22EB1">
        <w:rPr>
          <w:rFonts w:cstheme="minorHAnsi"/>
          <w:bCs/>
          <w:iCs/>
        </w:rPr>
        <w:t>„</w:t>
      </w:r>
      <w:r w:rsidR="00D22EB1">
        <w:rPr>
          <w:rFonts w:cstheme="minorHAnsi"/>
          <w:bCs/>
          <w:i/>
          <w:iCs/>
        </w:rPr>
        <w:t>p</w:t>
      </w:r>
      <w:r w:rsidRPr="00112EC1">
        <w:rPr>
          <w:rFonts w:cstheme="minorHAnsi"/>
          <w:bCs/>
          <w:i/>
          <w:iCs/>
        </w:rPr>
        <w:t>odíl podniků, u kterých došlo ke zvýšení výkonů</w:t>
      </w:r>
      <w:r w:rsidR="00D22EB1">
        <w:rPr>
          <w:rFonts w:cstheme="minorHAnsi"/>
          <w:bCs/>
          <w:iCs/>
        </w:rPr>
        <w:t>“</w:t>
      </w:r>
      <w:r>
        <w:rPr>
          <w:rFonts w:cstheme="minorHAnsi"/>
          <w:bCs/>
          <w:iCs/>
        </w:rPr>
        <w:t xml:space="preserve"> hodnot</w:t>
      </w:r>
      <w:r w:rsidR="00D22EB1">
        <w:rPr>
          <w:rFonts w:cstheme="minorHAnsi"/>
          <w:bCs/>
          <w:iCs/>
        </w:rPr>
        <w:t>y</w:t>
      </w:r>
      <w:r>
        <w:rPr>
          <w:rFonts w:cstheme="minorHAnsi"/>
          <w:bCs/>
          <w:iCs/>
        </w:rPr>
        <w:t xml:space="preserve"> 178,3</w:t>
      </w:r>
      <w:r w:rsidR="00D22EB1">
        <w:rPr>
          <w:rFonts w:cstheme="minorHAnsi"/>
          <w:bCs/>
          <w:iCs/>
        </w:rPr>
        <w:t> </w:t>
      </w:r>
      <w:r>
        <w:rPr>
          <w:rFonts w:cstheme="minorHAnsi"/>
          <w:bCs/>
          <w:iCs/>
        </w:rPr>
        <w:t>%.</w:t>
      </w:r>
      <w:r>
        <w:rPr>
          <w:rFonts w:cstheme="minorHAnsi"/>
        </w:rPr>
        <w:t xml:space="preserve"> </w:t>
      </w:r>
      <w:r w:rsidRPr="00CC12F9">
        <w:rPr>
          <w:rFonts w:cstheme="minorHAnsi"/>
        </w:rPr>
        <w:t xml:space="preserve">Přesto </w:t>
      </w:r>
      <w:r>
        <w:rPr>
          <w:rFonts w:cstheme="minorHAnsi"/>
        </w:rPr>
        <w:t>MZe nemůže v současné době vyhodnotit</w:t>
      </w:r>
      <w:r w:rsidRPr="00CC12F9">
        <w:rPr>
          <w:rFonts w:cstheme="minorHAnsi"/>
        </w:rPr>
        <w:t xml:space="preserve">, jak daná podpora přispěla k rozvoji venkova a jaké jsou její </w:t>
      </w:r>
      <w:r w:rsidR="00A06ED0" w:rsidRPr="00CC12F9">
        <w:rPr>
          <w:rFonts w:cstheme="minorHAnsi"/>
        </w:rPr>
        <w:t>dopady,</w:t>
      </w:r>
      <w:r>
        <w:rPr>
          <w:rFonts w:cstheme="minorHAnsi"/>
        </w:rPr>
        <w:t xml:space="preserve"> a</w:t>
      </w:r>
      <w:r w:rsidR="00D22EB1">
        <w:rPr>
          <w:rFonts w:cstheme="minorHAnsi"/>
        </w:rPr>
        <w:t xml:space="preserve"> </w:t>
      </w:r>
      <w:r w:rsidRPr="00CC12F9">
        <w:rPr>
          <w:rFonts w:cstheme="minorHAnsi"/>
        </w:rPr>
        <w:t xml:space="preserve">to </w:t>
      </w:r>
      <w:r>
        <w:rPr>
          <w:rFonts w:cstheme="minorHAnsi"/>
        </w:rPr>
        <w:t xml:space="preserve">hlavně </w:t>
      </w:r>
      <w:r w:rsidRPr="00CC12F9">
        <w:rPr>
          <w:rFonts w:cstheme="minorHAnsi"/>
        </w:rPr>
        <w:t>z</w:t>
      </w:r>
      <w:r w:rsidR="00D22EB1">
        <w:rPr>
          <w:rFonts w:cstheme="minorHAnsi"/>
        </w:rPr>
        <w:t xml:space="preserve"> </w:t>
      </w:r>
      <w:r w:rsidRPr="00CC12F9">
        <w:rPr>
          <w:rFonts w:cstheme="minorHAnsi"/>
        </w:rPr>
        <w:t>důvod</w:t>
      </w:r>
      <w:r w:rsidR="00D22EB1">
        <w:rPr>
          <w:rFonts w:cstheme="minorHAnsi"/>
        </w:rPr>
        <w:t>u</w:t>
      </w:r>
      <w:r w:rsidRPr="00CC12F9">
        <w:rPr>
          <w:rFonts w:cstheme="minorHAnsi"/>
        </w:rPr>
        <w:t xml:space="preserve"> ne zcela správně nastavených monitorovacích</w:t>
      </w:r>
      <w:r>
        <w:rPr>
          <w:rFonts w:cstheme="minorHAnsi"/>
        </w:rPr>
        <w:t xml:space="preserve"> </w:t>
      </w:r>
      <w:r w:rsidRPr="00A06ED0">
        <w:rPr>
          <w:rFonts w:cstheme="minorHAnsi"/>
        </w:rPr>
        <w:t xml:space="preserve">indikátorů (viz odst. </w:t>
      </w:r>
      <w:r w:rsidR="00A06ED0" w:rsidRPr="00A06ED0">
        <w:rPr>
          <w:rFonts w:cstheme="minorHAnsi"/>
        </w:rPr>
        <w:t>4.6 a 4.10</w:t>
      </w:r>
      <w:r w:rsidRPr="00A06ED0">
        <w:rPr>
          <w:rFonts w:cstheme="minorHAnsi"/>
        </w:rPr>
        <w:t xml:space="preserve"> a</w:t>
      </w:r>
      <w:r>
        <w:rPr>
          <w:rFonts w:cstheme="minorHAnsi"/>
        </w:rPr>
        <w:t xml:space="preserve"> příklad č. 3).</w:t>
      </w:r>
      <w:r w:rsidRPr="00CC12F9">
        <w:rPr>
          <w:rFonts w:cstheme="minorHAnsi"/>
        </w:rPr>
        <w:t xml:space="preserve"> </w:t>
      </w:r>
    </w:p>
    <w:p w:rsidR="006F3954" w:rsidRPr="00077B57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 xml:space="preserve">20 </w:t>
      </w:r>
      <w:r w:rsidRPr="00E962EB">
        <w:t xml:space="preserve">NKÚ dále upozorňuje, že </w:t>
      </w:r>
      <w:r w:rsidRPr="003A7F7D">
        <w:rPr>
          <w:rFonts w:cstheme="minorHAnsi"/>
        </w:rPr>
        <w:t>v</w:t>
      </w:r>
      <w:r w:rsidRPr="00CC12F9">
        <w:rPr>
          <w:rFonts w:cstheme="minorHAnsi"/>
        </w:rPr>
        <w:t>yhodnocení přínosů a dopadů peněžních prostředků poskytnutých prostřednictvím PRV 2014</w:t>
      </w:r>
      <w:r w:rsidR="004E2EE9">
        <w:rPr>
          <w:rFonts w:cstheme="minorHAnsi"/>
        </w:rPr>
        <w:t>–</w:t>
      </w:r>
      <w:r w:rsidRPr="00CC12F9">
        <w:rPr>
          <w:rFonts w:cstheme="minorHAnsi"/>
        </w:rPr>
        <w:t>2020 provede MZe až v</w:t>
      </w:r>
      <w:r w:rsidR="00D22EB1">
        <w:rPr>
          <w:rFonts w:cstheme="minorHAnsi"/>
        </w:rPr>
        <w:t xml:space="preserve"> </w:t>
      </w:r>
      <w:r w:rsidRPr="00CC12F9">
        <w:rPr>
          <w:rFonts w:cstheme="minorHAnsi"/>
        </w:rPr>
        <w:t>roce 2026</w:t>
      </w:r>
      <w:r>
        <w:rPr>
          <w:rFonts w:cstheme="minorHAnsi"/>
        </w:rPr>
        <w:t xml:space="preserve">, tedy </w:t>
      </w:r>
      <w:r w:rsidR="00D22EB1">
        <w:rPr>
          <w:rFonts w:cstheme="minorHAnsi"/>
        </w:rPr>
        <w:br/>
      </w:r>
      <w:r>
        <w:rPr>
          <w:rFonts w:cstheme="minorHAnsi"/>
        </w:rPr>
        <w:t>v</w:t>
      </w:r>
      <w:r w:rsidR="00D22EB1">
        <w:rPr>
          <w:rFonts w:cstheme="minorHAnsi"/>
        </w:rPr>
        <w:t xml:space="preserve"> </w:t>
      </w:r>
      <w:r>
        <w:rPr>
          <w:rFonts w:cstheme="minorHAnsi"/>
        </w:rPr>
        <w:t>předposledním roce současného programového období 2023–2027</w:t>
      </w:r>
      <w:r w:rsidRPr="00CC12F9">
        <w:rPr>
          <w:rFonts w:cstheme="minorHAnsi"/>
        </w:rPr>
        <w:t xml:space="preserve">. </w:t>
      </w:r>
      <w:r>
        <w:rPr>
          <w:rFonts w:cstheme="minorHAnsi"/>
        </w:rPr>
        <w:t xml:space="preserve">Bez ohledu na to, </w:t>
      </w:r>
      <w:r w:rsidR="00D22EB1">
        <w:rPr>
          <w:rFonts w:cstheme="minorHAnsi"/>
        </w:rPr>
        <w:br/>
      </w:r>
      <w:r>
        <w:rPr>
          <w:rFonts w:cstheme="minorHAnsi"/>
        </w:rPr>
        <w:t xml:space="preserve">jaké informace bude hodnotitel schopen pro celkové vyhodnocení přínosů a dopadů </w:t>
      </w:r>
      <w:r w:rsidR="00D22EB1">
        <w:rPr>
          <w:rFonts w:cstheme="minorHAnsi"/>
        </w:rPr>
        <w:br/>
      </w:r>
      <w:r>
        <w:rPr>
          <w:rFonts w:cstheme="minorHAnsi"/>
        </w:rPr>
        <w:lastRenderedPageBreak/>
        <w:t xml:space="preserve">PRV 2014–2020 využít, </w:t>
      </w:r>
      <w:r w:rsidRPr="00CC12F9">
        <w:rPr>
          <w:rFonts w:cstheme="minorHAnsi"/>
        </w:rPr>
        <w:t>ne</w:t>
      </w:r>
      <w:r>
        <w:rPr>
          <w:rFonts w:cstheme="minorHAnsi"/>
        </w:rPr>
        <w:t>bude mít</w:t>
      </w:r>
      <w:r w:rsidRPr="00CC12F9">
        <w:rPr>
          <w:rFonts w:cstheme="minorHAnsi"/>
        </w:rPr>
        <w:t xml:space="preserve"> MZe</w:t>
      </w:r>
      <w:r>
        <w:rPr>
          <w:rFonts w:cstheme="minorHAnsi"/>
        </w:rPr>
        <w:t xml:space="preserve"> do roku 2026</w:t>
      </w:r>
      <w:r w:rsidRPr="00CC12F9">
        <w:rPr>
          <w:rFonts w:cstheme="minorHAnsi"/>
        </w:rPr>
        <w:t xml:space="preserve"> </w:t>
      </w:r>
      <w:r>
        <w:rPr>
          <w:rFonts w:cstheme="minorHAnsi"/>
        </w:rPr>
        <w:t>souhrnnou informaci</w:t>
      </w:r>
      <w:r w:rsidRPr="00CC12F9">
        <w:rPr>
          <w:rFonts w:cstheme="minorHAnsi"/>
        </w:rPr>
        <w:t xml:space="preserve">, jaký vliv </w:t>
      </w:r>
      <w:r w:rsidR="00D22EB1">
        <w:rPr>
          <w:rFonts w:cstheme="minorHAnsi"/>
        </w:rPr>
        <w:br/>
      </w:r>
      <w:r w:rsidRPr="00CC12F9">
        <w:rPr>
          <w:rFonts w:cstheme="minorHAnsi"/>
        </w:rPr>
        <w:t>měl</w:t>
      </w:r>
      <w:r>
        <w:rPr>
          <w:rFonts w:cstheme="minorHAnsi"/>
        </w:rPr>
        <w:t>y</w:t>
      </w:r>
      <w:r w:rsidRPr="00CC12F9">
        <w:rPr>
          <w:rFonts w:cstheme="minorHAnsi"/>
        </w:rPr>
        <w:t xml:space="preserve"> poskytnuté </w:t>
      </w:r>
      <w:r>
        <w:rPr>
          <w:rFonts w:cstheme="minorHAnsi"/>
        </w:rPr>
        <w:t>p</w:t>
      </w:r>
      <w:r w:rsidRPr="00CC12F9">
        <w:rPr>
          <w:rFonts w:cstheme="minorHAnsi"/>
        </w:rPr>
        <w:t>rostředky na rozvoj venkova a jak se podařilo naplnit stanovené cíle</w:t>
      </w:r>
      <w:r>
        <w:rPr>
          <w:rFonts w:cstheme="minorHAnsi"/>
        </w:rPr>
        <w:t xml:space="preserve"> </w:t>
      </w:r>
      <w:r w:rsidR="00D22EB1">
        <w:rPr>
          <w:rFonts w:cstheme="minorHAnsi"/>
        </w:rPr>
        <w:br/>
      </w:r>
      <w:r>
        <w:rPr>
          <w:rFonts w:cstheme="minorHAnsi"/>
        </w:rPr>
        <w:t>PRV 2014</w:t>
      </w:r>
      <w:r w:rsidR="004E2EE9">
        <w:rPr>
          <w:rFonts w:cstheme="minorHAnsi"/>
        </w:rPr>
        <w:t>–</w:t>
      </w:r>
      <w:r>
        <w:rPr>
          <w:rFonts w:cstheme="minorHAnsi"/>
        </w:rPr>
        <w:t>2020</w:t>
      </w:r>
      <w:r w:rsidRPr="00CC12F9">
        <w:rPr>
          <w:rFonts w:cstheme="minorHAnsi"/>
        </w:rPr>
        <w:t>.</w:t>
      </w:r>
    </w:p>
    <w:p w:rsidR="00E94D07" w:rsidRPr="00A7441A" w:rsidRDefault="00E94D07" w:rsidP="000F641D">
      <w:pPr>
        <w:pStyle w:val="Odstavecseseznamem"/>
        <w:numPr>
          <w:ilvl w:val="0"/>
          <w:numId w:val="6"/>
        </w:numPr>
        <w:spacing w:before="0" w:after="120"/>
        <w:jc w:val="left"/>
        <w:rPr>
          <w:b/>
          <w:color w:val="2EB3A1"/>
        </w:rPr>
      </w:pPr>
      <w:r w:rsidRPr="00A7441A">
        <w:rPr>
          <w:b/>
          <w:color w:val="2EB3A1"/>
        </w:rPr>
        <w:t>Výběr projektů k financování z PRV 2014</w:t>
      </w:r>
      <w:r w:rsidR="004E2EE9">
        <w:rPr>
          <w:b/>
          <w:color w:val="2EB3A1"/>
        </w:rPr>
        <w:t>–</w:t>
      </w:r>
      <w:r w:rsidRPr="00A7441A">
        <w:rPr>
          <w:b/>
          <w:color w:val="2EB3A1"/>
        </w:rPr>
        <w:t>2020</w:t>
      </w:r>
    </w:p>
    <w:p w:rsidR="00E94D07" w:rsidRDefault="00E94D07" w:rsidP="00E94D07">
      <w:pPr>
        <w:spacing w:after="120"/>
      </w:pPr>
      <w:r w:rsidRPr="00126430">
        <w:rPr>
          <w:b/>
        </w:rPr>
        <w:t>4.</w:t>
      </w:r>
      <w:r>
        <w:rPr>
          <w:b/>
        </w:rPr>
        <w:t xml:space="preserve">21 </w:t>
      </w:r>
      <w:r w:rsidRPr="00B8386E">
        <w:t xml:space="preserve">Proces hodnocení projektů </w:t>
      </w:r>
      <w:r>
        <w:t>je</w:t>
      </w:r>
      <w:r w:rsidRPr="00B8386E">
        <w:t xml:space="preserve"> soubor činností, které jsou vykonávány při kontrole</w:t>
      </w:r>
      <w:r>
        <w:t xml:space="preserve"> </w:t>
      </w:r>
      <w:r w:rsidRPr="00B8386E">
        <w:t xml:space="preserve">přijatelnosti, </w:t>
      </w:r>
      <w:r>
        <w:t xml:space="preserve">kontrole </w:t>
      </w:r>
      <w:r w:rsidRPr="00B8386E">
        <w:t>formálních náležitostí</w:t>
      </w:r>
      <w:r>
        <w:t xml:space="preserve"> a</w:t>
      </w:r>
      <w:r w:rsidRPr="00B8386E">
        <w:t xml:space="preserve"> věcném hodnocení. </w:t>
      </w:r>
      <w:r>
        <w:t>C</w:t>
      </w:r>
      <w:r w:rsidRPr="00B8386E">
        <w:t>ílem</w:t>
      </w:r>
      <w:r>
        <w:t xml:space="preserve"> procesu hodnocení projektů je</w:t>
      </w:r>
      <w:r w:rsidRPr="00B8386E">
        <w:t xml:space="preserve"> vybrat transparentně</w:t>
      </w:r>
      <w:r>
        <w:t xml:space="preserve"> </w:t>
      </w:r>
      <w:r w:rsidRPr="00B8386E">
        <w:t>kvalitní projekty</w:t>
      </w:r>
      <w:r>
        <w:t>, na které budou účelně vynaloženy peněžní prostředky tak, aby</w:t>
      </w:r>
      <w:r w:rsidRPr="00B8386E">
        <w:t xml:space="preserve"> </w:t>
      </w:r>
      <w:r>
        <w:t>naplnily</w:t>
      </w:r>
      <w:r w:rsidRPr="00B8386E">
        <w:t xml:space="preserve"> věcné i finanční cíle</w:t>
      </w:r>
      <w:r>
        <w:t xml:space="preserve"> PRV 2014</w:t>
      </w:r>
      <w:r w:rsidR="004E2EE9">
        <w:t>–</w:t>
      </w:r>
      <w:r>
        <w:t>2020</w:t>
      </w:r>
      <w:r w:rsidRPr="00B8386E">
        <w:t>.</w:t>
      </w:r>
      <w:r>
        <w:t xml:space="preserve"> Za tím účelem NKÚ ověřil, zda MZe nastavilo pravidla a kritéria pro výběr potřebných, kvalitních a účelných projektů a zda tato kritéria zaručují rovný přístup k žadatelům.</w:t>
      </w:r>
    </w:p>
    <w:p w:rsidR="00E94D07" w:rsidRPr="00A7441A" w:rsidRDefault="00E94D07" w:rsidP="00E94D07">
      <w:pPr>
        <w:spacing w:after="120"/>
        <w:rPr>
          <w:b/>
          <w:i/>
          <w:color w:val="AF1953"/>
        </w:rPr>
      </w:pPr>
      <w:r w:rsidRPr="00A7441A">
        <w:rPr>
          <w:b/>
          <w:i/>
          <w:color w:val="AF1953"/>
        </w:rPr>
        <w:t xml:space="preserve">→ MZe se při výběru projektů nezaměřilo na přínosy projektů ke splnění stanovených cílů. </w:t>
      </w:r>
    </w:p>
    <w:p w:rsidR="00E94D07" w:rsidRDefault="00E94D07" w:rsidP="00E94D07">
      <w:pPr>
        <w:spacing w:after="120"/>
      </w:pPr>
      <w:r w:rsidRPr="00126430">
        <w:rPr>
          <w:b/>
        </w:rPr>
        <w:t>4.</w:t>
      </w:r>
      <w:r>
        <w:rPr>
          <w:b/>
        </w:rPr>
        <w:t xml:space="preserve">22 </w:t>
      </w:r>
      <w:r w:rsidRPr="00230724">
        <w:t xml:space="preserve">MZe ve </w:t>
      </w:r>
      <w:r w:rsidR="007F0B33">
        <w:t>„</w:t>
      </w:r>
      <w:r w:rsidR="00AC13E7">
        <w:t>s</w:t>
      </w:r>
      <w:r w:rsidRPr="00230724">
        <w:t xml:space="preserve">pecifických </w:t>
      </w:r>
      <w:r w:rsidR="007F0B33">
        <w:t xml:space="preserve">podmínkách“ </w:t>
      </w:r>
      <w:r w:rsidRPr="00230724">
        <w:t>Pravid</w:t>
      </w:r>
      <w:r w:rsidR="007F0B33">
        <w:t>e</w:t>
      </w:r>
      <w:r w:rsidR="00563BAA">
        <w:t>l</w:t>
      </w:r>
      <w:r w:rsidRPr="00230724">
        <w:t xml:space="preserve"> </w:t>
      </w:r>
      <w:r w:rsidR="00D22EB1" w:rsidRPr="00230724">
        <w:t xml:space="preserve">stanovilo </w:t>
      </w:r>
      <w:r w:rsidRPr="00230724">
        <w:t>pro jednotlivé operace kritéria pro</w:t>
      </w:r>
      <w:r w:rsidR="00D22EB1">
        <w:t xml:space="preserve"> </w:t>
      </w:r>
      <w:r w:rsidRPr="00230724">
        <w:t>výběr</w:t>
      </w:r>
      <w:r>
        <w:t xml:space="preserve"> projektů.</w:t>
      </w:r>
      <w:r w:rsidRPr="00230724">
        <w:t xml:space="preserve"> </w:t>
      </w:r>
      <w:r>
        <w:t>N</w:t>
      </w:r>
      <w:r w:rsidRPr="00230724">
        <w:t xml:space="preserve">astavilo tzv. </w:t>
      </w:r>
      <w:r w:rsidRPr="00CC6F27">
        <w:rPr>
          <w:i/>
        </w:rPr>
        <w:t>kritéria přijatelnosti projektu</w:t>
      </w:r>
      <w:r w:rsidRPr="00230724">
        <w:t xml:space="preserve">, </w:t>
      </w:r>
      <w:r>
        <w:t xml:space="preserve">která </w:t>
      </w:r>
      <w:r w:rsidRPr="00230724">
        <w:t xml:space="preserve">každý </w:t>
      </w:r>
      <w:r>
        <w:t xml:space="preserve">navrhovatel </w:t>
      </w:r>
      <w:r w:rsidRPr="00230724">
        <w:t>projekt</w:t>
      </w:r>
      <w:r>
        <w:t>u</w:t>
      </w:r>
      <w:r w:rsidRPr="00230724">
        <w:t xml:space="preserve"> musel splnit</w:t>
      </w:r>
      <w:r>
        <w:t>, aby se stal způsobilým</w:t>
      </w:r>
      <w:r w:rsidRPr="00230724">
        <w:t xml:space="preserve"> </w:t>
      </w:r>
      <w:r>
        <w:t xml:space="preserve">k </w:t>
      </w:r>
      <w:r w:rsidRPr="00230724">
        <w:t xml:space="preserve">získání </w:t>
      </w:r>
      <w:r>
        <w:t>dotace</w:t>
      </w:r>
      <w:r w:rsidRPr="00230724">
        <w:t>.</w:t>
      </w:r>
      <w:r>
        <w:t xml:space="preserve"> Kritéria přijatelnosti projektů byla základními podmínkami, které ale nebyly zaměřeny na</w:t>
      </w:r>
      <w:r w:rsidR="00D22EB1">
        <w:t xml:space="preserve"> </w:t>
      </w:r>
      <w:r>
        <w:t xml:space="preserve">kvalitu a přínosy jednotlivých projektů ke splnění cílů opatření a priorit sektoru. Proto MZe </w:t>
      </w:r>
      <w:r w:rsidRPr="00230724">
        <w:t xml:space="preserve">definovalo tzv. </w:t>
      </w:r>
      <w:r w:rsidRPr="00CC6F27">
        <w:rPr>
          <w:i/>
        </w:rPr>
        <w:t>preferenční kritéria</w:t>
      </w:r>
      <w:r w:rsidRPr="00230724">
        <w:t xml:space="preserve">, na jejichž základě projekty „soutěží“ mezi sebou. </w:t>
      </w:r>
      <w:r>
        <w:t xml:space="preserve">SZIF </w:t>
      </w:r>
      <w:r w:rsidR="00D22EB1">
        <w:t>dle</w:t>
      </w:r>
      <w:r>
        <w:t xml:space="preserve"> těchto </w:t>
      </w:r>
      <w:r w:rsidR="00D22EB1">
        <w:t xml:space="preserve">kritérií </w:t>
      </w:r>
      <w:r>
        <w:t>nastavených v Pravidlech prováděl výběr projektů.</w:t>
      </w:r>
    </w:p>
    <w:p w:rsidR="00E94D07" w:rsidRPr="000B14FA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 xml:space="preserve">23 </w:t>
      </w:r>
      <w:r w:rsidRPr="000B14FA">
        <w:rPr>
          <w:rFonts w:cstheme="minorHAnsi"/>
        </w:rPr>
        <w:t xml:space="preserve">Pro výběr projektů </w:t>
      </w:r>
      <w:r>
        <w:rPr>
          <w:rFonts w:cstheme="minorHAnsi"/>
        </w:rPr>
        <w:t xml:space="preserve">však </w:t>
      </w:r>
      <w:r w:rsidRPr="000B14FA">
        <w:rPr>
          <w:rFonts w:cstheme="minorHAnsi"/>
        </w:rPr>
        <w:t xml:space="preserve">nastavilo MZe kritéria, která nebyla zaměřena na </w:t>
      </w:r>
      <w:bookmarkStart w:id="10" w:name="_Hlk152747326"/>
      <w:r w:rsidRPr="000B14FA">
        <w:rPr>
          <w:rFonts w:cstheme="minorHAnsi"/>
        </w:rPr>
        <w:t>významnost nebo mír</w:t>
      </w:r>
      <w:r>
        <w:rPr>
          <w:rFonts w:cstheme="minorHAnsi"/>
        </w:rPr>
        <w:t>u</w:t>
      </w:r>
      <w:r w:rsidRPr="000B14FA">
        <w:rPr>
          <w:rFonts w:cstheme="minorHAnsi"/>
        </w:rPr>
        <w:t xml:space="preserve"> přínosu projektů ke splnění stanovených cílů</w:t>
      </w:r>
      <w:bookmarkEnd w:id="10"/>
      <w:r>
        <w:rPr>
          <w:rFonts w:cstheme="minorHAnsi"/>
        </w:rPr>
        <w:t xml:space="preserve"> jednotlivých opatření programu. </w:t>
      </w:r>
    </w:p>
    <w:p w:rsidR="006D1FBB" w:rsidRPr="005C1EC5" w:rsidRDefault="00E94D07" w:rsidP="00E94D07">
      <w:pPr>
        <w:spacing w:after="120"/>
        <w:rPr>
          <w:bCs/>
        </w:rPr>
      </w:pPr>
      <w:r w:rsidRPr="00126430">
        <w:rPr>
          <w:b/>
        </w:rPr>
        <w:t>4</w:t>
      </w:r>
      <w:r>
        <w:rPr>
          <w:b/>
        </w:rPr>
        <w:t xml:space="preserve">.24 </w:t>
      </w:r>
      <w:r w:rsidR="00D22EB1" w:rsidRPr="00F60FDF">
        <w:rPr>
          <w:bCs/>
        </w:rPr>
        <w:t xml:space="preserve">MZe </w:t>
      </w:r>
      <w:r w:rsidR="00D22EB1">
        <w:rPr>
          <w:bCs/>
        </w:rPr>
        <w:t>k</w:t>
      </w:r>
      <w:r w:rsidRPr="00F60FDF">
        <w:rPr>
          <w:bCs/>
        </w:rPr>
        <w:t xml:space="preserve">romě preferenčních kritérií </w:t>
      </w:r>
      <w:r w:rsidR="003F7C4D">
        <w:rPr>
          <w:bCs/>
        </w:rPr>
        <w:t>stanovilo</w:t>
      </w:r>
      <w:r w:rsidRPr="00F60FDF">
        <w:rPr>
          <w:bCs/>
        </w:rPr>
        <w:t xml:space="preserve"> pro jednotlivé operace a kola příjmu žádostí minimální hranici </w:t>
      </w:r>
      <w:r>
        <w:rPr>
          <w:bCs/>
        </w:rPr>
        <w:t xml:space="preserve">bodů pro to, aby se </w:t>
      </w:r>
      <w:r w:rsidR="003F7C4D">
        <w:rPr>
          <w:bCs/>
        </w:rPr>
        <w:t xml:space="preserve">žádosti </w:t>
      </w:r>
      <w:r>
        <w:rPr>
          <w:bCs/>
        </w:rPr>
        <w:t>staly způsobilými k financování</w:t>
      </w:r>
      <w:r w:rsidRPr="00F60FDF">
        <w:rPr>
          <w:bCs/>
        </w:rPr>
        <w:t xml:space="preserve">. </w:t>
      </w:r>
      <w:r>
        <w:rPr>
          <w:bCs/>
        </w:rPr>
        <w:t>NKÚ</w:t>
      </w:r>
      <w:r w:rsidR="003F7C4D">
        <w:rPr>
          <w:bCs/>
        </w:rPr>
        <w:t xml:space="preserve"> však</w:t>
      </w:r>
      <w:r>
        <w:rPr>
          <w:bCs/>
        </w:rPr>
        <w:t xml:space="preserve"> zjistil, </w:t>
      </w:r>
      <w:r w:rsidR="003F7C4D">
        <w:rPr>
          <w:bCs/>
        </w:rPr>
        <w:t xml:space="preserve">že </w:t>
      </w:r>
      <w:r>
        <w:rPr>
          <w:bCs/>
        </w:rPr>
        <w:t>v</w:t>
      </w:r>
      <w:r w:rsidRPr="00F60FDF">
        <w:rPr>
          <w:bCs/>
        </w:rPr>
        <w:t>ýše minimální bodové hranice se v</w:t>
      </w:r>
      <w:r w:rsidR="003F7C4D">
        <w:rPr>
          <w:bCs/>
        </w:rPr>
        <w:t xml:space="preserve"> </w:t>
      </w:r>
      <w:r w:rsidRPr="00F60FDF">
        <w:rPr>
          <w:bCs/>
        </w:rPr>
        <w:t>průběhu programového období měnila</w:t>
      </w:r>
      <w:r>
        <w:rPr>
          <w:bCs/>
        </w:rPr>
        <w:t xml:space="preserve">. </w:t>
      </w:r>
      <w:r w:rsidRPr="00F60FDF">
        <w:rPr>
          <w:bCs/>
        </w:rPr>
        <w:t>Nejvýznamnější pokles v</w:t>
      </w:r>
      <w:r w:rsidR="006D1FBB">
        <w:rPr>
          <w:bCs/>
        </w:rPr>
        <w:t> </w:t>
      </w:r>
      <w:r>
        <w:rPr>
          <w:bCs/>
        </w:rPr>
        <w:t>minimální</w:t>
      </w:r>
      <w:r w:rsidR="006D1FBB">
        <w:rPr>
          <w:bCs/>
        </w:rPr>
        <w:t>m požadovaném počtu</w:t>
      </w:r>
      <w:r w:rsidRPr="00F60FDF">
        <w:rPr>
          <w:bCs/>
        </w:rPr>
        <w:t xml:space="preserve"> bodů nastal u opatření M01 a operace 6.4.1 </w:t>
      </w:r>
      <w:r w:rsidR="003F7C4D">
        <w:rPr>
          <w:bCs/>
        </w:rPr>
        <w:t xml:space="preserve">– </w:t>
      </w:r>
      <w:r w:rsidRPr="00F60FDF">
        <w:rPr>
          <w:bCs/>
        </w:rPr>
        <w:t xml:space="preserve">záměr c). </w:t>
      </w:r>
      <w:r w:rsidR="003F7C4D">
        <w:rPr>
          <w:bCs/>
        </w:rPr>
        <w:t xml:space="preserve">O toto </w:t>
      </w:r>
      <w:r w:rsidRPr="00F60FDF">
        <w:rPr>
          <w:bCs/>
        </w:rPr>
        <w:t>opatření,</w:t>
      </w:r>
      <w:r>
        <w:rPr>
          <w:bCs/>
        </w:rPr>
        <w:t xml:space="preserve"> resp. operac</w:t>
      </w:r>
      <w:r w:rsidR="003F7C4D">
        <w:rPr>
          <w:bCs/>
        </w:rPr>
        <w:t>i</w:t>
      </w:r>
      <w:r w:rsidRPr="00F60FDF">
        <w:rPr>
          <w:bCs/>
        </w:rPr>
        <w:t xml:space="preserve"> </w:t>
      </w:r>
      <w:r w:rsidR="003F7C4D">
        <w:rPr>
          <w:bCs/>
        </w:rPr>
        <w:t>projevovali žadatelé malý zájem</w:t>
      </w:r>
      <w:r w:rsidRPr="00F60FDF">
        <w:rPr>
          <w:bCs/>
        </w:rPr>
        <w:t>.</w:t>
      </w:r>
      <w:r>
        <w:rPr>
          <w:bCs/>
        </w:rPr>
        <w:t xml:space="preserve"> Žadatelům </w:t>
      </w:r>
      <w:r w:rsidRPr="00F60FDF">
        <w:rPr>
          <w:bCs/>
        </w:rPr>
        <w:t>o dotaci v operacích, kde nebyl příliš velký zájem</w:t>
      </w:r>
      <w:r>
        <w:rPr>
          <w:bCs/>
        </w:rPr>
        <w:t>,</w:t>
      </w:r>
      <w:r w:rsidRPr="00F60FDF">
        <w:rPr>
          <w:bCs/>
        </w:rPr>
        <w:t xml:space="preserve"> stačilo ke konci období splnit jen </w:t>
      </w:r>
      <w:r>
        <w:rPr>
          <w:bCs/>
        </w:rPr>
        <w:t xml:space="preserve">základní kritéria přijatelnosti </w:t>
      </w:r>
      <w:r w:rsidRPr="00F60FDF">
        <w:rPr>
          <w:bCs/>
        </w:rPr>
        <w:t>a jejich žádosti o dotaci prošly hodnocením a staly se způsobilými k financování.</w:t>
      </w:r>
      <w:r>
        <w:rPr>
          <w:bCs/>
        </w:rPr>
        <w:t xml:space="preserve"> V posledních kolech příjmu žádostí stačily žadatelům například jen dva body z 20 (opatření M01).</w:t>
      </w:r>
    </w:p>
    <w:p w:rsidR="00E94D07" w:rsidRPr="00A7441A" w:rsidRDefault="00E94D07" w:rsidP="000F641D">
      <w:pPr>
        <w:pStyle w:val="Odstavecseseznamem"/>
        <w:numPr>
          <w:ilvl w:val="0"/>
          <w:numId w:val="6"/>
        </w:numPr>
        <w:spacing w:before="0" w:after="160"/>
        <w:jc w:val="left"/>
        <w:rPr>
          <w:b/>
          <w:color w:val="2EB3A1"/>
        </w:rPr>
      </w:pPr>
      <w:r w:rsidRPr="00A7441A">
        <w:rPr>
          <w:b/>
          <w:color w:val="2EB3A1"/>
        </w:rPr>
        <w:t>Kontrolní systém</w:t>
      </w:r>
    </w:p>
    <w:p w:rsidR="00E94D07" w:rsidRPr="008A6DE4" w:rsidRDefault="00E94D07" w:rsidP="008A6DE4">
      <w:pPr>
        <w:autoSpaceDE w:val="0"/>
        <w:autoSpaceDN w:val="0"/>
        <w:adjustRightInd w:val="0"/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>2</w:t>
      </w:r>
      <w:r w:rsidR="005C1EC5">
        <w:rPr>
          <w:b/>
        </w:rPr>
        <w:t>5</w:t>
      </w:r>
      <w:r>
        <w:rPr>
          <w:b/>
        </w:rPr>
        <w:t xml:space="preserve"> </w:t>
      </w:r>
      <w:r w:rsidRPr="00846E33">
        <w:rPr>
          <w:rFonts w:cstheme="minorHAnsi"/>
        </w:rPr>
        <w:t xml:space="preserve">MZe a SZIF uzavřely </w:t>
      </w:r>
      <w:r w:rsidR="006D1FBB">
        <w:rPr>
          <w:rFonts w:cstheme="minorHAnsi"/>
        </w:rPr>
        <w:t>v září</w:t>
      </w:r>
      <w:r w:rsidRPr="00846E33">
        <w:rPr>
          <w:rFonts w:cstheme="minorHAnsi"/>
        </w:rPr>
        <w:t xml:space="preserve"> 2015 </w:t>
      </w:r>
      <w:bookmarkStart w:id="11" w:name="_Hlk147818803"/>
      <w:r w:rsidRPr="00846E33">
        <w:rPr>
          <w:rFonts w:cstheme="minorHAnsi"/>
        </w:rPr>
        <w:t>Dohodu o vymezení kompetencí</w:t>
      </w:r>
      <w:bookmarkEnd w:id="11"/>
      <w:r>
        <w:rPr>
          <w:rStyle w:val="Znakapoznpodarou"/>
          <w:rFonts w:cstheme="minorHAnsi"/>
        </w:rPr>
        <w:footnoteReference w:id="16"/>
      </w:r>
      <w:r w:rsidRPr="00846E33">
        <w:rPr>
          <w:rFonts w:cstheme="minorHAnsi"/>
        </w:rPr>
        <w:t xml:space="preserve">. Předmětem této </w:t>
      </w:r>
      <w:r w:rsidR="003F7C4D">
        <w:rPr>
          <w:rFonts w:cstheme="minorHAnsi"/>
        </w:rPr>
        <w:t>d</w:t>
      </w:r>
      <w:r w:rsidRPr="00846E33">
        <w:rPr>
          <w:rFonts w:cstheme="minorHAnsi"/>
        </w:rPr>
        <w:t>ohody je vymezení kompetencí a způsobu spolupráce mezi řídicím orgánem PRV</w:t>
      </w:r>
      <w:r w:rsidR="003F7C4D">
        <w:rPr>
          <w:rFonts w:cstheme="minorHAnsi"/>
        </w:rPr>
        <w:t xml:space="preserve"> </w:t>
      </w:r>
      <w:r w:rsidR="003F7C4D">
        <w:t>2014–2020</w:t>
      </w:r>
      <w:r>
        <w:rPr>
          <w:rFonts w:cstheme="minorHAnsi"/>
        </w:rPr>
        <w:t xml:space="preserve"> </w:t>
      </w:r>
      <w:r w:rsidR="003F7C4D">
        <w:rPr>
          <w:rFonts w:cstheme="minorHAnsi"/>
        </w:rPr>
        <w:t>(</w:t>
      </w:r>
      <w:r>
        <w:rPr>
          <w:rFonts w:cstheme="minorHAnsi"/>
        </w:rPr>
        <w:t>tedy MZe</w:t>
      </w:r>
      <w:r w:rsidR="003F7C4D">
        <w:rPr>
          <w:rFonts w:cstheme="minorHAnsi"/>
        </w:rPr>
        <w:t>)</w:t>
      </w:r>
      <w:r w:rsidRPr="00846E33">
        <w:rPr>
          <w:rFonts w:cstheme="minorHAnsi"/>
        </w:rPr>
        <w:t xml:space="preserve"> a </w:t>
      </w:r>
      <w:r>
        <w:rPr>
          <w:rFonts w:cstheme="minorHAnsi"/>
        </w:rPr>
        <w:t>p</w:t>
      </w:r>
      <w:r w:rsidRPr="00846E33">
        <w:rPr>
          <w:rFonts w:cstheme="minorHAnsi"/>
        </w:rPr>
        <w:t xml:space="preserve">latební agenturou </w:t>
      </w:r>
      <w:r w:rsidR="003F7C4D">
        <w:rPr>
          <w:rFonts w:cstheme="minorHAnsi"/>
        </w:rPr>
        <w:t>(</w:t>
      </w:r>
      <w:r w:rsidRPr="00846E33">
        <w:rPr>
          <w:rFonts w:cstheme="minorHAnsi"/>
        </w:rPr>
        <w:t>SZIF</w:t>
      </w:r>
      <w:r w:rsidR="003F7C4D">
        <w:rPr>
          <w:rFonts w:cstheme="minorHAnsi"/>
        </w:rPr>
        <w:t>)</w:t>
      </w:r>
      <w:r w:rsidRPr="00846E33">
        <w:rPr>
          <w:rFonts w:cstheme="minorHAnsi"/>
        </w:rPr>
        <w:t xml:space="preserve">. </w:t>
      </w:r>
      <w:r>
        <w:rPr>
          <w:rFonts w:cstheme="minorHAnsi"/>
        </w:rPr>
        <w:t xml:space="preserve">NKÚ </w:t>
      </w:r>
      <w:r w:rsidR="00F059D6">
        <w:rPr>
          <w:rFonts w:cstheme="minorHAnsi"/>
        </w:rPr>
        <w:t>zjišťoval</w:t>
      </w:r>
      <w:r>
        <w:rPr>
          <w:rFonts w:cstheme="minorHAnsi"/>
        </w:rPr>
        <w:t xml:space="preserve">, zda </w:t>
      </w:r>
      <w:r w:rsidRPr="00846E33">
        <w:rPr>
          <w:rFonts w:cstheme="minorHAnsi"/>
        </w:rPr>
        <w:t>MZe</w:t>
      </w:r>
      <w:r>
        <w:rPr>
          <w:rFonts w:cstheme="minorHAnsi"/>
        </w:rPr>
        <w:t xml:space="preserve"> i SZIF</w:t>
      </w:r>
      <w:r w:rsidRPr="00846E33">
        <w:rPr>
          <w:rFonts w:cstheme="minorHAnsi"/>
        </w:rPr>
        <w:t xml:space="preserve"> plní povinnosti vyplývající </w:t>
      </w:r>
      <w:r w:rsidR="00654B4D">
        <w:rPr>
          <w:rFonts w:cstheme="minorHAnsi"/>
        </w:rPr>
        <w:br/>
      </w:r>
      <w:r w:rsidRPr="00846E33">
        <w:rPr>
          <w:rFonts w:cstheme="minorHAnsi"/>
        </w:rPr>
        <w:t>z</w:t>
      </w:r>
      <w:r w:rsidR="00654B4D">
        <w:rPr>
          <w:rFonts w:cstheme="minorHAnsi"/>
        </w:rPr>
        <w:t xml:space="preserve"> </w:t>
      </w:r>
      <w:r w:rsidRPr="00846E33">
        <w:rPr>
          <w:rFonts w:cstheme="minorHAnsi"/>
        </w:rPr>
        <w:t>Dohody o vymezení kompetencí</w:t>
      </w:r>
      <w:r>
        <w:rPr>
          <w:rFonts w:cstheme="minorHAnsi"/>
        </w:rPr>
        <w:t xml:space="preserve">. </w:t>
      </w:r>
      <w:r>
        <w:t>Dále n</w:t>
      </w:r>
      <w:r>
        <w:rPr>
          <w:rFonts w:cstheme="minorHAnsi"/>
        </w:rPr>
        <w:t xml:space="preserve">a vybraném vzorku 50 projektů ověřil nastavení </w:t>
      </w:r>
      <w:r w:rsidR="008D5381">
        <w:rPr>
          <w:rFonts w:cstheme="minorHAnsi"/>
        </w:rPr>
        <w:br/>
      </w:r>
      <w:r>
        <w:rPr>
          <w:rFonts w:cstheme="minorHAnsi"/>
        </w:rPr>
        <w:t>a</w:t>
      </w:r>
      <w:r w:rsidR="008D5381">
        <w:rPr>
          <w:rFonts w:cstheme="minorHAnsi"/>
        </w:rPr>
        <w:t xml:space="preserve"> </w:t>
      </w:r>
      <w:r>
        <w:rPr>
          <w:rFonts w:cstheme="minorHAnsi"/>
        </w:rPr>
        <w:t>funkčnost kontrolního systému SZIF v</w:t>
      </w:r>
      <w:r w:rsidR="003F7C4D">
        <w:rPr>
          <w:rFonts w:cstheme="minorHAnsi"/>
        </w:rPr>
        <w:t xml:space="preserve"> </w:t>
      </w:r>
      <w:r>
        <w:rPr>
          <w:rFonts w:cstheme="minorHAnsi"/>
        </w:rPr>
        <w:t>jednotlivých fázích administrace (kontrola žádosti o</w:t>
      </w:r>
      <w:r w:rsidR="003F7C4D">
        <w:rPr>
          <w:rFonts w:cstheme="minorHAnsi"/>
        </w:rPr>
        <w:t> </w:t>
      </w:r>
      <w:r>
        <w:rPr>
          <w:rFonts w:cstheme="minorHAnsi"/>
        </w:rPr>
        <w:t>dotaci, žádosti o proplacení, kontroly na místě po proplacení dotace).</w:t>
      </w:r>
    </w:p>
    <w:p w:rsidR="008639CD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 w:rsidR="005C1EC5">
        <w:rPr>
          <w:b/>
        </w:rPr>
        <w:t>26</w:t>
      </w:r>
      <w:r>
        <w:rPr>
          <w:b/>
        </w:rPr>
        <w:t xml:space="preserve"> </w:t>
      </w:r>
      <w:r w:rsidR="008639CD" w:rsidRPr="008A6DE4">
        <w:t>NKÚ zjistil, že</w:t>
      </w:r>
      <w:r w:rsidR="008639CD">
        <w:rPr>
          <w:b/>
        </w:rPr>
        <w:t xml:space="preserve"> </w:t>
      </w:r>
      <w:r w:rsidR="008639CD">
        <w:rPr>
          <w:rFonts w:cstheme="minorHAnsi"/>
        </w:rPr>
        <w:t>k</w:t>
      </w:r>
      <w:r>
        <w:rPr>
          <w:rFonts w:cstheme="minorHAnsi"/>
        </w:rPr>
        <w:t>ontrolní systém SZIF je v</w:t>
      </w:r>
      <w:r w:rsidR="00654B4D">
        <w:rPr>
          <w:rFonts w:cstheme="minorHAnsi"/>
        </w:rPr>
        <w:t xml:space="preserve"> </w:t>
      </w:r>
      <w:r>
        <w:rPr>
          <w:rFonts w:cstheme="minorHAnsi"/>
        </w:rPr>
        <w:t>souladu s</w:t>
      </w:r>
      <w:r w:rsidR="00654B4D">
        <w:rPr>
          <w:rFonts w:cstheme="minorHAnsi"/>
        </w:rPr>
        <w:t xml:space="preserve"> </w:t>
      </w:r>
      <w:r>
        <w:rPr>
          <w:rFonts w:cstheme="minorHAnsi"/>
        </w:rPr>
        <w:t>právními předpisy a nastavenými Pravidly a je funkční</w:t>
      </w:r>
      <w:r w:rsidR="008639CD">
        <w:rPr>
          <w:rFonts w:cstheme="minorHAnsi"/>
        </w:rPr>
        <w:t>.</w:t>
      </w:r>
    </w:p>
    <w:p w:rsidR="00BA3BF5" w:rsidRDefault="00BA3BF5" w:rsidP="00E94D07">
      <w:pPr>
        <w:spacing w:after="120"/>
        <w:rPr>
          <w:rFonts w:cstheme="minorHAnsi"/>
        </w:rPr>
      </w:pPr>
      <w:r w:rsidRPr="00A7441A">
        <w:rPr>
          <w:b/>
          <w:i/>
          <w:color w:val="AF1953"/>
        </w:rPr>
        <w:lastRenderedPageBreak/>
        <w:t>→ MZe a SZIF</w:t>
      </w:r>
      <w:r>
        <w:rPr>
          <w:b/>
          <w:i/>
          <w:color w:val="AF1953"/>
        </w:rPr>
        <w:t xml:space="preserve"> ve třech případech neoznámily</w:t>
      </w:r>
      <w:r w:rsidRPr="00A7441A">
        <w:rPr>
          <w:b/>
          <w:i/>
          <w:color w:val="AF1953"/>
        </w:rPr>
        <w:t xml:space="preserve"> </w:t>
      </w:r>
      <w:r>
        <w:rPr>
          <w:b/>
          <w:i/>
          <w:color w:val="AF1953"/>
        </w:rPr>
        <w:t>skutečnosti</w:t>
      </w:r>
      <w:r w:rsidRPr="00A7441A">
        <w:rPr>
          <w:b/>
          <w:i/>
          <w:color w:val="AF1953"/>
        </w:rPr>
        <w:t xml:space="preserve"> </w:t>
      </w:r>
      <w:r>
        <w:rPr>
          <w:b/>
          <w:i/>
          <w:color w:val="AF1953"/>
        </w:rPr>
        <w:t xml:space="preserve">nasvědčující </w:t>
      </w:r>
      <w:r w:rsidRPr="00A7441A">
        <w:rPr>
          <w:b/>
          <w:i/>
          <w:color w:val="AF1953"/>
        </w:rPr>
        <w:t>spáchání trestného činu.</w:t>
      </w:r>
    </w:p>
    <w:p w:rsidR="00E94D07" w:rsidRDefault="008639CD" w:rsidP="00E94D07">
      <w:pPr>
        <w:spacing w:after="120"/>
        <w:rPr>
          <w:rFonts w:cstheme="minorHAnsi"/>
        </w:rPr>
      </w:pPr>
      <w:r w:rsidRPr="008A6DE4">
        <w:rPr>
          <w:rFonts w:cstheme="minorHAnsi"/>
          <w:b/>
        </w:rPr>
        <w:t>4.2</w:t>
      </w:r>
      <w:r w:rsidR="005C1EC5">
        <w:rPr>
          <w:rFonts w:cstheme="minorHAnsi"/>
          <w:b/>
        </w:rPr>
        <w:t>7</w:t>
      </w:r>
      <w:r w:rsidR="008A6DE4">
        <w:rPr>
          <w:rFonts w:cstheme="minorHAnsi"/>
        </w:rPr>
        <w:t xml:space="preserve"> </w:t>
      </w:r>
      <w:r>
        <w:rPr>
          <w:rFonts w:cstheme="minorHAnsi"/>
        </w:rPr>
        <w:t xml:space="preserve">NKÚ však zjistil </w:t>
      </w:r>
      <w:r w:rsidR="009A0FE2">
        <w:rPr>
          <w:rFonts w:cstheme="minorHAnsi"/>
        </w:rPr>
        <w:t>významný</w:t>
      </w:r>
      <w:r>
        <w:rPr>
          <w:rFonts w:cstheme="minorHAnsi"/>
        </w:rPr>
        <w:t xml:space="preserve"> nedostatek</w:t>
      </w:r>
      <w:r w:rsidR="00E94D07">
        <w:rPr>
          <w:rFonts w:cstheme="minorHAnsi"/>
        </w:rPr>
        <w:t xml:space="preserve">, </w:t>
      </w:r>
      <w:r w:rsidR="00236A5A">
        <w:rPr>
          <w:rFonts w:cstheme="minorHAnsi"/>
        </w:rPr>
        <w:t xml:space="preserve">kdy MZe ani SZIF nepodaly </w:t>
      </w:r>
      <w:r w:rsidR="00E94D07" w:rsidRPr="00E56F62">
        <w:rPr>
          <w:rFonts w:cstheme="minorHAnsi"/>
        </w:rPr>
        <w:t>orgánům činným v</w:t>
      </w:r>
      <w:r w:rsidR="00E94D07">
        <w:rPr>
          <w:rFonts w:cstheme="minorHAnsi"/>
        </w:rPr>
        <w:t> </w:t>
      </w:r>
      <w:r w:rsidR="00E94D07" w:rsidRPr="00E56F62">
        <w:rPr>
          <w:rFonts w:cstheme="minorHAnsi"/>
        </w:rPr>
        <w:t>trestním řízení oznámení o skutečnostech nasvědčujících spáchán</w:t>
      </w:r>
      <w:r w:rsidR="00E94D07">
        <w:rPr>
          <w:rFonts w:cstheme="minorHAnsi"/>
        </w:rPr>
        <w:t>í</w:t>
      </w:r>
      <w:r w:rsidR="00E94D07" w:rsidRPr="00E56F62">
        <w:rPr>
          <w:rFonts w:cstheme="minorHAnsi"/>
        </w:rPr>
        <w:t xml:space="preserve"> trestn</w:t>
      </w:r>
      <w:r w:rsidR="00E94D07">
        <w:rPr>
          <w:rFonts w:cstheme="minorHAnsi"/>
        </w:rPr>
        <w:t>ého</w:t>
      </w:r>
      <w:r w:rsidR="00E94D07" w:rsidRPr="00E56F62">
        <w:rPr>
          <w:rFonts w:cstheme="minorHAnsi"/>
        </w:rPr>
        <w:t xml:space="preserve"> čin</w:t>
      </w:r>
      <w:r w:rsidR="00E94D07">
        <w:rPr>
          <w:rFonts w:cstheme="minorHAnsi"/>
        </w:rPr>
        <w:t>u</w:t>
      </w:r>
      <w:r w:rsidR="00236A5A">
        <w:rPr>
          <w:rFonts w:cstheme="minorHAnsi"/>
        </w:rPr>
        <w:t>.</w:t>
      </w:r>
      <w:r w:rsidR="000A50C4">
        <w:rPr>
          <w:rFonts w:cstheme="minorHAnsi"/>
        </w:rPr>
        <w:t xml:space="preserve"> </w:t>
      </w:r>
      <w:r w:rsidR="00236A5A">
        <w:rPr>
          <w:rFonts w:cstheme="minorHAnsi"/>
        </w:rPr>
        <w:t>Tato povinnost</w:t>
      </w:r>
      <w:r w:rsidR="000A50C4">
        <w:rPr>
          <w:rFonts w:cstheme="minorHAnsi"/>
        </w:rPr>
        <w:t xml:space="preserve"> je upravena v § 8 odst. 1 zákona č. 141/1961 Sb., o trestním řízení soudním (trestní řád)</w:t>
      </w:r>
      <w:r w:rsidR="00E94D07">
        <w:rPr>
          <w:rFonts w:cstheme="minorHAnsi"/>
        </w:rPr>
        <w:t xml:space="preserve">. </w:t>
      </w:r>
    </w:p>
    <w:p w:rsidR="00FE0DC3" w:rsidRPr="00AD7835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>2</w:t>
      </w:r>
      <w:r w:rsidR="005C1EC5">
        <w:rPr>
          <w:b/>
        </w:rPr>
        <w:t>8</w:t>
      </w:r>
      <w:r>
        <w:rPr>
          <w:b/>
        </w:rPr>
        <w:t xml:space="preserve"> </w:t>
      </w:r>
      <w:r w:rsidR="000A50C4">
        <w:rPr>
          <w:rFonts w:cstheme="minorHAnsi"/>
        </w:rPr>
        <w:t xml:space="preserve">NKÚ </w:t>
      </w:r>
      <w:r>
        <w:rPr>
          <w:rFonts w:cstheme="minorHAnsi"/>
        </w:rPr>
        <w:t xml:space="preserve">prověřil u MZe i SZIF shodný vzorek 15 projektů, u kterých příjemci podávali odvolání proti rozhodnutí, kterým </w:t>
      </w:r>
      <w:r w:rsidR="00F059D6">
        <w:rPr>
          <w:rFonts w:cstheme="minorHAnsi"/>
        </w:rPr>
        <w:t xml:space="preserve">SZIF </w:t>
      </w:r>
      <w:r>
        <w:rPr>
          <w:rFonts w:cstheme="minorHAnsi"/>
        </w:rPr>
        <w:t>nepodpořil jejich žádost o dotaci</w:t>
      </w:r>
      <w:r w:rsidR="000A50C4">
        <w:rPr>
          <w:rFonts w:cstheme="minorHAnsi"/>
        </w:rPr>
        <w:t>, a MZe provádělo přezkum rozhodnutí SZIF</w:t>
      </w:r>
      <w:r>
        <w:rPr>
          <w:rFonts w:cstheme="minorHAnsi"/>
        </w:rPr>
        <w:t>.</w:t>
      </w:r>
      <w:r w:rsidR="008A6DE4">
        <w:rPr>
          <w:rFonts w:cstheme="minorHAnsi"/>
        </w:rPr>
        <w:t xml:space="preserve"> </w:t>
      </w:r>
      <w:r>
        <w:rPr>
          <w:rFonts w:cstheme="minorHAnsi"/>
        </w:rPr>
        <w:t xml:space="preserve">Kontrolou bylo zjištěno, že ve </w:t>
      </w:r>
      <w:r w:rsidRPr="00D20B91">
        <w:rPr>
          <w:rFonts w:cstheme="minorHAnsi"/>
        </w:rPr>
        <w:t>čtyřech případech</w:t>
      </w:r>
      <w:r>
        <w:rPr>
          <w:rFonts w:cstheme="minorHAnsi"/>
        </w:rPr>
        <w:t xml:space="preserve"> obsahovaly </w:t>
      </w:r>
      <w:r w:rsidRPr="00D20B91">
        <w:rPr>
          <w:rFonts w:cstheme="minorHAnsi"/>
        </w:rPr>
        <w:t>materiály</w:t>
      </w:r>
      <w:r>
        <w:rPr>
          <w:rFonts w:cstheme="minorHAnsi"/>
        </w:rPr>
        <w:t xml:space="preserve"> pro přezkum a</w:t>
      </w:r>
      <w:r w:rsidR="00F059D6">
        <w:rPr>
          <w:rFonts w:cstheme="minorHAnsi"/>
        </w:rPr>
        <w:t xml:space="preserve"> </w:t>
      </w:r>
      <w:r>
        <w:rPr>
          <w:rFonts w:cstheme="minorHAnsi"/>
        </w:rPr>
        <w:t>složky jednotlivých projektů</w:t>
      </w:r>
      <w:r w:rsidR="008A6DE4">
        <w:rPr>
          <w:rFonts w:cstheme="minorHAnsi"/>
        </w:rPr>
        <w:t xml:space="preserve"> </w:t>
      </w:r>
      <w:r>
        <w:rPr>
          <w:rFonts w:cstheme="minorHAnsi"/>
        </w:rPr>
        <w:t>u SZIF</w:t>
      </w:r>
      <w:r w:rsidRPr="00D20B91">
        <w:rPr>
          <w:rFonts w:cstheme="minorHAnsi"/>
        </w:rPr>
        <w:t xml:space="preserve"> p</w:t>
      </w:r>
      <w:r>
        <w:rPr>
          <w:rFonts w:cstheme="minorHAnsi"/>
        </w:rPr>
        <w:t>opis</w:t>
      </w:r>
      <w:r w:rsidRPr="00D20B91">
        <w:rPr>
          <w:rFonts w:cstheme="minorHAnsi"/>
        </w:rPr>
        <w:t xml:space="preserve"> </w:t>
      </w:r>
      <w:r w:rsidR="000A50C4">
        <w:rPr>
          <w:rFonts w:cstheme="minorHAnsi"/>
        </w:rPr>
        <w:t>skutečností nasvědčujících</w:t>
      </w:r>
      <w:r w:rsidR="00F059D6">
        <w:rPr>
          <w:rFonts w:cstheme="minorHAnsi"/>
        </w:rPr>
        <w:t xml:space="preserve"> </w:t>
      </w:r>
      <w:r w:rsidRPr="00D20B91">
        <w:rPr>
          <w:rFonts w:cstheme="minorHAnsi"/>
        </w:rPr>
        <w:t>spáchání trestného činu.</w:t>
      </w:r>
      <w:r>
        <w:rPr>
          <w:rFonts w:cstheme="minorHAnsi"/>
        </w:rPr>
        <w:t xml:space="preserve"> V</w:t>
      </w:r>
      <w:r w:rsidR="00F059D6">
        <w:rPr>
          <w:rFonts w:cstheme="minorHAnsi"/>
        </w:rPr>
        <w:t xml:space="preserve"> </w:t>
      </w:r>
      <w:r>
        <w:rPr>
          <w:rFonts w:cstheme="minorHAnsi"/>
        </w:rPr>
        <w:t xml:space="preserve">prověřovaných </w:t>
      </w:r>
      <w:r w:rsidRPr="00C020AD">
        <w:rPr>
          <w:rFonts w:cstheme="minorHAnsi"/>
        </w:rPr>
        <w:t>čtyřech případech</w:t>
      </w:r>
      <w:r>
        <w:rPr>
          <w:rFonts w:cstheme="minorHAnsi"/>
        </w:rPr>
        <w:t xml:space="preserve"> jak MZe</w:t>
      </w:r>
      <w:r w:rsidR="00F059D6">
        <w:rPr>
          <w:rFonts w:cstheme="minorHAnsi"/>
        </w:rPr>
        <w:t>,</w:t>
      </w:r>
      <w:r>
        <w:rPr>
          <w:rFonts w:cstheme="minorHAnsi"/>
        </w:rPr>
        <w:t xml:space="preserve"> tak i SZIF prokazatelně disponovaly informacemi </w:t>
      </w:r>
      <w:r w:rsidRPr="00E56F62">
        <w:rPr>
          <w:rFonts w:cstheme="minorHAnsi"/>
        </w:rPr>
        <w:t>o skutečnostech nasvědčujících spáchán</w:t>
      </w:r>
      <w:r w:rsidR="000A50C4">
        <w:rPr>
          <w:rFonts w:cstheme="minorHAnsi"/>
        </w:rPr>
        <w:t>í</w:t>
      </w:r>
      <w:r w:rsidRPr="00E56F62">
        <w:rPr>
          <w:rFonts w:cstheme="minorHAnsi"/>
        </w:rPr>
        <w:t xml:space="preserve"> trestn</w:t>
      </w:r>
      <w:r w:rsidR="000A50C4">
        <w:rPr>
          <w:rFonts w:cstheme="minorHAnsi"/>
        </w:rPr>
        <w:t>ého</w:t>
      </w:r>
      <w:r w:rsidRPr="00E56F62">
        <w:rPr>
          <w:rFonts w:cstheme="minorHAnsi"/>
        </w:rPr>
        <w:t xml:space="preserve"> čin</w:t>
      </w:r>
      <w:r w:rsidR="000A50C4">
        <w:rPr>
          <w:rFonts w:cstheme="minorHAnsi"/>
        </w:rPr>
        <w:t>u</w:t>
      </w:r>
      <w:r>
        <w:rPr>
          <w:rFonts w:cstheme="minorHAnsi"/>
        </w:rPr>
        <w:t xml:space="preserve">. Přesto SZIF podal pouze jedno </w:t>
      </w:r>
      <w:r w:rsidRPr="00D20B91">
        <w:rPr>
          <w:rFonts w:cstheme="minorHAnsi"/>
        </w:rPr>
        <w:t>trestní oznámení</w:t>
      </w:r>
      <w:r w:rsidRPr="00AD7835">
        <w:rPr>
          <w:rFonts w:cstheme="minorHAnsi"/>
        </w:rPr>
        <w:t xml:space="preserve"> </w:t>
      </w:r>
      <w:r w:rsidRPr="00D20B91">
        <w:rPr>
          <w:rFonts w:cstheme="minorHAnsi"/>
        </w:rPr>
        <w:t xml:space="preserve">tak, jak ukládá </w:t>
      </w:r>
      <w:r w:rsidR="00236A5A">
        <w:rPr>
          <w:rFonts w:cstheme="minorHAnsi"/>
        </w:rPr>
        <w:t xml:space="preserve">výše zmíněné </w:t>
      </w:r>
      <w:r w:rsidR="008A6DE4" w:rsidRPr="00D20B91">
        <w:rPr>
          <w:rFonts w:cstheme="minorHAnsi"/>
        </w:rPr>
        <w:t>ustanovení zákona</w:t>
      </w:r>
      <w:r w:rsidRPr="00D20B91">
        <w:rPr>
          <w:rFonts w:cstheme="minorHAnsi"/>
        </w:rPr>
        <w:t xml:space="preserve"> č.</w:t>
      </w:r>
      <w:r w:rsidR="0059509F">
        <w:rPr>
          <w:rFonts w:cstheme="minorHAnsi"/>
        </w:rPr>
        <w:t> </w:t>
      </w:r>
      <w:r w:rsidRPr="00D20B91">
        <w:rPr>
          <w:rFonts w:cstheme="minorHAnsi"/>
        </w:rPr>
        <w:t>141/1961 Sb.</w:t>
      </w:r>
      <w:r w:rsidR="003740BB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F059D6">
        <w:rPr>
          <w:rFonts w:cstheme="minorHAnsi"/>
        </w:rPr>
        <w:t xml:space="preserve"> </w:t>
      </w:r>
      <w:r>
        <w:rPr>
          <w:rFonts w:cstheme="minorHAnsi"/>
        </w:rPr>
        <w:t xml:space="preserve">dalším případě </w:t>
      </w:r>
      <w:r w:rsidR="00F059D6">
        <w:rPr>
          <w:rFonts w:cstheme="minorHAnsi"/>
        </w:rPr>
        <w:t xml:space="preserve">podal </w:t>
      </w:r>
      <w:r>
        <w:rPr>
          <w:rFonts w:cstheme="minorHAnsi"/>
        </w:rPr>
        <w:t xml:space="preserve">oznámení </w:t>
      </w:r>
      <w:r w:rsidR="00F059D6">
        <w:rPr>
          <w:rFonts w:cstheme="minorHAnsi"/>
        </w:rPr>
        <w:t xml:space="preserve">o </w:t>
      </w:r>
      <w:r w:rsidR="000A50C4">
        <w:rPr>
          <w:rFonts w:cstheme="minorHAnsi"/>
        </w:rPr>
        <w:t>skutečnost</w:t>
      </w:r>
      <w:r w:rsidR="00F059D6">
        <w:rPr>
          <w:rFonts w:cstheme="minorHAnsi"/>
        </w:rPr>
        <w:t>ech</w:t>
      </w:r>
      <w:r w:rsidR="000A50C4">
        <w:rPr>
          <w:rFonts w:cstheme="minorHAnsi"/>
        </w:rPr>
        <w:t xml:space="preserve"> nasvědčujících </w:t>
      </w:r>
      <w:r>
        <w:rPr>
          <w:rFonts w:cstheme="minorHAnsi"/>
        </w:rPr>
        <w:t>spáchání trestného činu jiný subjekt, díky kterému bylo zahájeno trestní stíhání podezřelé osoby. O této skutečnosti se SZIF dozvěděl až poté, co byl kontaktován Polici</w:t>
      </w:r>
      <w:r w:rsidR="00F059D6">
        <w:rPr>
          <w:rFonts w:cstheme="minorHAnsi"/>
        </w:rPr>
        <w:t>í</w:t>
      </w:r>
      <w:r>
        <w:rPr>
          <w:rFonts w:cstheme="minorHAnsi"/>
        </w:rPr>
        <w:t xml:space="preserve"> ČR.</w:t>
      </w:r>
    </w:p>
    <w:p w:rsidR="00E94D07" w:rsidRPr="00A7441A" w:rsidRDefault="00E94D07" w:rsidP="000F641D">
      <w:pPr>
        <w:pStyle w:val="Odstavecseseznamem"/>
        <w:numPr>
          <w:ilvl w:val="0"/>
          <w:numId w:val="6"/>
        </w:numPr>
        <w:spacing w:before="0" w:after="120"/>
        <w:jc w:val="left"/>
        <w:rPr>
          <w:b/>
          <w:color w:val="2EB3A1"/>
        </w:rPr>
      </w:pPr>
      <w:r w:rsidRPr="00A7441A">
        <w:rPr>
          <w:b/>
          <w:color w:val="2EB3A1"/>
        </w:rPr>
        <w:t>Účelnost a hospodárnost peněžních prostředků u vybraných příjemců dotací</w:t>
      </w:r>
    </w:p>
    <w:p w:rsidR="00E94D07" w:rsidRDefault="00E94D07" w:rsidP="00E94D07">
      <w:pPr>
        <w:spacing w:after="120"/>
      </w:pPr>
      <w:r w:rsidRPr="00126430">
        <w:rPr>
          <w:b/>
        </w:rPr>
        <w:t>4.</w:t>
      </w:r>
      <w:r w:rsidR="005C1EC5">
        <w:rPr>
          <w:b/>
        </w:rPr>
        <w:t>29</w:t>
      </w:r>
      <w:r>
        <w:rPr>
          <w:b/>
        </w:rPr>
        <w:t xml:space="preserve"> </w:t>
      </w:r>
      <w:r>
        <w:t>NKÚ provedl kontrolu u šesti vybraných příjemců, kteří realizovali investiční projekty s podporou PRV 2014</w:t>
      </w:r>
      <w:r w:rsidR="004E2EE9">
        <w:t>–</w:t>
      </w:r>
      <w:r>
        <w:t xml:space="preserve">2020. </w:t>
      </w:r>
      <w:r w:rsidR="00F059D6">
        <w:t xml:space="preserve">Na kontrolním vzorku 20 projektů realizovaných těmito příjemci </w:t>
      </w:r>
      <w:r>
        <w:t xml:space="preserve">prověřil </w:t>
      </w:r>
      <w:r w:rsidR="00F059D6">
        <w:t xml:space="preserve">NKÚ </w:t>
      </w:r>
      <w:r>
        <w:t xml:space="preserve">vynaložené </w:t>
      </w:r>
      <w:r w:rsidR="0076705A">
        <w:t>peněžní</w:t>
      </w:r>
      <w:r>
        <w:t xml:space="preserve"> prostředky z</w:t>
      </w:r>
      <w:r w:rsidR="00F059D6">
        <w:t xml:space="preserve"> </w:t>
      </w:r>
      <w:r>
        <w:t>hlediska jejich účelnosti a</w:t>
      </w:r>
      <w:r w:rsidR="00F059D6">
        <w:t xml:space="preserve"> </w:t>
      </w:r>
      <w:r>
        <w:t>hospodárnosti. Za</w:t>
      </w:r>
      <w:r w:rsidR="00F059D6">
        <w:t xml:space="preserve"> </w:t>
      </w:r>
      <w:r>
        <w:t xml:space="preserve">tímto účelem </w:t>
      </w:r>
      <w:r w:rsidR="00F059D6">
        <w:t xml:space="preserve">vypracoval </w:t>
      </w:r>
      <w:r>
        <w:t>pro hodnocení projektů čtyřstupňovou hodnoticí škálu a</w:t>
      </w:r>
      <w:r w:rsidR="00F059D6">
        <w:t xml:space="preserve"> </w:t>
      </w:r>
      <w:r>
        <w:t>stanovil jednotná kritéria pro hodnocení (viz příloha č. 2). Výsledky posouzení jednotlivých projekt</w:t>
      </w:r>
      <w:r w:rsidR="00F059D6">
        <w:t>ů</w:t>
      </w:r>
      <w:r>
        <w:t xml:space="preserve"> obsahuje příloha č. 3. </w:t>
      </w:r>
      <w:r w:rsidR="00F059D6">
        <w:t>Kontrola</w:t>
      </w:r>
      <w:r>
        <w:t xml:space="preserve"> také ověřil</w:t>
      </w:r>
      <w:r w:rsidR="00F059D6">
        <w:t>a</w:t>
      </w:r>
      <w:r>
        <w:t>, zda příjemci dotací postupovali při realizaci svých projektů v souladu se stanovenými podmínkami a právními předpisy.</w:t>
      </w:r>
    </w:p>
    <w:p w:rsidR="00E94D07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>3</w:t>
      </w:r>
      <w:r w:rsidR="005C1EC5">
        <w:rPr>
          <w:b/>
        </w:rPr>
        <w:t>0</w:t>
      </w:r>
      <w:r>
        <w:rPr>
          <w:rFonts w:cstheme="minorHAnsi"/>
        </w:rPr>
        <w:t xml:space="preserve"> Ve vybraných projektech nezjistil NKÚ neoprávněné čerpání dotací, porušení Pravidel, pravidel pro zadávání veřejných zakázek nebo nedodržení dalších závazných podmínek a právních předpisů. Současně NKÚ při </w:t>
      </w:r>
      <w:r w:rsidR="005C1EC5">
        <w:rPr>
          <w:rFonts w:cstheme="minorHAnsi"/>
        </w:rPr>
        <w:t>kontrole nezjistil</w:t>
      </w:r>
      <w:r>
        <w:rPr>
          <w:rFonts w:cstheme="minorHAnsi"/>
        </w:rPr>
        <w:t xml:space="preserve"> nehospodárné vynaložení peněžních prostředků. Všechny uplatněné výdaje byly způsobilé dle stanovených podmínek,</w:t>
      </w:r>
      <w:r w:rsidR="00F059D6">
        <w:rPr>
          <w:rFonts w:cstheme="minorHAnsi"/>
        </w:rPr>
        <w:t xml:space="preserve"> </w:t>
      </w:r>
      <w:r>
        <w:rPr>
          <w:rFonts w:cstheme="minorHAnsi"/>
        </w:rPr>
        <w:t>odpovídaly stanoveným limitům výdajů uvedený</w:t>
      </w:r>
      <w:r w:rsidR="00F059D6">
        <w:rPr>
          <w:rFonts w:cstheme="minorHAnsi"/>
        </w:rPr>
        <w:t>m</w:t>
      </w:r>
      <w:r>
        <w:rPr>
          <w:rFonts w:cstheme="minorHAnsi"/>
        </w:rPr>
        <w:t xml:space="preserve"> v</w:t>
      </w:r>
      <w:r w:rsidR="00F059D6">
        <w:rPr>
          <w:rFonts w:cstheme="minorHAnsi"/>
        </w:rPr>
        <w:t xml:space="preserve"> </w:t>
      </w:r>
      <w:r>
        <w:rPr>
          <w:rFonts w:cstheme="minorHAnsi"/>
        </w:rPr>
        <w:t xml:space="preserve">Pravidlech pro jednotlivé operace a současně příjemci použili </w:t>
      </w:r>
      <w:r w:rsidRPr="00883857">
        <w:rPr>
          <w:rFonts w:cstheme="minorHAnsi"/>
        </w:rPr>
        <w:t>veřejn</w:t>
      </w:r>
      <w:r>
        <w:rPr>
          <w:rFonts w:cstheme="minorHAnsi"/>
        </w:rPr>
        <w:t>é</w:t>
      </w:r>
      <w:r w:rsidRPr="00883857">
        <w:rPr>
          <w:rFonts w:cstheme="minorHAnsi"/>
        </w:rPr>
        <w:t xml:space="preserve"> prostředk</w:t>
      </w:r>
      <w:r>
        <w:rPr>
          <w:rFonts w:cstheme="minorHAnsi"/>
        </w:rPr>
        <w:t>y</w:t>
      </w:r>
      <w:r w:rsidR="005C1EC5">
        <w:rPr>
          <w:rFonts w:cstheme="minorHAnsi"/>
        </w:rPr>
        <w:t xml:space="preserve"> k </w:t>
      </w:r>
      <w:r w:rsidRPr="00883857">
        <w:rPr>
          <w:rFonts w:cstheme="minorHAnsi"/>
        </w:rPr>
        <w:t>zajištění stanovených úkolů s co nejnižším vynaložením těchto prostředků, a to při dodržení odpovídající kvality plněných úkolů</w:t>
      </w:r>
      <w:r>
        <w:rPr>
          <w:rFonts w:cstheme="minorHAnsi"/>
        </w:rPr>
        <w:t xml:space="preserve">. Všech 20 projektů ohodnotil NKÚ jako hospodárné, tedy stupněm 1 (viz příloha </w:t>
      </w:r>
      <w:r w:rsidRPr="005D7FAF">
        <w:rPr>
          <w:rFonts w:cstheme="minorHAnsi"/>
        </w:rPr>
        <w:t>č. 2</w:t>
      </w:r>
      <w:r>
        <w:rPr>
          <w:rFonts w:cstheme="minorHAnsi"/>
        </w:rPr>
        <w:t>)</w:t>
      </w:r>
      <w:r w:rsidRPr="005D7FA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E94D07" w:rsidRPr="00250226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>3</w:t>
      </w:r>
      <w:r w:rsidR="005C1EC5">
        <w:rPr>
          <w:b/>
        </w:rPr>
        <w:t>1</w:t>
      </w:r>
      <w:r>
        <w:rPr>
          <w:b/>
        </w:rPr>
        <w:t xml:space="preserve"> </w:t>
      </w:r>
      <w:r w:rsidRPr="009469FB">
        <w:rPr>
          <w:rFonts w:cstheme="minorHAnsi"/>
        </w:rPr>
        <w:t xml:space="preserve">NKÚ posuzoval </w:t>
      </w:r>
      <w:r w:rsidRPr="009469FB">
        <w:t xml:space="preserve">výdaje vynaložené na projekt z hlediska účelnosti </w:t>
      </w:r>
      <w:r w:rsidRPr="009469FB">
        <w:rPr>
          <w:rFonts w:cstheme="minorHAnsi"/>
        </w:rPr>
        <w:t xml:space="preserve">především z </w:t>
      </w:r>
      <w:r>
        <w:rPr>
          <w:rFonts w:cstheme="minorHAnsi"/>
        </w:rPr>
        <w:t>pohledu</w:t>
      </w:r>
      <w:r w:rsidRPr="009469FB">
        <w:rPr>
          <w:rFonts w:cstheme="minorHAnsi"/>
        </w:rPr>
        <w:t xml:space="preserve"> naplnění (nebo předpokladu naplnění) všech cílů a aktivit projektu uvedených v</w:t>
      </w:r>
      <w:r w:rsidR="00F059D6">
        <w:rPr>
          <w:rFonts w:cstheme="minorHAnsi"/>
        </w:rPr>
        <w:t xml:space="preserve"> </w:t>
      </w:r>
      <w:r w:rsidRPr="009469FB">
        <w:rPr>
          <w:rFonts w:cstheme="minorHAnsi"/>
        </w:rPr>
        <w:t xml:space="preserve">žádosti </w:t>
      </w:r>
      <w:r w:rsidR="008D5381">
        <w:rPr>
          <w:rFonts w:cstheme="minorHAnsi"/>
        </w:rPr>
        <w:br/>
      </w:r>
      <w:r w:rsidRPr="009469FB">
        <w:rPr>
          <w:rFonts w:cstheme="minorHAnsi"/>
        </w:rPr>
        <w:t>o</w:t>
      </w:r>
      <w:r w:rsidR="008D5381">
        <w:rPr>
          <w:rFonts w:cstheme="minorHAnsi"/>
        </w:rPr>
        <w:t xml:space="preserve"> </w:t>
      </w:r>
      <w:r w:rsidRPr="009469FB">
        <w:rPr>
          <w:rFonts w:cstheme="minorHAnsi"/>
        </w:rPr>
        <w:t xml:space="preserve">dotaci. Současně NKÚ posuzoval splnění (nebo předpoklad splnění) cílových hodnot monitorovacích indikátorů projektu, pokud byly stanoveny. </w:t>
      </w:r>
      <w:r w:rsidRPr="009469FB">
        <w:t xml:space="preserve">Cíle uvedené v žádostech o </w:t>
      </w:r>
      <w:r>
        <w:t>dotaci</w:t>
      </w:r>
      <w:r w:rsidRPr="009469FB">
        <w:t xml:space="preserve"> příjemci popisovali převážně jako kvalitativní změnu</w:t>
      </w:r>
      <w:r>
        <w:t xml:space="preserve"> a</w:t>
      </w:r>
      <w:r w:rsidRPr="009469FB">
        <w:t xml:space="preserve"> u většiny vybraných projektů nebyla změna kvantifikována měřitelným </w:t>
      </w:r>
      <w:r>
        <w:t>indikátorem</w:t>
      </w:r>
      <w:r w:rsidRPr="009469FB">
        <w:t>.</w:t>
      </w:r>
    </w:p>
    <w:p w:rsidR="00E94D07" w:rsidRPr="00A7441A" w:rsidRDefault="00E94D07" w:rsidP="00E94D07">
      <w:pPr>
        <w:spacing w:after="120"/>
        <w:rPr>
          <w:b/>
          <w:i/>
          <w:color w:val="AF1953"/>
        </w:rPr>
      </w:pPr>
      <w:r w:rsidRPr="00A7441A">
        <w:rPr>
          <w:b/>
          <w:i/>
          <w:color w:val="AF1953"/>
        </w:rPr>
        <w:t xml:space="preserve">→ </w:t>
      </w:r>
      <w:r w:rsidR="00791E52">
        <w:rPr>
          <w:b/>
          <w:i/>
          <w:color w:val="AF1953"/>
        </w:rPr>
        <w:t>V</w:t>
      </w:r>
      <w:r w:rsidRPr="00A7441A">
        <w:rPr>
          <w:b/>
          <w:i/>
          <w:color w:val="AF1953"/>
        </w:rPr>
        <w:t>ynaložen</w:t>
      </w:r>
      <w:r w:rsidR="00791E52">
        <w:rPr>
          <w:b/>
          <w:i/>
          <w:color w:val="AF1953"/>
        </w:rPr>
        <w:t>é</w:t>
      </w:r>
      <w:r w:rsidRPr="00A7441A">
        <w:rPr>
          <w:b/>
          <w:i/>
          <w:color w:val="AF1953"/>
        </w:rPr>
        <w:t xml:space="preserve"> prostředk</w:t>
      </w:r>
      <w:r w:rsidR="00791E52">
        <w:rPr>
          <w:b/>
          <w:i/>
          <w:color w:val="AF1953"/>
        </w:rPr>
        <w:t>y</w:t>
      </w:r>
      <w:r w:rsidRPr="00A7441A">
        <w:rPr>
          <w:b/>
          <w:i/>
          <w:color w:val="AF1953"/>
        </w:rPr>
        <w:t xml:space="preserve"> byl</w:t>
      </w:r>
      <w:r w:rsidR="00791E52">
        <w:rPr>
          <w:b/>
          <w:i/>
          <w:color w:val="AF1953"/>
        </w:rPr>
        <w:t>y</w:t>
      </w:r>
      <w:r w:rsidRPr="00A7441A">
        <w:rPr>
          <w:b/>
          <w:i/>
          <w:color w:val="AF1953"/>
        </w:rPr>
        <w:t xml:space="preserve"> u tř</w:t>
      </w:r>
      <w:r w:rsidR="0076705A">
        <w:rPr>
          <w:b/>
          <w:i/>
          <w:color w:val="AF1953"/>
        </w:rPr>
        <w:t>í</w:t>
      </w:r>
      <w:r w:rsidRPr="00A7441A">
        <w:rPr>
          <w:b/>
          <w:i/>
          <w:color w:val="AF1953"/>
        </w:rPr>
        <w:t xml:space="preserve"> kontrolovaných projektů vyhodnocen</w:t>
      </w:r>
      <w:r w:rsidR="00791E52">
        <w:rPr>
          <w:b/>
          <w:i/>
          <w:color w:val="AF1953"/>
        </w:rPr>
        <w:t>y</w:t>
      </w:r>
      <w:r w:rsidRPr="00A7441A">
        <w:rPr>
          <w:color w:val="AF1953"/>
        </w:rPr>
        <w:t xml:space="preserve"> </w:t>
      </w:r>
      <w:r w:rsidRPr="00A7441A">
        <w:rPr>
          <w:b/>
          <w:i/>
          <w:color w:val="AF1953"/>
        </w:rPr>
        <w:t>jako pouze omezen</w:t>
      </w:r>
      <w:r w:rsidR="00791E52">
        <w:rPr>
          <w:b/>
          <w:i/>
          <w:color w:val="AF1953"/>
        </w:rPr>
        <w:t>ě účelné</w:t>
      </w:r>
      <w:r w:rsidRPr="00A7441A">
        <w:rPr>
          <w:b/>
          <w:i/>
          <w:color w:val="AF1953"/>
        </w:rPr>
        <w:t xml:space="preserve">, u </w:t>
      </w:r>
      <w:r w:rsidR="0076705A">
        <w:rPr>
          <w:b/>
          <w:i/>
          <w:color w:val="AF1953"/>
        </w:rPr>
        <w:t>dvanácti</w:t>
      </w:r>
      <w:r w:rsidRPr="00A7441A">
        <w:rPr>
          <w:b/>
          <w:i/>
          <w:color w:val="AF1953"/>
        </w:rPr>
        <w:t xml:space="preserve"> projektů </w:t>
      </w:r>
      <w:r w:rsidR="00791E52">
        <w:rPr>
          <w:b/>
          <w:i/>
          <w:color w:val="AF1953"/>
        </w:rPr>
        <w:t xml:space="preserve">jako účelné </w:t>
      </w:r>
      <w:r w:rsidRPr="00A7441A">
        <w:rPr>
          <w:b/>
          <w:i/>
          <w:color w:val="AF1953"/>
        </w:rPr>
        <w:t xml:space="preserve">s výhradou. </w:t>
      </w:r>
    </w:p>
    <w:p w:rsidR="00E94D07" w:rsidRDefault="00E94D07" w:rsidP="00E94D07">
      <w:pPr>
        <w:pStyle w:val="JK4"/>
        <w:numPr>
          <w:ilvl w:val="0"/>
          <w:numId w:val="0"/>
        </w:numPr>
        <w:rPr>
          <w:rFonts w:cstheme="minorHAnsi"/>
          <w:szCs w:val="24"/>
        </w:rPr>
      </w:pPr>
      <w:r w:rsidRPr="00126430">
        <w:rPr>
          <w:b/>
          <w:szCs w:val="24"/>
        </w:rPr>
        <w:t>4.</w:t>
      </w:r>
      <w:r>
        <w:rPr>
          <w:b/>
          <w:szCs w:val="24"/>
        </w:rPr>
        <w:t>3</w:t>
      </w:r>
      <w:r w:rsidR="005C1EC5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Pr="00A301A0">
        <w:rPr>
          <w:rFonts w:cstheme="minorHAnsi"/>
          <w:szCs w:val="24"/>
        </w:rPr>
        <w:t>V případě hodnocení účelnosti</w:t>
      </w:r>
      <w:r>
        <w:rPr>
          <w:rFonts w:cstheme="minorHAnsi"/>
          <w:szCs w:val="24"/>
        </w:rPr>
        <w:t xml:space="preserve"> vynaložených peněžních prostředků pouze pět projektů </w:t>
      </w:r>
      <w:r w:rsidR="00974826">
        <w:rPr>
          <w:rFonts w:cstheme="minorHAnsi"/>
          <w:szCs w:val="24"/>
        </w:rPr>
        <w:t>vyhodnotil</w:t>
      </w:r>
      <w:r>
        <w:rPr>
          <w:rFonts w:cstheme="minorHAnsi"/>
          <w:szCs w:val="24"/>
        </w:rPr>
        <w:t xml:space="preserve"> NKÚ jako zcela účelné</w:t>
      </w:r>
      <w:r w:rsidR="00791E52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tedy stupněm 1 (viz příloha č. 2). Všechny účelné projekty byly z</w:t>
      </w:r>
      <w:r w:rsidR="008D538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operace 4.1.1 a byl</w:t>
      </w:r>
      <w:r w:rsidR="00443F17">
        <w:rPr>
          <w:rFonts w:cstheme="minorHAnsi"/>
          <w:szCs w:val="24"/>
        </w:rPr>
        <w:t>a</w:t>
      </w:r>
      <w:r>
        <w:rPr>
          <w:rFonts w:cstheme="minorHAnsi"/>
          <w:szCs w:val="24"/>
        </w:rPr>
        <w:t xml:space="preserve"> na ně poskytnuta dotace z</w:t>
      </w:r>
      <w:r w:rsidR="00791E5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PRV 2014</w:t>
      </w:r>
      <w:r w:rsidR="004E2EE9">
        <w:rPr>
          <w:rFonts w:cstheme="minorHAnsi"/>
          <w:szCs w:val="24"/>
        </w:rPr>
        <w:t>–</w:t>
      </w:r>
      <w:r>
        <w:rPr>
          <w:rFonts w:cstheme="minorHAnsi"/>
          <w:szCs w:val="24"/>
        </w:rPr>
        <w:t xml:space="preserve">2020 ve výši 78,3 mil. Kč. </w:t>
      </w:r>
      <w:r w:rsidRPr="00E3724B">
        <w:rPr>
          <w:rFonts w:cstheme="minorHAnsi"/>
          <w:szCs w:val="24"/>
        </w:rPr>
        <w:t>Projekt</w:t>
      </w:r>
      <w:r>
        <w:rPr>
          <w:rFonts w:cstheme="minorHAnsi"/>
          <w:szCs w:val="24"/>
        </w:rPr>
        <w:t>, kde NKÚ vyhodnotil vynaložen</w:t>
      </w:r>
      <w:r w:rsidR="00791E52">
        <w:rPr>
          <w:rFonts w:cstheme="minorHAnsi"/>
          <w:szCs w:val="24"/>
        </w:rPr>
        <w:t>é</w:t>
      </w:r>
      <w:r>
        <w:rPr>
          <w:rFonts w:cstheme="minorHAnsi"/>
          <w:szCs w:val="24"/>
        </w:rPr>
        <w:t xml:space="preserve"> prostředk</w:t>
      </w:r>
      <w:r w:rsidR="00791E52">
        <w:rPr>
          <w:rFonts w:cstheme="minorHAnsi"/>
          <w:szCs w:val="24"/>
        </w:rPr>
        <w:t>y</w:t>
      </w:r>
      <w:r w:rsidRPr="00E3724B">
        <w:rPr>
          <w:rFonts w:cstheme="minorHAnsi"/>
          <w:szCs w:val="24"/>
        </w:rPr>
        <w:t xml:space="preserve"> jako účeln</w:t>
      </w:r>
      <w:r>
        <w:rPr>
          <w:rFonts w:cstheme="minorHAnsi"/>
          <w:szCs w:val="24"/>
        </w:rPr>
        <w:t>é,</w:t>
      </w:r>
      <w:r w:rsidRPr="00E3724B">
        <w:rPr>
          <w:rFonts w:cstheme="minorHAnsi"/>
          <w:szCs w:val="24"/>
        </w:rPr>
        <w:t xml:space="preserve"> ilustruj</w:t>
      </w:r>
      <w:r>
        <w:rPr>
          <w:rFonts w:cstheme="minorHAnsi"/>
          <w:szCs w:val="24"/>
        </w:rPr>
        <w:t>e</w:t>
      </w:r>
      <w:r w:rsidRPr="00E3724B">
        <w:rPr>
          <w:rFonts w:cstheme="minorHAnsi"/>
          <w:szCs w:val="24"/>
        </w:rPr>
        <w:t xml:space="preserve"> příklad </w:t>
      </w:r>
      <w:r w:rsidRPr="00E3724B">
        <w:rPr>
          <w:szCs w:val="24"/>
        </w:rPr>
        <w:t>č.</w:t>
      </w:r>
      <w:r>
        <w:rPr>
          <w:szCs w:val="24"/>
        </w:rPr>
        <w:t> 7.</w:t>
      </w:r>
    </w:p>
    <w:p w:rsidR="00E94D07" w:rsidRPr="004059D8" w:rsidRDefault="00E94D07" w:rsidP="00E94D07">
      <w:pPr>
        <w:rPr>
          <w:b/>
        </w:rPr>
      </w:pPr>
      <w:r w:rsidRPr="004059D8">
        <w:rPr>
          <w:b/>
        </w:rPr>
        <w:lastRenderedPageBreak/>
        <w:t xml:space="preserve">Příklad č. </w:t>
      </w:r>
      <w:r>
        <w:rPr>
          <w:b/>
        </w:rPr>
        <w:t>7</w:t>
      </w:r>
      <w:r w:rsidRPr="004059D8">
        <w:rPr>
          <w:b/>
        </w:rPr>
        <w:t xml:space="preserve"> </w:t>
      </w:r>
      <w:r w:rsidR="00470072">
        <w:rPr>
          <w:b/>
        </w:rPr>
        <w:t>–</w:t>
      </w:r>
      <w:r w:rsidR="006D1FBB">
        <w:rPr>
          <w:b/>
        </w:rPr>
        <w:t xml:space="preserve"> </w:t>
      </w:r>
      <w:r w:rsidRPr="004059D8">
        <w:rPr>
          <w:b/>
        </w:rPr>
        <w:t>účelné vynaložení peněžních prostředků</w:t>
      </w:r>
    </w:p>
    <w:p w:rsidR="00E94D07" w:rsidRPr="00B3348B" w:rsidRDefault="00E94D07" w:rsidP="00D1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theme="minorHAnsi"/>
        </w:rPr>
      </w:pPr>
      <w:r w:rsidRPr="00B3348B">
        <w:t>U projektu</w:t>
      </w:r>
      <w:r>
        <w:t xml:space="preserve"> </w:t>
      </w:r>
      <w:r w:rsidRPr="00B3348B">
        <w:t xml:space="preserve">č. </w:t>
      </w:r>
      <w:r w:rsidRPr="00B3348B">
        <w:rPr>
          <w:rFonts w:cstheme="minorHAnsi"/>
        </w:rPr>
        <w:t>2567</w:t>
      </w:r>
      <w:r w:rsidRPr="00B3348B">
        <w:t xml:space="preserve"> </w:t>
      </w:r>
      <w:r w:rsidRPr="00B3348B">
        <w:rPr>
          <w:rFonts w:cstheme="minorHAnsi"/>
        </w:rPr>
        <w:t>na</w:t>
      </w:r>
      <w:r>
        <w:rPr>
          <w:rFonts w:cstheme="minorHAnsi"/>
        </w:rPr>
        <w:t xml:space="preserve"> výstavbu</w:t>
      </w:r>
      <w:r w:rsidRPr="00B3348B">
        <w:rPr>
          <w:rFonts w:cstheme="minorHAnsi"/>
        </w:rPr>
        <w:t xml:space="preserve"> </w:t>
      </w:r>
      <w:r w:rsidRPr="00B3348B">
        <w:t>stáj</w:t>
      </w:r>
      <w:r>
        <w:t>e</w:t>
      </w:r>
      <w:r w:rsidRPr="00B3348B">
        <w:t xml:space="preserve"> pro výkrm brojlerů</w:t>
      </w:r>
      <w:r>
        <w:t xml:space="preserve"> </w:t>
      </w:r>
      <w:r w:rsidR="00791E52">
        <w:t xml:space="preserve">uvedl </w:t>
      </w:r>
      <w:r>
        <w:t>příjemce v</w:t>
      </w:r>
      <w:r w:rsidR="00871E95">
        <w:t xml:space="preserve"> </w:t>
      </w:r>
      <w:r>
        <w:t xml:space="preserve">žádosti o dotaci </w:t>
      </w:r>
      <w:r w:rsidR="00871E95">
        <w:br/>
      </w:r>
      <w:r>
        <w:t>jako h</w:t>
      </w:r>
      <w:r w:rsidRPr="00B3348B">
        <w:rPr>
          <w:rFonts w:cstheme="minorHAnsi"/>
        </w:rPr>
        <w:t>lavní cíl projektu vybudování nové haly s</w:t>
      </w:r>
      <w:r w:rsidR="005C57B4">
        <w:rPr>
          <w:rFonts w:cstheme="minorHAnsi"/>
        </w:rPr>
        <w:t xml:space="preserve"> </w:t>
      </w:r>
      <w:r w:rsidRPr="00B3348B">
        <w:rPr>
          <w:rFonts w:cstheme="minorHAnsi"/>
        </w:rPr>
        <w:t>kapacitou 30 000 kusů pro výkrm kuřat</w:t>
      </w:r>
      <w:r w:rsidRPr="00B3348B">
        <w:rPr>
          <w:rFonts w:cstheme="minorHAnsi"/>
          <w:i/>
        </w:rPr>
        <w:t xml:space="preserve">. </w:t>
      </w:r>
      <w:r w:rsidRPr="00B3348B">
        <w:rPr>
          <w:rFonts w:cstheme="minorHAnsi"/>
        </w:rPr>
        <w:t>Příjemce dále uvedl</w:t>
      </w:r>
      <w:r>
        <w:rPr>
          <w:rFonts w:cstheme="minorHAnsi"/>
        </w:rPr>
        <w:t>:</w:t>
      </w:r>
      <w:r w:rsidRPr="00B3348B">
        <w:rPr>
          <w:rFonts w:cstheme="minorHAnsi"/>
          <w:i/>
        </w:rPr>
        <w:t xml:space="preserve"> </w:t>
      </w:r>
      <w:r w:rsidRPr="00D17BAD">
        <w:rPr>
          <w:rFonts w:cstheme="minorHAnsi"/>
        </w:rPr>
        <w:t>„</w:t>
      </w:r>
      <w:r w:rsidRPr="00B3348B">
        <w:rPr>
          <w:rFonts w:cstheme="minorHAnsi"/>
          <w:i/>
        </w:rPr>
        <w:t>nová technologie napájení, krmení; topení a ventilace splňující požadavky na welfare zvířat; instalace nové technologie ke snížení emisí NH3</w:t>
      </w:r>
      <w:r w:rsidRPr="00D17BAD">
        <w:rPr>
          <w:rFonts w:cstheme="minorHAnsi"/>
          <w:i/>
        </w:rPr>
        <w:t>...</w:t>
      </w:r>
      <w:r w:rsidRPr="00B3348B">
        <w:rPr>
          <w:rFonts w:cstheme="minorHAnsi"/>
        </w:rPr>
        <w:t>“ Dále příjemce</w:t>
      </w:r>
      <w:r w:rsidRPr="00B3348B">
        <w:rPr>
          <w:rFonts w:cstheme="minorHAnsi"/>
          <w:i/>
        </w:rPr>
        <w:t xml:space="preserve"> </w:t>
      </w:r>
      <w:r w:rsidRPr="00B3348B">
        <w:rPr>
          <w:rFonts w:cstheme="minorHAnsi"/>
          <w:bCs/>
          <w:iCs/>
        </w:rPr>
        <w:t xml:space="preserve">v </w:t>
      </w:r>
      <w:r w:rsidR="00AC13E7">
        <w:rPr>
          <w:rFonts w:cstheme="minorHAnsi"/>
          <w:bCs/>
          <w:iCs/>
        </w:rPr>
        <w:t>ž</w:t>
      </w:r>
      <w:r w:rsidRPr="00B3348B">
        <w:rPr>
          <w:rFonts w:cstheme="minorHAnsi"/>
          <w:bCs/>
          <w:iCs/>
        </w:rPr>
        <w:t>ádosti o</w:t>
      </w:r>
      <w:r w:rsidR="005C57B4">
        <w:rPr>
          <w:rFonts w:cstheme="minorHAnsi"/>
          <w:bCs/>
          <w:iCs/>
        </w:rPr>
        <w:t> </w:t>
      </w:r>
      <w:r w:rsidRPr="00B3348B">
        <w:rPr>
          <w:rFonts w:cstheme="minorHAnsi"/>
          <w:bCs/>
          <w:iCs/>
        </w:rPr>
        <w:t>dotaci uvedl výstupy realizovaného projektu</w:t>
      </w:r>
      <w:r w:rsidR="00791E52">
        <w:rPr>
          <w:rFonts w:cstheme="minorHAnsi"/>
          <w:bCs/>
          <w:iCs/>
        </w:rPr>
        <w:t>:</w:t>
      </w:r>
      <w:r w:rsidRPr="00B3348B">
        <w:rPr>
          <w:rFonts w:cstheme="minorHAnsi"/>
          <w:bCs/>
          <w:iCs/>
        </w:rPr>
        <w:t xml:space="preserve"> </w:t>
      </w:r>
      <w:r w:rsidRPr="00D17BAD">
        <w:rPr>
          <w:rFonts w:cstheme="minorHAnsi"/>
          <w:bCs/>
          <w:iCs/>
        </w:rPr>
        <w:t>„</w:t>
      </w:r>
      <w:r w:rsidRPr="00B3348B">
        <w:rPr>
          <w:rFonts w:cstheme="minorHAnsi"/>
          <w:bCs/>
          <w:i/>
          <w:iCs/>
        </w:rPr>
        <w:t xml:space="preserve">drůbež / kuřata jatečná </w:t>
      </w:r>
      <w:r w:rsidRPr="00B3348B">
        <w:rPr>
          <w:rFonts w:cstheme="minorHAnsi"/>
          <w:bCs/>
          <w:iCs/>
        </w:rPr>
        <w:t>–</w:t>
      </w:r>
      <w:r w:rsidRPr="00B3348B">
        <w:rPr>
          <w:rFonts w:cstheme="minorHAnsi"/>
          <w:bCs/>
          <w:i/>
          <w:iCs/>
        </w:rPr>
        <w:t>30 000 ustájovacích míst (UM), množství 15,2 UM/kg, jedn</w:t>
      </w:r>
      <w:r w:rsidR="005C57B4">
        <w:rPr>
          <w:rFonts w:cstheme="minorHAnsi"/>
          <w:bCs/>
          <w:i/>
          <w:iCs/>
        </w:rPr>
        <w:t>otková</w:t>
      </w:r>
      <w:r w:rsidRPr="00B3348B">
        <w:rPr>
          <w:rFonts w:cstheme="minorHAnsi"/>
          <w:bCs/>
          <w:i/>
          <w:iCs/>
        </w:rPr>
        <w:t xml:space="preserve"> cena 23,50 Kč/kg, příjmy z</w:t>
      </w:r>
      <w:r w:rsidR="005C57B4">
        <w:rPr>
          <w:rFonts w:cstheme="minorHAnsi"/>
          <w:bCs/>
          <w:i/>
          <w:iCs/>
        </w:rPr>
        <w:t xml:space="preserve"> </w:t>
      </w:r>
      <w:r w:rsidRPr="00B3348B">
        <w:rPr>
          <w:rFonts w:cstheme="minorHAnsi"/>
          <w:bCs/>
          <w:i/>
          <w:iCs/>
        </w:rPr>
        <w:t xml:space="preserve">tržeb </w:t>
      </w:r>
      <w:r w:rsidR="00871E95">
        <w:rPr>
          <w:rFonts w:cstheme="minorHAnsi"/>
          <w:bCs/>
          <w:i/>
          <w:iCs/>
        </w:rPr>
        <w:br/>
      </w:r>
      <w:r w:rsidRPr="00B3348B">
        <w:rPr>
          <w:rFonts w:cstheme="minorHAnsi"/>
          <w:bCs/>
          <w:i/>
          <w:iCs/>
        </w:rPr>
        <w:t>za</w:t>
      </w:r>
      <w:r w:rsidR="005C57B4">
        <w:rPr>
          <w:rFonts w:cstheme="minorHAnsi"/>
          <w:bCs/>
          <w:i/>
          <w:iCs/>
        </w:rPr>
        <w:t xml:space="preserve"> </w:t>
      </w:r>
      <w:r w:rsidRPr="00B3348B">
        <w:rPr>
          <w:rFonts w:cstheme="minorHAnsi"/>
          <w:bCs/>
          <w:i/>
          <w:iCs/>
        </w:rPr>
        <w:t>rok – 10</w:t>
      </w:r>
      <w:r w:rsidR="005C57B4">
        <w:rPr>
          <w:rFonts w:cstheme="minorHAnsi"/>
          <w:bCs/>
          <w:i/>
          <w:iCs/>
        </w:rPr>
        <w:t> </w:t>
      </w:r>
      <w:r w:rsidRPr="00B3348B">
        <w:rPr>
          <w:rFonts w:cstheme="minorHAnsi"/>
          <w:bCs/>
          <w:i/>
          <w:iCs/>
        </w:rPr>
        <w:t>716</w:t>
      </w:r>
      <w:r w:rsidR="005C57B4">
        <w:rPr>
          <w:rFonts w:cstheme="minorHAnsi"/>
          <w:bCs/>
          <w:i/>
          <w:iCs/>
        </w:rPr>
        <w:t> </w:t>
      </w:r>
      <w:r w:rsidRPr="00B3348B">
        <w:rPr>
          <w:rFonts w:cstheme="minorHAnsi"/>
          <w:bCs/>
          <w:i/>
          <w:iCs/>
        </w:rPr>
        <w:t>000</w:t>
      </w:r>
      <w:r w:rsidR="005C57B4">
        <w:rPr>
          <w:rFonts w:cstheme="minorHAnsi"/>
          <w:bCs/>
          <w:i/>
          <w:iCs/>
        </w:rPr>
        <w:t> </w:t>
      </w:r>
      <w:r w:rsidRPr="00B3348B">
        <w:rPr>
          <w:rFonts w:cstheme="minorHAnsi"/>
          <w:bCs/>
          <w:i/>
          <w:iCs/>
        </w:rPr>
        <w:t>Kč/rok.</w:t>
      </w:r>
      <w:r w:rsidRPr="00D17BAD">
        <w:rPr>
          <w:rFonts w:cstheme="minorHAnsi"/>
          <w:bCs/>
          <w:iCs/>
        </w:rPr>
        <w:t>“</w:t>
      </w:r>
    </w:p>
    <w:p w:rsidR="00E94D07" w:rsidRPr="002007B9" w:rsidRDefault="00E94D07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348B">
        <w:rPr>
          <w:rFonts w:cstheme="minorHAnsi"/>
          <w:bCs/>
          <w:iCs/>
        </w:rPr>
        <w:t xml:space="preserve">Příjemce naplnil realizací projektu </w:t>
      </w:r>
      <w:r>
        <w:rPr>
          <w:rFonts w:cstheme="minorHAnsi"/>
          <w:bCs/>
          <w:iCs/>
        </w:rPr>
        <w:t xml:space="preserve">cíl v </w:t>
      </w:r>
      <w:r w:rsidRPr="00B3348B">
        <w:rPr>
          <w:rFonts w:cstheme="minorHAnsi"/>
          <w:bCs/>
          <w:iCs/>
        </w:rPr>
        <w:t xml:space="preserve">počtu </w:t>
      </w:r>
      <w:r>
        <w:rPr>
          <w:rFonts w:cstheme="minorHAnsi"/>
          <w:bCs/>
          <w:iCs/>
        </w:rPr>
        <w:t xml:space="preserve">chovaných </w:t>
      </w:r>
      <w:r w:rsidRPr="00B3348B">
        <w:rPr>
          <w:rFonts w:cstheme="minorHAnsi"/>
          <w:bCs/>
          <w:iCs/>
        </w:rPr>
        <w:t xml:space="preserve">kuřat (ustájovacích míst) </w:t>
      </w:r>
      <w:r w:rsidR="005C57B4">
        <w:rPr>
          <w:rFonts w:cstheme="minorHAnsi"/>
          <w:bCs/>
          <w:iCs/>
        </w:rPr>
        <w:t>i</w:t>
      </w:r>
      <w:r w:rsidRPr="00B3348B">
        <w:rPr>
          <w:rFonts w:cstheme="minorHAnsi"/>
          <w:bCs/>
          <w:iCs/>
        </w:rPr>
        <w:t xml:space="preserve"> </w:t>
      </w:r>
      <w:r w:rsidR="005C57B4">
        <w:rPr>
          <w:rFonts w:cstheme="minorHAnsi"/>
          <w:bCs/>
          <w:iCs/>
        </w:rPr>
        <w:t xml:space="preserve">cíl v oblasti </w:t>
      </w:r>
      <w:r w:rsidRPr="00B3348B">
        <w:rPr>
          <w:rFonts w:cstheme="minorHAnsi"/>
          <w:bCs/>
          <w:iCs/>
        </w:rPr>
        <w:t>tržeb z prodeje kuřat</w:t>
      </w:r>
      <w:r w:rsidR="005C57B4">
        <w:rPr>
          <w:rFonts w:cstheme="minorHAnsi"/>
          <w:bCs/>
          <w:iCs/>
        </w:rPr>
        <w:t xml:space="preserve"> (tj. cíle</w:t>
      </w:r>
      <w:r w:rsidRPr="00B3348B">
        <w:rPr>
          <w:rFonts w:cstheme="minorHAnsi"/>
          <w:bCs/>
          <w:iCs/>
        </w:rPr>
        <w:t xml:space="preserve"> uveden</w:t>
      </w:r>
      <w:r w:rsidR="005C57B4">
        <w:rPr>
          <w:rFonts w:cstheme="minorHAnsi"/>
          <w:bCs/>
          <w:iCs/>
        </w:rPr>
        <w:t>é</w:t>
      </w:r>
      <w:r w:rsidRPr="00B3348B">
        <w:rPr>
          <w:rFonts w:cstheme="minorHAnsi"/>
          <w:bCs/>
          <w:iCs/>
        </w:rPr>
        <w:t xml:space="preserve"> v</w:t>
      </w:r>
      <w:r w:rsidR="005C57B4">
        <w:rPr>
          <w:rFonts w:cstheme="minorHAnsi"/>
          <w:bCs/>
          <w:iCs/>
        </w:rPr>
        <w:t xml:space="preserve"> </w:t>
      </w:r>
      <w:r w:rsidRPr="00B3348B">
        <w:rPr>
          <w:rFonts w:cstheme="minorHAnsi"/>
          <w:bCs/>
          <w:iCs/>
        </w:rPr>
        <w:t>žádosti o dotaci</w:t>
      </w:r>
      <w:r w:rsidR="005C57B4">
        <w:rPr>
          <w:rFonts w:cstheme="minorHAnsi"/>
          <w:bCs/>
          <w:iCs/>
        </w:rPr>
        <w:t>)</w:t>
      </w:r>
      <w:r w:rsidRPr="00B3348B">
        <w:rPr>
          <w:rFonts w:cstheme="minorHAnsi"/>
          <w:bCs/>
          <w:iCs/>
        </w:rPr>
        <w:t xml:space="preserve">. Realizací projektu došlo </w:t>
      </w:r>
      <w:r>
        <w:rPr>
          <w:rFonts w:cstheme="minorHAnsi"/>
          <w:bCs/>
          <w:iCs/>
        </w:rPr>
        <w:t xml:space="preserve">navíc i ke </w:t>
      </w:r>
      <w:r w:rsidRPr="00B3348B">
        <w:rPr>
          <w:rFonts w:cstheme="minorHAnsi"/>
          <w:bCs/>
          <w:iCs/>
        </w:rPr>
        <w:t>zvýšení prodejní hmotnosti kuřat a ke snížení úhynu.</w:t>
      </w:r>
      <w:r w:rsidRPr="00B3348B">
        <w:rPr>
          <w:rFonts w:cstheme="minorHAnsi"/>
        </w:rPr>
        <w:t xml:space="preserve"> </w:t>
      </w:r>
      <w:r w:rsidRPr="00B3348B">
        <w:rPr>
          <w:rFonts w:cstheme="minorHAnsi"/>
          <w:bCs/>
          <w:iCs/>
        </w:rPr>
        <w:t>V</w:t>
      </w:r>
      <w:r w:rsidR="005C57B4">
        <w:rPr>
          <w:rFonts w:cstheme="minorHAnsi"/>
          <w:bCs/>
          <w:iCs/>
        </w:rPr>
        <w:t xml:space="preserve"> </w:t>
      </w:r>
      <w:r w:rsidRPr="00B3348B">
        <w:rPr>
          <w:rFonts w:cstheme="minorHAnsi"/>
          <w:bCs/>
          <w:iCs/>
        </w:rPr>
        <w:t>rámci provozu výkrmu kuřat došlo ke snížení spotřeby zemního plynu, elektrické energie a produkce amoniaku.</w:t>
      </w:r>
      <w:r>
        <w:rPr>
          <w:rFonts w:cstheme="minorHAnsi"/>
          <w:bCs/>
          <w:iCs/>
        </w:rPr>
        <w:t xml:space="preserve"> Z </w:t>
      </w:r>
      <w:r>
        <w:t>těchto důvodů</w:t>
      </w:r>
      <w:r w:rsidRPr="00B3348B">
        <w:t xml:space="preserve"> NKÚ vyhodnotil</w:t>
      </w:r>
      <w:r>
        <w:t xml:space="preserve"> </w:t>
      </w:r>
      <w:r w:rsidR="005C57B4">
        <w:t xml:space="preserve">prostředky </w:t>
      </w:r>
      <w:r>
        <w:t xml:space="preserve">vynaložené na tento </w:t>
      </w:r>
      <w:r w:rsidRPr="00B3348B">
        <w:t xml:space="preserve">projekt jako </w:t>
      </w:r>
      <w:r>
        <w:t>účelné</w:t>
      </w:r>
      <w:r w:rsidRPr="00B3348B">
        <w:t>.</w:t>
      </w:r>
    </w:p>
    <w:p w:rsidR="00E94D07" w:rsidRDefault="00E94D07" w:rsidP="00E94D07">
      <w:pPr>
        <w:pStyle w:val="JK4"/>
        <w:numPr>
          <w:ilvl w:val="0"/>
          <w:numId w:val="0"/>
        </w:numPr>
        <w:rPr>
          <w:rFonts w:cstheme="minorHAnsi"/>
          <w:szCs w:val="24"/>
        </w:rPr>
      </w:pPr>
      <w:r w:rsidRPr="00126430">
        <w:rPr>
          <w:b/>
          <w:szCs w:val="24"/>
        </w:rPr>
        <w:t>4.</w:t>
      </w:r>
      <w:r>
        <w:rPr>
          <w:b/>
          <w:szCs w:val="24"/>
        </w:rPr>
        <w:t>3</w:t>
      </w:r>
      <w:r w:rsidR="005C1EC5">
        <w:rPr>
          <w:b/>
          <w:szCs w:val="24"/>
        </w:rPr>
        <w:t>3</w:t>
      </w:r>
      <w:r>
        <w:rPr>
          <w:b/>
          <w:szCs w:val="24"/>
        </w:rPr>
        <w:t xml:space="preserve"> </w:t>
      </w:r>
      <w:r>
        <w:rPr>
          <w:rFonts w:cstheme="minorHAnsi"/>
          <w:szCs w:val="24"/>
        </w:rPr>
        <w:t>Dalších dvanáct projektů v celkové výši dotace 20,7 mil. Kč poskytnuté z PRV 2014</w:t>
      </w:r>
      <w:r w:rsidR="004E2EE9">
        <w:rPr>
          <w:rFonts w:cstheme="minorHAnsi"/>
          <w:szCs w:val="24"/>
        </w:rPr>
        <w:t>–</w:t>
      </w:r>
      <w:r>
        <w:rPr>
          <w:rFonts w:cstheme="minorHAnsi"/>
          <w:szCs w:val="24"/>
        </w:rPr>
        <w:t>2020 vyhodnotil NKÚ jako účelné s</w:t>
      </w:r>
      <w:r w:rsidR="00274F0B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>výhradou</w:t>
      </w:r>
      <w:r w:rsidR="00274F0B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tedy stupněm 2 (viz příloha č. 2). U těchto projektů</w:t>
      </w:r>
      <w:r w:rsidR="006954EE">
        <w:rPr>
          <w:rFonts w:cstheme="minorHAnsi"/>
          <w:szCs w:val="24"/>
        </w:rPr>
        <w:t>, ze</w:t>
      </w:r>
      <w:r w:rsidR="005C57B4">
        <w:rPr>
          <w:rFonts w:cstheme="minorHAnsi"/>
          <w:szCs w:val="24"/>
        </w:rPr>
        <w:t xml:space="preserve"> </w:t>
      </w:r>
      <w:r w:rsidR="006954EE">
        <w:rPr>
          <w:rFonts w:cstheme="minorHAnsi"/>
          <w:szCs w:val="24"/>
        </w:rPr>
        <w:t xml:space="preserve">kterých dva byly zaměřeny na investice do zemědělských podniků a </w:t>
      </w:r>
      <w:r w:rsidR="00255DB8">
        <w:rPr>
          <w:rFonts w:cstheme="minorHAnsi"/>
          <w:szCs w:val="24"/>
        </w:rPr>
        <w:t xml:space="preserve">deset </w:t>
      </w:r>
      <w:r w:rsidR="006954EE">
        <w:rPr>
          <w:rFonts w:cstheme="minorHAnsi"/>
          <w:szCs w:val="24"/>
        </w:rPr>
        <w:t>na rozvoj nezemědělské činnosti,</w:t>
      </w:r>
      <w:r>
        <w:rPr>
          <w:rFonts w:cstheme="minorHAnsi"/>
          <w:szCs w:val="24"/>
        </w:rPr>
        <w:t xml:space="preserve"> příjemci většinou nenastavili </w:t>
      </w:r>
      <w:bookmarkStart w:id="12" w:name="_Hlk151987322"/>
      <w:r>
        <w:rPr>
          <w:rFonts w:cstheme="minorHAnsi"/>
          <w:szCs w:val="24"/>
        </w:rPr>
        <w:t>konkrétní a měřitelné cíle</w:t>
      </w:r>
      <w:r w:rsidR="005C57B4">
        <w:rPr>
          <w:rFonts w:cstheme="minorHAnsi"/>
          <w:szCs w:val="24"/>
        </w:rPr>
        <w:t>, takže se</w:t>
      </w:r>
      <w:bookmarkEnd w:id="12"/>
      <w:r>
        <w:rPr>
          <w:rFonts w:cstheme="minorHAnsi"/>
          <w:szCs w:val="24"/>
        </w:rPr>
        <w:t xml:space="preserve"> jejich dosažení dalo ověřit pouze omezeně. Byly však v souladu s obecnými cíli jednotlivých operací a opatření PRV 2014</w:t>
      </w:r>
      <w:r w:rsidR="004E2EE9">
        <w:rPr>
          <w:rFonts w:cstheme="minorHAnsi"/>
          <w:szCs w:val="24"/>
        </w:rPr>
        <w:t>–</w:t>
      </w:r>
      <w:r>
        <w:rPr>
          <w:rFonts w:cstheme="minorHAnsi"/>
          <w:szCs w:val="24"/>
        </w:rPr>
        <w:t xml:space="preserve">2020, a proto NKÚ dále nesnižoval stupeň hodnocení. Nastavení příliš obecných cílů projektu ilustruje příklad č. </w:t>
      </w:r>
      <w:r w:rsidR="00A06ED0">
        <w:rPr>
          <w:rFonts w:cstheme="minorHAnsi"/>
          <w:szCs w:val="24"/>
        </w:rPr>
        <w:t xml:space="preserve">2 </w:t>
      </w:r>
      <w:r>
        <w:rPr>
          <w:rFonts w:cstheme="minorHAnsi"/>
          <w:szCs w:val="24"/>
        </w:rPr>
        <w:t>(</w:t>
      </w:r>
      <w:r w:rsidRPr="002007B9">
        <w:rPr>
          <w:rFonts w:cstheme="minorHAnsi"/>
          <w:szCs w:val="24"/>
        </w:rPr>
        <w:t>projekt</w:t>
      </w:r>
      <w:r w:rsidRPr="002007B9">
        <w:rPr>
          <w:szCs w:val="24"/>
        </w:rPr>
        <w:t xml:space="preserve"> č.</w:t>
      </w:r>
      <w:r w:rsidR="0059509F">
        <w:rPr>
          <w:szCs w:val="24"/>
        </w:rPr>
        <w:t> </w:t>
      </w:r>
      <w:r w:rsidRPr="002007B9">
        <w:rPr>
          <w:szCs w:val="24"/>
        </w:rPr>
        <w:t xml:space="preserve">0617). </w:t>
      </w:r>
    </w:p>
    <w:p w:rsidR="00E94D07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>3</w:t>
      </w:r>
      <w:r w:rsidR="005C1EC5">
        <w:rPr>
          <w:b/>
        </w:rPr>
        <w:t>4</w:t>
      </w:r>
      <w:r>
        <w:rPr>
          <w:b/>
        </w:rPr>
        <w:t xml:space="preserve"> </w:t>
      </w:r>
      <w:r w:rsidRPr="00C623D5">
        <w:rPr>
          <w:rFonts w:cstheme="minorHAnsi"/>
        </w:rPr>
        <w:t>Poslední tři projekty v celkové výši dotace 8,1</w:t>
      </w:r>
      <w:r w:rsidR="00034D53">
        <w:rPr>
          <w:rFonts w:cstheme="minorHAnsi"/>
        </w:rPr>
        <w:t xml:space="preserve"> </w:t>
      </w:r>
      <w:r w:rsidRPr="00C623D5">
        <w:rPr>
          <w:rFonts w:cstheme="minorHAnsi"/>
        </w:rPr>
        <w:t>mil. Kč poskytnuté z PRV 2014</w:t>
      </w:r>
      <w:r w:rsidR="004E2EE9">
        <w:rPr>
          <w:rFonts w:cstheme="minorHAnsi"/>
        </w:rPr>
        <w:t>–</w:t>
      </w:r>
      <w:r w:rsidRPr="00C623D5">
        <w:rPr>
          <w:rFonts w:cstheme="minorHAnsi"/>
        </w:rPr>
        <w:t>2020 vyhodnotil NKÚ jako účelné pouze omezeně</w:t>
      </w:r>
      <w:r w:rsidR="00274F0B">
        <w:rPr>
          <w:rFonts w:cstheme="minorHAnsi"/>
        </w:rPr>
        <w:t>,</w:t>
      </w:r>
      <w:r w:rsidRPr="00C623D5">
        <w:rPr>
          <w:rFonts w:cstheme="minorHAnsi"/>
        </w:rPr>
        <w:t xml:space="preserve"> tedy stupněm 3 (viz příloha č. 2). Projekty, které NKÚ hodnotil jako účelné pouze omezeně, realizovali příjemci v</w:t>
      </w:r>
      <w:r w:rsidR="00034D53">
        <w:rPr>
          <w:rFonts w:cstheme="minorHAnsi"/>
        </w:rPr>
        <w:t xml:space="preserve"> </w:t>
      </w:r>
      <w:r w:rsidRPr="00C623D5">
        <w:rPr>
          <w:rFonts w:cstheme="minorHAnsi"/>
        </w:rPr>
        <w:t>operacích zaměřených na</w:t>
      </w:r>
      <w:r w:rsidR="00034D53">
        <w:rPr>
          <w:rFonts w:cstheme="minorHAnsi"/>
        </w:rPr>
        <w:t xml:space="preserve"> </w:t>
      </w:r>
      <w:r w:rsidRPr="00C623D5">
        <w:rPr>
          <w:rFonts w:cstheme="minorHAnsi"/>
        </w:rPr>
        <w:t>rozvoj nezemědělské činnosti (operace 6.4.1 a 6.4.2). Příjemci v</w:t>
      </w:r>
      <w:r w:rsidR="00034D53">
        <w:rPr>
          <w:rFonts w:cstheme="minorHAnsi"/>
        </w:rPr>
        <w:t xml:space="preserve"> </w:t>
      </w:r>
      <w:r w:rsidRPr="00C623D5">
        <w:rPr>
          <w:rFonts w:cstheme="minorHAnsi"/>
        </w:rPr>
        <w:t>rámci těchto projektů nenastavili konkrétní a měřitelné cíle (</w:t>
      </w:r>
      <w:r w:rsidR="00034D53">
        <w:rPr>
          <w:rFonts w:cstheme="minorHAnsi"/>
        </w:rPr>
        <w:t>nedodrželi zásady</w:t>
      </w:r>
      <w:r w:rsidRPr="00C623D5">
        <w:rPr>
          <w:rFonts w:cstheme="minorHAnsi"/>
        </w:rPr>
        <w:t xml:space="preserve"> SMART) a současně dosáhli např. výrazně nižších tržeb nebo </w:t>
      </w:r>
      <w:r w:rsidR="00034D53">
        <w:rPr>
          <w:rFonts w:cstheme="minorHAnsi"/>
        </w:rPr>
        <w:t xml:space="preserve">výrazně nižšího </w:t>
      </w:r>
      <w:r w:rsidRPr="00C623D5">
        <w:rPr>
          <w:rFonts w:cstheme="minorHAnsi"/>
        </w:rPr>
        <w:t xml:space="preserve">využití investic, než </w:t>
      </w:r>
      <w:r w:rsidR="006D1FBB">
        <w:rPr>
          <w:rFonts w:cstheme="minorHAnsi"/>
        </w:rPr>
        <w:t>předpokládali</w:t>
      </w:r>
      <w:r w:rsidRPr="00C623D5">
        <w:rPr>
          <w:rFonts w:cstheme="minorHAnsi"/>
        </w:rPr>
        <w:t xml:space="preserve"> v žádosti o dotaci </w:t>
      </w:r>
      <w:r w:rsidR="00034D53">
        <w:rPr>
          <w:rFonts w:cstheme="minorHAnsi"/>
        </w:rPr>
        <w:t>či</w:t>
      </w:r>
      <w:r w:rsidRPr="00C623D5">
        <w:rPr>
          <w:rFonts w:cstheme="minorHAnsi"/>
        </w:rPr>
        <w:t xml:space="preserve"> v žádosti o</w:t>
      </w:r>
      <w:r>
        <w:rPr>
          <w:rFonts w:cstheme="minorHAnsi"/>
        </w:rPr>
        <w:t> </w:t>
      </w:r>
      <w:r w:rsidRPr="00C623D5">
        <w:rPr>
          <w:rFonts w:cstheme="minorHAnsi"/>
        </w:rPr>
        <w:t>p</w:t>
      </w:r>
      <w:r w:rsidR="0070435E">
        <w:rPr>
          <w:rFonts w:cstheme="minorHAnsi"/>
        </w:rPr>
        <w:t>latbu</w:t>
      </w:r>
      <w:r w:rsidRPr="00C623D5">
        <w:rPr>
          <w:rFonts w:cstheme="minorHAnsi"/>
        </w:rPr>
        <w:t>. Projekty hodnocené tímto stupněm ilustrují příklady č. 8 a 9.</w:t>
      </w:r>
      <w:r>
        <w:t xml:space="preserve"> </w:t>
      </w:r>
    </w:p>
    <w:p w:rsidR="00E94D07" w:rsidRDefault="00E94D07" w:rsidP="00E94D07">
      <w:pPr>
        <w:rPr>
          <w:rFonts w:cstheme="minorHAnsi"/>
          <w:b/>
        </w:rPr>
      </w:pPr>
      <w:r>
        <w:rPr>
          <w:rFonts w:cstheme="minorHAnsi"/>
          <w:b/>
        </w:rPr>
        <w:t>Příklad č. 8 – pouze omezeně</w:t>
      </w:r>
      <w:r w:rsidR="00BA3BF5">
        <w:rPr>
          <w:rFonts w:cstheme="minorHAnsi"/>
          <w:b/>
        </w:rPr>
        <w:t xml:space="preserve"> účelné vynaložení peněžních prostředků</w:t>
      </w:r>
    </w:p>
    <w:p w:rsidR="00E94D07" w:rsidRPr="00D17BAD" w:rsidRDefault="00E94D07" w:rsidP="00D1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theme="minorHAnsi"/>
          <w:bCs/>
        </w:rPr>
      </w:pPr>
      <w:r w:rsidRPr="00B3348B">
        <w:t xml:space="preserve">U projektu č. </w:t>
      </w:r>
      <w:r w:rsidRPr="00B3348B">
        <w:rPr>
          <w:rFonts w:cstheme="minorHAnsi"/>
        </w:rPr>
        <w:t xml:space="preserve">0617 na investici </w:t>
      </w:r>
      <w:r w:rsidRPr="00B3348B">
        <w:t>do nezemědělských činností</w:t>
      </w:r>
      <w:r>
        <w:t xml:space="preserve"> uvedl příjemce v žádosti o dotaci jako předmět projektu </w:t>
      </w:r>
      <w:r w:rsidRPr="00B3348B">
        <w:rPr>
          <w:rFonts w:cstheme="minorHAnsi"/>
        </w:rPr>
        <w:t xml:space="preserve">pořízení stavebního stroje </w:t>
      </w:r>
      <w:r w:rsidR="00034D53">
        <w:rPr>
          <w:rFonts w:cstheme="minorHAnsi"/>
        </w:rPr>
        <w:t>(</w:t>
      </w:r>
      <w:r w:rsidRPr="00B3348B">
        <w:rPr>
          <w:rFonts w:cstheme="minorHAnsi"/>
        </w:rPr>
        <w:t>smykem řízeného nakladače</w:t>
      </w:r>
      <w:r w:rsidR="00034D53">
        <w:rPr>
          <w:rFonts w:cstheme="minorHAnsi"/>
        </w:rPr>
        <w:t>)</w:t>
      </w:r>
      <w:r w:rsidRPr="00B3348B">
        <w:rPr>
          <w:rFonts w:cstheme="minorHAnsi"/>
        </w:rPr>
        <w:t xml:space="preserve"> včetně rekonstrukce manipulační plochy. Příjemce v</w:t>
      </w:r>
      <w:r w:rsidR="00034D53">
        <w:rPr>
          <w:rFonts w:cstheme="minorHAnsi"/>
        </w:rPr>
        <w:t xml:space="preserve"> </w:t>
      </w:r>
      <w:r w:rsidRPr="00B3348B">
        <w:rPr>
          <w:rFonts w:cstheme="minorHAnsi"/>
        </w:rPr>
        <w:t>žádosti o dotaci uvedl další výsledky (dílčí cíle) projektu</w:t>
      </w:r>
      <w:r w:rsidR="00034D53">
        <w:rPr>
          <w:rFonts w:cstheme="minorHAnsi"/>
        </w:rPr>
        <w:t>:</w:t>
      </w:r>
      <w:r w:rsidRPr="00D17BAD">
        <w:rPr>
          <w:rFonts w:cstheme="minorHAnsi"/>
        </w:rPr>
        <w:t xml:space="preserve"> „</w:t>
      </w:r>
      <w:r w:rsidRPr="00B3348B">
        <w:rPr>
          <w:rFonts w:cstheme="minorHAnsi"/>
          <w:i/>
        </w:rPr>
        <w:t>zajištění možnosti rozvoje výroby žadatele, zajištění kvalitní a dostupné služby, zlepšení konkurenčního prostředí, využití potenciálu venkova a</w:t>
      </w:r>
      <w:r w:rsidR="00034D53">
        <w:rPr>
          <w:rFonts w:cstheme="minorHAnsi"/>
          <w:i/>
        </w:rPr>
        <w:t xml:space="preserve"> </w:t>
      </w:r>
      <w:r w:rsidRPr="00B3348B">
        <w:rPr>
          <w:rFonts w:cstheme="minorHAnsi"/>
          <w:i/>
        </w:rPr>
        <w:t>venkovského prostředí, podpora a stabilizace podnikatelských aktivit, sekundární efekt v</w:t>
      </w:r>
      <w:r w:rsidR="00871E95">
        <w:rPr>
          <w:rFonts w:cstheme="minorHAnsi"/>
          <w:i/>
        </w:rPr>
        <w:t xml:space="preserve"> </w:t>
      </w:r>
      <w:r w:rsidRPr="00B3348B">
        <w:rPr>
          <w:rFonts w:cstheme="minorHAnsi"/>
          <w:i/>
        </w:rPr>
        <w:t>podobě podpory venkovského podnikání, zlepšení kvality života ve</w:t>
      </w:r>
      <w:r w:rsidR="00ED0FD5">
        <w:rPr>
          <w:rFonts w:cstheme="minorHAnsi"/>
          <w:i/>
        </w:rPr>
        <w:t xml:space="preserve"> </w:t>
      </w:r>
      <w:r w:rsidRPr="00B3348B">
        <w:rPr>
          <w:rFonts w:cstheme="minorHAnsi"/>
          <w:i/>
        </w:rPr>
        <w:t>venkovských oblastech.</w:t>
      </w:r>
      <w:r w:rsidRPr="00D17BAD">
        <w:rPr>
          <w:rFonts w:cstheme="minorHAnsi"/>
        </w:rPr>
        <w:t>“</w:t>
      </w:r>
      <w:r w:rsidRPr="00B3348B">
        <w:rPr>
          <w:rFonts w:cstheme="minorHAnsi"/>
          <w:i/>
        </w:rPr>
        <w:t xml:space="preserve"> </w:t>
      </w:r>
      <w:r w:rsidRPr="00B3348B">
        <w:rPr>
          <w:rFonts w:cstheme="minorHAnsi"/>
          <w:bCs/>
        </w:rPr>
        <w:t>V</w:t>
      </w:r>
      <w:r w:rsidR="00871E95">
        <w:rPr>
          <w:rFonts w:cstheme="minorHAnsi"/>
          <w:bCs/>
        </w:rPr>
        <w:t xml:space="preserve"> </w:t>
      </w:r>
      <w:r w:rsidR="00AC13E7">
        <w:rPr>
          <w:rFonts w:cstheme="minorHAnsi"/>
          <w:bCs/>
        </w:rPr>
        <w:t>ž</w:t>
      </w:r>
      <w:r w:rsidRPr="00B3348B">
        <w:rPr>
          <w:rFonts w:cstheme="minorHAnsi"/>
          <w:bCs/>
        </w:rPr>
        <w:t xml:space="preserve">ádosti o dotaci uvedl </w:t>
      </w:r>
      <w:r w:rsidR="00871E95">
        <w:rPr>
          <w:rFonts w:cstheme="minorHAnsi"/>
          <w:bCs/>
        </w:rPr>
        <w:br/>
      </w:r>
      <w:r w:rsidRPr="00B3348B">
        <w:rPr>
          <w:rFonts w:cstheme="minorHAnsi"/>
          <w:bCs/>
        </w:rPr>
        <w:t>příjemce výstupy realizovaného projektu</w:t>
      </w:r>
      <w:r w:rsidR="00034D53">
        <w:rPr>
          <w:rFonts w:cstheme="minorHAnsi"/>
          <w:bCs/>
        </w:rPr>
        <w:t>:</w:t>
      </w:r>
      <w:r w:rsidRPr="00B3348B">
        <w:rPr>
          <w:rFonts w:cstheme="minorHAnsi"/>
          <w:bCs/>
          <w:i/>
        </w:rPr>
        <w:t xml:space="preserve"> </w:t>
      </w:r>
      <w:r w:rsidRPr="00D17BAD">
        <w:rPr>
          <w:rFonts w:cstheme="minorHAnsi"/>
          <w:bCs/>
        </w:rPr>
        <w:t>„</w:t>
      </w:r>
      <w:r w:rsidRPr="00B3348B">
        <w:rPr>
          <w:rFonts w:cstheme="minorHAnsi"/>
          <w:bCs/>
          <w:i/>
        </w:rPr>
        <w:t>SLUŽBA – stavebnictví – smykem řízený nakladač</w:t>
      </w:r>
      <w:r w:rsidRPr="00D17BAD">
        <w:rPr>
          <w:rFonts w:cstheme="minorHAnsi"/>
          <w:bCs/>
        </w:rPr>
        <w:t>,</w:t>
      </w:r>
      <w:r w:rsidRPr="00B3348B">
        <w:rPr>
          <w:rFonts w:cstheme="minorHAnsi"/>
          <w:bCs/>
          <w:i/>
        </w:rPr>
        <w:t xml:space="preserve"> rozsah výroby 500 motohodin, příjmy z</w:t>
      </w:r>
      <w:r w:rsidR="00871E95">
        <w:rPr>
          <w:rFonts w:cstheme="minorHAnsi"/>
          <w:bCs/>
          <w:i/>
        </w:rPr>
        <w:t xml:space="preserve"> </w:t>
      </w:r>
      <w:r w:rsidRPr="00B3348B">
        <w:rPr>
          <w:rFonts w:cstheme="minorHAnsi"/>
          <w:bCs/>
          <w:i/>
        </w:rPr>
        <w:t>tržeb za rok 300 000 Kč při</w:t>
      </w:r>
      <w:r w:rsidR="00CE19EF">
        <w:rPr>
          <w:rFonts w:cstheme="minorHAnsi"/>
          <w:bCs/>
          <w:i/>
        </w:rPr>
        <w:t xml:space="preserve"> </w:t>
      </w:r>
      <w:r w:rsidRPr="00B3348B">
        <w:rPr>
          <w:rFonts w:cstheme="minorHAnsi"/>
          <w:bCs/>
          <w:i/>
        </w:rPr>
        <w:t>jednotkové ceně 600</w:t>
      </w:r>
      <w:r w:rsidR="00871E95">
        <w:rPr>
          <w:rFonts w:cstheme="minorHAnsi"/>
          <w:bCs/>
          <w:i/>
        </w:rPr>
        <w:t> </w:t>
      </w:r>
      <w:r w:rsidRPr="00B3348B">
        <w:rPr>
          <w:rFonts w:cstheme="minorHAnsi"/>
          <w:bCs/>
          <w:i/>
        </w:rPr>
        <w:t>Kč/motohodina</w:t>
      </w:r>
      <w:r w:rsidRPr="00D17BAD">
        <w:rPr>
          <w:rFonts w:cstheme="minorHAnsi"/>
          <w:bCs/>
        </w:rPr>
        <w:t>.“</w:t>
      </w:r>
    </w:p>
    <w:p w:rsidR="00E94D07" w:rsidRPr="00B3348B" w:rsidRDefault="00CE19EF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>
        <w:rPr>
          <w:rFonts w:cstheme="minorHAnsi"/>
          <w:bCs/>
        </w:rPr>
        <w:t>Za prověřované</w:t>
      </w:r>
      <w:r w:rsidR="00E94D07" w:rsidRPr="00B3348B">
        <w:rPr>
          <w:rFonts w:cstheme="minorHAnsi"/>
          <w:bCs/>
        </w:rPr>
        <w:t xml:space="preserve"> období </w:t>
      </w:r>
      <w:r>
        <w:rPr>
          <w:rFonts w:cstheme="minorHAnsi"/>
          <w:bCs/>
        </w:rPr>
        <w:t>let</w:t>
      </w:r>
      <w:r w:rsidR="00E94D07" w:rsidRPr="00B3348B">
        <w:rPr>
          <w:rFonts w:cstheme="minorHAnsi"/>
          <w:bCs/>
        </w:rPr>
        <w:t xml:space="preserve"> 2017 </w:t>
      </w:r>
      <w:r>
        <w:rPr>
          <w:rFonts w:cstheme="minorHAnsi"/>
          <w:bCs/>
        </w:rPr>
        <w:t>až</w:t>
      </w:r>
      <w:r w:rsidR="00E94D07" w:rsidRPr="00B3348B">
        <w:rPr>
          <w:rFonts w:cstheme="minorHAnsi"/>
          <w:bCs/>
        </w:rPr>
        <w:t xml:space="preserve"> 2022 vykázal příjemce nejvyšší tržby v</w:t>
      </w:r>
      <w:r>
        <w:rPr>
          <w:rFonts w:cstheme="minorHAnsi"/>
          <w:bCs/>
        </w:rPr>
        <w:t xml:space="preserve"> </w:t>
      </w:r>
      <w:r w:rsidR="00E94D07" w:rsidRPr="00B3348B">
        <w:rPr>
          <w:rFonts w:cstheme="minorHAnsi"/>
          <w:bCs/>
        </w:rPr>
        <w:t>roce 2019</w:t>
      </w:r>
      <w:r w:rsidR="00E94D07">
        <w:rPr>
          <w:rFonts w:cstheme="minorHAnsi"/>
          <w:bCs/>
        </w:rPr>
        <w:t>,</w:t>
      </w:r>
      <w:r w:rsidR="00E94D07" w:rsidRPr="00B3348B">
        <w:rPr>
          <w:rFonts w:cstheme="minorHAnsi"/>
          <w:bCs/>
        </w:rPr>
        <w:t xml:space="preserve"> a to </w:t>
      </w:r>
      <w:r w:rsidR="00DF7671">
        <w:rPr>
          <w:rFonts w:cstheme="minorHAnsi"/>
          <w:bCs/>
        </w:rPr>
        <w:br/>
      </w:r>
      <w:r w:rsidR="00E94D07" w:rsidRPr="00B3348B">
        <w:rPr>
          <w:rFonts w:cstheme="minorHAnsi"/>
          <w:bCs/>
        </w:rPr>
        <w:t>v</w:t>
      </w:r>
      <w:r w:rsidR="00DF7671">
        <w:rPr>
          <w:rFonts w:cstheme="minorHAnsi"/>
          <w:bCs/>
        </w:rPr>
        <w:t xml:space="preserve"> </w:t>
      </w:r>
      <w:r w:rsidR="00E94D07" w:rsidRPr="00B3348B">
        <w:rPr>
          <w:rFonts w:cstheme="minorHAnsi"/>
          <w:bCs/>
        </w:rPr>
        <w:t>celkové výši 44</w:t>
      </w:r>
      <w:r w:rsidR="00DF7671">
        <w:rPr>
          <w:rFonts w:cstheme="minorHAnsi"/>
          <w:bCs/>
        </w:rPr>
        <w:t xml:space="preserve"> </w:t>
      </w:r>
      <w:r w:rsidR="00E94D07" w:rsidRPr="00B3348B">
        <w:rPr>
          <w:rFonts w:cstheme="minorHAnsi"/>
          <w:bCs/>
        </w:rPr>
        <w:t>240 Kč. V</w:t>
      </w:r>
      <w:r>
        <w:rPr>
          <w:rFonts w:cstheme="minorHAnsi"/>
          <w:bCs/>
        </w:rPr>
        <w:t xml:space="preserve"> </w:t>
      </w:r>
      <w:r w:rsidR="00E94D07" w:rsidRPr="00B3348B">
        <w:rPr>
          <w:rFonts w:cstheme="minorHAnsi"/>
          <w:bCs/>
        </w:rPr>
        <w:t xml:space="preserve">roce 2021 vykázal příjemce nulové tržby. Celkově výše tržeb </w:t>
      </w:r>
      <w:r w:rsidR="00DF7671">
        <w:rPr>
          <w:rFonts w:cstheme="minorHAnsi"/>
          <w:bCs/>
        </w:rPr>
        <w:br/>
      </w:r>
      <w:r w:rsidR="00E94D07" w:rsidRPr="00B3348B">
        <w:rPr>
          <w:rFonts w:cstheme="minorHAnsi"/>
          <w:bCs/>
        </w:rPr>
        <w:t>z</w:t>
      </w:r>
      <w:r w:rsidR="00DF7671">
        <w:rPr>
          <w:rFonts w:cstheme="minorHAnsi"/>
          <w:bCs/>
        </w:rPr>
        <w:t xml:space="preserve"> </w:t>
      </w:r>
      <w:r w:rsidR="00E94D07" w:rsidRPr="00B3348B">
        <w:rPr>
          <w:rFonts w:cstheme="minorHAnsi"/>
          <w:bCs/>
        </w:rPr>
        <w:t>projektu za jednotlivé roky nepřesáhla 15 % předpokládaných tržeb uvedených v</w:t>
      </w:r>
      <w:r w:rsidR="00DF7671">
        <w:rPr>
          <w:rFonts w:cstheme="minorHAnsi"/>
          <w:bCs/>
        </w:rPr>
        <w:t xml:space="preserve"> </w:t>
      </w:r>
      <w:r w:rsidR="00E94D07" w:rsidRPr="00B3348B">
        <w:rPr>
          <w:rFonts w:cstheme="minorHAnsi"/>
          <w:bCs/>
        </w:rPr>
        <w:t>žádosti o</w:t>
      </w:r>
      <w:r>
        <w:rPr>
          <w:rFonts w:cstheme="minorHAnsi"/>
          <w:bCs/>
        </w:rPr>
        <w:t> </w:t>
      </w:r>
      <w:r w:rsidR="00E94D07" w:rsidRPr="00B3348B">
        <w:rPr>
          <w:rFonts w:cstheme="minorHAnsi"/>
          <w:bCs/>
        </w:rPr>
        <w:t xml:space="preserve">dotaci. </w:t>
      </w:r>
    </w:p>
    <w:p w:rsidR="00E94D07" w:rsidRDefault="00E94D07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  <w:r w:rsidRPr="00B3348B">
        <w:rPr>
          <w:rFonts w:cstheme="minorHAnsi"/>
        </w:rPr>
        <w:t>Cíle</w:t>
      </w:r>
      <w:r>
        <w:rPr>
          <w:rFonts w:cstheme="minorHAnsi"/>
        </w:rPr>
        <w:t xml:space="preserve"> projektu</w:t>
      </w:r>
      <w:r w:rsidRPr="00B3348B">
        <w:rPr>
          <w:rFonts w:cstheme="minorHAnsi"/>
        </w:rPr>
        <w:t xml:space="preserve"> byly nastaveny obecně </w:t>
      </w:r>
      <w:r w:rsidR="00CE19EF">
        <w:rPr>
          <w:rFonts w:cstheme="minorHAnsi"/>
        </w:rPr>
        <w:t xml:space="preserve">a </w:t>
      </w:r>
      <w:r w:rsidRPr="00B3348B">
        <w:rPr>
          <w:rFonts w:cstheme="minorHAnsi"/>
        </w:rPr>
        <w:t>bez měřitelných indikátorů</w:t>
      </w:r>
      <w:r w:rsidR="00CE19EF">
        <w:rPr>
          <w:rFonts w:cstheme="minorHAnsi"/>
        </w:rPr>
        <w:t>,</w:t>
      </w:r>
      <w:r>
        <w:rPr>
          <w:rFonts w:cstheme="minorHAnsi"/>
        </w:rPr>
        <w:t xml:space="preserve"> tedy</w:t>
      </w:r>
      <w:r w:rsidRPr="00B3348B">
        <w:rPr>
          <w:rFonts w:cstheme="minorHAnsi"/>
        </w:rPr>
        <w:t xml:space="preserve"> v</w:t>
      </w:r>
      <w:r w:rsidR="00CE19EF">
        <w:rPr>
          <w:rFonts w:cstheme="minorHAnsi"/>
        </w:rPr>
        <w:t xml:space="preserve"> </w:t>
      </w:r>
      <w:r w:rsidRPr="00B3348B">
        <w:rPr>
          <w:rFonts w:cstheme="minorHAnsi"/>
        </w:rPr>
        <w:t xml:space="preserve">rozporu </w:t>
      </w:r>
      <w:r w:rsidR="00E149DE">
        <w:rPr>
          <w:rFonts w:cstheme="minorHAnsi"/>
        </w:rPr>
        <w:br/>
      </w:r>
      <w:r w:rsidRPr="00B3348B">
        <w:rPr>
          <w:rFonts w:cstheme="minorHAnsi"/>
        </w:rPr>
        <w:t xml:space="preserve">s principy SMART. </w:t>
      </w:r>
      <w:r w:rsidR="00CE19EF">
        <w:rPr>
          <w:rFonts w:cstheme="minorHAnsi"/>
        </w:rPr>
        <w:t xml:space="preserve">NKÚ hodnotí projekt jako pouze omezeně účelný z důvodu </w:t>
      </w:r>
      <w:r w:rsidRPr="00B3348B">
        <w:rPr>
          <w:rFonts w:cstheme="minorHAnsi"/>
        </w:rPr>
        <w:t>výrazně nižší</w:t>
      </w:r>
      <w:r w:rsidR="00CE19EF">
        <w:rPr>
          <w:rFonts w:cstheme="minorHAnsi"/>
        </w:rPr>
        <w:t>ho</w:t>
      </w:r>
      <w:r w:rsidRPr="00B3348B">
        <w:rPr>
          <w:rFonts w:cstheme="minorHAnsi"/>
        </w:rPr>
        <w:t xml:space="preserve"> </w:t>
      </w:r>
      <w:r w:rsidRPr="00B3348B">
        <w:rPr>
          <w:rFonts w:cstheme="minorHAnsi"/>
        </w:rPr>
        <w:lastRenderedPageBreak/>
        <w:t>využívání pořízeného stroje v rámci diverzifikace činnost</w:t>
      </w:r>
      <w:r w:rsidR="00CE19EF">
        <w:rPr>
          <w:rFonts w:cstheme="minorHAnsi"/>
        </w:rPr>
        <w:t>í</w:t>
      </w:r>
      <w:r w:rsidRPr="00B3348B">
        <w:rPr>
          <w:rFonts w:cstheme="minorHAnsi"/>
        </w:rPr>
        <w:t xml:space="preserve"> příjemce</w:t>
      </w:r>
      <w:r>
        <w:rPr>
          <w:rFonts w:cstheme="minorHAnsi"/>
        </w:rPr>
        <w:t xml:space="preserve"> </w:t>
      </w:r>
      <w:r w:rsidR="00CE19EF">
        <w:rPr>
          <w:rFonts w:cstheme="minorHAnsi"/>
        </w:rPr>
        <w:t>(přitom právě diverzifikace byla</w:t>
      </w:r>
      <w:r>
        <w:rPr>
          <w:rFonts w:cstheme="minorHAnsi"/>
        </w:rPr>
        <w:t xml:space="preserve"> primárním cílem a smyslem daného opatření</w:t>
      </w:r>
      <w:r w:rsidR="00CE19EF">
        <w:rPr>
          <w:rFonts w:cstheme="minorHAnsi"/>
        </w:rPr>
        <w:t>)</w:t>
      </w:r>
      <w:r>
        <w:rPr>
          <w:rFonts w:cstheme="minorHAnsi"/>
        </w:rPr>
        <w:t xml:space="preserve"> a </w:t>
      </w:r>
      <w:r w:rsidR="00CE19EF">
        <w:rPr>
          <w:rFonts w:cstheme="minorHAnsi"/>
        </w:rPr>
        <w:t xml:space="preserve">rovněž z důvodu </w:t>
      </w:r>
      <w:r w:rsidRPr="00B3348B">
        <w:rPr>
          <w:rFonts w:cstheme="minorHAnsi"/>
        </w:rPr>
        <w:t>nižší</w:t>
      </w:r>
      <w:r w:rsidR="00CE19EF">
        <w:rPr>
          <w:rFonts w:cstheme="minorHAnsi"/>
        </w:rPr>
        <w:t>ch</w:t>
      </w:r>
      <w:r w:rsidRPr="00B3348B">
        <w:rPr>
          <w:rFonts w:cstheme="minorHAnsi"/>
        </w:rPr>
        <w:t xml:space="preserve"> trž</w:t>
      </w:r>
      <w:r w:rsidR="00CE19EF">
        <w:rPr>
          <w:rFonts w:cstheme="minorHAnsi"/>
        </w:rPr>
        <w:t>eb</w:t>
      </w:r>
      <w:r w:rsidRPr="00B3348B">
        <w:rPr>
          <w:rFonts w:cstheme="minorHAnsi"/>
        </w:rPr>
        <w:t xml:space="preserve"> </w:t>
      </w:r>
      <w:r>
        <w:rPr>
          <w:rFonts w:cstheme="minorHAnsi"/>
        </w:rPr>
        <w:t>z</w:t>
      </w:r>
      <w:r w:rsidR="00CE19EF">
        <w:rPr>
          <w:rFonts w:cstheme="minorHAnsi"/>
        </w:rPr>
        <w:t> </w:t>
      </w:r>
      <w:r>
        <w:rPr>
          <w:rFonts w:cstheme="minorHAnsi"/>
        </w:rPr>
        <w:t xml:space="preserve">nezemědělské činnosti </w:t>
      </w:r>
      <w:r w:rsidRPr="00B3348B">
        <w:rPr>
          <w:rFonts w:cstheme="minorHAnsi"/>
        </w:rPr>
        <w:t>oproti předpokl</w:t>
      </w:r>
      <w:r w:rsidR="00E62F30">
        <w:rPr>
          <w:rFonts w:cstheme="minorHAnsi"/>
        </w:rPr>
        <w:t xml:space="preserve">adu </w:t>
      </w:r>
      <w:r w:rsidRPr="00B3348B">
        <w:rPr>
          <w:rFonts w:cstheme="minorHAnsi"/>
        </w:rPr>
        <w:t>uveden</w:t>
      </w:r>
      <w:r w:rsidR="00E62F30">
        <w:rPr>
          <w:rFonts w:cstheme="minorHAnsi"/>
        </w:rPr>
        <w:t>é</w:t>
      </w:r>
      <w:r w:rsidRPr="00B3348B">
        <w:rPr>
          <w:rFonts w:cstheme="minorHAnsi"/>
        </w:rPr>
        <w:t>m</w:t>
      </w:r>
      <w:r w:rsidR="00CE19EF">
        <w:rPr>
          <w:rFonts w:cstheme="minorHAnsi"/>
        </w:rPr>
        <w:t>u</w:t>
      </w:r>
      <w:r w:rsidRPr="00B3348B">
        <w:rPr>
          <w:rFonts w:cstheme="minorHAnsi"/>
        </w:rPr>
        <w:t xml:space="preserve"> v žádosti o dotaci. </w:t>
      </w:r>
    </w:p>
    <w:p w:rsidR="00E94D07" w:rsidRDefault="00E94D07" w:rsidP="00E94D07">
      <w:pPr>
        <w:rPr>
          <w:rFonts w:cstheme="minorHAnsi"/>
          <w:b/>
        </w:rPr>
      </w:pPr>
      <w:r>
        <w:rPr>
          <w:rFonts w:cstheme="minorHAnsi"/>
          <w:b/>
        </w:rPr>
        <w:t xml:space="preserve">Příklad č. 9 </w:t>
      </w:r>
      <w:r w:rsidR="00470072">
        <w:rPr>
          <w:b/>
        </w:rPr>
        <w:t>–</w:t>
      </w:r>
      <w:r>
        <w:rPr>
          <w:rFonts w:cstheme="minorHAnsi"/>
          <w:b/>
        </w:rPr>
        <w:t xml:space="preserve"> pouze omezeně</w:t>
      </w:r>
      <w:r w:rsidR="00BA3BF5">
        <w:rPr>
          <w:rFonts w:cstheme="minorHAnsi"/>
          <w:b/>
        </w:rPr>
        <w:t xml:space="preserve"> účelné vynaložení peněžních prostředků</w:t>
      </w:r>
    </w:p>
    <w:p w:rsidR="00E94D07" w:rsidRPr="00D17BAD" w:rsidRDefault="00E94D07" w:rsidP="00D1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theme="minorHAnsi"/>
        </w:rPr>
      </w:pPr>
      <w:r w:rsidRPr="00B3348B">
        <w:t xml:space="preserve">U projektu č. </w:t>
      </w:r>
      <w:r w:rsidRPr="00B3348B">
        <w:rPr>
          <w:lang w:eastAsia="cs-CZ"/>
        </w:rPr>
        <w:t>0125</w:t>
      </w:r>
      <w:r w:rsidRPr="00B3348B">
        <w:rPr>
          <w:b/>
          <w:lang w:eastAsia="cs-CZ"/>
        </w:rPr>
        <w:t xml:space="preserve"> </w:t>
      </w:r>
      <w:r w:rsidRPr="00B3348B">
        <w:rPr>
          <w:rFonts w:cstheme="minorHAnsi"/>
        </w:rPr>
        <w:t>na investice do mycí linky</w:t>
      </w:r>
      <w:r>
        <w:rPr>
          <w:rFonts w:cstheme="minorHAnsi"/>
        </w:rPr>
        <w:t xml:space="preserve"> </w:t>
      </w:r>
      <w:r>
        <w:t>uvedl příjemce v</w:t>
      </w:r>
      <w:r w:rsidR="00B710A2">
        <w:t xml:space="preserve"> </w:t>
      </w:r>
      <w:r>
        <w:t>žádosti o dotaci cíl</w:t>
      </w:r>
      <w:r w:rsidRPr="00B3348B">
        <w:t xml:space="preserve">, resp. </w:t>
      </w:r>
      <w:r>
        <w:t xml:space="preserve">výsledek </w:t>
      </w:r>
      <w:r w:rsidRPr="00B3348B">
        <w:rPr>
          <w:rFonts w:cstheme="minorHAnsi"/>
        </w:rPr>
        <w:t>projektu</w:t>
      </w:r>
      <w:r w:rsidR="00B710A2">
        <w:rPr>
          <w:rFonts w:cstheme="minorHAnsi"/>
        </w:rPr>
        <w:t>:</w:t>
      </w:r>
      <w:r w:rsidRPr="00B3348B">
        <w:rPr>
          <w:i/>
        </w:rPr>
        <w:t xml:space="preserve"> </w:t>
      </w:r>
      <w:r w:rsidRPr="00D17BAD">
        <w:t>„</w:t>
      </w:r>
      <w:r w:rsidRPr="00B3348B">
        <w:rPr>
          <w:i/>
        </w:rPr>
        <w:t>zavedení nové provozovny CZ NACE G45.20</w:t>
      </w:r>
      <w:r w:rsidR="00B710A2">
        <w:rPr>
          <w:i/>
        </w:rPr>
        <w:t>,</w:t>
      </w:r>
      <w:r w:rsidRPr="00B3348B">
        <w:rPr>
          <w:i/>
        </w:rPr>
        <w:t xml:space="preserve"> opravy a údržba motorových vozidel, rozšíření portfolia nezemědělských činností a</w:t>
      </w:r>
      <w:r>
        <w:rPr>
          <w:i/>
        </w:rPr>
        <w:t> </w:t>
      </w:r>
      <w:r w:rsidRPr="00B3348B">
        <w:rPr>
          <w:i/>
        </w:rPr>
        <w:t>diverzifikace příjmů žadatele. Mycí linka poskytn</w:t>
      </w:r>
      <w:r w:rsidR="00B710A2">
        <w:rPr>
          <w:i/>
        </w:rPr>
        <w:t>e</w:t>
      </w:r>
      <w:r w:rsidRPr="00B3348B">
        <w:rPr>
          <w:i/>
        </w:rPr>
        <w:t xml:space="preserve"> prostor pro očistu zemědělských strojů, traktorů, nákladních a</w:t>
      </w:r>
      <w:r w:rsidR="00B710A2">
        <w:rPr>
          <w:i/>
        </w:rPr>
        <w:t xml:space="preserve"> </w:t>
      </w:r>
      <w:r w:rsidRPr="00B3348B">
        <w:rPr>
          <w:i/>
        </w:rPr>
        <w:t>osobních aut, který bude šetrný k přírodě (čistírna odpadních vod).</w:t>
      </w:r>
      <w:r w:rsidRPr="00D17BAD">
        <w:t>“</w:t>
      </w:r>
      <w:r w:rsidRPr="00B3348B">
        <w:rPr>
          <w:i/>
        </w:rPr>
        <w:t xml:space="preserve"> </w:t>
      </w:r>
      <w:r>
        <w:rPr>
          <w:rFonts w:cstheme="minorHAnsi"/>
        </w:rPr>
        <w:t>Příjemce</w:t>
      </w:r>
      <w:r w:rsidRPr="00B3348B">
        <w:t xml:space="preserve"> očekával i</w:t>
      </w:r>
      <w:r w:rsidR="00B710A2">
        <w:t xml:space="preserve"> </w:t>
      </w:r>
      <w:r w:rsidRPr="00B3348B">
        <w:t>finanční přínos, jelikož služba neměla být využívána pouze pro</w:t>
      </w:r>
      <w:r w:rsidR="00B710A2">
        <w:t xml:space="preserve"> </w:t>
      </w:r>
      <w:r w:rsidRPr="00B3348B">
        <w:t>vlastní účely, ale i pro širokou veřejnost a další firmy podnikající v nákladní dopravě či</w:t>
      </w:r>
      <w:r w:rsidR="00B710A2">
        <w:t xml:space="preserve"> </w:t>
      </w:r>
      <w:r w:rsidRPr="00B3348B">
        <w:t xml:space="preserve">zemědělství. V </w:t>
      </w:r>
      <w:r w:rsidR="00AC13E7">
        <w:t>ž</w:t>
      </w:r>
      <w:r w:rsidRPr="00B3348B">
        <w:t>ádosti o dotaci uvedl příjemce</w:t>
      </w:r>
      <w:r>
        <w:t xml:space="preserve"> </w:t>
      </w:r>
      <w:r w:rsidRPr="00B3348B">
        <w:t>výstupy realizovaného projektu</w:t>
      </w:r>
      <w:r w:rsidR="00B710A2">
        <w:t>:</w:t>
      </w:r>
      <w:r w:rsidRPr="00B3348B">
        <w:t xml:space="preserve"> </w:t>
      </w:r>
      <w:r>
        <w:t>„</w:t>
      </w:r>
      <w:r w:rsidRPr="00B3348B">
        <w:rPr>
          <w:i/>
        </w:rPr>
        <w:t>mytí techniky – osobní automobily 500 ks/rok</w:t>
      </w:r>
      <w:r w:rsidR="00B710A2">
        <w:rPr>
          <w:i/>
        </w:rPr>
        <w:t>;</w:t>
      </w:r>
      <w:r w:rsidRPr="00B3348B">
        <w:rPr>
          <w:i/>
        </w:rPr>
        <w:t xml:space="preserve"> mytí techniky – nákladní automobily, zemědělská technika 600 ks/rok</w:t>
      </w:r>
      <w:r w:rsidR="00B710A2">
        <w:rPr>
          <w:i/>
        </w:rPr>
        <w:t>;</w:t>
      </w:r>
      <w:r w:rsidRPr="00B3348B">
        <w:rPr>
          <w:i/>
        </w:rPr>
        <w:t xml:space="preserve"> příjmy z tržeb za rok 311 000 Kč</w:t>
      </w:r>
      <w:r w:rsidR="00B710A2">
        <w:rPr>
          <w:i/>
        </w:rPr>
        <w:t>.</w:t>
      </w:r>
      <w:r w:rsidRPr="00D17BAD">
        <w:t>“</w:t>
      </w:r>
    </w:p>
    <w:p w:rsidR="00E94D07" w:rsidRPr="00B3348B" w:rsidRDefault="00E94D07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348B">
        <w:rPr>
          <w:rFonts w:cstheme="minorHAnsi"/>
        </w:rPr>
        <w:t>P</w:t>
      </w:r>
      <w:r w:rsidRPr="00B3348B">
        <w:rPr>
          <w:bCs/>
          <w:iCs/>
          <w:lang w:eastAsia="cs-CZ"/>
        </w:rPr>
        <w:t>očty umytých aut (osobních i nákladních</w:t>
      </w:r>
      <w:r w:rsidR="00B710A2">
        <w:rPr>
          <w:bCs/>
          <w:iCs/>
          <w:lang w:eastAsia="cs-CZ"/>
        </w:rPr>
        <w:t>)</w:t>
      </w:r>
      <w:r w:rsidRPr="00B3348B">
        <w:rPr>
          <w:bCs/>
          <w:iCs/>
          <w:lang w:eastAsia="cs-CZ"/>
        </w:rPr>
        <w:t xml:space="preserve"> a zemědělské techniky a tržby z provozu mycí linky vykaz</w:t>
      </w:r>
      <w:r>
        <w:rPr>
          <w:bCs/>
          <w:iCs/>
          <w:lang w:eastAsia="cs-CZ"/>
        </w:rPr>
        <w:t>ovaly</w:t>
      </w:r>
      <w:r w:rsidRPr="00B3348B">
        <w:rPr>
          <w:bCs/>
          <w:iCs/>
          <w:lang w:eastAsia="cs-CZ"/>
        </w:rPr>
        <w:t xml:space="preserve"> stále se snižující trend, kdy počty umytých nákladních vozidel a zemědělské techniky zákazníků klesly v</w:t>
      </w:r>
      <w:r w:rsidR="00B710A2">
        <w:rPr>
          <w:bCs/>
          <w:iCs/>
          <w:lang w:eastAsia="cs-CZ"/>
        </w:rPr>
        <w:t xml:space="preserve"> </w:t>
      </w:r>
      <w:r w:rsidRPr="00B3348B">
        <w:rPr>
          <w:bCs/>
          <w:iCs/>
          <w:lang w:eastAsia="cs-CZ"/>
        </w:rPr>
        <w:t xml:space="preserve">roce 2022 na hodnotu 309, což </w:t>
      </w:r>
      <w:r>
        <w:rPr>
          <w:bCs/>
          <w:iCs/>
          <w:lang w:eastAsia="cs-CZ"/>
        </w:rPr>
        <w:t>byla</w:t>
      </w:r>
      <w:r w:rsidRPr="00B3348B">
        <w:rPr>
          <w:bCs/>
          <w:iCs/>
          <w:lang w:eastAsia="cs-CZ"/>
        </w:rPr>
        <w:t xml:space="preserve"> pouze cca polovina oproti očekávané hodnotě 600</w:t>
      </w:r>
      <w:r>
        <w:rPr>
          <w:bCs/>
          <w:iCs/>
          <w:lang w:eastAsia="cs-CZ"/>
        </w:rPr>
        <w:t>,</w:t>
      </w:r>
      <w:r w:rsidRPr="00B3348B">
        <w:rPr>
          <w:bCs/>
          <w:iCs/>
          <w:lang w:eastAsia="cs-CZ"/>
        </w:rPr>
        <w:t xml:space="preserve"> a tržby klesly v roce 2022 až na hodnotu 103 240 Kč, což je pouze cca </w:t>
      </w:r>
      <w:r>
        <w:rPr>
          <w:bCs/>
          <w:iCs/>
          <w:lang w:eastAsia="cs-CZ"/>
        </w:rPr>
        <w:t>jedna třetina</w:t>
      </w:r>
      <w:r w:rsidRPr="00B3348B">
        <w:rPr>
          <w:bCs/>
          <w:iCs/>
          <w:lang w:eastAsia="cs-CZ"/>
        </w:rPr>
        <w:t xml:space="preserve"> oproti očekávané hodnotě 311 000 Kč.</w:t>
      </w:r>
    </w:p>
    <w:p w:rsidR="00E94D07" w:rsidRPr="009027D1" w:rsidRDefault="00B710A2" w:rsidP="00E9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NKÚ hodnotí projekt jako pouze</w:t>
      </w:r>
      <w:r w:rsidR="00E94D07" w:rsidRPr="00B3348B">
        <w:rPr>
          <w:rFonts w:cstheme="minorHAnsi"/>
        </w:rPr>
        <w:t xml:space="preserve"> omezeně účeln</w:t>
      </w:r>
      <w:r w:rsidR="00E94D07">
        <w:rPr>
          <w:rFonts w:cstheme="minorHAnsi"/>
        </w:rPr>
        <w:t>ý</w:t>
      </w:r>
      <w:r w:rsidR="00E94D07" w:rsidRPr="00B3348B">
        <w:rPr>
          <w:rFonts w:cstheme="minorHAnsi"/>
        </w:rPr>
        <w:t xml:space="preserve"> </w:t>
      </w:r>
      <w:r>
        <w:rPr>
          <w:rFonts w:cstheme="minorHAnsi"/>
        </w:rPr>
        <w:t>z důvodu</w:t>
      </w:r>
      <w:r w:rsidR="00E94D07" w:rsidRPr="00B3348B">
        <w:rPr>
          <w:rFonts w:cstheme="minorHAnsi"/>
        </w:rPr>
        <w:t xml:space="preserve"> výrazně nižší</w:t>
      </w:r>
      <w:r>
        <w:rPr>
          <w:rFonts w:cstheme="minorHAnsi"/>
        </w:rPr>
        <w:t>ho</w:t>
      </w:r>
      <w:r w:rsidR="00E94D07" w:rsidRPr="00B3348B">
        <w:rPr>
          <w:rFonts w:cstheme="minorHAnsi"/>
        </w:rPr>
        <w:t xml:space="preserve"> využívání pořízené mycí linky i </w:t>
      </w:r>
      <w:r>
        <w:rPr>
          <w:rFonts w:cstheme="minorHAnsi"/>
        </w:rPr>
        <w:t xml:space="preserve">z důvodu </w:t>
      </w:r>
      <w:r w:rsidR="00E94D07" w:rsidRPr="00B3348B">
        <w:rPr>
          <w:rFonts w:cstheme="minorHAnsi"/>
        </w:rPr>
        <w:t>nižší</w:t>
      </w:r>
      <w:r>
        <w:rPr>
          <w:rFonts w:cstheme="minorHAnsi"/>
        </w:rPr>
        <w:t>ch</w:t>
      </w:r>
      <w:r w:rsidR="00E94D07" w:rsidRPr="00B3348B">
        <w:rPr>
          <w:rFonts w:cstheme="minorHAnsi"/>
        </w:rPr>
        <w:t xml:space="preserve"> trž</w:t>
      </w:r>
      <w:r>
        <w:rPr>
          <w:rFonts w:cstheme="minorHAnsi"/>
        </w:rPr>
        <w:t>e</w:t>
      </w:r>
      <w:r w:rsidR="00E94D07" w:rsidRPr="00B3348B">
        <w:rPr>
          <w:rFonts w:cstheme="minorHAnsi"/>
        </w:rPr>
        <w:t>b oproti předpokl</w:t>
      </w:r>
      <w:r w:rsidR="00E62F30">
        <w:rPr>
          <w:rFonts w:cstheme="minorHAnsi"/>
        </w:rPr>
        <w:t>a</w:t>
      </w:r>
      <w:r w:rsidR="00E94D07" w:rsidRPr="00B3348B">
        <w:rPr>
          <w:rFonts w:cstheme="minorHAnsi"/>
        </w:rPr>
        <w:t>d</w:t>
      </w:r>
      <w:r w:rsidR="00E62F30">
        <w:rPr>
          <w:rFonts w:cstheme="minorHAnsi"/>
        </w:rPr>
        <w:t>u</w:t>
      </w:r>
      <w:r w:rsidR="00E94D07" w:rsidRPr="00B3348B">
        <w:rPr>
          <w:rFonts w:cstheme="minorHAnsi"/>
        </w:rPr>
        <w:t xml:space="preserve"> uveden</w:t>
      </w:r>
      <w:r w:rsidR="00E62F30">
        <w:rPr>
          <w:rFonts w:cstheme="minorHAnsi"/>
        </w:rPr>
        <w:t>é</w:t>
      </w:r>
      <w:r w:rsidR="00E94D07" w:rsidRPr="00B3348B">
        <w:rPr>
          <w:rFonts w:cstheme="minorHAnsi"/>
        </w:rPr>
        <w:t>m</w:t>
      </w:r>
      <w:r>
        <w:rPr>
          <w:rFonts w:cstheme="minorHAnsi"/>
        </w:rPr>
        <w:t>u</w:t>
      </w:r>
      <w:r w:rsidR="00E94D07" w:rsidRPr="00B3348B">
        <w:rPr>
          <w:rFonts w:cstheme="minorHAnsi"/>
        </w:rPr>
        <w:t xml:space="preserve"> v žádosti o dotaci.</w:t>
      </w:r>
      <w:r w:rsidR="00E94D07">
        <w:rPr>
          <w:rFonts w:cstheme="minorHAnsi"/>
        </w:rPr>
        <w:t xml:space="preserve"> Podpora v rámci opatření k diverzifikaci činnost</w:t>
      </w:r>
      <w:r>
        <w:rPr>
          <w:rFonts w:cstheme="minorHAnsi"/>
        </w:rPr>
        <w:t>í</w:t>
      </w:r>
      <w:r w:rsidR="00E94D07">
        <w:rPr>
          <w:rFonts w:cstheme="minorHAnsi"/>
        </w:rPr>
        <w:t xml:space="preserve"> příjemce tím byla naplněna jen v omezené míře oproti předpokladům. </w:t>
      </w:r>
    </w:p>
    <w:p w:rsidR="00E94D07" w:rsidRDefault="00E94D07" w:rsidP="00E94D07">
      <w:pPr>
        <w:spacing w:after="120"/>
        <w:rPr>
          <w:rFonts w:cstheme="minorHAnsi"/>
        </w:rPr>
      </w:pPr>
      <w:r w:rsidRPr="00126430">
        <w:rPr>
          <w:b/>
        </w:rPr>
        <w:t>4.</w:t>
      </w:r>
      <w:r>
        <w:rPr>
          <w:b/>
        </w:rPr>
        <w:t>3</w:t>
      </w:r>
      <w:r w:rsidR="005C1EC5">
        <w:rPr>
          <w:b/>
        </w:rPr>
        <w:t>5</w:t>
      </w:r>
      <w:r>
        <w:rPr>
          <w:b/>
        </w:rPr>
        <w:t xml:space="preserve"> </w:t>
      </w:r>
      <w:r>
        <w:rPr>
          <w:rFonts w:cstheme="minorHAnsi"/>
        </w:rPr>
        <w:t>NKÚ kontrol</w:t>
      </w:r>
      <w:r w:rsidR="00B710A2">
        <w:rPr>
          <w:rFonts w:cstheme="minorHAnsi"/>
        </w:rPr>
        <w:t>o</w:t>
      </w:r>
      <w:r>
        <w:rPr>
          <w:rFonts w:cstheme="minorHAnsi"/>
        </w:rPr>
        <w:t xml:space="preserve">u u vybraných příjemců neidentifikoval žádný zcela neúčelný projekt. </w:t>
      </w:r>
      <w:r>
        <w:t>Souhrnný výsledek hodnocení účelnosti posuzovaných projektů ukazuje názorně graf č. 2.</w:t>
      </w:r>
    </w:p>
    <w:p w:rsidR="00E94D07" w:rsidRDefault="00E94D07" w:rsidP="00D458C9">
      <w:pPr>
        <w:spacing w:after="240"/>
        <w:rPr>
          <w:b/>
        </w:rPr>
      </w:pPr>
      <w:r w:rsidRPr="00E62F30">
        <w:rPr>
          <w:b/>
        </w:rPr>
        <w:t xml:space="preserve">Graf č. </w:t>
      </w:r>
      <w:r w:rsidR="00C35E77" w:rsidRPr="00E62F30">
        <w:rPr>
          <w:b/>
        </w:rPr>
        <w:t>2</w:t>
      </w:r>
      <w:r w:rsidRPr="00E62F30">
        <w:rPr>
          <w:b/>
        </w:rPr>
        <w:t>: Souhrnný výsledek hodnocení účelnosti posuzovaných projektů</w:t>
      </w:r>
    </w:p>
    <w:p w:rsidR="00D458C9" w:rsidRDefault="00D458C9" w:rsidP="00E94D07">
      <w:pPr>
        <w:rPr>
          <w:rFonts w:cstheme="minorHAnsi"/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6CBB5BA9" wp14:editId="6AB8600C">
            <wp:extent cx="5448300" cy="211455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A192F7C2-85ED-43B4-B7DE-0886ACDD6C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45D5" w:rsidRDefault="008945D5">
      <w:pPr>
        <w:spacing w:before="0"/>
        <w:jc w:val="left"/>
        <w:rPr>
          <w:b/>
        </w:rPr>
      </w:pPr>
      <w:r>
        <w:rPr>
          <w:b/>
        </w:rPr>
        <w:br w:type="page"/>
      </w:r>
    </w:p>
    <w:p w:rsidR="00E44D57" w:rsidRPr="007605E6" w:rsidRDefault="00E44D57" w:rsidP="00BD5B30">
      <w:pPr>
        <w:jc w:val="left"/>
        <w:rPr>
          <w:b/>
        </w:rPr>
      </w:pPr>
      <w:r w:rsidRPr="007605E6">
        <w:rPr>
          <w:b/>
        </w:rPr>
        <w:lastRenderedPageBreak/>
        <w:t>Seznam zkratek</w:t>
      </w:r>
    </w:p>
    <w:p w:rsidR="00810936" w:rsidRDefault="00810936" w:rsidP="00364F7D">
      <w:pPr>
        <w:spacing w:before="0"/>
        <w:rPr>
          <w:rFonts w:asciiTheme="minorHAnsi" w:hAnsiTheme="minorHAnsi" w:cstheme="minorHAnsi"/>
          <w:sz w:val="8"/>
        </w:rPr>
      </w:pPr>
    </w:p>
    <w:tbl>
      <w:tblPr>
        <w:tblStyle w:val="Mkatabulky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935627" w:rsidRPr="0054182E" w:rsidTr="004C78E7">
        <w:tc>
          <w:tcPr>
            <w:tcW w:w="2552" w:type="dxa"/>
            <w:vAlign w:val="center"/>
          </w:tcPr>
          <w:p w:rsidR="00935627" w:rsidRPr="00A26F65" w:rsidRDefault="00935627" w:rsidP="004C78E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ČR</w:t>
            </w:r>
          </w:p>
        </w:tc>
        <w:tc>
          <w:tcPr>
            <w:tcW w:w="6662" w:type="dxa"/>
            <w:vAlign w:val="center"/>
          </w:tcPr>
          <w:p w:rsidR="00935627" w:rsidRPr="00D17BAD" w:rsidRDefault="0093562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Česká republika</w:t>
            </w:r>
          </w:p>
        </w:tc>
      </w:tr>
      <w:tr w:rsidR="00544441" w:rsidRPr="0054182E" w:rsidTr="004C78E7">
        <w:tc>
          <w:tcPr>
            <w:tcW w:w="2552" w:type="dxa"/>
            <w:vAlign w:val="center"/>
          </w:tcPr>
          <w:p w:rsidR="00544441" w:rsidRPr="00A26F65" w:rsidRDefault="00544441" w:rsidP="004C78E7">
            <w:pPr>
              <w:spacing w:before="0" w:line="240" w:lineRule="atLeast"/>
              <w:jc w:val="left"/>
              <w:rPr>
                <w:color w:val="auto"/>
              </w:rPr>
            </w:pPr>
            <w:r w:rsidRPr="00A26F65">
              <w:rPr>
                <w:rFonts w:asciiTheme="minorHAnsi" w:hAnsiTheme="minorHAnsi" w:cstheme="minorHAnsi"/>
              </w:rPr>
              <w:t>Dohoda o vymezení kompetencí</w:t>
            </w:r>
          </w:p>
        </w:tc>
        <w:tc>
          <w:tcPr>
            <w:tcW w:w="6662" w:type="dxa"/>
            <w:vAlign w:val="center"/>
          </w:tcPr>
          <w:p w:rsidR="00544441" w:rsidRPr="00D17BAD" w:rsidRDefault="00544441" w:rsidP="00D17BAD">
            <w:pPr>
              <w:spacing w:before="0" w:line="240" w:lineRule="atLeast"/>
              <w:jc w:val="left"/>
              <w:rPr>
                <w:rFonts w:asciiTheme="minorHAnsi" w:hAnsiTheme="minorHAnsi" w:cstheme="minorHAnsi"/>
                <w:i/>
              </w:rPr>
            </w:pPr>
            <w:r w:rsidRPr="00D17BAD">
              <w:rPr>
                <w:rFonts w:asciiTheme="minorHAnsi" w:hAnsiTheme="minorHAnsi" w:cstheme="minorHAnsi"/>
                <w:i/>
              </w:rPr>
              <w:t>Dohoda o vymezení kompetencí a způsobu spolupráce mezi Řídicím orgánem PRV a platební agenturou při zabezpečování závazků vyplývajících pro Českou republiku při čerpání podpory z Evropského fondu pro rozvoj venkova</w:t>
            </w:r>
          </w:p>
        </w:tc>
      </w:tr>
      <w:tr w:rsidR="00935627" w:rsidRPr="0054182E" w:rsidTr="004C78E7">
        <w:tc>
          <w:tcPr>
            <w:tcW w:w="2552" w:type="dxa"/>
            <w:vAlign w:val="center"/>
          </w:tcPr>
          <w:p w:rsidR="00935627" w:rsidRPr="00A26F65" w:rsidRDefault="00935627" w:rsidP="004C78E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</w:t>
            </w:r>
          </w:p>
        </w:tc>
        <w:tc>
          <w:tcPr>
            <w:tcW w:w="6662" w:type="dxa"/>
            <w:vAlign w:val="center"/>
          </w:tcPr>
          <w:p w:rsidR="00935627" w:rsidRPr="00D17BAD" w:rsidRDefault="0093562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Evropská komise</w:t>
            </w:r>
          </w:p>
        </w:tc>
      </w:tr>
      <w:tr w:rsidR="00935627" w:rsidRPr="0054182E" w:rsidTr="004C78E7">
        <w:tc>
          <w:tcPr>
            <w:tcW w:w="2552" w:type="dxa"/>
            <w:vAlign w:val="center"/>
          </w:tcPr>
          <w:p w:rsidR="00935627" w:rsidRDefault="00935627" w:rsidP="004C78E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</w:t>
            </w:r>
          </w:p>
        </w:tc>
        <w:tc>
          <w:tcPr>
            <w:tcW w:w="6662" w:type="dxa"/>
            <w:vAlign w:val="center"/>
          </w:tcPr>
          <w:p w:rsidR="00935627" w:rsidRDefault="0093562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Evropská unie</w:t>
            </w:r>
          </w:p>
        </w:tc>
      </w:tr>
      <w:tr w:rsidR="00412ABC" w:rsidRPr="0054182E" w:rsidTr="004C78E7">
        <w:tc>
          <w:tcPr>
            <w:tcW w:w="2552" w:type="dxa"/>
            <w:vAlign w:val="center"/>
          </w:tcPr>
          <w:p w:rsidR="00412ABC" w:rsidRPr="00A26F65" w:rsidRDefault="00412ABC" w:rsidP="004C78E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EURI</w:t>
            </w:r>
          </w:p>
        </w:tc>
        <w:tc>
          <w:tcPr>
            <w:tcW w:w="6662" w:type="dxa"/>
            <w:vAlign w:val="center"/>
          </w:tcPr>
          <w:p w:rsidR="00412ABC" w:rsidRPr="00A2715C" w:rsidRDefault="0043791C" w:rsidP="00D17BAD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412ABC" w:rsidRPr="00C20321">
              <w:rPr>
                <w:rFonts w:asciiTheme="minorHAnsi" w:hAnsiTheme="minorHAnsi" w:cstheme="minorHAnsi"/>
              </w:rPr>
              <w:t xml:space="preserve">ástroj Evropské unie na podporu oživení po krizi </w:t>
            </w:r>
            <w:r w:rsidR="00935627">
              <w:rPr>
                <w:rFonts w:asciiTheme="minorHAnsi" w:hAnsiTheme="minorHAnsi" w:cstheme="minorHAnsi"/>
              </w:rPr>
              <w:t xml:space="preserve">způsobené covidem-19 </w:t>
            </w:r>
          </w:p>
        </w:tc>
      </w:tr>
      <w:tr w:rsidR="00935627" w:rsidRPr="0054182E" w:rsidTr="004C78E7">
        <w:tc>
          <w:tcPr>
            <w:tcW w:w="2552" w:type="dxa"/>
            <w:vAlign w:val="center"/>
          </w:tcPr>
          <w:p w:rsidR="00935627" w:rsidRDefault="00935627" w:rsidP="004C78E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Komise</w:t>
            </w:r>
          </w:p>
        </w:tc>
        <w:tc>
          <w:tcPr>
            <w:tcW w:w="6662" w:type="dxa"/>
            <w:vAlign w:val="center"/>
          </w:tcPr>
          <w:p w:rsidR="00935627" w:rsidRPr="00C20321" w:rsidRDefault="0093562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Evropská komise</w:t>
            </w:r>
          </w:p>
        </w:tc>
      </w:tr>
      <w:tr w:rsidR="00544441" w:rsidTr="004C78E7">
        <w:tc>
          <w:tcPr>
            <w:tcW w:w="2552" w:type="dxa"/>
            <w:vAlign w:val="center"/>
          </w:tcPr>
          <w:p w:rsidR="00544441" w:rsidRDefault="00544441" w:rsidP="004C78E7">
            <w:pPr>
              <w:spacing w:before="0" w:line="240" w:lineRule="atLeast"/>
              <w:ind w:right="1169"/>
              <w:jc w:val="left"/>
              <w:rPr>
                <w:rFonts w:asciiTheme="minorHAnsi" w:hAnsiTheme="minorHAnsi" w:cstheme="minorHAnsi"/>
              </w:rPr>
            </w:pPr>
            <w:r w:rsidRPr="007E7455">
              <w:rPr>
                <w:bCs/>
                <w:iCs/>
                <w:color w:val="000000" w:themeColor="text1"/>
              </w:rPr>
              <w:t>MZe</w:t>
            </w:r>
          </w:p>
        </w:tc>
        <w:tc>
          <w:tcPr>
            <w:tcW w:w="6662" w:type="dxa"/>
            <w:vAlign w:val="center"/>
          </w:tcPr>
          <w:p w:rsidR="00544441" w:rsidRDefault="00544441" w:rsidP="00D17BAD">
            <w:pPr>
              <w:spacing w:before="0" w:line="240" w:lineRule="atLeast"/>
              <w:jc w:val="left"/>
              <w:rPr>
                <w:rFonts w:asciiTheme="minorHAnsi" w:hAnsiTheme="minorHAnsi" w:cstheme="minorHAnsi"/>
                <w:bCs/>
              </w:rPr>
            </w:pPr>
            <w:r w:rsidRPr="007E7455">
              <w:rPr>
                <w:color w:val="000000" w:themeColor="text1"/>
              </w:rPr>
              <w:t>Ministerstvo zemědělství</w:t>
            </w:r>
          </w:p>
        </w:tc>
      </w:tr>
      <w:tr w:rsidR="00544441" w:rsidRPr="000221EC" w:rsidDel="00B5452E" w:rsidTr="004C78E7">
        <w:tc>
          <w:tcPr>
            <w:tcW w:w="2552" w:type="dxa"/>
            <w:vAlign w:val="center"/>
          </w:tcPr>
          <w:p w:rsidR="00544441" w:rsidRPr="000221EC" w:rsidRDefault="00544441" w:rsidP="004C78E7">
            <w:pPr>
              <w:spacing w:before="0" w:line="240" w:lineRule="atLeast"/>
              <w:ind w:right="1169"/>
              <w:jc w:val="left"/>
              <w:rPr>
                <w:rFonts w:asciiTheme="minorHAnsi" w:hAnsiTheme="minorHAnsi" w:cstheme="minorHAnsi"/>
              </w:rPr>
            </w:pPr>
            <w:r w:rsidRPr="007E7455">
              <w:rPr>
                <w:color w:val="000000" w:themeColor="text1"/>
              </w:rPr>
              <w:t>NKÚ</w:t>
            </w:r>
          </w:p>
        </w:tc>
        <w:tc>
          <w:tcPr>
            <w:tcW w:w="6662" w:type="dxa"/>
            <w:vAlign w:val="center"/>
          </w:tcPr>
          <w:p w:rsidR="00544441" w:rsidRPr="000221EC" w:rsidDel="00B5452E" w:rsidRDefault="00544441" w:rsidP="00D17BAD">
            <w:pPr>
              <w:spacing w:before="0" w:line="240" w:lineRule="atLeast"/>
              <w:jc w:val="left"/>
              <w:rPr>
                <w:rFonts w:asciiTheme="minorHAnsi" w:hAnsiTheme="minorHAnsi" w:cstheme="minorHAnsi"/>
                <w:bCs/>
              </w:rPr>
            </w:pPr>
            <w:r w:rsidRPr="007E7455">
              <w:rPr>
                <w:color w:val="000000" w:themeColor="text1"/>
              </w:rPr>
              <w:t>Nejvyšší kontrolní úřad</w:t>
            </w:r>
          </w:p>
        </w:tc>
      </w:tr>
      <w:tr w:rsidR="00412ABC" w:rsidRPr="000221EC" w:rsidDel="00B5452E" w:rsidTr="004C78E7">
        <w:tc>
          <w:tcPr>
            <w:tcW w:w="2552" w:type="dxa"/>
            <w:vAlign w:val="center"/>
          </w:tcPr>
          <w:p w:rsidR="00412ABC" w:rsidRPr="007E7455" w:rsidRDefault="00412ABC" w:rsidP="004C78E7">
            <w:pPr>
              <w:spacing w:before="0" w:line="240" w:lineRule="atLeast"/>
              <w:ind w:right="1169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</w:t>
            </w:r>
          </w:p>
        </w:tc>
        <w:tc>
          <w:tcPr>
            <w:tcW w:w="6662" w:type="dxa"/>
            <w:vAlign w:val="center"/>
          </w:tcPr>
          <w:p w:rsidR="00412ABC" w:rsidRPr="007E7455" w:rsidRDefault="0043791C" w:rsidP="00D17BAD">
            <w:pPr>
              <w:spacing w:before="0" w:line="240" w:lineRule="atLeast"/>
              <w:jc w:val="left"/>
              <w:rPr>
                <w:color w:val="000000" w:themeColor="text1"/>
              </w:rPr>
            </w:pPr>
            <w:r>
              <w:t>n</w:t>
            </w:r>
            <w:r w:rsidR="00642D76">
              <w:t xml:space="preserve">erelevantní údaj </w:t>
            </w:r>
            <w:r w:rsidR="00935627">
              <w:t xml:space="preserve">– </w:t>
            </w:r>
            <w:r w:rsidR="00642D76">
              <w:t>opatření nebyly přiděleny prostředky EURI</w:t>
            </w:r>
          </w:p>
        </w:tc>
      </w:tr>
      <w:tr w:rsidR="00544441" w:rsidRPr="00B13711" w:rsidTr="004C78E7">
        <w:tc>
          <w:tcPr>
            <w:tcW w:w="2552" w:type="dxa"/>
            <w:vAlign w:val="center"/>
          </w:tcPr>
          <w:p w:rsidR="00544441" w:rsidRPr="00632348" w:rsidRDefault="00544441" w:rsidP="004C78E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F839E0">
              <w:rPr>
                <w:rFonts w:cstheme="minorHAnsi"/>
              </w:rPr>
              <w:t>Pravidla</w:t>
            </w:r>
          </w:p>
        </w:tc>
        <w:tc>
          <w:tcPr>
            <w:tcW w:w="6662" w:type="dxa"/>
            <w:vAlign w:val="center"/>
          </w:tcPr>
          <w:p w:rsidR="00544441" w:rsidRPr="00D17BAD" w:rsidRDefault="00544441" w:rsidP="00D17BAD">
            <w:pPr>
              <w:spacing w:before="0" w:line="240" w:lineRule="atLeast"/>
              <w:jc w:val="left"/>
              <w:rPr>
                <w:rFonts w:asciiTheme="minorHAnsi" w:hAnsiTheme="minorHAnsi" w:cstheme="minorHAnsi"/>
                <w:i/>
              </w:rPr>
            </w:pPr>
            <w:r w:rsidRPr="00D17BAD">
              <w:rPr>
                <w:rFonts w:cstheme="minorHAnsi"/>
                <w:i/>
              </w:rPr>
              <w:t>Pravidla, kterými se stanovují podmínky pro poskytování dotace na</w:t>
            </w:r>
            <w:r w:rsidR="00BD5B30" w:rsidRPr="00D17BAD">
              <w:rPr>
                <w:rFonts w:cstheme="minorHAnsi"/>
                <w:i/>
              </w:rPr>
              <w:t> </w:t>
            </w:r>
            <w:r w:rsidRPr="00D17BAD">
              <w:rPr>
                <w:rFonts w:cstheme="minorHAnsi"/>
                <w:i/>
              </w:rPr>
              <w:t>projekty Programu rozvoje venkova na období 2014–2020</w:t>
            </w:r>
          </w:p>
        </w:tc>
      </w:tr>
      <w:tr w:rsidR="00544441" w:rsidRPr="000221EC" w:rsidTr="004C78E7">
        <w:tc>
          <w:tcPr>
            <w:tcW w:w="2552" w:type="dxa"/>
            <w:vAlign w:val="center"/>
          </w:tcPr>
          <w:p w:rsidR="00544441" w:rsidRPr="000221EC" w:rsidRDefault="00544441" w:rsidP="004C78E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781556">
              <w:t>PRV 2014</w:t>
            </w:r>
            <w:r w:rsidR="00606C50" w:rsidRPr="0054313E">
              <w:rPr>
                <w:sz w:val="22"/>
              </w:rPr>
              <w:t>–</w:t>
            </w:r>
            <w:r w:rsidRPr="00781556">
              <w:t>2020</w:t>
            </w:r>
          </w:p>
        </w:tc>
        <w:tc>
          <w:tcPr>
            <w:tcW w:w="6662" w:type="dxa"/>
            <w:vAlign w:val="center"/>
          </w:tcPr>
          <w:p w:rsidR="00544441" w:rsidRPr="00D17BAD" w:rsidRDefault="00544441" w:rsidP="00D17BAD">
            <w:pPr>
              <w:spacing w:before="0" w:line="240" w:lineRule="atLeast"/>
              <w:jc w:val="left"/>
              <w:rPr>
                <w:rFonts w:asciiTheme="minorHAnsi" w:hAnsiTheme="minorHAnsi" w:cstheme="minorHAnsi"/>
                <w:i/>
              </w:rPr>
            </w:pPr>
            <w:r w:rsidRPr="00D17BAD">
              <w:rPr>
                <w:i/>
              </w:rPr>
              <w:t>Program rozvoje venkova na období 2014</w:t>
            </w:r>
            <w:r w:rsidR="00606C50" w:rsidRPr="00D17BAD">
              <w:rPr>
                <w:i/>
                <w:sz w:val="22"/>
              </w:rPr>
              <w:t>–</w:t>
            </w:r>
            <w:r w:rsidRPr="00D17BAD">
              <w:rPr>
                <w:i/>
              </w:rPr>
              <w:t>2020</w:t>
            </w:r>
          </w:p>
        </w:tc>
      </w:tr>
      <w:tr w:rsidR="0043791C" w:rsidRPr="000221EC" w:rsidTr="004C78E7">
        <w:tc>
          <w:tcPr>
            <w:tcW w:w="2552" w:type="dxa"/>
            <w:vAlign w:val="center"/>
          </w:tcPr>
          <w:p w:rsidR="0043791C" w:rsidRPr="00781556" w:rsidRDefault="0043791C" w:rsidP="004C78E7">
            <w:pPr>
              <w:spacing w:before="0" w:line="240" w:lineRule="atLeast"/>
              <w:jc w:val="left"/>
            </w:pPr>
            <w:r>
              <w:t>Příručka</w:t>
            </w:r>
          </w:p>
        </w:tc>
        <w:tc>
          <w:tcPr>
            <w:tcW w:w="6662" w:type="dxa"/>
            <w:vAlign w:val="center"/>
          </w:tcPr>
          <w:p w:rsidR="0043791C" w:rsidRPr="00D17BAD" w:rsidRDefault="0043791C">
            <w:pPr>
              <w:spacing w:before="0" w:line="240" w:lineRule="atLeast"/>
              <w:jc w:val="left"/>
            </w:pPr>
            <w:r w:rsidRPr="00832A8F">
              <w:rPr>
                <w:i/>
              </w:rPr>
              <w:t>Příruč</w:t>
            </w:r>
            <w:r>
              <w:rPr>
                <w:i/>
              </w:rPr>
              <w:t>ka</w:t>
            </w:r>
            <w:r w:rsidRPr="00832A8F">
              <w:rPr>
                <w:i/>
              </w:rPr>
              <w:t xml:space="preserve"> pro zadávání zakázek Programu rozvoje venkova na období 2014–2020</w:t>
            </w:r>
          </w:p>
        </w:tc>
      </w:tr>
      <w:tr w:rsidR="009243E5" w:rsidRPr="000221EC" w:rsidTr="004C78E7">
        <w:tc>
          <w:tcPr>
            <w:tcW w:w="2552" w:type="dxa"/>
            <w:vAlign w:val="center"/>
          </w:tcPr>
          <w:p w:rsidR="009243E5" w:rsidRPr="00781556" w:rsidRDefault="009243E5" w:rsidP="004C78E7">
            <w:pPr>
              <w:spacing w:before="0" w:line="240" w:lineRule="atLeast"/>
              <w:jc w:val="left"/>
            </w:pPr>
            <w:r>
              <w:t xml:space="preserve">SMART </w:t>
            </w:r>
          </w:p>
        </w:tc>
        <w:tc>
          <w:tcPr>
            <w:tcW w:w="6662" w:type="dxa"/>
            <w:vAlign w:val="center"/>
          </w:tcPr>
          <w:p w:rsidR="009243E5" w:rsidRPr="00781556" w:rsidRDefault="009243E5" w:rsidP="00606C50">
            <w:pPr>
              <w:spacing w:before="0" w:line="240" w:lineRule="atLeast"/>
              <w:jc w:val="left"/>
            </w:pPr>
            <w:r w:rsidRPr="00827D60">
              <w:rPr>
                <w:rFonts w:asciiTheme="minorHAnsi" w:hAnsiTheme="minorHAnsi" w:cstheme="minorHAnsi"/>
              </w:rPr>
              <w:t>SMART cíle jsou: konkrétní (</w:t>
            </w:r>
            <w:r w:rsidRPr="00D17BAD">
              <w:rPr>
                <w:rFonts w:asciiTheme="minorHAnsi" w:hAnsiTheme="minorHAnsi" w:cstheme="minorHAnsi"/>
              </w:rPr>
              <w:t>Specific</w:t>
            </w:r>
            <w:r w:rsidRPr="00827D60">
              <w:rPr>
                <w:rFonts w:asciiTheme="minorHAnsi" w:hAnsiTheme="minorHAnsi" w:cstheme="minorHAnsi"/>
              </w:rPr>
              <w:t>), měřitelné (</w:t>
            </w:r>
            <w:r w:rsidRPr="00D17BAD">
              <w:rPr>
                <w:rFonts w:asciiTheme="minorHAnsi" w:hAnsiTheme="minorHAnsi" w:cstheme="minorHAnsi"/>
              </w:rPr>
              <w:t>Measurable</w:t>
            </w:r>
            <w:r w:rsidRPr="00827D60">
              <w:rPr>
                <w:rFonts w:asciiTheme="minorHAnsi" w:hAnsiTheme="minorHAnsi" w:cstheme="minorHAnsi"/>
              </w:rPr>
              <w:t>), dosažitelné</w:t>
            </w:r>
            <w:r w:rsidR="00412ABC">
              <w:rPr>
                <w:rFonts w:asciiTheme="minorHAnsi" w:hAnsiTheme="minorHAnsi" w:cstheme="minorHAnsi"/>
              </w:rPr>
              <w:t xml:space="preserve"> </w:t>
            </w:r>
            <w:r w:rsidRPr="00827D60">
              <w:rPr>
                <w:rFonts w:asciiTheme="minorHAnsi" w:hAnsiTheme="minorHAnsi" w:cstheme="minorHAnsi"/>
              </w:rPr>
              <w:t>(</w:t>
            </w:r>
            <w:r w:rsidRPr="00D17BAD">
              <w:rPr>
                <w:rFonts w:asciiTheme="minorHAnsi" w:hAnsiTheme="minorHAnsi" w:cstheme="minorHAnsi"/>
              </w:rPr>
              <w:t>Attainable</w:t>
            </w:r>
            <w:r w:rsidRPr="00827D60">
              <w:rPr>
                <w:rFonts w:asciiTheme="minorHAnsi" w:hAnsiTheme="minorHAnsi" w:cstheme="minorHAnsi"/>
              </w:rPr>
              <w:t xml:space="preserve">), </w:t>
            </w:r>
            <w:r>
              <w:rPr>
                <w:rFonts w:asciiTheme="minorHAnsi" w:hAnsiTheme="minorHAnsi" w:cstheme="minorHAnsi"/>
              </w:rPr>
              <w:t>relevantní</w:t>
            </w:r>
            <w:r w:rsidRPr="00827D60">
              <w:rPr>
                <w:rFonts w:asciiTheme="minorHAnsi" w:hAnsiTheme="minorHAnsi" w:cstheme="minorHAnsi"/>
              </w:rPr>
              <w:t xml:space="preserve"> (</w:t>
            </w:r>
            <w:r w:rsidRPr="00D17BAD">
              <w:rPr>
                <w:rFonts w:asciiTheme="minorHAnsi" w:hAnsiTheme="minorHAnsi" w:cstheme="minorHAnsi"/>
              </w:rPr>
              <w:t>Relevant</w:t>
            </w:r>
            <w:r w:rsidRPr="00827D60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br/>
            </w:r>
            <w:r w:rsidRPr="00827D60">
              <w:rPr>
                <w:rFonts w:asciiTheme="minorHAnsi" w:hAnsiTheme="minorHAnsi" w:cstheme="minorHAnsi"/>
              </w:rPr>
              <w:t>a časově vymezené (</w:t>
            </w:r>
            <w:r w:rsidRPr="00D17BAD">
              <w:rPr>
                <w:rFonts w:asciiTheme="minorHAnsi" w:hAnsiTheme="minorHAnsi" w:cstheme="minorHAnsi"/>
              </w:rPr>
              <w:t>Timely</w:t>
            </w:r>
            <w:r w:rsidRPr="00827D60">
              <w:rPr>
                <w:rFonts w:asciiTheme="minorHAnsi" w:hAnsiTheme="minorHAnsi" w:cstheme="minorHAnsi"/>
              </w:rPr>
              <w:t>)</w:t>
            </w:r>
          </w:p>
        </w:tc>
      </w:tr>
      <w:tr w:rsidR="00935627" w:rsidRPr="000221EC" w:rsidTr="004C78E7">
        <w:tc>
          <w:tcPr>
            <w:tcW w:w="2552" w:type="dxa"/>
            <w:vAlign w:val="center"/>
          </w:tcPr>
          <w:p w:rsidR="00935627" w:rsidRDefault="00935627" w:rsidP="004C78E7">
            <w:pPr>
              <w:spacing w:before="0" w:line="240" w:lineRule="atLeast"/>
              <w:jc w:val="left"/>
            </w:pPr>
            <w:r>
              <w:t>„</w:t>
            </w:r>
            <w:r w:rsidR="0043791C">
              <w:t>s</w:t>
            </w:r>
            <w:r>
              <w:t>pecifické podmínky“ Pravidel</w:t>
            </w:r>
          </w:p>
        </w:tc>
        <w:tc>
          <w:tcPr>
            <w:tcW w:w="6662" w:type="dxa"/>
            <w:vAlign w:val="center"/>
          </w:tcPr>
          <w:p w:rsidR="00935627" w:rsidRPr="00827D60" w:rsidRDefault="00935627" w:rsidP="00606C50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832A8F">
              <w:rPr>
                <w:rFonts w:cstheme="minorHAnsi"/>
                <w:i/>
              </w:rPr>
              <w:t xml:space="preserve">Pravidla, kterými se stanovují podmínky pro poskytování </w:t>
            </w:r>
            <w:r w:rsidR="0043791C">
              <w:rPr>
                <w:rFonts w:cstheme="minorHAnsi"/>
                <w:i/>
              </w:rPr>
              <w:br/>
            </w:r>
            <w:r w:rsidRPr="00832A8F">
              <w:rPr>
                <w:rFonts w:cstheme="minorHAnsi"/>
                <w:i/>
              </w:rPr>
              <w:t>dotace na</w:t>
            </w:r>
            <w:r w:rsidR="0043791C">
              <w:rPr>
                <w:rFonts w:cstheme="minorHAnsi"/>
                <w:i/>
              </w:rPr>
              <w:t xml:space="preserve"> </w:t>
            </w:r>
            <w:r w:rsidRPr="00832A8F">
              <w:rPr>
                <w:rFonts w:cstheme="minorHAnsi"/>
                <w:i/>
              </w:rPr>
              <w:t xml:space="preserve">projekty Programu rozvoje venkova na období </w:t>
            </w:r>
            <w:r w:rsidR="0043791C">
              <w:rPr>
                <w:rFonts w:cstheme="minorHAnsi"/>
                <w:i/>
              </w:rPr>
              <w:br/>
            </w:r>
            <w:r w:rsidRPr="00832A8F">
              <w:rPr>
                <w:rFonts w:cstheme="minorHAnsi"/>
                <w:i/>
              </w:rPr>
              <w:t>2014–2020</w:t>
            </w:r>
            <w:r w:rsidR="0043791C">
              <w:rPr>
                <w:rFonts w:cstheme="minorHAnsi"/>
                <w:i/>
              </w:rPr>
              <w:t xml:space="preserve"> – specifické podmínky pro poskytnutí dotace na základě Programu rozvoje venkova platné pro XY. kolo příjmu žádostí</w:t>
            </w:r>
          </w:p>
        </w:tc>
      </w:tr>
      <w:tr w:rsidR="00544441" w:rsidRPr="00B13711" w:rsidTr="004C78E7">
        <w:tc>
          <w:tcPr>
            <w:tcW w:w="2552" w:type="dxa"/>
            <w:vAlign w:val="center"/>
          </w:tcPr>
          <w:p w:rsidR="00544441" w:rsidRPr="000221EC" w:rsidRDefault="00544441" w:rsidP="004C78E7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 w:rsidRPr="00610B81">
              <w:rPr>
                <w:rFonts w:cstheme="minorHAnsi"/>
                <w:lang w:eastAsia="cs-CZ"/>
              </w:rPr>
              <w:t>Strategie 2030</w:t>
            </w:r>
          </w:p>
        </w:tc>
        <w:tc>
          <w:tcPr>
            <w:tcW w:w="6662" w:type="dxa"/>
            <w:vAlign w:val="center"/>
          </w:tcPr>
          <w:p w:rsidR="00544441" w:rsidRPr="00D17BAD" w:rsidRDefault="00544441" w:rsidP="00D17BAD">
            <w:pPr>
              <w:spacing w:before="0" w:line="240" w:lineRule="atLeast"/>
              <w:jc w:val="left"/>
              <w:rPr>
                <w:rFonts w:asciiTheme="minorHAnsi" w:hAnsiTheme="minorHAnsi" w:cstheme="minorHAnsi"/>
                <w:i/>
              </w:rPr>
            </w:pPr>
            <w:r w:rsidRPr="00D17BAD">
              <w:rPr>
                <w:rFonts w:cstheme="minorHAnsi"/>
                <w:i/>
                <w:lang w:eastAsia="cs-CZ"/>
              </w:rPr>
              <w:t>Strategie resortu Ministerstva zemědělství České republiky s</w:t>
            </w:r>
            <w:r w:rsidR="00BD5B30" w:rsidRPr="00D17BAD">
              <w:rPr>
                <w:rFonts w:cstheme="minorHAnsi"/>
                <w:i/>
                <w:lang w:eastAsia="cs-CZ"/>
              </w:rPr>
              <w:t> </w:t>
            </w:r>
            <w:r w:rsidRPr="00D17BAD">
              <w:rPr>
                <w:rFonts w:cstheme="minorHAnsi"/>
                <w:i/>
                <w:lang w:eastAsia="cs-CZ"/>
              </w:rPr>
              <w:t>výhledem do roku 2030</w:t>
            </w:r>
          </w:p>
        </w:tc>
      </w:tr>
      <w:tr w:rsidR="00544441" w:rsidRPr="000221EC" w:rsidTr="004C78E7">
        <w:tc>
          <w:tcPr>
            <w:tcW w:w="2552" w:type="dxa"/>
            <w:vAlign w:val="center"/>
          </w:tcPr>
          <w:p w:rsidR="00544441" w:rsidRPr="000221EC" w:rsidRDefault="00544441" w:rsidP="004C78E7">
            <w:pPr>
              <w:spacing w:before="0" w:line="240" w:lineRule="atLeast"/>
              <w:ind w:right="116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SZIF</w:t>
            </w:r>
          </w:p>
        </w:tc>
        <w:tc>
          <w:tcPr>
            <w:tcW w:w="6662" w:type="dxa"/>
            <w:vAlign w:val="center"/>
          </w:tcPr>
          <w:p w:rsidR="00544441" w:rsidRPr="000221EC" w:rsidRDefault="00544441" w:rsidP="00D17BAD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Státní zemědělský intervenční fond</w:t>
            </w:r>
          </w:p>
        </w:tc>
      </w:tr>
      <w:tr w:rsidR="008C7CA5" w:rsidRPr="000221EC" w:rsidTr="004C78E7">
        <w:tc>
          <w:tcPr>
            <w:tcW w:w="2552" w:type="dxa"/>
            <w:vAlign w:val="center"/>
          </w:tcPr>
          <w:p w:rsidR="008C7CA5" w:rsidRDefault="008C7CA5" w:rsidP="004C78E7">
            <w:pPr>
              <w:spacing w:before="0" w:line="240" w:lineRule="atLeast"/>
              <w:ind w:right="116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ZZVZ</w:t>
            </w:r>
          </w:p>
        </w:tc>
        <w:tc>
          <w:tcPr>
            <w:tcW w:w="6662" w:type="dxa"/>
            <w:vAlign w:val="center"/>
          </w:tcPr>
          <w:p w:rsidR="008C7CA5" w:rsidRDefault="0043791C" w:rsidP="00D17BAD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8C7CA5">
              <w:rPr>
                <w:rFonts w:asciiTheme="minorHAnsi" w:hAnsiTheme="minorHAnsi" w:cstheme="minorHAnsi"/>
              </w:rPr>
              <w:t>ákon o zadávání veřejných zakázek</w:t>
            </w:r>
            <w:r w:rsidR="00935627">
              <w:rPr>
                <w:rFonts w:asciiTheme="minorHAnsi" w:hAnsiTheme="minorHAnsi" w:cstheme="minorHAnsi"/>
              </w:rPr>
              <w:t xml:space="preserve"> (zákon č. 134/2016 Sb., o zadávání veřejných zakázek)</w:t>
            </w:r>
          </w:p>
        </w:tc>
      </w:tr>
      <w:tr w:rsidR="00935627" w:rsidRPr="000221EC" w:rsidTr="004C78E7">
        <w:tc>
          <w:tcPr>
            <w:tcW w:w="2552" w:type="dxa"/>
            <w:vAlign w:val="center"/>
          </w:tcPr>
          <w:p w:rsidR="00935627" w:rsidRDefault="00935627" w:rsidP="004C78E7">
            <w:pPr>
              <w:spacing w:before="0" w:line="240" w:lineRule="atLeast"/>
              <w:ind w:right="116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ŽoD</w:t>
            </w:r>
          </w:p>
        </w:tc>
        <w:tc>
          <w:tcPr>
            <w:tcW w:w="6662" w:type="dxa"/>
            <w:vAlign w:val="center"/>
          </w:tcPr>
          <w:p w:rsidR="00935627" w:rsidRDefault="0043791C">
            <w:pPr>
              <w:spacing w:before="0" w:line="24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</w:t>
            </w:r>
            <w:r w:rsidR="00935627">
              <w:rPr>
                <w:rFonts w:asciiTheme="minorHAnsi" w:hAnsiTheme="minorHAnsi" w:cstheme="minorHAnsi"/>
              </w:rPr>
              <w:t>ádost o dotaci</w:t>
            </w:r>
          </w:p>
        </w:tc>
      </w:tr>
    </w:tbl>
    <w:p w:rsidR="00911A3D" w:rsidRDefault="00911A3D" w:rsidP="00957102">
      <w:pPr>
        <w:jc w:val="left"/>
        <w:rPr>
          <w:b/>
        </w:rPr>
      </w:pPr>
    </w:p>
    <w:p w:rsidR="00CF2F25" w:rsidRDefault="00CF2F25" w:rsidP="00BD5B30">
      <w:pPr>
        <w:jc w:val="left"/>
        <w:outlineLvl w:val="0"/>
        <w:rPr>
          <w:b/>
        </w:rPr>
      </w:pPr>
      <w:r w:rsidRPr="007605E6">
        <w:rPr>
          <w:b/>
        </w:rPr>
        <w:t xml:space="preserve">Seznam </w:t>
      </w:r>
      <w:r>
        <w:rPr>
          <w:b/>
        </w:rPr>
        <w:t>příloh</w:t>
      </w:r>
    </w:p>
    <w:p w:rsidR="00CF2F25" w:rsidRPr="007234B8" w:rsidRDefault="00CF2F25" w:rsidP="00D17BAD">
      <w:pPr>
        <w:ind w:left="1247" w:hanging="1247"/>
        <w:jc w:val="left"/>
        <w:rPr>
          <w:rFonts w:cstheme="minorHAnsi"/>
        </w:rPr>
      </w:pPr>
      <w:r w:rsidRPr="007234B8">
        <w:t>Příloha č. 1</w:t>
      </w:r>
      <w:r w:rsidR="00CB5B2C">
        <w:t>:</w:t>
      </w:r>
      <w:r w:rsidR="00052839">
        <w:t xml:space="preserve"> </w:t>
      </w:r>
      <w:r w:rsidR="00935627">
        <w:tab/>
      </w:r>
      <w:r w:rsidR="00435E06">
        <w:t>Přehled kontrolovaných</w:t>
      </w:r>
      <w:r w:rsidR="00052839" w:rsidRPr="00052839">
        <w:rPr>
          <w:szCs w:val="28"/>
        </w:rPr>
        <w:t xml:space="preserve"> operací PRV 2014</w:t>
      </w:r>
      <w:r w:rsidR="00606C50" w:rsidRPr="0054313E">
        <w:rPr>
          <w:sz w:val="22"/>
        </w:rPr>
        <w:t>–</w:t>
      </w:r>
      <w:r w:rsidR="00052839" w:rsidRPr="00052839">
        <w:rPr>
          <w:szCs w:val="28"/>
        </w:rPr>
        <w:t>2020</w:t>
      </w:r>
    </w:p>
    <w:p w:rsidR="00BF6043" w:rsidRPr="007234B8" w:rsidRDefault="00CF2F25" w:rsidP="00D17BAD">
      <w:pPr>
        <w:spacing w:before="0"/>
        <w:ind w:left="1247" w:hanging="1247"/>
        <w:jc w:val="left"/>
      </w:pPr>
      <w:r w:rsidRPr="007234B8">
        <w:t>Příloha č. 2</w:t>
      </w:r>
      <w:r w:rsidR="00CB5B2C">
        <w:t>:</w:t>
      </w:r>
      <w:r w:rsidR="00F15613">
        <w:t xml:space="preserve"> </w:t>
      </w:r>
      <w:r w:rsidR="00935627">
        <w:tab/>
      </w:r>
      <w:r w:rsidR="00F15613" w:rsidRPr="00F15613">
        <w:t>Kritéria hodnocení účelnosti a hospodárnosti projektů PRV 2014</w:t>
      </w:r>
      <w:r w:rsidR="00606C50" w:rsidRPr="0054313E">
        <w:rPr>
          <w:sz w:val="22"/>
        </w:rPr>
        <w:t>–</w:t>
      </w:r>
      <w:r w:rsidR="00F15613" w:rsidRPr="00F15613">
        <w:t>2020</w:t>
      </w:r>
    </w:p>
    <w:p w:rsidR="00CF2F25" w:rsidRPr="007234B8" w:rsidRDefault="00BF6043" w:rsidP="00D17BAD">
      <w:pPr>
        <w:spacing w:before="0"/>
        <w:ind w:left="1247" w:hanging="1247"/>
        <w:jc w:val="left"/>
      </w:pPr>
      <w:r w:rsidRPr="007234B8">
        <w:t xml:space="preserve">Příloha č. </w:t>
      </w:r>
      <w:r w:rsidR="00F15613" w:rsidRPr="007234B8">
        <w:t>3</w:t>
      </w:r>
      <w:r w:rsidR="00F15613">
        <w:t>:</w:t>
      </w:r>
      <w:r w:rsidR="00F15613" w:rsidRPr="007234B8">
        <w:t xml:space="preserve"> </w:t>
      </w:r>
      <w:r w:rsidR="00935627">
        <w:tab/>
      </w:r>
      <w:r w:rsidR="00F15613">
        <w:t>Přehled</w:t>
      </w:r>
      <w:r w:rsidR="00F15613" w:rsidRPr="00F15613">
        <w:t xml:space="preserve"> kontrolovaných projektů PRV 2014</w:t>
      </w:r>
      <w:r w:rsidR="00606C50" w:rsidRPr="0054313E">
        <w:rPr>
          <w:sz w:val="22"/>
        </w:rPr>
        <w:t>–</w:t>
      </w:r>
      <w:r w:rsidR="00F15613" w:rsidRPr="00F15613">
        <w:t>2020 u příjemců a</w:t>
      </w:r>
      <w:r w:rsidR="00F15613">
        <w:t xml:space="preserve"> </w:t>
      </w:r>
      <w:r w:rsidR="00F15613" w:rsidRPr="00F15613">
        <w:t>hodnocení účelnosti a hospodárnosti</w:t>
      </w:r>
      <w:r w:rsidR="00935627">
        <w:t xml:space="preserve"> těchto projektů</w:t>
      </w:r>
    </w:p>
    <w:p w:rsidR="00CF2F25" w:rsidRPr="007234B8" w:rsidRDefault="00CF2F25" w:rsidP="00D17BAD">
      <w:pPr>
        <w:spacing w:before="0"/>
        <w:ind w:left="1247" w:hanging="1247"/>
        <w:jc w:val="left"/>
      </w:pPr>
      <w:r w:rsidRPr="007234B8">
        <w:t xml:space="preserve">Příloha č. </w:t>
      </w:r>
      <w:r w:rsidR="007234B8" w:rsidRPr="007234B8">
        <w:t>4</w:t>
      </w:r>
      <w:r w:rsidR="00CB5B2C">
        <w:t>:</w:t>
      </w:r>
      <w:r w:rsidRPr="007234B8">
        <w:t xml:space="preserve"> </w:t>
      </w:r>
      <w:r w:rsidR="00CB5B2C">
        <w:tab/>
      </w:r>
      <w:r w:rsidR="00A06ED0">
        <w:t>Plnění cílových hodnot monitorovacích indikátorů v kontrolovaných operacích</w:t>
      </w:r>
    </w:p>
    <w:p w:rsidR="00861417" w:rsidRPr="00721D6A" w:rsidRDefault="00092176" w:rsidP="00B42885">
      <w:pPr>
        <w:spacing w:after="120"/>
        <w:jc w:val="right"/>
        <w:outlineLvl w:val="0"/>
        <w:rPr>
          <w:rFonts w:cstheme="minorHAnsi"/>
          <w:b/>
        </w:rPr>
      </w:pPr>
      <w:r>
        <w:br w:type="page"/>
      </w:r>
      <w:r w:rsidR="00861417" w:rsidRPr="00721D6A">
        <w:rPr>
          <w:rFonts w:cstheme="minorHAnsi"/>
          <w:b/>
        </w:rPr>
        <w:lastRenderedPageBreak/>
        <w:t>Příloha č. 1</w:t>
      </w:r>
    </w:p>
    <w:p w:rsidR="00861417" w:rsidRPr="00627AE3" w:rsidRDefault="00435E06" w:rsidP="00861417">
      <w:pPr>
        <w:spacing w:after="120"/>
        <w:jc w:val="center"/>
        <w:rPr>
          <w:rFonts w:cstheme="minorHAnsi"/>
          <w:b/>
        </w:rPr>
      </w:pPr>
      <w:bookmarkStart w:id="13" w:name="_Hlk152069014"/>
      <w:r w:rsidRPr="00627AE3">
        <w:rPr>
          <w:rFonts w:cstheme="minorHAnsi"/>
          <w:b/>
        </w:rPr>
        <w:t>Přehled</w:t>
      </w:r>
      <w:r w:rsidR="00861417" w:rsidRPr="00627AE3">
        <w:rPr>
          <w:rFonts w:cstheme="minorHAnsi"/>
          <w:b/>
        </w:rPr>
        <w:t xml:space="preserve"> kontrolovaných operací PRV 2014</w:t>
      </w:r>
      <w:r w:rsidR="004E2EE9">
        <w:rPr>
          <w:rFonts w:cstheme="minorHAnsi"/>
          <w:b/>
        </w:rPr>
        <w:t>–</w:t>
      </w:r>
      <w:r w:rsidR="00861417" w:rsidRPr="00627AE3">
        <w:rPr>
          <w:rFonts w:cstheme="minorHAnsi"/>
          <w:b/>
        </w:rPr>
        <w:t>2020</w:t>
      </w:r>
      <w:bookmarkEnd w:id="13"/>
    </w:p>
    <w:p w:rsidR="00861417" w:rsidRPr="00F839E0" w:rsidRDefault="0043791C" w:rsidP="00DD5804">
      <w:pPr>
        <w:rPr>
          <w:rFonts w:cstheme="minorHAnsi"/>
          <w:u w:val="single"/>
        </w:rPr>
      </w:pPr>
      <w:r>
        <w:rPr>
          <w:rFonts w:cstheme="minorHAnsi"/>
          <w:u w:val="single"/>
        </w:rPr>
        <w:t>O</w:t>
      </w:r>
      <w:r w:rsidR="00861417">
        <w:rPr>
          <w:rFonts w:cstheme="minorHAnsi"/>
          <w:u w:val="single"/>
        </w:rPr>
        <w:t xml:space="preserve">patření </w:t>
      </w:r>
      <w:r w:rsidR="00861417" w:rsidRPr="00F839E0">
        <w:rPr>
          <w:rFonts w:cstheme="minorHAnsi"/>
          <w:u w:val="single"/>
        </w:rPr>
        <w:t xml:space="preserve">M01 – </w:t>
      </w:r>
      <w:r w:rsidR="00861417" w:rsidRPr="00D17BAD">
        <w:rPr>
          <w:rFonts w:cstheme="minorHAnsi"/>
          <w:i/>
          <w:u w:val="single"/>
        </w:rPr>
        <w:t>Předávání znalostí a informační akce</w:t>
      </w:r>
      <w:r w:rsidR="00861417" w:rsidRPr="00F839E0">
        <w:rPr>
          <w:rFonts w:cstheme="minorHAnsi"/>
          <w:u w:val="single"/>
        </w:rPr>
        <w:t xml:space="preserve"> </w:t>
      </w:r>
    </w:p>
    <w:p w:rsidR="00861417" w:rsidRDefault="00861417" w:rsidP="00D17BAD">
      <w:pPr>
        <w:spacing w:before="0" w:after="120"/>
        <w:rPr>
          <w:rFonts w:cstheme="minorHAnsi"/>
        </w:rPr>
      </w:pPr>
      <w:r w:rsidRPr="00721D6A">
        <w:rPr>
          <w:rFonts w:cstheme="minorHAnsi"/>
          <w:b/>
        </w:rPr>
        <w:t>Operace 1.1.1</w:t>
      </w:r>
      <w:r>
        <w:rPr>
          <w:rFonts w:cstheme="minorHAnsi"/>
        </w:rPr>
        <w:t xml:space="preserve"> </w:t>
      </w:r>
      <w:r w:rsidRPr="00F839E0">
        <w:rPr>
          <w:rFonts w:cstheme="minorHAnsi"/>
        </w:rPr>
        <w:t>podpor</w:t>
      </w:r>
      <w:r>
        <w:rPr>
          <w:rFonts w:cstheme="minorHAnsi"/>
        </w:rPr>
        <w:t>ovala</w:t>
      </w:r>
      <w:r w:rsidRPr="00F839E0">
        <w:rPr>
          <w:rFonts w:cstheme="minorHAnsi"/>
        </w:rPr>
        <w:t xml:space="preserve"> </w:t>
      </w:r>
      <w:r w:rsidRPr="00F839E0">
        <w:rPr>
          <w:rFonts w:cstheme="minorHAnsi"/>
          <w:bCs/>
        </w:rPr>
        <w:t xml:space="preserve">odborné vzdělávání v oblasti zemědělství, potravinářství </w:t>
      </w:r>
      <w:r w:rsidR="000A67D3">
        <w:rPr>
          <w:rFonts w:cstheme="minorHAnsi"/>
          <w:bCs/>
        </w:rPr>
        <w:br/>
      </w:r>
      <w:r w:rsidRPr="00F839E0">
        <w:rPr>
          <w:rFonts w:cstheme="minorHAnsi"/>
          <w:bCs/>
        </w:rPr>
        <w:t>a</w:t>
      </w:r>
      <w:r w:rsidR="000A67D3">
        <w:rPr>
          <w:rFonts w:cstheme="minorHAnsi"/>
          <w:bCs/>
        </w:rPr>
        <w:t xml:space="preserve"> </w:t>
      </w:r>
      <w:r w:rsidRPr="00F839E0">
        <w:rPr>
          <w:rFonts w:cstheme="minorHAnsi"/>
          <w:bCs/>
        </w:rPr>
        <w:t>lesnictví. V</w:t>
      </w:r>
      <w:r w:rsidR="000A67D3">
        <w:rPr>
          <w:rFonts w:cstheme="minorHAnsi"/>
          <w:bCs/>
        </w:rPr>
        <w:t xml:space="preserve"> </w:t>
      </w:r>
      <w:r w:rsidRPr="00F839E0">
        <w:rPr>
          <w:rFonts w:cstheme="minorHAnsi"/>
          <w:bCs/>
        </w:rPr>
        <w:t>rámci této operace bylo p</w:t>
      </w:r>
      <w:r w:rsidRPr="00F839E0">
        <w:rPr>
          <w:rFonts w:cstheme="minorHAnsi"/>
        </w:rPr>
        <w:t xml:space="preserve">odporováno realizování vzdělávacích </w:t>
      </w:r>
      <w:r>
        <w:rPr>
          <w:rFonts w:cstheme="minorHAnsi"/>
        </w:rPr>
        <w:t>akcí</w:t>
      </w:r>
      <w:r w:rsidRPr="00F839E0">
        <w:rPr>
          <w:rFonts w:cstheme="minorHAnsi"/>
        </w:rPr>
        <w:t xml:space="preserve"> (tj. školení, odborné vzdělávání), které měly směřovat ke zvýšení kvalifikace pracovníků</w:t>
      </w:r>
      <w:r w:rsidR="009235D0">
        <w:rPr>
          <w:rFonts w:cstheme="minorHAnsi"/>
        </w:rPr>
        <w:t xml:space="preserve"> v uvedených oblastech</w:t>
      </w:r>
      <w:r w:rsidRPr="00F839E0">
        <w:rPr>
          <w:rFonts w:cstheme="minorHAnsi"/>
        </w:rPr>
        <w:t>. Počet účastníků na jedné akci byl limitován na 5–20 osob.</w:t>
      </w:r>
    </w:p>
    <w:p w:rsidR="00861417" w:rsidRPr="00F839E0" w:rsidRDefault="00861417" w:rsidP="00861417">
      <w:pPr>
        <w:spacing w:before="0"/>
        <w:rPr>
          <w:rFonts w:cstheme="minorHAnsi"/>
        </w:rPr>
      </w:pPr>
      <w:r w:rsidRPr="00D2208E">
        <w:rPr>
          <w:rFonts w:cstheme="minorHAnsi"/>
        </w:rPr>
        <w:t>Částka výdajů, ze kter</w:t>
      </w:r>
      <w:r w:rsidR="009235D0">
        <w:rPr>
          <w:rFonts w:cstheme="minorHAnsi"/>
        </w:rPr>
        <w:t>é</w:t>
      </w:r>
      <w:r w:rsidRPr="00D2208E">
        <w:rPr>
          <w:rFonts w:cstheme="minorHAnsi"/>
        </w:rPr>
        <w:t xml:space="preserve"> byla stanovena dotace, </w:t>
      </w:r>
      <w:r w:rsidR="009235D0">
        <w:rPr>
          <w:rFonts w:cstheme="minorHAnsi"/>
        </w:rPr>
        <w:t xml:space="preserve">mohla </w:t>
      </w:r>
      <w:r w:rsidRPr="00D2208E">
        <w:rPr>
          <w:rFonts w:cstheme="minorHAnsi"/>
        </w:rPr>
        <w:t>na jeden projekt čini</w:t>
      </w:r>
      <w:r w:rsidR="009235D0">
        <w:rPr>
          <w:rFonts w:cstheme="minorHAnsi"/>
        </w:rPr>
        <w:t>t</w:t>
      </w:r>
      <w:r w:rsidRPr="00D2208E">
        <w:rPr>
          <w:rFonts w:cstheme="minorHAnsi"/>
        </w:rPr>
        <w:t xml:space="preserve"> od 50 000 Kč do 1</w:t>
      </w:r>
      <w:r w:rsidR="00091B4C">
        <w:rPr>
          <w:rFonts w:cstheme="minorHAnsi"/>
        </w:rPr>
        <w:t> </w:t>
      </w:r>
      <w:r w:rsidRPr="00D2208E">
        <w:rPr>
          <w:rFonts w:cstheme="minorHAnsi"/>
        </w:rPr>
        <w:t>000</w:t>
      </w:r>
      <w:r w:rsidR="00091B4C">
        <w:rPr>
          <w:rFonts w:cstheme="minorHAnsi"/>
        </w:rPr>
        <w:t> </w:t>
      </w:r>
      <w:r w:rsidRPr="00D2208E">
        <w:rPr>
          <w:rFonts w:cstheme="minorHAnsi"/>
        </w:rPr>
        <w:t>000 Kč. Z počátku byla míra podpory stanovena ve výši 85 %, od 12. kola příjmu žádostí došlo k navýšení až na 100 % způsobilých výdajů.</w:t>
      </w:r>
    </w:p>
    <w:p w:rsidR="00861417" w:rsidRDefault="00861417" w:rsidP="00861417">
      <w:pPr>
        <w:spacing w:after="120"/>
        <w:rPr>
          <w:rFonts w:cstheme="minorHAnsi"/>
        </w:rPr>
      </w:pPr>
      <w:r w:rsidRPr="00F839E0">
        <w:rPr>
          <w:rFonts w:cstheme="minorHAnsi"/>
        </w:rPr>
        <w:t>Mezi lety 2015 až 2023 mohli potenciální zájemci podat žádost o dotaci celkem dvanáctkrát.</w:t>
      </w:r>
    </w:p>
    <w:p w:rsidR="00861417" w:rsidRPr="00F839E0" w:rsidRDefault="00861417" w:rsidP="00861417">
      <w:pPr>
        <w:spacing w:after="120"/>
        <w:rPr>
          <w:rFonts w:cstheme="minorHAnsi"/>
        </w:rPr>
      </w:pPr>
      <w:r>
        <w:rPr>
          <w:rFonts w:cstheme="minorHAnsi"/>
        </w:rPr>
        <w:t>V rámci</w:t>
      </w:r>
      <w:r w:rsidRPr="009C347D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9C347D">
        <w:rPr>
          <w:rFonts w:cstheme="minorHAnsi"/>
        </w:rPr>
        <w:t>perace 1.1.1</w:t>
      </w:r>
      <w:r>
        <w:rPr>
          <w:rFonts w:cstheme="minorHAnsi"/>
        </w:rPr>
        <w:t xml:space="preserve"> bylo k 7. 9. 2023 </w:t>
      </w:r>
      <w:r w:rsidR="009235D0">
        <w:rPr>
          <w:rFonts w:cstheme="minorHAnsi"/>
        </w:rPr>
        <w:t xml:space="preserve">proplaceno </w:t>
      </w:r>
      <w:r>
        <w:rPr>
          <w:rFonts w:cstheme="minorHAnsi"/>
        </w:rPr>
        <w:t xml:space="preserve">z veřejných prostředků </w:t>
      </w:r>
      <w:r w:rsidR="009235D0">
        <w:rPr>
          <w:rFonts w:cstheme="minorHAnsi"/>
        </w:rPr>
        <w:t xml:space="preserve">celkem </w:t>
      </w:r>
      <w:r>
        <w:rPr>
          <w:rFonts w:cstheme="minorHAnsi"/>
        </w:rPr>
        <w:t>19,5</w:t>
      </w:r>
      <w:r w:rsidR="009235D0">
        <w:rPr>
          <w:rFonts w:cstheme="minorHAnsi"/>
        </w:rPr>
        <w:t> </w:t>
      </w:r>
      <w:r>
        <w:rPr>
          <w:rFonts w:cstheme="minorHAnsi"/>
        </w:rPr>
        <w:t>mil.</w:t>
      </w:r>
      <w:r w:rsidR="009235D0">
        <w:rPr>
          <w:rFonts w:cstheme="minorHAnsi"/>
        </w:rPr>
        <w:t> </w:t>
      </w:r>
      <w:r>
        <w:rPr>
          <w:rFonts w:cstheme="minorHAnsi"/>
        </w:rPr>
        <w:t>Kč.</w:t>
      </w:r>
    </w:p>
    <w:p w:rsidR="00861417" w:rsidRDefault="00861417" w:rsidP="00D17BAD">
      <w:pPr>
        <w:spacing w:after="120"/>
        <w:rPr>
          <w:rFonts w:cstheme="minorHAnsi"/>
        </w:rPr>
      </w:pPr>
      <w:r w:rsidRPr="00721D6A">
        <w:rPr>
          <w:rFonts w:cstheme="minorHAnsi"/>
          <w:b/>
        </w:rPr>
        <w:t>Operace 1.2.1</w:t>
      </w:r>
      <w:r>
        <w:rPr>
          <w:rFonts w:cstheme="minorHAnsi"/>
        </w:rPr>
        <w:t xml:space="preserve"> </w:t>
      </w:r>
      <w:r w:rsidRPr="00F839E0">
        <w:rPr>
          <w:rFonts w:cstheme="minorHAnsi"/>
        </w:rPr>
        <w:t>podpor</w:t>
      </w:r>
      <w:r>
        <w:rPr>
          <w:rFonts w:cstheme="minorHAnsi"/>
        </w:rPr>
        <w:t>ovala</w:t>
      </w:r>
      <w:r w:rsidRPr="00F839E0">
        <w:rPr>
          <w:rFonts w:cstheme="minorHAnsi"/>
        </w:rPr>
        <w:t xml:space="preserve"> poskytování informací a předávání zkušeností, kter</w:t>
      </w:r>
      <w:r w:rsidR="009235D0">
        <w:rPr>
          <w:rFonts w:cstheme="minorHAnsi"/>
        </w:rPr>
        <w:t>é</w:t>
      </w:r>
      <w:r w:rsidRPr="00F839E0">
        <w:rPr>
          <w:rFonts w:cstheme="minorHAnsi"/>
        </w:rPr>
        <w:t xml:space="preserve"> </w:t>
      </w:r>
      <w:r>
        <w:rPr>
          <w:rFonts w:cstheme="minorHAnsi"/>
        </w:rPr>
        <w:t>bylo možné</w:t>
      </w:r>
      <w:r w:rsidRPr="00F839E0">
        <w:rPr>
          <w:rFonts w:cstheme="minorHAnsi"/>
        </w:rPr>
        <w:t xml:space="preserve"> aplikovat v zemědělské výrobě, potravinářství a lesnictví, a to především v</w:t>
      </w:r>
      <w:r>
        <w:rPr>
          <w:rFonts w:cstheme="minorHAnsi"/>
        </w:rPr>
        <w:t> </w:t>
      </w:r>
      <w:r w:rsidRPr="00F839E0">
        <w:rPr>
          <w:rFonts w:cstheme="minorHAnsi"/>
        </w:rPr>
        <w:t xml:space="preserve">kontextu inovací. Informační akce </w:t>
      </w:r>
      <w:r w:rsidR="009235D0">
        <w:rPr>
          <w:rFonts w:cstheme="minorHAnsi"/>
        </w:rPr>
        <w:t xml:space="preserve">měly </w:t>
      </w:r>
      <w:r w:rsidRPr="00F839E0">
        <w:rPr>
          <w:rFonts w:cstheme="minorHAnsi"/>
        </w:rPr>
        <w:t>poskytov</w:t>
      </w:r>
      <w:r w:rsidR="009235D0">
        <w:rPr>
          <w:rFonts w:cstheme="minorHAnsi"/>
        </w:rPr>
        <w:t>at</w:t>
      </w:r>
      <w:r w:rsidRPr="00F839E0">
        <w:rPr>
          <w:rFonts w:cstheme="minorHAnsi"/>
        </w:rPr>
        <w:t xml:space="preserve"> informac</w:t>
      </w:r>
      <w:r w:rsidR="009235D0">
        <w:rPr>
          <w:rFonts w:cstheme="minorHAnsi"/>
        </w:rPr>
        <w:t>e</w:t>
      </w:r>
      <w:r w:rsidRPr="00F839E0">
        <w:rPr>
          <w:rFonts w:cstheme="minorHAnsi"/>
        </w:rPr>
        <w:t xml:space="preserve"> o možnostech využívání nových metod výroby</w:t>
      </w:r>
      <w:r>
        <w:rPr>
          <w:rFonts w:cstheme="minorHAnsi"/>
        </w:rPr>
        <w:t xml:space="preserve"> </w:t>
      </w:r>
      <w:r w:rsidR="000A67D3">
        <w:rPr>
          <w:rFonts w:cstheme="minorHAnsi"/>
        </w:rPr>
        <w:br/>
      </w:r>
      <w:r>
        <w:rPr>
          <w:rFonts w:cstheme="minorHAnsi"/>
        </w:rPr>
        <w:t>a</w:t>
      </w:r>
      <w:r w:rsidR="000A67D3">
        <w:rPr>
          <w:rFonts w:cstheme="minorHAnsi"/>
        </w:rPr>
        <w:t xml:space="preserve"> </w:t>
      </w:r>
      <w:r w:rsidRPr="00F839E0">
        <w:rPr>
          <w:rFonts w:cstheme="minorHAnsi"/>
        </w:rPr>
        <w:t xml:space="preserve">informovat o aktuálních inovačních postupech. Počet účastníků informační akce byl limitován na 20–100 osob. </w:t>
      </w:r>
    </w:p>
    <w:p w:rsidR="00861417" w:rsidRPr="00F839E0" w:rsidRDefault="00861417" w:rsidP="00861417">
      <w:pPr>
        <w:spacing w:before="0"/>
        <w:rPr>
          <w:rFonts w:cstheme="minorHAnsi"/>
        </w:rPr>
      </w:pPr>
      <w:r w:rsidRPr="00D2208E">
        <w:rPr>
          <w:rFonts w:cstheme="minorHAnsi"/>
        </w:rPr>
        <w:t>Částka výdajů, ze kter</w:t>
      </w:r>
      <w:r w:rsidR="009235D0">
        <w:rPr>
          <w:rFonts w:cstheme="minorHAnsi"/>
        </w:rPr>
        <w:t>é</w:t>
      </w:r>
      <w:r w:rsidRPr="00D2208E">
        <w:rPr>
          <w:rFonts w:cstheme="minorHAnsi"/>
        </w:rPr>
        <w:t xml:space="preserve"> byla stanovena dotace, </w:t>
      </w:r>
      <w:r w:rsidR="009235D0">
        <w:rPr>
          <w:rFonts w:cstheme="minorHAnsi"/>
        </w:rPr>
        <w:t xml:space="preserve">mohla </w:t>
      </w:r>
      <w:r w:rsidRPr="00D2208E">
        <w:rPr>
          <w:rFonts w:cstheme="minorHAnsi"/>
        </w:rPr>
        <w:t>na jeden projekt čini</w:t>
      </w:r>
      <w:r w:rsidR="009235D0">
        <w:rPr>
          <w:rFonts w:cstheme="minorHAnsi"/>
        </w:rPr>
        <w:t>t</w:t>
      </w:r>
      <w:r w:rsidRPr="00D2208E">
        <w:rPr>
          <w:rFonts w:cstheme="minorHAnsi"/>
        </w:rPr>
        <w:t xml:space="preserve"> od 50 000 Kč do 1</w:t>
      </w:r>
      <w:r w:rsidR="00091B4C">
        <w:rPr>
          <w:rFonts w:cstheme="minorHAnsi"/>
        </w:rPr>
        <w:t> </w:t>
      </w:r>
      <w:r w:rsidRPr="00D2208E">
        <w:rPr>
          <w:rFonts w:cstheme="minorHAnsi"/>
        </w:rPr>
        <w:t>000</w:t>
      </w:r>
      <w:r w:rsidR="00091B4C">
        <w:rPr>
          <w:rFonts w:cstheme="minorHAnsi"/>
        </w:rPr>
        <w:t> </w:t>
      </w:r>
      <w:r w:rsidRPr="00D2208E">
        <w:rPr>
          <w:rFonts w:cstheme="minorHAnsi"/>
        </w:rPr>
        <w:t>000 Kč. Z počátku byla míra podpory stanovena ve výši 85 %, od 12. kola příjmu žádostí došlo k navýšení až na 100 % způsobilých výdajů.</w:t>
      </w:r>
    </w:p>
    <w:p w:rsidR="00861417" w:rsidRDefault="00861417" w:rsidP="00861417">
      <w:pPr>
        <w:spacing w:after="120"/>
        <w:rPr>
          <w:rFonts w:cstheme="minorHAnsi"/>
        </w:rPr>
      </w:pPr>
      <w:r w:rsidRPr="00F839E0">
        <w:rPr>
          <w:rFonts w:cstheme="minorHAnsi"/>
        </w:rPr>
        <w:t>Mezi lety 2015 až 2023 mohli potenciální zájemci podat žádost o dotaci celkem jedenáctkrát.</w:t>
      </w:r>
    </w:p>
    <w:p w:rsidR="00861417" w:rsidRPr="00F839E0" w:rsidRDefault="00861417" w:rsidP="00861417">
      <w:pPr>
        <w:spacing w:after="120"/>
        <w:rPr>
          <w:rFonts w:cstheme="minorHAnsi"/>
        </w:rPr>
      </w:pPr>
      <w:r>
        <w:rPr>
          <w:rFonts w:cstheme="minorHAnsi"/>
        </w:rPr>
        <w:t>V rámci</w:t>
      </w:r>
      <w:r w:rsidRPr="009C347D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9C347D">
        <w:rPr>
          <w:rFonts w:cstheme="minorHAnsi"/>
        </w:rPr>
        <w:t>perace 1.</w:t>
      </w:r>
      <w:r>
        <w:rPr>
          <w:rFonts w:cstheme="minorHAnsi"/>
        </w:rPr>
        <w:t>2.</w:t>
      </w:r>
      <w:r w:rsidRPr="009C347D">
        <w:rPr>
          <w:rFonts w:cstheme="minorHAnsi"/>
        </w:rPr>
        <w:t>1</w:t>
      </w:r>
      <w:r>
        <w:rPr>
          <w:rFonts w:cstheme="minorHAnsi"/>
        </w:rPr>
        <w:t xml:space="preserve"> bylo k</w:t>
      </w:r>
      <w:r w:rsidR="009235D0">
        <w:rPr>
          <w:rFonts w:cstheme="minorHAnsi"/>
        </w:rPr>
        <w:t xml:space="preserve"> </w:t>
      </w:r>
      <w:r>
        <w:rPr>
          <w:rFonts w:cstheme="minorHAnsi"/>
        </w:rPr>
        <w:t xml:space="preserve">7. 9. 2023 </w:t>
      </w:r>
      <w:r w:rsidR="009235D0">
        <w:rPr>
          <w:rFonts w:cstheme="minorHAnsi"/>
        </w:rPr>
        <w:t xml:space="preserve">proplaceno </w:t>
      </w:r>
      <w:r>
        <w:rPr>
          <w:rFonts w:cstheme="minorHAnsi"/>
        </w:rPr>
        <w:t>z</w:t>
      </w:r>
      <w:r w:rsidR="009235D0">
        <w:rPr>
          <w:rFonts w:cstheme="minorHAnsi"/>
        </w:rPr>
        <w:t xml:space="preserve"> </w:t>
      </w:r>
      <w:r>
        <w:rPr>
          <w:rFonts w:cstheme="minorHAnsi"/>
        </w:rPr>
        <w:t xml:space="preserve">veřejných prostředků </w:t>
      </w:r>
      <w:r w:rsidR="009235D0">
        <w:rPr>
          <w:rFonts w:cstheme="minorHAnsi"/>
        </w:rPr>
        <w:t xml:space="preserve">celkem </w:t>
      </w:r>
      <w:r>
        <w:rPr>
          <w:rFonts w:cstheme="minorHAnsi"/>
        </w:rPr>
        <w:t>21,6 mil.</w:t>
      </w:r>
      <w:r w:rsidR="009235D0">
        <w:rPr>
          <w:rFonts w:cstheme="minorHAnsi"/>
        </w:rPr>
        <w:t> </w:t>
      </w:r>
      <w:r>
        <w:rPr>
          <w:rFonts w:cstheme="minorHAnsi"/>
        </w:rPr>
        <w:t>Kč.</w:t>
      </w:r>
    </w:p>
    <w:p w:rsidR="00861417" w:rsidRPr="00F839E0" w:rsidRDefault="009235D0" w:rsidP="00861417">
      <w:pPr>
        <w:rPr>
          <w:rFonts w:cstheme="minorHAnsi"/>
          <w:u w:val="single"/>
        </w:rPr>
      </w:pPr>
      <w:r>
        <w:rPr>
          <w:rFonts w:cstheme="minorHAnsi"/>
          <w:u w:val="single"/>
        </w:rPr>
        <w:t>O</w:t>
      </w:r>
      <w:r w:rsidR="00861417" w:rsidRPr="00F839E0">
        <w:rPr>
          <w:rFonts w:cstheme="minorHAnsi"/>
          <w:u w:val="single"/>
        </w:rPr>
        <w:t xml:space="preserve">patření M04 – </w:t>
      </w:r>
      <w:r w:rsidR="00861417" w:rsidRPr="00D17BAD">
        <w:rPr>
          <w:rFonts w:cstheme="minorHAnsi"/>
          <w:i/>
          <w:u w:val="single"/>
        </w:rPr>
        <w:t>Investice do hmotného majetku</w:t>
      </w:r>
    </w:p>
    <w:p w:rsidR="00861417" w:rsidRPr="00F839E0" w:rsidRDefault="00861417" w:rsidP="00D17BAD">
      <w:pPr>
        <w:spacing w:before="0" w:after="120"/>
        <w:rPr>
          <w:rFonts w:cstheme="minorHAnsi"/>
        </w:rPr>
      </w:pPr>
      <w:r w:rsidRPr="00FB3275">
        <w:rPr>
          <w:rFonts w:cstheme="minorHAnsi"/>
          <w:b/>
        </w:rPr>
        <w:t>Operace 4.1.1</w:t>
      </w:r>
      <w:r w:rsidRPr="00F839E0">
        <w:rPr>
          <w:rFonts w:cstheme="minorHAnsi"/>
        </w:rPr>
        <w:t xml:space="preserve"> podpor</w:t>
      </w:r>
      <w:r>
        <w:rPr>
          <w:rFonts w:cstheme="minorHAnsi"/>
        </w:rPr>
        <w:t>ovala</w:t>
      </w:r>
      <w:r w:rsidRPr="00F839E0">
        <w:rPr>
          <w:rFonts w:cstheme="minorHAnsi"/>
        </w:rPr>
        <w:t xml:space="preserve"> v živočišné a rostlinné výrobě </w:t>
      </w:r>
      <w:r w:rsidR="00FF220E" w:rsidRPr="00F839E0">
        <w:rPr>
          <w:rFonts w:cstheme="minorHAnsi"/>
        </w:rPr>
        <w:t xml:space="preserve">investice </w:t>
      </w:r>
      <w:r w:rsidRPr="00F839E0">
        <w:rPr>
          <w:rFonts w:cstheme="minorHAnsi"/>
        </w:rPr>
        <w:t>vedoucí ke snížení výrobních nákladů, modernizaci nebo zlepšení jakosti vyráběných produktů zemědělské prvovýroby, zvýšení účinnosti využívání výrobních faktorů a snadnějšímu přístupu k novým technologiím s výrazným inovačním potenciálem</w:t>
      </w:r>
      <w:r>
        <w:rPr>
          <w:rFonts w:cstheme="minorHAnsi"/>
        </w:rPr>
        <w:t xml:space="preserve">. </w:t>
      </w:r>
      <w:r w:rsidRPr="00F839E0">
        <w:rPr>
          <w:rFonts w:cstheme="minorHAnsi"/>
          <w:bCs/>
        </w:rPr>
        <w:t>O podporu m</w:t>
      </w:r>
      <w:r>
        <w:rPr>
          <w:rFonts w:cstheme="minorHAnsi"/>
          <w:bCs/>
        </w:rPr>
        <w:t>ohl</w:t>
      </w:r>
      <w:r w:rsidRPr="00F839E0">
        <w:rPr>
          <w:rFonts w:cstheme="minorHAnsi"/>
          <w:bCs/>
        </w:rPr>
        <w:t xml:space="preserve"> žádat</w:t>
      </w:r>
      <w:r w:rsidRPr="00F839E0">
        <w:rPr>
          <w:rFonts w:cstheme="minorHAnsi"/>
        </w:rPr>
        <w:t xml:space="preserve"> zemědělský podnikatel, včetně školních statků a státních podniků</w:t>
      </w:r>
      <w:r w:rsidR="00ED6B38">
        <w:rPr>
          <w:rFonts w:cstheme="minorHAnsi"/>
        </w:rPr>
        <w:t>, pokud splňovaly definici zemědělského podnikatele</w:t>
      </w:r>
      <w:r w:rsidRPr="00F839E0">
        <w:rPr>
          <w:rFonts w:cstheme="minorHAnsi"/>
        </w:rPr>
        <w:t>.</w:t>
      </w:r>
    </w:p>
    <w:p w:rsidR="00861417" w:rsidRDefault="00861417" w:rsidP="00861417">
      <w:pPr>
        <w:spacing w:before="0" w:after="120"/>
        <w:rPr>
          <w:rFonts w:cstheme="minorHAnsi"/>
        </w:rPr>
      </w:pPr>
      <w:r w:rsidRPr="00244556">
        <w:rPr>
          <w:rFonts w:cstheme="minorHAnsi"/>
        </w:rPr>
        <w:t>Částka výdajů, ze kter</w:t>
      </w:r>
      <w:r w:rsidR="00FF220E">
        <w:rPr>
          <w:rFonts w:cstheme="minorHAnsi"/>
        </w:rPr>
        <w:t>é</w:t>
      </w:r>
      <w:r w:rsidRPr="00244556">
        <w:rPr>
          <w:rFonts w:cstheme="minorHAnsi"/>
        </w:rPr>
        <w:t xml:space="preserve"> byla stanovena dotace</w:t>
      </w:r>
      <w:r w:rsidR="00FF220E">
        <w:rPr>
          <w:rFonts w:cstheme="minorHAnsi"/>
        </w:rPr>
        <w:t>,</w:t>
      </w:r>
      <w:r w:rsidRPr="00244556">
        <w:rPr>
          <w:rFonts w:cstheme="minorHAnsi"/>
        </w:rPr>
        <w:t xml:space="preserve"> se lišila dle záměru a jednotlivých kol </w:t>
      </w:r>
      <w:r>
        <w:rPr>
          <w:rFonts w:cstheme="minorHAnsi"/>
        </w:rPr>
        <w:br/>
      </w:r>
      <w:r w:rsidRPr="00244556">
        <w:rPr>
          <w:rFonts w:cstheme="minorHAnsi"/>
        </w:rPr>
        <w:t>a pohybovala se od 1 000 000 Kč do 150 000 000 Kč nebo později od 2 000 000 Kč do 75</w:t>
      </w:r>
      <w:r>
        <w:rPr>
          <w:rFonts w:cstheme="minorHAnsi"/>
        </w:rPr>
        <w:t> </w:t>
      </w:r>
      <w:r w:rsidRPr="00244556">
        <w:rPr>
          <w:rFonts w:cstheme="minorHAnsi"/>
        </w:rPr>
        <w:t>000</w:t>
      </w:r>
      <w:r>
        <w:rPr>
          <w:rFonts w:cstheme="minorHAnsi"/>
        </w:rPr>
        <w:t> </w:t>
      </w:r>
      <w:r w:rsidRPr="00244556">
        <w:rPr>
          <w:rFonts w:cstheme="minorHAnsi"/>
        </w:rPr>
        <w:t xml:space="preserve">000 Kč (v posledním kole příjmu žádostí došlo k dalšímu snížení maximální hranice </w:t>
      </w:r>
      <w:r>
        <w:rPr>
          <w:rFonts w:cstheme="minorHAnsi"/>
        </w:rPr>
        <w:t>dle</w:t>
      </w:r>
      <w:r w:rsidRPr="00244556">
        <w:rPr>
          <w:rFonts w:cstheme="minorHAnsi"/>
        </w:rPr>
        <w:t xml:space="preserve"> komodit na 50 000 000 Kč, resp. 30 000 000 Kč).</w:t>
      </w:r>
    </w:p>
    <w:p w:rsidR="00861417" w:rsidRDefault="00861417" w:rsidP="00861417">
      <w:pPr>
        <w:spacing w:after="120"/>
        <w:rPr>
          <w:rFonts w:cstheme="minorHAnsi"/>
        </w:rPr>
      </w:pPr>
      <w:r w:rsidRPr="00F839E0">
        <w:rPr>
          <w:rFonts w:cstheme="minorHAnsi"/>
        </w:rPr>
        <w:t>Mezi lety 2015 až 2023 mohli potenciální zájemci podat žádost o dotaci celkem šestkrát.</w:t>
      </w:r>
    </w:p>
    <w:p w:rsidR="00861417" w:rsidRPr="00861417" w:rsidRDefault="00861417" w:rsidP="00861417">
      <w:pPr>
        <w:spacing w:after="120"/>
        <w:rPr>
          <w:rFonts w:cstheme="minorHAnsi"/>
        </w:rPr>
      </w:pPr>
      <w:r>
        <w:rPr>
          <w:rFonts w:cstheme="minorHAnsi"/>
        </w:rPr>
        <w:t>V rámci</w:t>
      </w:r>
      <w:r w:rsidRPr="009C347D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9C347D">
        <w:rPr>
          <w:rFonts w:cstheme="minorHAnsi"/>
        </w:rPr>
        <w:t xml:space="preserve">perace </w:t>
      </w:r>
      <w:r>
        <w:rPr>
          <w:rFonts w:cstheme="minorHAnsi"/>
        </w:rPr>
        <w:t>4</w:t>
      </w:r>
      <w:r w:rsidRPr="009C347D">
        <w:rPr>
          <w:rFonts w:cstheme="minorHAnsi"/>
        </w:rPr>
        <w:t>.</w:t>
      </w:r>
      <w:r>
        <w:rPr>
          <w:rFonts w:cstheme="minorHAnsi"/>
        </w:rPr>
        <w:t>1.</w:t>
      </w:r>
      <w:r w:rsidRPr="009C347D">
        <w:rPr>
          <w:rFonts w:cstheme="minorHAnsi"/>
        </w:rPr>
        <w:t>1</w:t>
      </w:r>
      <w:r>
        <w:rPr>
          <w:rFonts w:cstheme="minorHAnsi"/>
        </w:rPr>
        <w:t xml:space="preserve"> bylo k</w:t>
      </w:r>
      <w:r w:rsidR="00FF220E">
        <w:rPr>
          <w:rFonts w:cstheme="minorHAnsi"/>
        </w:rPr>
        <w:t xml:space="preserve"> </w:t>
      </w:r>
      <w:r>
        <w:rPr>
          <w:rFonts w:cstheme="minorHAnsi"/>
        </w:rPr>
        <w:t xml:space="preserve">7. 9. 2023 </w:t>
      </w:r>
      <w:r w:rsidR="00FF220E">
        <w:rPr>
          <w:rFonts w:cstheme="minorHAnsi"/>
        </w:rPr>
        <w:t xml:space="preserve">proplaceno </w:t>
      </w:r>
      <w:r>
        <w:rPr>
          <w:rFonts w:cstheme="minorHAnsi"/>
        </w:rPr>
        <w:t>z</w:t>
      </w:r>
      <w:r w:rsidR="00FF220E">
        <w:rPr>
          <w:rFonts w:cstheme="minorHAnsi"/>
        </w:rPr>
        <w:t xml:space="preserve"> </w:t>
      </w:r>
      <w:r>
        <w:rPr>
          <w:rFonts w:cstheme="minorHAnsi"/>
        </w:rPr>
        <w:t xml:space="preserve">veřejných prostředků </w:t>
      </w:r>
      <w:r w:rsidR="00FF220E">
        <w:rPr>
          <w:rFonts w:cstheme="minorHAnsi"/>
        </w:rPr>
        <w:t xml:space="preserve">celkem </w:t>
      </w:r>
      <w:r>
        <w:rPr>
          <w:rFonts w:cstheme="minorHAnsi"/>
        </w:rPr>
        <w:t>12</w:t>
      </w:r>
      <w:r w:rsidR="00FF220E">
        <w:rPr>
          <w:rFonts w:cstheme="minorHAnsi"/>
        </w:rPr>
        <w:t> </w:t>
      </w:r>
      <w:r>
        <w:rPr>
          <w:rFonts w:cstheme="minorHAnsi"/>
        </w:rPr>
        <w:t>681</w:t>
      </w:r>
      <w:r w:rsidR="00FF220E">
        <w:rPr>
          <w:rFonts w:cstheme="minorHAnsi"/>
        </w:rPr>
        <w:t> </w:t>
      </w:r>
      <w:r>
        <w:rPr>
          <w:rFonts w:cstheme="minorHAnsi"/>
        </w:rPr>
        <w:t>mil.</w:t>
      </w:r>
      <w:r w:rsidR="00FF220E">
        <w:rPr>
          <w:rFonts w:cstheme="minorHAnsi"/>
        </w:rPr>
        <w:t> </w:t>
      </w:r>
      <w:r>
        <w:rPr>
          <w:rFonts w:cstheme="minorHAnsi"/>
        </w:rPr>
        <w:t>Kč.</w:t>
      </w:r>
    </w:p>
    <w:p w:rsidR="00861417" w:rsidRPr="00F839E0" w:rsidRDefault="00861417" w:rsidP="00861417">
      <w:pPr>
        <w:rPr>
          <w:rFonts w:cstheme="minorHAnsi"/>
          <w:u w:val="single"/>
        </w:rPr>
      </w:pPr>
      <w:r w:rsidRPr="00F839E0">
        <w:rPr>
          <w:rFonts w:cstheme="minorHAnsi"/>
          <w:u w:val="single"/>
        </w:rPr>
        <w:t xml:space="preserve">Opatření M06 – </w:t>
      </w:r>
      <w:r w:rsidRPr="00D17BAD">
        <w:rPr>
          <w:rFonts w:cstheme="minorHAnsi"/>
          <w:i/>
          <w:u w:val="single"/>
        </w:rPr>
        <w:t>Rozvoj zemědělských podniků a podnikatelsk</w:t>
      </w:r>
      <w:r w:rsidR="00FF220E">
        <w:rPr>
          <w:rFonts w:cstheme="minorHAnsi"/>
          <w:i/>
          <w:u w:val="single"/>
        </w:rPr>
        <w:t>é</w:t>
      </w:r>
      <w:r w:rsidRPr="00D17BAD">
        <w:rPr>
          <w:rFonts w:cstheme="minorHAnsi"/>
          <w:i/>
          <w:u w:val="single"/>
        </w:rPr>
        <w:t xml:space="preserve"> činnost</w:t>
      </w:r>
      <w:r w:rsidR="00FF220E">
        <w:rPr>
          <w:rFonts w:cstheme="minorHAnsi"/>
          <w:i/>
          <w:u w:val="single"/>
        </w:rPr>
        <w:t>i</w:t>
      </w:r>
    </w:p>
    <w:p w:rsidR="00861417" w:rsidRPr="00F839E0" w:rsidRDefault="00861417" w:rsidP="00861417">
      <w:pPr>
        <w:spacing w:before="0"/>
        <w:rPr>
          <w:rFonts w:cstheme="minorHAnsi"/>
          <w:bCs/>
        </w:rPr>
      </w:pPr>
      <w:r w:rsidRPr="009C347D">
        <w:rPr>
          <w:rFonts w:cstheme="minorHAnsi"/>
          <w:b/>
        </w:rPr>
        <w:t>Operace 6.1.1</w:t>
      </w:r>
      <w:r>
        <w:rPr>
          <w:rFonts w:cstheme="minorHAnsi"/>
        </w:rPr>
        <w:t xml:space="preserve"> </w:t>
      </w:r>
      <w:r w:rsidRPr="00F839E0">
        <w:rPr>
          <w:rFonts w:cstheme="minorHAnsi"/>
        </w:rPr>
        <w:t>podpor</w:t>
      </w:r>
      <w:r>
        <w:rPr>
          <w:rFonts w:cstheme="minorHAnsi"/>
        </w:rPr>
        <w:t>ovala</w:t>
      </w:r>
      <w:r w:rsidRPr="00F839E0">
        <w:rPr>
          <w:rFonts w:cstheme="minorHAnsi"/>
        </w:rPr>
        <w:t xml:space="preserve"> zahájení</w:t>
      </w:r>
      <w:r w:rsidRPr="00F839E0">
        <w:rPr>
          <w:rFonts w:cstheme="minorHAnsi"/>
          <w:bCs/>
        </w:rPr>
        <w:t xml:space="preserve"> aktivního podnikání mladých zemědělců (v</w:t>
      </w:r>
      <w:r w:rsidR="000A67D3">
        <w:rPr>
          <w:rFonts w:cstheme="minorHAnsi"/>
          <w:bCs/>
        </w:rPr>
        <w:t xml:space="preserve"> </w:t>
      </w:r>
      <w:r w:rsidRPr="00F839E0">
        <w:rPr>
          <w:rFonts w:cstheme="minorHAnsi"/>
          <w:bCs/>
        </w:rPr>
        <w:t>živočišné</w:t>
      </w:r>
      <w:r w:rsidR="000A67D3">
        <w:rPr>
          <w:rFonts w:cstheme="minorHAnsi"/>
          <w:bCs/>
        </w:rPr>
        <w:t xml:space="preserve"> </w:t>
      </w:r>
      <w:r w:rsidR="000A67D3">
        <w:rPr>
          <w:rFonts w:cstheme="minorHAnsi"/>
          <w:bCs/>
        </w:rPr>
        <w:br/>
      </w:r>
      <w:r w:rsidRPr="00F839E0">
        <w:rPr>
          <w:rFonts w:cstheme="minorHAnsi"/>
          <w:bCs/>
        </w:rPr>
        <w:t>a</w:t>
      </w:r>
      <w:r w:rsidR="000A67D3">
        <w:rPr>
          <w:rFonts w:cstheme="minorHAnsi"/>
          <w:bCs/>
        </w:rPr>
        <w:t xml:space="preserve"> </w:t>
      </w:r>
      <w:r w:rsidRPr="00F839E0">
        <w:rPr>
          <w:rFonts w:cstheme="minorHAnsi"/>
          <w:bCs/>
        </w:rPr>
        <w:t>rostlinné výrobě) v zemědělských podnicích prostřednictvím realizace podnikatelského plánu. O podporu m</w:t>
      </w:r>
      <w:r>
        <w:rPr>
          <w:rFonts w:cstheme="minorHAnsi"/>
          <w:bCs/>
        </w:rPr>
        <w:t>ohl</w:t>
      </w:r>
      <w:r w:rsidRPr="00F839E0">
        <w:rPr>
          <w:rFonts w:cstheme="minorHAnsi"/>
          <w:bCs/>
        </w:rPr>
        <w:t xml:space="preserve"> žádat</w:t>
      </w:r>
      <w:r w:rsidRPr="00F839E0">
        <w:rPr>
          <w:rFonts w:cstheme="minorHAnsi"/>
        </w:rPr>
        <w:t xml:space="preserve"> </w:t>
      </w:r>
      <w:r w:rsidRPr="00F839E0">
        <w:rPr>
          <w:rFonts w:cstheme="minorHAnsi"/>
          <w:bCs/>
        </w:rPr>
        <w:t>mladý zemědělec, tedy osoba, která dosáhla ke dni podání žádosti o</w:t>
      </w:r>
      <w:r>
        <w:rPr>
          <w:rFonts w:cstheme="minorHAnsi"/>
          <w:bCs/>
        </w:rPr>
        <w:t> </w:t>
      </w:r>
      <w:r w:rsidRPr="00F839E0">
        <w:rPr>
          <w:rFonts w:cstheme="minorHAnsi"/>
          <w:bCs/>
        </w:rPr>
        <w:t xml:space="preserve">dotaci věku 18 let a zároveň k témuž dni nebyla starší 40 let. </w:t>
      </w:r>
    </w:p>
    <w:p w:rsidR="00861417" w:rsidRDefault="00861417" w:rsidP="00861417">
      <w:pPr>
        <w:spacing w:after="120"/>
        <w:rPr>
          <w:rFonts w:cstheme="minorHAnsi"/>
        </w:rPr>
      </w:pPr>
      <w:r w:rsidRPr="00F839E0">
        <w:rPr>
          <w:rFonts w:cstheme="minorHAnsi"/>
        </w:rPr>
        <w:lastRenderedPageBreak/>
        <w:t>Mezi lety 2015 až 2023 mohli potenciální zájemci podat žádost o dotaci celkem pětkrát</w:t>
      </w:r>
      <w:r>
        <w:rPr>
          <w:rFonts w:cstheme="minorHAnsi"/>
        </w:rPr>
        <w:t>.</w:t>
      </w:r>
      <w:r w:rsidRPr="00F839E0" w:rsidDel="00D92C50">
        <w:rPr>
          <w:rFonts w:cstheme="minorHAnsi"/>
        </w:rPr>
        <w:t xml:space="preserve"> </w:t>
      </w:r>
      <w:r w:rsidRPr="00244556">
        <w:rPr>
          <w:rFonts w:cstheme="minorHAnsi"/>
        </w:rPr>
        <w:t xml:space="preserve">Dotace činila 45 000 </w:t>
      </w:r>
      <w:r w:rsidR="00FF220E">
        <w:rPr>
          <w:rFonts w:cstheme="minorHAnsi"/>
        </w:rPr>
        <w:t>€</w:t>
      </w:r>
      <w:r w:rsidRPr="00244556">
        <w:rPr>
          <w:rFonts w:cstheme="minorHAnsi"/>
        </w:rPr>
        <w:t>, tj. cca 1 200 000 Kč, a byla poskytnuta ve třech/dvou splátkách (počet splátek se v průběhu programového období měnil).</w:t>
      </w:r>
    </w:p>
    <w:p w:rsidR="00861417" w:rsidRPr="00F839E0" w:rsidRDefault="00861417" w:rsidP="00861417">
      <w:pPr>
        <w:spacing w:after="120"/>
        <w:rPr>
          <w:rFonts w:cstheme="minorHAnsi"/>
        </w:rPr>
      </w:pPr>
      <w:r>
        <w:rPr>
          <w:rFonts w:cstheme="minorHAnsi"/>
        </w:rPr>
        <w:t>V rámci</w:t>
      </w:r>
      <w:r w:rsidRPr="009C347D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9C347D">
        <w:rPr>
          <w:rFonts w:cstheme="minorHAnsi"/>
        </w:rPr>
        <w:t xml:space="preserve">perace </w:t>
      </w:r>
      <w:r>
        <w:rPr>
          <w:rFonts w:cstheme="minorHAnsi"/>
        </w:rPr>
        <w:t>6</w:t>
      </w:r>
      <w:r w:rsidRPr="009C347D">
        <w:rPr>
          <w:rFonts w:cstheme="minorHAnsi"/>
        </w:rPr>
        <w:t>.</w:t>
      </w:r>
      <w:r>
        <w:rPr>
          <w:rFonts w:cstheme="minorHAnsi"/>
        </w:rPr>
        <w:t>1.</w:t>
      </w:r>
      <w:r w:rsidRPr="009C347D">
        <w:rPr>
          <w:rFonts w:cstheme="minorHAnsi"/>
        </w:rPr>
        <w:t>1</w:t>
      </w:r>
      <w:r>
        <w:rPr>
          <w:rFonts w:cstheme="minorHAnsi"/>
        </w:rPr>
        <w:t xml:space="preserve"> bylo k</w:t>
      </w:r>
      <w:r w:rsidR="00FF220E">
        <w:rPr>
          <w:rFonts w:cstheme="minorHAnsi"/>
        </w:rPr>
        <w:t xml:space="preserve"> </w:t>
      </w:r>
      <w:r>
        <w:rPr>
          <w:rFonts w:cstheme="minorHAnsi"/>
        </w:rPr>
        <w:t xml:space="preserve">7. 9. 2023 </w:t>
      </w:r>
      <w:r w:rsidR="00FF220E">
        <w:rPr>
          <w:rFonts w:cstheme="minorHAnsi"/>
        </w:rPr>
        <w:t xml:space="preserve">proplaceno </w:t>
      </w:r>
      <w:r>
        <w:rPr>
          <w:rFonts w:cstheme="minorHAnsi"/>
        </w:rPr>
        <w:t>z</w:t>
      </w:r>
      <w:r w:rsidR="00FF220E">
        <w:rPr>
          <w:rFonts w:cstheme="minorHAnsi"/>
        </w:rPr>
        <w:t xml:space="preserve"> </w:t>
      </w:r>
      <w:r>
        <w:rPr>
          <w:rFonts w:cstheme="minorHAnsi"/>
        </w:rPr>
        <w:t xml:space="preserve">veřejných prostředků </w:t>
      </w:r>
      <w:r w:rsidR="00FF220E">
        <w:rPr>
          <w:rFonts w:cstheme="minorHAnsi"/>
        </w:rPr>
        <w:t xml:space="preserve">celkem </w:t>
      </w:r>
      <w:r>
        <w:rPr>
          <w:rFonts w:cstheme="minorHAnsi"/>
        </w:rPr>
        <w:t>1</w:t>
      </w:r>
      <w:r w:rsidR="00FF220E">
        <w:rPr>
          <w:rFonts w:cstheme="minorHAnsi"/>
        </w:rPr>
        <w:t> </w:t>
      </w:r>
      <w:r>
        <w:rPr>
          <w:rFonts w:cstheme="minorHAnsi"/>
        </w:rPr>
        <w:t>364</w:t>
      </w:r>
      <w:r w:rsidR="00FF220E">
        <w:rPr>
          <w:rFonts w:cstheme="minorHAnsi"/>
        </w:rPr>
        <w:t> </w:t>
      </w:r>
      <w:r>
        <w:rPr>
          <w:rFonts w:cstheme="minorHAnsi"/>
        </w:rPr>
        <w:t>mil.</w:t>
      </w:r>
      <w:r w:rsidR="00FF220E">
        <w:rPr>
          <w:rFonts w:cstheme="minorHAnsi"/>
        </w:rPr>
        <w:t> </w:t>
      </w:r>
      <w:r>
        <w:rPr>
          <w:rFonts w:cstheme="minorHAnsi"/>
        </w:rPr>
        <w:t>Kč.</w:t>
      </w:r>
    </w:p>
    <w:p w:rsidR="00861417" w:rsidRDefault="00861417" w:rsidP="00D17BAD">
      <w:pPr>
        <w:pStyle w:val="KPnormal"/>
        <w:spacing w:before="0" w:after="120" w:line="240" w:lineRule="auto"/>
        <w:ind w:firstLine="0"/>
        <w:rPr>
          <w:rFonts w:asciiTheme="minorHAnsi" w:hAnsiTheme="minorHAnsi" w:cstheme="minorHAnsi"/>
          <w:bCs/>
          <w:szCs w:val="24"/>
        </w:rPr>
      </w:pPr>
      <w:r w:rsidRPr="009C347D">
        <w:rPr>
          <w:rFonts w:asciiTheme="minorHAnsi" w:hAnsiTheme="minorHAnsi" w:cstheme="minorHAnsi"/>
          <w:b/>
          <w:bCs/>
          <w:szCs w:val="24"/>
        </w:rPr>
        <w:t>Operace 6.4.1</w:t>
      </w:r>
      <w:r w:rsidRPr="00F839E0">
        <w:rPr>
          <w:rFonts w:asciiTheme="minorHAnsi" w:hAnsiTheme="minorHAnsi" w:cstheme="minorHAnsi"/>
          <w:bCs/>
          <w:szCs w:val="24"/>
        </w:rPr>
        <w:t xml:space="preserve"> podpor</w:t>
      </w:r>
      <w:r>
        <w:rPr>
          <w:rFonts w:asciiTheme="minorHAnsi" w:hAnsiTheme="minorHAnsi" w:cstheme="minorHAnsi"/>
          <w:bCs/>
          <w:szCs w:val="24"/>
        </w:rPr>
        <w:t>ovala</w:t>
      </w:r>
      <w:r w:rsidRPr="00F839E0">
        <w:rPr>
          <w:rFonts w:asciiTheme="minorHAnsi" w:hAnsiTheme="minorHAnsi" w:cstheme="minorHAnsi"/>
          <w:bCs/>
          <w:szCs w:val="24"/>
        </w:rPr>
        <w:t xml:space="preserve"> založení nebo rozvoj nezemědělských činností vedoucích k</w:t>
      </w:r>
      <w:r>
        <w:rPr>
          <w:rFonts w:asciiTheme="minorHAnsi" w:hAnsiTheme="minorHAnsi" w:cstheme="minorHAnsi"/>
          <w:bCs/>
          <w:szCs w:val="24"/>
        </w:rPr>
        <w:t> </w:t>
      </w:r>
      <w:r w:rsidRPr="00F839E0">
        <w:rPr>
          <w:rFonts w:asciiTheme="minorHAnsi" w:hAnsiTheme="minorHAnsi" w:cstheme="minorHAnsi"/>
          <w:bCs/>
          <w:szCs w:val="24"/>
        </w:rPr>
        <w:t>diverzifikaci příjmů zemědělců, vytváření nových pracovních míst a posílení ekonomického potenciálu ve venkovských oblastech, a to podporou vybraných ekonomických činností. Jedn</w:t>
      </w:r>
      <w:r>
        <w:rPr>
          <w:rFonts w:asciiTheme="minorHAnsi" w:hAnsiTheme="minorHAnsi" w:cstheme="minorHAnsi"/>
          <w:bCs/>
          <w:szCs w:val="24"/>
        </w:rPr>
        <w:t>alo</w:t>
      </w:r>
      <w:r w:rsidRPr="00F839E0">
        <w:rPr>
          <w:rFonts w:asciiTheme="minorHAnsi" w:hAnsiTheme="minorHAnsi" w:cstheme="minorHAnsi"/>
          <w:bCs/>
          <w:szCs w:val="24"/>
        </w:rPr>
        <w:t xml:space="preserve"> se zejména o oblasti zpracovatelského průmyslu a maloobchodu.</w:t>
      </w:r>
    </w:p>
    <w:p w:rsidR="00861417" w:rsidRPr="00EF6526" w:rsidRDefault="00861417" w:rsidP="00861417">
      <w:pPr>
        <w:pStyle w:val="KPnormal"/>
        <w:spacing w:before="0" w:after="240" w:line="240" w:lineRule="auto"/>
        <w:ind w:firstLine="0"/>
        <w:rPr>
          <w:rFonts w:asciiTheme="minorHAnsi" w:hAnsiTheme="minorHAnsi" w:cstheme="minorHAnsi"/>
          <w:bCs/>
          <w:szCs w:val="24"/>
        </w:rPr>
      </w:pPr>
      <w:r w:rsidRPr="005C7C2D">
        <w:rPr>
          <w:rFonts w:asciiTheme="minorHAnsi" w:hAnsiTheme="minorHAnsi" w:cstheme="minorHAnsi"/>
        </w:rPr>
        <w:t>Částka výdajů, ze kter</w:t>
      </w:r>
      <w:r w:rsidR="00FF220E">
        <w:rPr>
          <w:rFonts w:asciiTheme="minorHAnsi" w:hAnsiTheme="minorHAnsi" w:cstheme="minorHAnsi"/>
        </w:rPr>
        <w:t>é</w:t>
      </w:r>
      <w:r w:rsidRPr="005C7C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byla</w:t>
      </w:r>
      <w:r w:rsidRPr="005C7C2D">
        <w:rPr>
          <w:rFonts w:asciiTheme="minorHAnsi" w:hAnsiTheme="minorHAnsi" w:cstheme="minorHAnsi"/>
        </w:rPr>
        <w:t xml:space="preserve"> stanovena dotace, </w:t>
      </w:r>
      <w:r w:rsidR="00FF220E" w:rsidRPr="005C7C2D">
        <w:rPr>
          <w:rFonts w:asciiTheme="minorHAnsi" w:hAnsiTheme="minorHAnsi" w:cstheme="minorHAnsi"/>
        </w:rPr>
        <w:t>čin</w:t>
      </w:r>
      <w:r w:rsidR="00FF220E">
        <w:rPr>
          <w:rFonts w:asciiTheme="minorHAnsi" w:hAnsiTheme="minorHAnsi" w:cstheme="minorHAnsi"/>
        </w:rPr>
        <w:t>ila</w:t>
      </w:r>
      <w:r w:rsidR="00FF220E" w:rsidRPr="005C7C2D">
        <w:rPr>
          <w:rFonts w:asciiTheme="minorHAnsi" w:hAnsiTheme="minorHAnsi" w:cstheme="minorHAnsi"/>
        </w:rPr>
        <w:t xml:space="preserve"> </w:t>
      </w:r>
      <w:r w:rsidRPr="005C7C2D">
        <w:rPr>
          <w:rFonts w:asciiTheme="minorHAnsi" w:hAnsiTheme="minorHAnsi" w:cstheme="minorHAnsi"/>
        </w:rPr>
        <w:t>na jeden projekt minimálně 200</w:t>
      </w:r>
      <w:r w:rsidR="00FF220E">
        <w:rPr>
          <w:rFonts w:asciiTheme="minorHAnsi" w:hAnsiTheme="minorHAnsi" w:cstheme="minorHAnsi"/>
        </w:rPr>
        <w:t> </w:t>
      </w:r>
      <w:r w:rsidRPr="005C7C2D">
        <w:rPr>
          <w:rFonts w:asciiTheme="minorHAnsi" w:hAnsiTheme="minorHAnsi" w:cstheme="minorHAnsi"/>
        </w:rPr>
        <w:t>000</w:t>
      </w:r>
      <w:r w:rsidR="00FF220E">
        <w:rPr>
          <w:rFonts w:asciiTheme="minorHAnsi" w:hAnsiTheme="minorHAnsi" w:cstheme="minorHAnsi"/>
        </w:rPr>
        <w:t> </w:t>
      </w:r>
      <w:r w:rsidRPr="005C7C2D">
        <w:rPr>
          <w:rFonts w:asciiTheme="minorHAnsi" w:hAnsiTheme="minorHAnsi" w:cstheme="minorHAnsi"/>
        </w:rPr>
        <w:t>Kč a maximálně 10 000 000 Kč.</w:t>
      </w:r>
    </w:p>
    <w:p w:rsidR="00861417" w:rsidRDefault="00861417" w:rsidP="00861417">
      <w:pPr>
        <w:pStyle w:val="KPnormal"/>
        <w:spacing w:before="0" w:after="120" w:line="240" w:lineRule="auto"/>
        <w:ind w:firstLine="0"/>
        <w:rPr>
          <w:rFonts w:asciiTheme="minorHAnsi" w:hAnsiTheme="minorHAnsi" w:cstheme="minorHAnsi"/>
          <w:szCs w:val="24"/>
        </w:rPr>
      </w:pPr>
      <w:r w:rsidRPr="00F839E0">
        <w:rPr>
          <w:rFonts w:asciiTheme="minorHAnsi" w:hAnsiTheme="minorHAnsi" w:cstheme="minorHAnsi"/>
          <w:szCs w:val="24"/>
        </w:rPr>
        <w:t>Mezi lety 2015 až 2023 mohli potenciální zájemci podat žádost o dotaci celkem osmkrát.</w:t>
      </w:r>
    </w:p>
    <w:p w:rsidR="00861417" w:rsidRPr="00D2208E" w:rsidRDefault="00861417" w:rsidP="00861417">
      <w:pPr>
        <w:spacing w:after="120"/>
        <w:rPr>
          <w:rFonts w:cstheme="minorHAnsi"/>
        </w:rPr>
      </w:pPr>
      <w:r>
        <w:rPr>
          <w:rFonts w:cstheme="minorHAnsi"/>
        </w:rPr>
        <w:t>V rámci</w:t>
      </w:r>
      <w:r w:rsidRPr="009C347D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9C347D">
        <w:rPr>
          <w:rFonts w:cstheme="minorHAnsi"/>
        </w:rPr>
        <w:t xml:space="preserve">perace </w:t>
      </w:r>
      <w:r>
        <w:rPr>
          <w:rFonts w:cstheme="minorHAnsi"/>
        </w:rPr>
        <w:t>6</w:t>
      </w:r>
      <w:r w:rsidRPr="009C347D">
        <w:rPr>
          <w:rFonts w:cstheme="minorHAnsi"/>
        </w:rPr>
        <w:t>.</w:t>
      </w:r>
      <w:r>
        <w:rPr>
          <w:rFonts w:cstheme="minorHAnsi"/>
        </w:rPr>
        <w:t>4.</w:t>
      </w:r>
      <w:r w:rsidRPr="009C347D">
        <w:rPr>
          <w:rFonts w:cstheme="minorHAnsi"/>
        </w:rPr>
        <w:t>1</w:t>
      </w:r>
      <w:r>
        <w:rPr>
          <w:rFonts w:cstheme="minorHAnsi"/>
        </w:rPr>
        <w:t xml:space="preserve"> bylo k</w:t>
      </w:r>
      <w:r w:rsidR="00FF220E">
        <w:rPr>
          <w:rFonts w:cstheme="minorHAnsi"/>
        </w:rPr>
        <w:t xml:space="preserve"> </w:t>
      </w:r>
      <w:r>
        <w:rPr>
          <w:rFonts w:cstheme="minorHAnsi"/>
        </w:rPr>
        <w:t xml:space="preserve">7. 9. 2023 </w:t>
      </w:r>
      <w:r w:rsidR="00FF220E">
        <w:rPr>
          <w:rFonts w:cstheme="minorHAnsi"/>
        </w:rPr>
        <w:t xml:space="preserve">proplaceno </w:t>
      </w:r>
      <w:r>
        <w:rPr>
          <w:rFonts w:cstheme="minorHAnsi"/>
        </w:rPr>
        <w:t>z</w:t>
      </w:r>
      <w:r w:rsidR="00FF220E">
        <w:rPr>
          <w:rFonts w:cstheme="minorHAnsi"/>
        </w:rPr>
        <w:t xml:space="preserve"> </w:t>
      </w:r>
      <w:r>
        <w:rPr>
          <w:rFonts w:cstheme="minorHAnsi"/>
        </w:rPr>
        <w:t xml:space="preserve">veřejných prostředků </w:t>
      </w:r>
      <w:r w:rsidR="00FF220E">
        <w:rPr>
          <w:rFonts w:cstheme="minorHAnsi"/>
        </w:rPr>
        <w:t xml:space="preserve">celkem </w:t>
      </w:r>
      <w:r>
        <w:rPr>
          <w:rFonts w:cstheme="minorHAnsi"/>
        </w:rPr>
        <w:t>1</w:t>
      </w:r>
      <w:r w:rsidR="00FF220E">
        <w:rPr>
          <w:rFonts w:cstheme="minorHAnsi"/>
        </w:rPr>
        <w:t> </w:t>
      </w:r>
      <w:r>
        <w:rPr>
          <w:rFonts w:cstheme="minorHAnsi"/>
        </w:rPr>
        <w:t>196</w:t>
      </w:r>
      <w:r w:rsidR="00FF220E">
        <w:rPr>
          <w:rFonts w:cstheme="minorHAnsi"/>
        </w:rPr>
        <w:t> </w:t>
      </w:r>
      <w:r>
        <w:rPr>
          <w:rFonts w:cstheme="minorHAnsi"/>
        </w:rPr>
        <w:t>mil.</w:t>
      </w:r>
      <w:r w:rsidR="00FF220E">
        <w:rPr>
          <w:rFonts w:cstheme="minorHAnsi"/>
        </w:rPr>
        <w:t> </w:t>
      </w:r>
      <w:r>
        <w:rPr>
          <w:rFonts w:cstheme="minorHAnsi"/>
        </w:rPr>
        <w:t>Kč.</w:t>
      </w:r>
    </w:p>
    <w:p w:rsidR="00861417" w:rsidRDefault="00861417" w:rsidP="00D17BAD">
      <w:pPr>
        <w:spacing w:before="0" w:after="120"/>
        <w:rPr>
          <w:rFonts w:cstheme="minorHAnsi"/>
        </w:rPr>
      </w:pPr>
      <w:r w:rsidRPr="009C347D">
        <w:rPr>
          <w:rFonts w:cstheme="minorHAnsi"/>
          <w:b/>
          <w:bCs/>
        </w:rPr>
        <w:t>Operace 6.4.2</w:t>
      </w:r>
      <w:r w:rsidRPr="00F839E0">
        <w:rPr>
          <w:rFonts w:cstheme="minorHAnsi"/>
          <w:bCs/>
        </w:rPr>
        <w:t xml:space="preserve"> podpor</w:t>
      </w:r>
      <w:r>
        <w:rPr>
          <w:rFonts w:cstheme="minorHAnsi"/>
          <w:bCs/>
        </w:rPr>
        <w:t>ovala</w:t>
      </w:r>
      <w:r w:rsidRPr="00F839E0">
        <w:rPr>
          <w:rFonts w:cstheme="minorHAnsi"/>
          <w:bCs/>
        </w:rPr>
        <w:t xml:space="preserve"> </w:t>
      </w:r>
      <w:r w:rsidRPr="00F839E0">
        <w:rPr>
          <w:rFonts w:cstheme="minorHAnsi"/>
        </w:rPr>
        <w:t>diverzifikaci činností v oblasti agroturistiky</w:t>
      </w:r>
      <w:r w:rsidR="00ED6B38">
        <w:rPr>
          <w:rFonts w:cstheme="minorHAnsi"/>
        </w:rPr>
        <w:t>;</w:t>
      </w:r>
      <w:r w:rsidR="00FF220E">
        <w:rPr>
          <w:rFonts w:cstheme="minorHAnsi"/>
        </w:rPr>
        <w:t xml:space="preserve"> investice měly vést</w:t>
      </w:r>
      <w:r w:rsidRPr="00F839E0">
        <w:rPr>
          <w:rFonts w:cstheme="minorHAnsi"/>
        </w:rPr>
        <w:t xml:space="preserve"> k</w:t>
      </w:r>
      <w:r>
        <w:rPr>
          <w:rFonts w:cstheme="minorHAnsi"/>
        </w:rPr>
        <w:t> </w:t>
      </w:r>
      <w:r w:rsidRPr="00F839E0">
        <w:rPr>
          <w:rFonts w:cstheme="minorHAnsi"/>
        </w:rPr>
        <w:t>zajištění diverzifikace příjmů, vytváření pracovních míst i pro nekvalifikované pracovní síly, k</w:t>
      </w:r>
      <w:r>
        <w:rPr>
          <w:rFonts w:cstheme="minorHAnsi"/>
        </w:rPr>
        <w:t> </w:t>
      </w:r>
      <w:r w:rsidRPr="00F839E0">
        <w:rPr>
          <w:rFonts w:cstheme="minorHAnsi"/>
        </w:rPr>
        <w:t xml:space="preserve">podpoře širšího využití zemědělských farem a </w:t>
      </w:r>
      <w:r w:rsidR="00FF220E">
        <w:rPr>
          <w:rFonts w:cstheme="minorHAnsi"/>
        </w:rPr>
        <w:t xml:space="preserve">k </w:t>
      </w:r>
      <w:r w:rsidRPr="00F839E0">
        <w:rPr>
          <w:rFonts w:cstheme="minorHAnsi"/>
        </w:rPr>
        <w:t>využití venkovských brownfield</w:t>
      </w:r>
      <w:r w:rsidR="00FF220E">
        <w:rPr>
          <w:rFonts w:cstheme="minorHAnsi"/>
        </w:rPr>
        <w:t>ů</w:t>
      </w:r>
      <w:r w:rsidRPr="00F839E0">
        <w:rPr>
          <w:rFonts w:cstheme="minorHAnsi"/>
        </w:rPr>
        <w:t>.</w:t>
      </w:r>
    </w:p>
    <w:p w:rsidR="00861417" w:rsidRPr="00861417" w:rsidRDefault="00861417" w:rsidP="00861417">
      <w:pPr>
        <w:spacing w:before="0"/>
        <w:rPr>
          <w:rFonts w:cstheme="minorHAnsi"/>
        </w:rPr>
      </w:pPr>
      <w:r w:rsidRPr="00EF6526">
        <w:rPr>
          <w:rFonts w:cstheme="minorHAnsi"/>
        </w:rPr>
        <w:t>Částka výdajů, ze kter</w:t>
      </w:r>
      <w:r w:rsidR="00FF220E">
        <w:rPr>
          <w:rFonts w:cstheme="minorHAnsi"/>
        </w:rPr>
        <w:t>é</w:t>
      </w:r>
      <w:r w:rsidRPr="00EF6526">
        <w:rPr>
          <w:rFonts w:cstheme="minorHAnsi"/>
        </w:rPr>
        <w:t xml:space="preserve"> byla stanovena dotace, </w:t>
      </w:r>
      <w:r w:rsidR="00FF220E" w:rsidRPr="00EF6526">
        <w:rPr>
          <w:rFonts w:cstheme="minorHAnsi"/>
        </w:rPr>
        <w:t xml:space="preserve">činila </w:t>
      </w:r>
      <w:r w:rsidRPr="00EF6526">
        <w:rPr>
          <w:rFonts w:cstheme="minorHAnsi"/>
        </w:rPr>
        <w:t xml:space="preserve">na jeden projekt minimálně 200 000 Kč a maximálně 10 000 000 Kč. </w:t>
      </w:r>
    </w:p>
    <w:p w:rsidR="00861417" w:rsidRDefault="00861417" w:rsidP="00861417">
      <w:pPr>
        <w:spacing w:after="120"/>
        <w:rPr>
          <w:rFonts w:cstheme="minorHAnsi"/>
        </w:rPr>
      </w:pPr>
      <w:r w:rsidRPr="00F839E0">
        <w:rPr>
          <w:rFonts w:cstheme="minorHAnsi"/>
        </w:rPr>
        <w:t>Mezi lety 2015 až 2023 mohli potenciální zájemci podat žádost o dotaci celkem pětkrát</w:t>
      </w:r>
      <w:r>
        <w:rPr>
          <w:rFonts w:cstheme="minorHAnsi"/>
        </w:rPr>
        <w:t>.</w:t>
      </w:r>
      <w:r w:rsidRPr="00F839E0">
        <w:rPr>
          <w:rFonts w:cstheme="minorHAnsi"/>
        </w:rPr>
        <w:t xml:space="preserve"> </w:t>
      </w:r>
    </w:p>
    <w:p w:rsidR="00861417" w:rsidRPr="00F839E0" w:rsidRDefault="00861417" w:rsidP="00861417">
      <w:pPr>
        <w:spacing w:after="120"/>
        <w:rPr>
          <w:rFonts w:cstheme="minorHAnsi"/>
        </w:rPr>
      </w:pPr>
      <w:r>
        <w:rPr>
          <w:rFonts w:cstheme="minorHAnsi"/>
        </w:rPr>
        <w:t>V rámci</w:t>
      </w:r>
      <w:r w:rsidRPr="009C347D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9C347D">
        <w:rPr>
          <w:rFonts w:cstheme="minorHAnsi"/>
        </w:rPr>
        <w:t xml:space="preserve">perace </w:t>
      </w:r>
      <w:r>
        <w:rPr>
          <w:rFonts w:cstheme="minorHAnsi"/>
        </w:rPr>
        <w:t>6</w:t>
      </w:r>
      <w:r w:rsidRPr="009C347D">
        <w:rPr>
          <w:rFonts w:cstheme="minorHAnsi"/>
        </w:rPr>
        <w:t>.</w:t>
      </w:r>
      <w:r>
        <w:rPr>
          <w:rFonts w:cstheme="minorHAnsi"/>
        </w:rPr>
        <w:t>4.2 bylo k</w:t>
      </w:r>
      <w:r w:rsidR="00ED6B38">
        <w:rPr>
          <w:rFonts w:cstheme="minorHAnsi"/>
        </w:rPr>
        <w:t xml:space="preserve"> </w:t>
      </w:r>
      <w:r>
        <w:rPr>
          <w:rFonts w:cstheme="minorHAnsi"/>
        </w:rPr>
        <w:t xml:space="preserve">7. 9. 2023 </w:t>
      </w:r>
      <w:r w:rsidR="00ED6B38">
        <w:rPr>
          <w:rFonts w:cstheme="minorHAnsi"/>
        </w:rPr>
        <w:t xml:space="preserve">proplaceno </w:t>
      </w:r>
      <w:r>
        <w:rPr>
          <w:rFonts w:cstheme="minorHAnsi"/>
        </w:rPr>
        <w:t>z</w:t>
      </w:r>
      <w:r w:rsidR="00ED6B38">
        <w:rPr>
          <w:rFonts w:cstheme="minorHAnsi"/>
        </w:rPr>
        <w:t xml:space="preserve"> </w:t>
      </w:r>
      <w:r>
        <w:rPr>
          <w:rFonts w:cstheme="minorHAnsi"/>
        </w:rPr>
        <w:t xml:space="preserve">veřejných prostředků </w:t>
      </w:r>
      <w:r w:rsidR="00ED6B38">
        <w:rPr>
          <w:rFonts w:cstheme="minorHAnsi"/>
        </w:rPr>
        <w:t xml:space="preserve">celkem </w:t>
      </w:r>
      <w:r>
        <w:rPr>
          <w:rFonts w:cstheme="minorHAnsi"/>
        </w:rPr>
        <w:t>341</w:t>
      </w:r>
      <w:r w:rsidR="00ED6B38">
        <w:rPr>
          <w:rFonts w:cstheme="minorHAnsi"/>
        </w:rPr>
        <w:t> </w:t>
      </w:r>
      <w:r>
        <w:rPr>
          <w:rFonts w:cstheme="minorHAnsi"/>
        </w:rPr>
        <w:t>mil.</w:t>
      </w:r>
      <w:r w:rsidR="00ED6B38">
        <w:rPr>
          <w:rFonts w:cstheme="minorHAnsi"/>
        </w:rPr>
        <w:t> </w:t>
      </w:r>
      <w:r>
        <w:rPr>
          <w:rFonts w:cstheme="minorHAnsi"/>
        </w:rPr>
        <w:t>Kč.</w:t>
      </w:r>
    </w:p>
    <w:p w:rsidR="00861417" w:rsidRDefault="00861417" w:rsidP="00D17BAD">
      <w:pPr>
        <w:spacing w:after="120"/>
        <w:rPr>
          <w:rFonts w:cstheme="minorHAnsi"/>
        </w:rPr>
      </w:pPr>
      <w:r w:rsidRPr="009C347D">
        <w:rPr>
          <w:rFonts w:cstheme="minorHAnsi"/>
          <w:b/>
          <w:bCs/>
        </w:rPr>
        <w:t>Operace 6.4.3</w:t>
      </w:r>
      <w:r>
        <w:rPr>
          <w:rFonts w:cstheme="minorHAnsi"/>
          <w:bCs/>
        </w:rPr>
        <w:t xml:space="preserve"> </w:t>
      </w:r>
      <w:r w:rsidRPr="00F839E0">
        <w:rPr>
          <w:rFonts w:cstheme="minorHAnsi"/>
          <w:bCs/>
        </w:rPr>
        <w:t>podpor</w:t>
      </w:r>
      <w:r>
        <w:rPr>
          <w:rFonts w:cstheme="minorHAnsi"/>
          <w:bCs/>
        </w:rPr>
        <w:t>ovala</w:t>
      </w:r>
      <w:r w:rsidRPr="00F839E0">
        <w:rPr>
          <w:rFonts w:cstheme="minorHAnsi"/>
          <w:bCs/>
        </w:rPr>
        <w:t xml:space="preserve"> </w:t>
      </w:r>
      <w:r w:rsidRPr="00F839E0" w:rsidDel="007E6FF9">
        <w:rPr>
          <w:rFonts w:cstheme="minorHAnsi"/>
        </w:rPr>
        <w:t>investice</w:t>
      </w:r>
      <w:r w:rsidRPr="00F839E0">
        <w:rPr>
          <w:rFonts w:cstheme="minorHAnsi"/>
        </w:rPr>
        <w:t xml:space="preserve"> zaměřené na diverzifikaci činností zemědělských subjektů do nezemědělských činností</w:t>
      </w:r>
      <w:r w:rsidR="00ED6B38">
        <w:rPr>
          <w:rFonts w:cstheme="minorHAnsi"/>
        </w:rPr>
        <w:t>, tyto investice měly</w:t>
      </w:r>
      <w:r w:rsidRPr="00F839E0">
        <w:rPr>
          <w:rFonts w:cstheme="minorHAnsi"/>
        </w:rPr>
        <w:t xml:space="preserve"> </w:t>
      </w:r>
      <w:r w:rsidR="00ED6B38">
        <w:rPr>
          <w:rFonts w:cstheme="minorHAnsi"/>
        </w:rPr>
        <w:t>vést</w:t>
      </w:r>
      <w:r w:rsidRPr="00F839E0">
        <w:rPr>
          <w:rFonts w:cstheme="minorHAnsi"/>
        </w:rPr>
        <w:t xml:space="preserve"> k diverzifikaci příjmů</w:t>
      </w:r>
      <w:r>
        <w:rPr>
          <w:rFonts w:cstheme="minorHAnsi"/>
        </w:rPr>
        <w:t xml:space="preserve"> </w:t>
      </w:r>
      <w:r w:rsidRPr="00F839E0">
        <w:rPr>
          <w:rFonts w:cstheme="minorHAnsi"/>
        </w:rPr>
        <w:t xml:space="preserve">a využívání vedlejších produktů a surovin pro účely biologického hospodářství, zejména </w:t>
      </w:r>
      <w:r w:rsidR="00ED6B38">
        <w:rPr>
          <w:rFonts w:cstheme="minorHAnsi"/>
        </w:rPr>
        <w:t>měly směřovat do</w:t>
      </w:r>
      <w:r w:rsidRPr="00F839E0">
        <w:rPr>
          <w:rFonts w:cstheme="minorHAnsi"/>
        </w:rPr>
        <w:t xml:space="preserve"> oblasti výstavby zařízení pro zpracování a využití obnovitelných zdrojů energie (investice do zařízení na výrobu tvarovaných biopaliv a </w:t>
      </w:r>
      <w:r w:rsidR="00ED6B38">
        <w:rPr>
          <w:rFonts w:cstheme="minorHAnsi"/>
        </w:rPr>
        <w:t xml:space="preserve">do </w:t>
      </w:r>
      <w:r w:rsidRPr="00F839E0">
        <w:rPr>
          <w:rFonts w:cstheme="minorHAnsi"/>
        </w:rPr>
        <w:t>bioplynov</w:t>
      </w:r>
      <w:r w:rsidR="00ED6B38">
        <w:rPr>
          <w:rFonts w:cstheme="minorHAnsi"/>
        </w:rPr>
        <w:t>ých</w:t>
      </w:r>
      <w:r w:rsidRPr="00F839E0">
        <w:rPr>
          <w:rFonts w:cstheme="minorHAnsi"/>
        </w:rPr>
        <w:t xml:space="preserve"> stanic). </w:t>
      </w:r>
    </w:p>
    <w:p w:rsidR="00861417" w:rsidRPr="00F839E0" w:rsidRDefault="00861417" w:rsidP="00861417">
      <w:pPr>
        <w:spacing w:before="0"/>
        <w:rPr>
          <w:rFonts w:cstheme="minorHAnsi"/>
        </w:rPr>
      </w:pPr>
      <w:r w:rsidRPr="00244556">
        <w:rPr>
          <w:rFonts w:cstheme="minorHAnsi"/>
        </w:rPr>
        <w:t>Částka výdajů, ze kter</w:t>
      </w:r>
      <w:r w:rsidR="00ED6B38">
        <w:rPr>
          <w:rFonts w:cstheme="minorHAnsi"/>
        </w:rPr>
        <w:t>é</w:t>
      </w:r>
      <w:r w:rsidRPr="00244556">
        <w:rPr>
          <w:rFonts w:cstheme="minorHAnsi"/>
        </w:rPr>
        <w:t xml:space="preserve"> </w:t>
      </w:r>
      <w:r w:rsidR="00ED6B38">
        <w:rPr>
          <w:rFonts w:cstheme="minorHAnsi"/>
        </w:rPr>
        <w:t>byla</w:t>
      </w:r>
      <w:r w:rsidRPr="00244556">
        <w:rPr>
          <w:rFonts w:cstheme="minorHAnsi"/>
        </w:rPr>
        <w:t xml:space="preserve"> stanovena dotace, </w:t>
      </w:r>
      <w:r w:rsidR="00ED6B38" w:rsidRPr="00244556">
        <w:rPr>
          <w:rFonts w:cstheme="minorHAnsi"/>
        </w:rPr>
        <w:t xml:space="preserve">činila </w:t>
      </w:r>
      <w:r w:rsidRPr="00244556">
        <w:rPr>
          <w:rFonts w:cstheme="minorHAnsi"/>
        </w:rPr>
        <w:t xml:space="preserve">na jeden projekt u záměru a) </w:t>
      </w:r>
      <w:r w:rsidRPr="00D17BAD">
        <w:rPr>
          <w:rFonts w:cstheme="minorHAnsi"/>
          <w:i/>
        </w:rPr>
        <w:t>Výstavba a modernizace zařízení na výrobu tvarovaných biopaliv</w:t>
      </w:r>
      <w:r w:rsidRPr="00244556">
        <w:rPr>
          <w:rFonts w:cstheme="minorHAnsi"/>
        </w:rPr>
        <w:t xml:space="preserve"> od 200 000 Kč do 10 000 000 Kč</w:t>
      </w:r>
      <w:r>
        <w:rPr>
          <w:rFonts w:cstheme="minorHAnsi"/>
        </w:rPr>
        <w:t xml:space="preserve"> a u </w:t>
      </w:r>
      <w:r w:rsidRPr="00244556">
        <w:rPr>
          <w:rFonts w:cstheme="minorHAnsi"/>
        </w:rPr>
        <w:t xml:space="preserve">záměru b) </w:t>
      </w:r>
      <w:r w:rsidRPr="00D17BAD">
        <w:rPr>
          <w:rFonts w:cstheme="minorHAnsi"/>
          <w:i/>
        </w:rPr>
        <w:t>Výstavba a modernizace bioplynové stanice</w:t>
      </w:r>
      <w:r w:rsidRPr="00244556">
        <w:rPr>
          <w:rFonts w:cstheme="minorHAnsi"/>
        </w:rPr>
        <w:t xml:space="preserve"> od 200 000 Kč do 50 000 000 Kč.</w:t>
      </w:r>
    </w:p>
    <w:p w:rsidR="00861417" w:rsidRDefault="00861417" w:rsidP="00861417">
      <w:pPr>
        <w:spacing w:after="120"/>
        <w:rPr>
          <w:rFonts w:cstheme="minorHAnsi"/>
        </w:rPr>
      </w:pPr>
      <w:r w:rsidRPr="00F839E0">
        <w:rPr>
          <w:rFonts w:cstheme="minorHAnsi"/>
        </w:rPr>
        <w:t xml:space="preserve">Žadatelé neměli o tuto operaci téměř zájem, a proto byla v roce 2018 zrušena. </w:t>
      </w:r>
      <w:r>
        <w:rPr>
          <w:rFonts w:cstheme="minorHAnsi"/>
        </w:rPr>
        <w:t xml:space="preserve">Oblast podpory výroby </w:t>
      </w:r>
      <w:r w:rsidRPr="00F839E0">
        <w:rPr>
          <w:rFonts w:cstheme="minorHAnsi"/>
        </w:rPr>
        <w:t xml:space="preserve">tvarovaných biopaliv </w:t>
      </w:r>
      <w:r>
        <w:rPr>
          <w:rFonts w:cstheme="minorHAnsi"/>
        </w:rPr>
        <w:t xml:space="preserve">přesunulo MZe do operace 6.4.1 zaměřené na diverzifikaci nezemědělských činností. </w:t>
      </w:r>
    </w:p>
    <w:p w:rsidR="00861417" w:rsidRPr="00F839E0" w:rsidRDefault="00861417" w:rsidP="00861417">
      <w:pPr>
        <w:spacing w:after="120"/>
        <w:rPr>
          <w:rFonts w:cstheme="minorHAnsi"/>
        </w:rPr>
      </w:pPr>
      <w:r>
        <w:rPr>
          <w:rFonts w:cstheme="minorHAnsi"/>
        </w:rPr>
        <w:t>V rámci</w:t>
      </w:r>
      <w:r w:rsidRPr="009C347D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9C347D">
        <w:rPr>
          <w:rFonts w:cstheme="minorHAnsi"/>
        </w:rPr>
        <w:t xml:space="preserve">perace </w:t>
      </w:r>
      <w:r>
        <w:rPr>
          <w:rFonts w:cstheme="minorHAnsi"/>
        </w:rPr>
        <w:t>6</w:t>
      </w:r>
      <w:r w:rsidRPr="009C347D">
        <w:rPr>
          <w:rFonts w:cstheme="minorHAnsi"/>
        </w:rPr>
        <w:t>.</w:t>
      </w:r>
      <w:r>
        <w:rPr>
          <w:rFonts w:cstheme="minorHAnsi"/>
        </w:rPr>
        <w:t>4.</w:t>
      </w:r>
      <w:r w:rsidR="00DC7111">
        <w:rPr>
          <w:rFonts w:cstheme="minorHAnsi"/>
        </w:rPr>
        <w:t>3</w:t>
      </w:r>
      <w:r>
        <w:rPr>
          <w:rFonts w:cstheme="minorHAnsi"/>
        </w:rPr>
        <w:t xml:space="preserve"> bylo k 7. 9. 2023 </w:t>
      </w:r>
      <w:r w:rsidR="00ED6B38">
        <w:rPr>
          <w:rFonts w:cstheme="minorHAnsi"/>
        </w:rPr>
        <w:t xml:space="preserve">proplaceno </w:t>
      </w:r>
      <w:r>
        <w:rPr>
          <w:rFonts w:cstheme="minorHAnsi"/>
        </w:rPr>
        <w:t xml:space="preserve">z veřejných prostředků </w:t>
      </w:r>
      <w:r w:rsidR="00ED6B38">
        <w:rPr>
          <w:rFonts w:cstheme="minorHAnsi"/>
        </w:rPr>
        <w:t xml:space="preserve">celkem </w:t>
      </w:r>
      <w:r>
        <w:rPr>
          <w:rFonts w:cstheme="minorHAnsi"/>
        </w:rPr>
        <w:t>22 mil. Kč.</w:t>
      </w:r>
    </w:p>
    <w:p w:rsidR="00861417" w:rsidRDefault="00861417" w:rsidP="00861417">
      <w:pPr>
        <w:spacing w:after="120"/>
        <w:rPr>
          <w:rFonts w:cstheme="minorHAnsi"/>
        </w:rPr>
      </w:pPr>
      <w:r w:rsidRPr="00F839E0">
        <w:rPr>
          <w:rFonts w:cstheme="minorHAnsi"/>
        </w:rPr>
        <w:t>V rámci projektů zaměřených na diverzifikaci příjmů (operace 6.4.1, 6.4.2 a 6.4.3) m</w:t>
      </w:r>
      <w:r>
        <w:rPr>
          <w:rFonts w:cstheme="minorHAnsi"/>
        </w:rPr>
        <w:t xml:space="preserve">ohl </w:t>
      </w:r>
      <w:r w:rsidRPr="00F839E0">
        <w:rPr>
          <w:rFonts w:cstheme="minorHAnsi"/>
        </w:rPr>
        <w:t xml:space="preserve">podporu žádat zemědělský podnikatel, který byl minimálně po dobu 2 let před podáním žádosti o dotaci evidován v </w:t>
      </w:r>
      <w:r w:rsidR="00ED6B38">
        <w:rPr>
          <w:rFonts w:cstheme="minorHAnsi"/>
        </w:rPr>
        <w:t>„</w:t>
      </w:r>
      <w:r w:rsidR="00ED6B38" w:rsidRPr="00D17BAD">
        <w:rPr>
          <w:rFonts w:cstheme="minorHAnsi"/>
          <w:i/>
        </w:rPr>
        <w:t>e</w:t>
      </w:r>
      <w:r w:rsidRPr="00D17BAD">
        <w:rPr>
          <w:rFonts w:cstheme="minorHAnsi"/>
          <w:i/>
        </w:rPr>
        <w:t>videnci zemědělského podnikatele</w:t>
      </w:r>
      <w:r w:rsidR="00ED6B38">
        <w:rPr>
          <w:rFonts w:cstheme="minorHAnsi"/>
        </w:rPr>
        <w:t>“</w:t>
      </w:r>
      <w:r w:rsidRPr="00F839E0">
        <w:rPr>
          <w:rFonts w:cstheme="minorHAnsi"/>
        </w:rPr>
        <w:t>.</w:t>
      </w:r>
    </w:p>
    <w:p w:rsidR="000177EB" w:rsidRDefault="000177EB">
      <w:pPr>
        <w:spacing w:befor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052839" w:rsidRPr="0006003C" w:rsidRDefault="00052839" w:rsidP="00B42885">
      <w:pPr>
        <w:jc w:val="right"/>
        <w:outlineLvl w:val="0"/>
        <w:rPr>
          <w:b/>
        </w:rPr>
      </w:pPr>
      <w:r w:rsidRPr="0006003C">
        <w:rPr>
          <w:b/>
        </w:rPr>
        <w:lastRenderedPageBreak/>
        <w:t xml:space="preserve">Příloha č. </w:t>
      </w:r>
      <w:r>
        <w:rPr>
          <w:b/>
        </w:rPr>
        <w:t>2</w:t>
      </w:r>
    </w:p>
    <w:p w:rsidR="00052839" w:rsidRPr="00184F96" w:rsidRDefault="00052839" w:rsidP="00052839">
      <w:pPr>
        <w:jc w:val="center"/>
        <w:rPr>
          <w:b/>
        </w:rPr>
      </w:pPr>
      <w:bookmarkStart w:id="14" w:name="_Hlk152069268"/>
      <w:r w:rsidRPr="00184F96">
        <w:rPr>
          <w:b/>
        </w:rPr>
        <w:t>Kritéria hodnocení účelnosti a hospodárnosti projektů PRV 2014</w:t>
      </w:r>
      <w:r w:rsidR="004E2EE9">
        <w:rPr>
          <w:b/>
        </w:rPr>
        <w:t>–</w:t>
      </w:r>
      <w:r w:rsidRPr="00184F96">
        <w:rPr>
          <w:b/>
        </w:rPr>
        <w:t>2020</w:t>
      </w:r>
      <w:bookmarkEnd w:id="14"/>
    </w:p>
    <w:p w:rsidR="00052839" w:rsidRPr="00E62F30" w:rsidRDefault="00052839" w:rsidP="00AA1CA1">
      <w:pPr>
        <w:spacing w:after="120"/>
        <w:rPr>
          <w:b/>
        </w:rPr>
      </w:pPr>
      <w:r w:rsidRPr="00E62F30">
        <w:rPr>
          <w:b/>
        </w:rPr>
        <w:t>Tabulka č. 1 – stupně účelnosti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805"/>
      </w:tblGrid>
      <w:tr w:rsidR="00052839" w:rsidRPr="00BB569D" w:rsidTr="002E13B3">
        <w:trPr>
          <w:trHeight w:val="645"/>
          <w:jc w:val="center"/>
        </w:trPr>
        <w:tc>
          <w:tcPr>
            <w:tcW w:w="3257" w:type="dxa"/>
            <w:vAlign w:val="center"/>
          </w:tcPr>
          <w:p w:rsidR="00052839" w:rsidRPr="00BB569D" w:rsidRDefault="00052839" w:rsidP="002E13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Stupeň účelnosti projektu</w:t>
            </w:r>
          </w:p>
        </w:tc>
        <w:tc>
          <w:tcPr>
            <w:tcW w:w="5805" w:type="dxa"/>
            <w:vAlign w:val="center"/>
          </w:tcPr>
          <w:p w:rsidR="00052839" w:rsidRPr="00BB569D" w:rsidRDefault="00052839" w:rsidP="002E13B3">
            <w:pPr>
              <w:rPr>
                <w:rFonts w:asciiTheme="minorHAnsi" w:hAnsiTheme="minorHAnsi" w:cstheme="minorHAnsi"/>
                <w:b/>
              </w:rPr>
            </w:pPr>
          </w:p>
          <w:p w:rsidR="00052839" w:rsidRPr="00BB569D" w:rsidRDefault="00052839" w:rsidP="002E13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Definice stupně účelnosti</w:t>
            </w:r>
          </w:p>
          <w:p w:rsidR="00052839" w:rsidRPr="00BB569D" w:rsidRDefault="00052839" w:rsidP="002E1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2839" w:rsidRPr="00BB569D" w:rsidTr="002E13B3">
        <w:trPr>
          <w:jc w:val="center"/>
        </w:trPr>
        <w:tc>
          <w:tcPr>
            <w:tcW w:w="3257" w:type="dxa"/>
            <w:vAlign w:val="center"/>
          </w:tcPr>
          <w:p w:rsidR="00052839" w:rsidRPr="00BB569D" w:rsidRDefault="00052839" w:rsidP="002E13B3">
            <w:pPr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1.</w:t>
            </w:r>
          </w:p>
          <w:p w:rsidR="00052839" w:rsidRPr="00BB569D" w:rsidRDefault="00052839" w:rsidP="002E13B3">
            <w:pPr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Vynaložené prostředky jsou účelné</w:t>
            </w:r>
          </w:p>
        </w:tc>
        <w:tc>
          <w:tcPr>
            <w:tcW w:w="5805" w:type="dxa"/>
          </w:tcPr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Projekt byl řádně realizován a jeho realizací bylo dosaženo stanovených cílů, výsledků a výstupů projektu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 xml:space="preserve">a předpokládaných přínosů. Cíle stanovené v ŽoD (nejen monitorovací indikátory) jsou specifické a měřitelné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a jejich plnění je možn</w:t>
            </w:r>
            <w:r w:rsidR="00EE7E47">
              <w:rPr>
                <w:rFonts w:asciiTheme="minorHAnsi" w:hAnsiTheme="minorHAnsi" w:cstheme="minorHAnsi"/>
              </w:rPr>
              <w:t>é</w:t>
            </w:r>
            <w:r w:rsidRPr="00BB569D">
              <w:rPr>
                <w:rFonts w:asciiTheme="minorHAnsi" w:hAnsiTheme="minorHAnsi" w:cstheme="minorHAnsi"/>
              </w:rPr>
              <w:t xml:space="preserve"> ověřit; přínosy stanovené v ŽoD jsou formulovány jasně a jsou dlouhodobě udržitelné (minimálně po stanovenou dobu udržitelnosti, respektive po dobu provozuschopnosti pořízeného majetku).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Byly naplněny stanovené aktivity, dílčí cíle, výsledky projektu a předpokládané přínosy dle harmonogramu projektu a lze konstatovat očekávaný přínos projektu pro plnění cílů operací a opatření. Očekávaný přínos tam</w:t>
            </w:r>
            <w:r w:rsidR="00EE7E47">
              <w:rPr>
                <w:rFonts w:asciiTheme="minorHAnsi" w:hAnsiTheme="minorHAnsi" w:cstheme="minorHAnsi"/>
              </w:rPr>
              <w:t>,</w:t>
            </w:r>
            <w:r w:rsidRPr="00BB569D">
              <w:rPr>
                <w:rFonts w:asciiTheme="minorHAnsi" w:hAnsiTheme="minorHAnsi" w:cstheme="minorHAnsi"/>
              </w:rPr>
              <w:t xml:space="preserve"> kde je to relevantní, je možné pozorovat i po skončení realizace projektu.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Výstupy projektu (převážně investiční akce) jsou využívány příjemcem dotace v předpokládaném rozsahu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a v souladu s projektem.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Pozn.: Standardně se jedná o dosažení 100 % stanovených cílů, nicméně je třeba brát v úvahu jejich relativní důležitost. Např. hlavní předpokládané cíle a přínosy byly splněny a nesplnění některého z méně významných cílů nemělo vliv na celkový přínos projektu – lze vyhodnotit jako „projekt dosáhl stanovených cílů a předpokládaných přínosů“.</w:t>
            </w:r>
          </w:p>
        </w:tc>
      </w:tr>
      <w:tr w:rsidR="00052839" w:rsidRPr="00BB569D" w:rsidTr="002E13B3">
        <w:trPr>
          <w:jc w:val="center"/>
        </w:trPr>
        <w:tc>
          <w:tcPr>
            <w:tcW w:w="3257" w:type="dxa"/>
            <w:vAlign w:val="center"/>
          </w:tcPr>
          <w:p w:rsidR="00052839" w:rsidRPr="00BB569D" w:rsidRDefault="00052839" w:rsidP="002E13B3">
            <w:pPr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2.</w:t>
            </w:r>
          </w:p>
          <w:p w:rsidR="00052839" w:rsidRPr="00BB569D" w:rsidRDefault="00052839" w:rsidP="002E13B3">
            <w:pPr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Vynaložené prostředky jsou účelné s výhradou</w:t>
            </w:r>
          </w:p>
        </w:tc>
        <w:tc>
          <w:tcPr>
            <w:tcW w:w="5805" w:type="dxa"/>
          </w:tcPr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Většina stanovených aktivit, cílů, výsledků projektu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 xml:space="preserve">a předpokládaných přínosů byla splněna. Nesplnění některých dílčích aktivit nebo cílů nemá podstatný vliv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 xml:space="preserve">na celkový přínos projektu k plnění cílů programu. 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Cíle projektu nejsou nastaveny konkrétně a nejsou měřitelné, přínosy v ŽoD jsou formulovány pouze obecně a jejich dosažení lze ověřit omezeně. Jako celek ale projekt povede k</w:t>
            </w:r>
            <w:r w:rsidR="005B5015">
              <w:rPr>
                <w:rFonts w:asciiTheme="minorHAnsi" w:hAnsiTheme="minorHAnsi" w:cstheme="minorHAnsi"/>
              </w:rPr>
              <w:t xml:space="preserve"> </w:t>
            </w:r>
            <w:r w:rsidRPr="00BB569D">
              <w:rPr>
                <w:rFonts w:asciiTheme="minorHAnsi" w:hAnsiTheme="minorHAnsi" w:cstheme="minorHAnsi"/>
              </w:rPr>
              <w:t>naplnění cílů jednotlivých operací a opatření PRV</w:t>
            </w:r>
            <w:r w:rsidR="00EE7E47">
              <w:rPr>
                <w:rFonts w:asciiTheme="minorHAnsi" w:hAnsiTheme="minorHAnsi" w:cstheme="minorHAnsi"/>
              </w:rPr>
              <w:t xml:space="preserve"> 2014–2020</w:t>
            </w:r>
            <w:r w:rsidRPr="00BB569D">
              <w:rPr>
                <w:rFonts w:asciiTheme="minorHAnsi" w:hAnsiTheme="minorHAnsi" w:cstheme="minorHAnsi"/>
              </w:rPr>
              <w:t xml:space="preserve">. 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Výstupy investiční</w:t>
            </w:r>
            <w:r w:rsidR="00EE7E47">
              <w:rPr>
                <w:rFonts w:asciiTheme="minorHAnsi" w:hAnsiTheme="minorHAnsi" w:cstheme="minorHAnsi"/>
              </w:rPr>
              <w:t>ho</w:t>
            </w:r>
            <w:r w:rsidRPr="00BB569D">
              <w:rPr>
                <w:rFonts w:asciiTheme="minorHAnsi" w:hAnsiTheme="minorHAnsi" w:cstheme="minorHAnsi"/>
              </w:rPr>
              <w:t xml:space="preserve"> projekt</w:t>
            </w:r>
            <w:r w:rsidR="00EE7E47">
              <w:rPr>
                <w:rFonts w:asciiTheme="minorHAnsi" w:hAnsiTheme="minorHAnsi" w:cstheme="minorHAnsi"/>
              </w:rPr>
              <w:t>u</w:t>
            </w:r>
            <w:r w:rsidRPr="00BB569D">
              <w:rPr>
                <w:rFonts w:asciiTheme="minorHAnsi" w:hAnsiTheme="minorHAnsi" w:cstheme="minorHAnsi"/>
              </w:rPr>
              <w:t xml:space="preserve"> jsou z větší části využívány ke stanovenému účelu.</w:t>
            </w:r>
          </w:p>
        </w:tc>
      </w:tr>
      <w:tr w:rsidR="00052839" w:rsidRPr="00BB569D" w:rsidTr="002E13B3">
        <w:trPr>
          <w:jc w:val="center"/>
        </w:trPr>
        <w:tc>
          <w:tcPr>
            <w:tcW w:w="3257" w:type="dxa"/>
            <w:vAlign w:val="center"/>
          </w:tcPr>
          <w:p w:rsidR="00052839" w:rsidRPr="00BB569D" w:rsidRDefault="00052839" w:rsidP="002E13B3">
            <w:pPr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lastRenderedPageBreak/>
              <w:t>3.</w:t>
            </w:r>
          </w:p>
          <w:p w:rsidR="00052839" w:rsidRPr="00BB569D" w:rsidRDefault="00052839" w:rsidP="002E13B3">
            <w:pPr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Vynaložené prostředky jsou účelné pouze omezeně</w:t>
            </w:r>
          </w:p>
        </w:tc>
        <w:tc>
          <w:tcPr>
            <w:tcW w:w="5805" w:type="dxa"/>
          </w:tcPr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Některé z</w:t>
            </w:r>
            <w:r w:rsidR="005B5015">
              <w:rPr>
                <w:rFonts w:asciiTheme="minorHAnsi" w:hAnsiTheme="minorHAnsi" w:cstheme="minorHAnsi"/>
              </w:rPr>
              <w:t xml:space="preserve"> </w:t>
            </w:r>
            <w:r w:rsidRPr="00BB569D">
              <w:rPr>
                <w:rFonts w:asciiTheme="minorHAnsi" w:hAnsiTheme="minorHAnsi" w:cstheme="minorHAnsi"/>
              </w:rPr>
              <w:t>předpokladů účelnosti jsou významně zpochybněny, ale nelze ještě konstatovat, že vynaložené prostředky nejsou účelné.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Žádost o dotaci např. obsahuje vágní a neověřitelné údaje, </w:t>
            </w:r>
            <w:r w:rsidR="00EE7E47">
              <w:rPr>
                <w:rFonts w:asciiTheme="minorHAnsi" w:hAnsiTheme="minorHAnsi" w:cstheme="minorHAnsi"/>
              </w:rPr>
              <w:t>na jejichž základě</w:t>
            </w:r>
            <w:r w:rsidRPr="00BB569D">
              <w:rPr>
                <w:rFonts w:asciiTheme="minorHAnsi" w:hAnsiTheme="minorHAnsi" w:cstheme="minorHAnsi"/>
              </w:rPr>
              <w:t xml:space="preserve"> nelze měřit výsledek projektu. 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Cíle a přínosy projektu nejsou v ŽoD </w:t>
            </w:r>
            <w:r w:rsidR="00EE7E47">
              <w:rPr>
                <w:rFonts w:asciiTheme="minorHAnsi" w:hAnsiTheme="minorHAnsi" w:cstheme="minorHAnsi"/>
              </w:rPr>
              <w:t>uvedeny</w:t>
            </w:r>
            <w:r w:rsidRPr="00BB569D">
              <w:rPr>
                <w:rFonts w:asciiTheme="minorHAnsi" w:hAnsiTheme="minorHAnsi" w:cstheme="minorHAnsi"/>
              </w:rPr>
              <w:t xml:space="preserve">. 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Skutečnost potvrzuje nereálnost předpokládaných výsledků, např. projekt splnil (nebo pravděpodobně splní) pouze cca ½ svých cílů, respektive je předpoklad,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že naplní pouze tuto část z</w:t>
            </w:r>
            <w:r w:rsidR="00EE7E47">
              <w:rPr>
                <w:rFonts w:asciiTheme="minorHAnsi" w:hAnsiTheme="minorHAnsi" w:cstheme="minorHAnsi"/>
              </w:rPr>
              <w:t> </w:t>
            </w:r>
            <w:r w:rsidRPr="00BB569D">
              <w:rPr>
                <w:rFonts w:asciiTheme="minorHAnsi" w:hAnsiTheme="minorHAnsi" w:cstheme="minorHAnsi"/>
              </w:rPr>
              <w:t>nich</w:t>
            </w:r>
            <w:r w:rsidR="00EE7E47">
              <w:rPr>
                <w:rFonts w:asciiTheme="minorHAnsi" w:hAnsiTheme="minorHAnsi" w:cstheme="minorHAnsi"/>
              </w:rPr>
              <w:t>,</w:t>
            </w:r>
            <w:r w:rsidRPr="00BB569D">
              <w:rPr>
                <w:rFonts w:asciiTheme="minorHAnsi" w:hAnsiTheme="minorHAnsi" w:cstheme="minorHAnsi"/>
              </w:rPr>
              <w:t xml:space="preserve"> nebo je pochybnost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o jejich udržitelnosti.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Výstupy investiční</w:t>
            </w:r>
            <w:r w:rsidR="00EE7E47">
              <w:rPr>
                <w:rFonts w:asciiTheme="minorHAnsi" w:hAnsiTheme="minorHAnsi" w:cstheme="minorHAnsi"/>
              </w:rPr>
              <w:t>ho</w:t>
            </w:r>
            <w:r w:rsidRPr="00BB569D">
              <w:rPr>
                <w:rFonts w:asciiTheme="minorHAnsi" w:hAnsiTheme="minorHAnsi" w:cstheme="minorHAnsi"/>
              </w:rPr>
              <w:t xml:space="preserve"> </w:t>
            </w:r>
            <w:r w:rsidR="00EE7E47">
              <w:rPr>
                <w:rFonts w:asciiTheme="minorHAnsi" w:hAnsiTheme="minorHAnsi" w:cstheme="minorHAnsi"/>
              </w:rPr>
              <w:t>projektu</w:t>
            </w:r>
            <w:r w:rsidRPr="00BB569D">
              <w:rPr>
                <w:rFonts w:asciiTheme="minorHAnsi" w:hAnsiTheme="minorHAnsi" w:cstheme="minorHAnsi"/>
              </w:rPr>
              <w:t xml:space="preserve"> jsou využívány jen omezeně a zároveň neexistuje důvodný předpoklad významnějšího zlepšení v budoucnu.</w:t>
            </w:r>
          </w:p>
        </w:tc>
      </w:tr>
      <w:tr w:rsidR="00052839" w:rsidRPr="00BB569D" w:rsidTr="002E13B3">
        <w:trPr>
          <w:trHeight w:val="1140"/>
          <w:jc w:val="center"/>
        </w:trPr>
        <w:tc>
          <w:tcPr>
            <w:tcW w:w="3257" w:type="dxa"/>
            <w:vAlign w:val="center"/>
          </w:tcPr>
          <w:p w:rsidR="00052839" w:rsidRPr="00BB569D" w:rsidRDefault="00052839" w:rsidP="002E13B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4.</w:t>
            </w:r>
          </w:p>
          <w:p w:rsidR="00052839" w:rsidRPr="00BB569D" w:rsidRDefault="00052839" w:rsidP="002E13B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Vynaložené prostředky nejsou účelné</w:t>
            </w:r>
          </w:p>
        </w:tc>
        <w:tc>
          <w:tcPr>
            <w:tcW w:w="5805" w:type="dxa"/>
          </w:tcPr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Předpoklady účelnosti jsou zásadně zpochybněny. 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Stanovené aktivity, cíle, výsledky a předpokládané přínosy projektu nebyly splněny.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Pořízený majetek není téměř využíván a neexistuje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ani důvodný předpoklad pro jeho využívání v budoucnu.</w:t>
            </w:r>
          </w:p>
          <w:p w:rsidR="00052839" w:rsidRPr="00BB569D" w:rsidRDefault="00EE7E47" w:rsidP="00365E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52839" w:rsidRPr="00BB569D">
              <w:rPr>
                <w:rFonts w:asciiTheme="minorHAnsi" w:hAnsiTheme="minorHAnsi" w:cstheme="minorHAnsi"/>
              </w:rPr>
              <w:t xml:space="preserve">rojekt </w:t>
            </w:r>
            <w:r w:rsidRPr="00BB569D">
              <w:rPr>
                <w:rFonts w:asciiTheme="minorHAnsi" w:hAnsiTheme="minorHAnsi" w:cstheme="minorHAnsi"/>
              </w:rPr>
              <w:t xml:space="preserve">byl </w:t>
            </w:r>
            <w:r w:rsidR="00052839" w:rsidRPr="00BB569D">
              <w:rPr>
                <w:rFonts w:asciiTheme="minorHAnsi" w:hAnsiTheme="minorHAnsi" w:cstheme="minorHAnsi"/>
              </w:rPr>
              <w:t>poskytovatelem podpory vybrán 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52839" w:rsidRPr="00BB569D">
              <w:rPr>
                <w:rFonts w:asciiTheme="minorHAnsi" w:hAnsiTheme="minorHAnsi" w:cstheme="minorHAnsi"/>
              </w:rPr>
              <w:t xml:space="preserve">rozporu </w:t>
            </w:r>
            <w:r w:rsidR="00871E95">
              <w:rPr>
                <w:rFonts w:asciiTheme="minorHAnsi" w:hAnsiTheme="minorHAnsi" w:cstheme="minorHAnsi"/>
              </w:rPr>
              <w:br/>
            </w:r>
            <w:r w:rsidR="00052839" w:rsidRPr="00BB569D">
              <w:rPr>
                <w:rFonts w:asciiTheme="minorHAnsi" w:hAnsiTheme="minorHAnsi" w:cstheme="minorHAnsi"/>
              </w:rPr>
              <w:t>s</w:t>
            </w:r>
            <w:r w:rsidR="00871E95">
              <w:rPr>
                <w:rFonts w:asciiTheme="minorHAnsi" w:hAnsiTheme="minorHAnsi" w:cstheme="minorHAnsi"/>
              </w:rPr>
              <w:t xml:space="preserve"> </w:t>
            </w:r>
            <w:r w:rsidR="00052839" w:rsidRPr="00BB569D">
              <w:rPr>
                <w:rFonts w:asciiTheme="minorHAnsi" w:hAnsiTheme="minorHAnsi" w:cstheme="minorHAnsi"/>
              </w:rPr>
              <w:t>příslušnými podmínkami</w:t>
            </w:r>
            <w:r>
              <w:rPr>
                <w:rFonts w:asciiTheme="minorHAnsi" w:hAnsiTheme="minorHAnsi" w:cstheme="minorHAnsi"/>
              </w:rPr>
              <w:t>,</w:t>
            </w:r>
            <w:r w:rsidR="00052839" w:rsidRPr="00BB569D">
              <w:rPr>
                <w:rFonts w:asciiTheme="minorHAnsi" w:hAnsiTheme="minorHAnsi" w:cstheme="minorHAnsi"/>
              </w:rPr>
              <w:t xml:space="preserve"> a byl </w:t>
            </w:r>
            <w:r>
              <w:rPr>
                <w:rFonts w:asciiTheme="minorHAnsi" w:hAnsiTheme="minorHAnsi" w:cstheme="minorHAnsi"/>
              </w:rPr>
              <w:t>tudíž</w:t>
            </w:r>
            <w:r w:rsidR="00052839" w:rsidRPr="00BB569D">
              <w:rPr>
                <w:rFonts w:asciiTheme="minorHAnsi" w:hAnsiTheme="minorHAnsi" w:cstheme="minorHAnsi"/>
              </w:rPr>
              <w:t xml:space="preserve"> od počátku neúčelný.</w:t>
            </w:r>
          </w:p>
        </w:tc>
      </w:tr>
    </w:tbl>
    <w:p w:rsidR="00052839" w:rsidRPr="00BB569D" w:rsidRDefault="00052839" w:rsidP="00052839">
      <w:pPr>
        <w:rPr>
          <w:rFonts w:asciiTheme="minorHAnsi" w:hAnsiTheme="minorHAnsi" w:cstheme="minorHAnsi"/>
        </w:rPr>
      </w:pPr>
    </w:p>
    <w:p w:rsidR="00052839" w:rsidRPr="00BB569D" w:rsidRDefault="00052839" w:rsidP="00AA1CA1">
      <w:pPr>
        <w:spacing w:after="120"/>
        <w:rPr>
          <w:rFonts w:asciiTheme="minorHAnsi" w:hAnsiTheme="minorHAnsi" w:cstheme="minorHAnsi"/>
          <w:b/>
        </w:rPr>
      </w:pPr>
      <w:r w:rsidRPr="00BB569D">
        <w:rPr>
          <w:rFonts w:asciiTheme="minorHAnsi" w:hAnsiTheme="minorHAnsi" w:cstheme="minorHAnsi"/>
          <w:b/>
        </w:rPr>
        <w:t>Tabulka č. 2 – stupně hospodárnosti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805"/>
      </w:tblGrid>
      <w:tr w:rsidR="00052839" w:rsidRPr="00BB569D" w:rsidTr="002E13B3">
        <w:trPr>
          <w:trHeight w:val="660"/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9" w:rsidRPr="00BB569D" w:rsidRDefault="00052839" w:rsidP="002E13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Stupeň hospodárnosti projektu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39" w:rsidRPr="00BB569D" w:rsidRDefault="00052839" w:rsidP="002E13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Definice stupně hospodárnosti</w:t>
            </w:r>
          </w:p>
        </w:tc>
      </w:tr>
      <w:tr w:rsidR="00052839" w:rsidRPr="00BB569D" w:rsidTr="002E13B3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9" w:rsidRPr="00BB569D" w:rsidRDefault="00052839" w:rsidP="002E13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1.</w:t>
            </w:r>
          </w:p>
          <w:p w:rsidR="00052839" w:rsidRPr="00BB569D" w:rsidRDefault="00052839" w:rsidP="002E13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Vynaložené prostředky jsou hospodárné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39" w:rsidRPr="00BB569D" w:rsidRDefault="00052839" w:rsidP="002E13B3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Vynaložené prostředky jsou hospodárné, pokud všechny uplatněné výdaje projektu byly v pořádku. </w:t>
            </w:r>
          </w:p>
          <w:p w:rsidR="00052839" w:rsidRPr="00BB569D" w:rsidRDefault="00052839" w:rsidP="002E13B3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Uplatněné výdaje byly způsobilými dle stanovených podmínek a odpovídaly stanoveným limitům a výdaje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na stavební práce odpovídaly cenám dle katalogů cen stavebních prací.</w:t>
            </w:r>
          </w:p>
          <w:p w:rsidR="00052839" w:rsidRPr="00BB569D" w:rsidRDefault="00EE7E47" w:rsidP="002E1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52839" w:rsidRPr="00BB569D">
              <w:rPr>
                <w:rFonts w:asciiTheme="minorHAnsi" w:hAnsiTheme="minorHAnsi" w:cstheme="minorHAnsi"/>
              </w:rPr>
              <w:t>odavatelé hlavních aktivit projektu byli vybráni v souladu se</w:t>
            </w:r>
            <w:r w:rsidR="008C7CA5" w:rsidRPr="00BB569D">
              <w:rPr>
                <w:rFonts w:asciiTheme="minorHAnsi" w:hAnsiTheme="minorHAnsi" w:cstheme="minorHAnsi"/>
              </w:rPr>
              <w:t xml:space="preserve"> zákonem o zadávání veřejných zakázek</w:t>
            </w:r>
            <w:r w:rsidR="00052839" w:rsidRPr="00BB569D">
              <w:rPr>
                <w:rFonts w:asciiTheme="minorHAnsi" w:hAnsiTheme="minorHAnsi" w:cstheme="minorHAnsi"/>
              </w:rPr>
              <w:t xml:space="preserve"> </w:t>
            </w:r>
            <w:r w:rsidR="008C7CA5" w:rsidRPr="00BB569D">
              <w:rPr>
                <w:rFonts w:asciiTheme="minorHAnsi" w:hAnsiTheme="minorHAnsi" w:cstheme="minorHAnsi"/>
              </w:rPr>
              <w:t>(dále také „ZZVZ“)</w:t>
            </w:r>
            <w:r w:rsidR="00052839" w:rsidRPr="00BB569D">
              <w:rPr>
                <w:rFonts w:asciiTheme="minorHAnsi" w:hAnsiTheme="minorHAnsi" w:cstheme="minorHAnsi"/>
              </w:rPr>
              <w:t xml:space="preserve"> nebo Příručkou. Kontrolující nezjistili nedostatek, který mohl mít vliv na výběr nejvhodnější nabídky. </w:t>
            </w:r>
          </w:p>
          <w:p w:rsidR="00052839" w:rsidRPr="00BB569D" w:rsidRDefault="00052839" w:rsidP="002E13B3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Příjemce vytvořil smluvní podmínky pro aktivní řízení dodavatelských vztahů a tyto vztahy v průběhu realizace veřejné zakázky aktivně řídil</w:t>
            </w:r>
            <w:r w:rsidR="00EE7E47">
              <w:rPr>
                <w:rFonts w:asciiTheme="minorHAnsi" w:hAnsiTheme="minorHAnsi" w:cstheme="minorHAnsi"/>
              </w:rPr>
              <w:t>;</w:t>
            </w:r>
            <w:r w:rsidRPr="00BB569D">
              <w:rPr>
                <w:rFonts w:asciiTheme="minorHAnsi" w:hAnsiTheme="minorHAnsi" w:cstheme="minorHAnsi"/>
              </w:rPr>
              <w:t xml:space="preserve"> ve smlouvě </w:t>
            </w:r>
            <w:r w:rsidR="00EE7E47">
              <w:rPr>
                <w:rFonts w:asciiTheme="minorHAnsi" w:hAnsiTheme="minorHAnsi" w:cstheme="minorHAnsi"/>
              </w:rPr>
              <w:t>sjednal</w:t>
            </w:r>
            <w:r w:rsidRPr="00BB569D">
              <w:rPr>
                <w:rFonts w:asciiTheme="minorHAnsi" w:hAnsiTheme="minorHAnsi" w:cstheme="minorHAnsi"/>
              </w:rPr>
              <w:t xml:space="preserve"> sankce, </w:t>
            </w:r>
            <w:r w:rsidRPr="00BB569D">
              <w:rPr>
                <w:rFonts w:asciiTheme="minorHAnsi" w:hAnsiTheme="minorHAnsi" w:cstheme="minorHAnsi"/>
              </w:rPr>
              <w:lastRenderedPageBreak/>
              <w:t>reklamace, pokuty</w:t>
            </w:r>
            <w:r w:rsidR="00EE7E47">
              <w:rPr>
                <w:rFonts w:asciiTheme="minorHAnsi" w:hAnsiTheme="minorHAnsi" w:cstheme="minorHAnsi"/>
              </w:rPr>
              <w:t>,</w:t>
            </w:r>
            <w:r w:rsidRPr="00BB569D">
              <w:rPr>
                <w:rFonts w:asciiTheme="minorHAnsi" w:hAnsiTheme="minorHAnsi" w:cstheme="minorHAnsi"/>
              </w:rPr>
              <w:t xml:space="preserve"> penále, servis apod.</w:t>
            </w:r>
            <w:r w:rsidR="00EE7E47">
              <w:rPr>
                <w:rFonts w:asciiTheme="minorHAnsi" w:hAnsiTheme="minorHAnsi" w:cstheme="minorHAnsi"/>
              </w:rPr>
              <w:t xml:space="preserve"> a dbal na </w:t>
            </w:r>
            <w:r w:rsidR="00DA1F13">
              <w:rPr>
                <w:rFonts w:asciiTheme="minorHAnsi" w:hAnsiTheme="minorHAnsi" w:cstheme="minorHAnsi"/>
              </w:rPr>
              <w:t>uplatňování</w:t>
            </w:r>
            <w:r w:rsidR="00EE7E47">
              <w:rPr>
                <w:rFonts w:asciiTheme="minorHAnsi" w:hAnsiTheme="minorHAnsi" w:cstheme="minorHAnsi"/>
              </w:rPr>
              <w:t xml:space="preserve"> těchto ujednání.</w:t>
            </w:r>
          </w:p>
          <w:p w:rsidR="00052839" w:rsidRPr="00BB569D" w:rsidRDefault="00052839" w:rsidP="002E13B3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Příjemce pořídil výstupy projektu v přiměřené kvalitě, tj. kontrolující nezjistili, že by u kontrolovaných zakázek některé z požadovaných parametrů (užitných vlastností) byly nepřiměřené potřebám zadavatele a deklarovanému účelu. Zároveň příjemce pořídil výstupy projektu v přiměřeném množství.</w:t>
            </w:r>
          </w:p>
        </w:tc>
      </w:tr>
      <w:tr w:rsidR="00052839" w:rsidRPr="00BB569D" w:rsidTr="002E13B3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9" w:rsidRPr="00BB569D" w:rsidRDefault="00052839" w:rsidP="002E13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lastRenderedPageBreak/>
              <w:t>2.</w:t>
            </w:r>
          </w:p>
          <w:p w:rsidR="00052839" w:rsidRPr="00BB569D" w:rsidRDefault="00052839" w:rsidP="002E13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Vynaložené prostředky jsou hospodárné s výhradou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39" w:rsidRPr="00BB569D" w:rsidRDefault="00052839" w:rsidP="002E13B3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Vynaložené prostředky jsou hospodárné s mírnými nedostatky, pokud většina uplatněných výstupů projektu </w:t>
            </w:r>
            <w:r w:rsidRPr="00DA1F13">
              <w:rPr>
                <w:rFonts w:asciiTheme="minorHAnsi" w:hAnsiTheme="minorHAnsi" w:cstheme="minorHAnsi"/>
                <w:spacing w:val="-1"/>
              </w:rPr>
              <w:t>byl</w:t>
            </w:r>
            <w:r w:rsidR="00DA1F13" w:rsidRPr="00DA1F13">
              <w:rPr>
                <w:rFonts w:asciiTheme="minorHAnsi" w:hAnsiTheme="minorHAnsi" w:cstheme="minorHAnsi"/>
                <w:spacing w:val="-1"/>
              </w:rPr>
              <w:t>a</w:t>
            </w:r>
            <w:r w:rsidRPr="00DA1F13">
              <w:rPr>
                <w:rFonts w:asciiTheme="minorHAnsi" w:hAnsiTheme="minorHAnsi" w:cstheme="minorHAnsi"/>
                <w:spacing w:val="-1"/>
              </w:rPr>
              <w:t xml:space="preserve"> v</w:t>
            </w:r>
            <w:r w:rsidR="00DA1F13" w:rsidRPr="00DA1F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1F13">
              <w:rPr>
                <w:rFonts w:asciiTheme="minorHAnsi" w:hAnsiTheme="minorHAnsi" w:cstheme="minorHAnsi"/>
                <w:spacing w:val="-1"/>
              </w:rPr>
              <w:t>pořádku</w:t>
            </w:r>
            <w:r w:rsidR="00DA1F13" w:rsidRPr="00DA1F13">
              <w:rPr>
                <w:rFonts w:asciiTheme="minorHAnsi" w:hAnsiTheme="minorHAnsi" w:cstheme="minorHAnsi"/>
                <w:spacing w:val="-1"/>
              </w:rPr>
              <w:t xml:space="preserve"> a</w:t>
            </w:r>
            <w:r w:rsidRPr="00DA1F13">
              <w:rPr>
                <w:rFonts w:asciiTheme="minorHAnsi" w:hAnsiTheme="minorHAnsi" w:cstheme="minorHAnsi"/>
                <w:spacing w:val="-1"/>
              </w:rPr>
              <w:t xml:space="preserve"> docházelo pouze k</w:t>
            </w:r>
            <w:r w:rsidR="00DA1F13" w:rsidRPr="00DA1F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1F13">
              <w:rPr>
                <w:rFonts w:asciiTheme="minorHAnsi" w:hAnsiTheme="minorHAnsi" w:cstheme="minorHAnsi"/>
                <w:spacing w:val="-1"/>
              </w:rPr>
              <w:t>menším nedostatkům</w:t>
            </w:r>
            <w:r w:rsidRPr="00BB569D">
              <w:rPr>
                <w:rFonts w:asciiTheme="minorHAnsi" w:hAnsiTheme="minorHAnsi" w:cstheme="minorHAnsi"/>
              </w:rPr>
              <w:t xml:space="preserve">. </w:t>
            </w:r>
          </w:p>
          <w:p w:rsidR="00052839" w:rsidRPr="00BB569D" w:rsidRDefault="00052839" w:rsidP="002E13B3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Uplatněné výdaje byly způsobilými dle stanovených podmínek a odpovídaly stanoveným limitům a výdaje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na stavební práce odpovídaly cenám dle katalogů cen stavebních prací. Docházelo jen k menším nedostatkům</w:t>
            </w:r>
            <w:r w:rsidR="00DA1F13">
              <w:rPr>
                <w:rFonts w:asciiTheme="minorHAnsi" w:hAnsiTheme="minorHAnsi" w:cstheme="minorHAnsi"/>
              </w:rPr>
              <w:t>,</w:t>
            </w:r>
            <w:r w:rsidRPr="00BB569D">
              <w:rPr>
                <w:rFonts w:asciiTheme="minorHAnsi" w:hAnsiTheme="minorHAnsi" w:cstheme="minorHAnsi"/>
              </w:rPr>
              <w:t xml:space="preserve"> např. u některé položky převyšovala pořizovací cena stanoven</w:t>
            </w:r>
            <w:r w:rsidR="00DA1F13">
              <w:rPr>
                <w:rFonts w:asciiTheme="minorHAnsi" w:hAnsiTheme="minorHAnsi" w:cstheme="minorHAnsi"/>
              </w:rPr>
              <w:t>ý</w:t>
            </w:r>
            <w:r w:rsidRPr="00BB569D">
              <w:rPr>
                <w:rFonts w:asciiTheme="minorHAnsi" w:hAnsiTheme="minorHAnsi" w:cstheme="minorHAnsi"/>
              </w:rPr>
              <w:t xml:space="preserve"> limit nebo neodpovídala ceník</w:t>
            </w:r>
            <w:r w:rsidR="00DA1F13">
              <w:rPr>
                <w:rFonts w:asciiTheme="minorHAnsi" w:hAnsiTheme="minorHAnsi" w:cstheme="minorHAnsi"/>
              </w:rPr>
              <w:t>u</w:t>
            </w:r>
            <w:r w:rsidRPr="00BB569D">
              <w:rPr>
                <w:rFonts w:asciiTheme="minorHAnsi" w:hAnsiTheme="minorHAnsi" w:cstheme="minorHAnsi"/>
              </w:rPr>
              <w:t xml:space="preserve"> stavebních prací. Tyto nedostatky </w:t>
            </w:r>
            <w:r w:rsidR="00DA1F13">
              <w:rPr>
                <w:rFonts w:asciiTheme="minorHAnsi" w:hAnsiTheme="minorHAnsi" w:cstheme="minorHAnsi"/>
              </w:rPr>
              <w:t>však</w:t>
            </w:r>
            <w:r w:rsidRPr="00BB569D">
              <w:rPr>
                <w:rFonts w:asciiTheme="minorHAnsi" w:hAnsiTheme="minorHAnsi" w:cstheme="minorHAnsi"/>
              </w:rPr>
              <w:t xml:space="preserve"> neměly vliv na hospodárnost projektu.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Dodavatelé hlavních aktivit projektu byli vybráni v souladu se ZZVZ nebo Příručkou. Kontrolující nezjistili nedostatek, který mohl mít vliv na výběr nejvhodnější nabídky. </w:t>
            </w:r>
          </w:p>
          <w:p w:rsidR="00052839" w:rsidRPr="00BB569D" w:rsidRDefault="00052839" w:rsidP="002E13B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Příjemce vytvořil smluvní podmínky pro aktivní řízení dodavatelských vztahů a tyto vztahy v průběhu realizace veřejné zakázky aktivně řídil s menšími nedostatky, např. neuplatnil </w:t>
            </w:r>
            <w:r w:rsidR="00DA1F13" w:rsidRPr="00BB569D">
              <w:rPr>
                <w:rFonts w:asciiTheme="minorHAnsi" w:hAnsiTheme="minorHAnsi" w:cstheme="minorHAnsi"/>
              </w:rPr>
              <w:t xml:space="preserve">včas </w:t>
            </w:r>
            <w:r w:rsidRPr="00BB569D">
              <w:rPr>
                <w:rFonts w:asciiTheme="minorHAnsi" w:hAnsiTheme="minorHAnsi" w:cstheme="minorHAnsi"/>
              </w:rPr>
              <w:t>reklamaci.</w:t>
            </w:r>
          </w:p>
          <w:p w:rsidR="00052839" w:rsidRPr="00BB569D" w:rsidRDefault="00DA1F13" w:rsidP="002E13B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52839" w:rsidRPr="00BB569D">
              <w:rPr>
                <w:rFonts w:asciiTheme="minorHAnsi" w:hAnsiTheme="minorHAnsi" w:cstheme="minorHAnsi"/>
              </w:rPr>
              <w:t>ontrolující identifikovali riziko, že příjemce pořídil výstupy projektu v nepřiměřené kvalitě, tj. u kontrolované zakázky některé 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52839" w:rsidRPr="00BB569D">
              <w:rPr>
                <w:rFonts w:asciiTheme="minorHAnsi" w:hAnsiTheme="minorHAnsi" w:cstheme="minorHAnsi"/>
              </w:rPr>
              <w:t>požadovaných parametrů byly nepřiměřené potřebám zadavatele a deklarovanému účelu. Zároveň kontrolující zjistili, že příjemce pořídil v rámci projektu výstupy v přiměřeném množství.</w:t>
            </w:r>
          </w:p>
        </w:tc>
      </w:tr>
      <w:tr w:rsidR="00052839" w:rsidRPr="00BB569D" w:rsidTr="002E13B3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9" w:rsidRPr="00BB569D" w:rsidRDefault="00052839" w:rsidP="002E13B3">
            <w:pPr>
              <w:keepNext/>
              <w:keepLines/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lastRenderedPageBreak/>
              <w:t>3.</w:t>
            </w:r>
          </w:p>
          <w:p w:rsidR="00052839" w:rsidRPr="00BB569D" w:rsidRDefault="00052839" w:rsidP="002E13B3">
            <w:pPr>
              <w:keepLines/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Vynaložené prostředky jsou hospodárné pouze omezeně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39" w:rsidRPr="00BB569D" w:rsidRDefault="00052839" w:rsidP="002E13B3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Vynaložené prostředky jsou hospodárné pouze omezeně nebo existuje riziko pro hospodárnost vynaložených prostředků, pokud docházelo k větším nedostatkům,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ale ještě se nedá konstatovat, že vynaložené prostředky nejsou hospodárné.</w:t>
            </w:r>
          </w:p>
          <w:p w:rsidR="00052839" w:rsidRPr="00BB569D" w:rsidRDefault="00052839" w:rsidP="00365E14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Uplatněné výdaje projektu byly způsobilými dle stanovených podmínek a odpovídaly stanoveným limitům a výdaje na stavební práce odpovídaly cenám dle katalogů cen stavebních prací, ale docházelo k</w:t>
            </w:r>
            <w:r w:rsidR="00DA1F13">
              <w:rPr>
                <w:rFonts w:asciiTheme="minorHAnsi" w:hAnsiTheme="minorHAnsi" w:cstheme="minorHAnsi"/>
              </w:rPr>
              <w:t xml:space="preserve"> </w:t>
            </w:r>
            <w:r w:rsidRPr="00BB569D">
              <w:rPr>
                <w:rFonts w:asciiTheme="minorHAnsi" w:hAnsiTheme="minorHAnsi" w:cstheme="minorHAnsi"/>
              </w:rPr>
              <w:t>nedostatkům</w:t>
            </w:r>
            <w:r w:rsidR="00DA1F13">
              <w:rPr>
                <w:rFonts w:asciiTheme="minorHAnsi" w:hAnsiTheme="minorHAnsi" w:cstheme="minorHAnsi"/>
              </w:rPr>
              <w:t>;</w:t>
            </w:r>
            <w:r w:rsidRPr="00BB569D">
              <w:rPr>
                <w:rFonts w:asciiTheme="minorHAnsi" w:hAnsiTheme="minorHAnsi" w:cstheme="minorHAnsi"/>
              </w:rPr>
              <w:t xml:space="preserve"> </w:t>
            </w:r>
            <w:r w:rsidR="00DA1F13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např. u některých položek převyšovala pořizovací cena stanovené limity nebo neodpovídala ceníkům stavebních prací. Tyto nedostatky ovšem měly vliv na hospodárnost projektu.</w:t>
            </w:r>
          </w:p>
          <w:p w:rsidR="00052839" w:rsidRPr="00BB569D" w:rsidRDefault="00052839" w:rsidP="00365E14">
            <w:pPr>
              <w:keepNext/>
              <w:spacing w:line="280" w:lineRule="atLeast"/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Kontrolující zjistili nedostatek, který mohl mít vliv na výběr nejvhodnější nabídky, např. riziko diskriminačních zadávacích kritérií, příliš podrobné nastavení technických parametrů u kontrolovaných zakázek. K potvrzení tohoto rizika může přispět zjištění, že ne všechny užitné vlastnosti (funkce/funkcionality) pořízeného majetku/výstupů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z projektu požadované v zadávacích podmínkách jsou využívány (viz následující odstavce). Dále např. riziko neodůvodněného</w:t>
            </w:r>
            <w:r w:rsidR="00DA1F13">
              <w:rPr>
                <w:rFonts w:asciiTheme="minorHAnsi" w:hAnsiTheme="minorHAnsi" w:cstheme="minorHAnsi"/>
              </w:rPr>
              <w:t>,</w:t>
            </w:r>
            <w:r w:rsidRPr="00BB569D">
              <w:rPr>
                <w:rFonts w:asciiTheme="minorHAnsi" w:hAnsiTheme="minorHAnsi" w:cstheme="minorHAnsi"/>
              </w:rPr>
              <w:t xml:space="preserve"> případně nedostatečně zdůvodněné</w:t>
            </w:r>
            <w:r w:rsidR="00DA1F13">
              <w:rPr>
                <w:rFonts w:asciiTheme="minorHAnsi" w:hAnsiTheme="minorHAnsi" w:cstheme="minorHAnsi"/>
              </w:rPr>
              <w:t>ho</w:t>
            </w:r>
            <w:r w:rsidRPr="00BB569D">
              <w:rPr>
                <w:rFonts w:asciiTheme="minorHAnsi" w:hAnsiTheme="minorHAnsi" w:cstheme="minorHAnsi"/>
              </w:rPr>
              <w:t xml:space="preserve"> navýšení ceny veřejné zakázky.</w:t>
            </w:r>
          </w:p>
          <w:p w:rsidR="00052839" w:rsidRPr="00BB569D" w:rsidRDefault="00052839" w:rsidP="002E13B3">
            <w:pPr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Příjemce vytvořil smluvní podmínky pro aktivní řízení dodavatelských vztahů</w:t>
            </w:r>
            <w:r w:rsidR="00DA1F13">
              <w:rPr>
                <w:rFonts w:asciiTheme="minorHAnsi" w:hAnsiTheme="minorHAnsi" w:cstheme="minorHAnsi"/>
              </w:rPr>
              <w:t>,</w:t>
            </w:r>
            <w:r w:rsidRPr="00BB569D">
              <w:rPr>
                <w:rFonts w:asciiTheme="minorHAnsi" w:hAnsiTheme="minorHAnsi" w:cstheme="minorHAnsi"/>
              </w:rPr>
              <w:t xml:space="preserve"> a</w:t>
            </w:r>
            <w:r w:rsidR="00DA1F13">
              <w:rPr>
                <w:rFonts w:asciiTheme="minorHAnsi" w:hAnsiTheme="minorHAnsi" w:cstheme="minorHAnsi"/>
              </w:rPr>
              <w:t>však</w:t>
            </w:r>
            <w:r w:rsidRPr="00BB569D">
              <w:rPr>
                <w:rFonts w:asciiTheme="minorHAnsi" w:hAnsiTheme="minorHAnsi" w:cstheme="minorHAnsi"/>
              </w:rPr>
              <w:t xml:space="preserve"> tyto vztahy v</w:t>
            </w:r>
            <w:r w:rsidR="00DA1F13">
              <w:rPr>
                <w:rFonts w:asciiTheme="minorHAnsi" w:hAnsiTheme="minorHAnsi" w:cstheme="minorHAnsi"/>
              </w:rPr>
              <w:t xml:space="preserve"> </w:t>
            </w:r>
            <w:r w:rsidRPr="00BB569D">
              <w:rPr>
                <w:rFonts w:asciiTheme="minorHAnsi" w:hAnsiTheme="minorHAnsi" w:cstheme="minorHAnsi"/>
              </w:rPr>
              <w:t>průběhu realizace veřejné zakázky aktivně neřídil, což mělo dopad např. na technické problémy s pořízeným majetkem nebo nutnost jeho odstávky po dobu opravy.</w:t>
            </w:r>
          </w:p>
          <w:p w:rsidR="00052839" w:rsidRPr="00BB569D" w:rsidRDefault="00052839" w:rsidP="002E13B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Kontrolující zjistili, že příjemce pořídil</w:t>
            </w:r>
            <w:r w:rsidR="0095279D">
              <w:rPr>
                <w:rFonts w:asciiTheme="minorHAnsi" w:hAnsiTheme="minorHAnsi" w:cstheme="minorHAnsi"/>
              </w:rPr>
              <w:t xml:space="preserve"> v rámci</w:t>
            </w:r>
            <w:r w:rsidRPr="00BB569D">
              <w:rPr>
                <w:rFonts w:asciiTheme="minorHAnsi" w:hAnsiTheme="minorHAnsi" w:cstheme="minorHAnsi"/>
              </w:rPr>
              <w:t xml:space="preserve"> </w:t>
            </w:r>
            <w:r w:rsidR="0095279D" w:rsidRPr="00BB569D">
              <w:rPr>
                <w:rFonts w:asciiTheme="minorHAnsi" w:hAnsiTheme="minorHAnsi" w:cstheme="minorHAnsi"/>
              </w:rPr>
              <w:t xml:space="preserve">projektu </w:t>
            </w:r>
            <w:r w:rsidRPr="00BB569D">
              <w:rPr>
                <w:rFonts w:asciiTheme="minorHAnsi" w:hAnsiTheme="minorHAnsi" w:cstheme="minorHAnsi"/>
              </w:rPr>
              <w:t>majetek/výstupy v</w:t>
            </w:r>
            <w:r w:rsidR="0095279D">
              <w:rPr>
                <w:rFonts w:asciiTheme="minorHAnsi" w:hAnsiTheme="minorHAnsi" w:cstheme="minorHAnsi"/>
              </w:rPr>
              <w:t xml:space="preserve"> </w:t>
            </w:r>
            <w:r w:rsidRPr="00BB569D">
              <w:rPr>
                <w:rFonts w:asciiTheme="minorHAnsi" w:hAnsiTheme="minorHAnsi" w:cstheme="minorHAnsi"/>
              </w:rPr>
              <w:t xml:space="preserve">nepřiměřené kvalitě, tj. několik </w:t>
            </w:r>
            <w:r w:rsidR="00871E95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z</w:t>
            </w:r>
            <w:r w:rsidR="00871E95">
              <w:rPr>
                <w:rFonts w:asciiTheme="minorHAnsi" w:hAnsiTheme="minorHAnsi" w:cstheme="minorHAnsi"/>
              </w:rPr>
              <w:t xml:space="preserve"> </w:t>
            </w:r>
            <w:r w:rsidRPr="00BB569D">
              <w:rPr>
                <w:rFonts w:asciiTheme="minorHAnsi" w:hAnsiTheme="minorHAnsi" w:cstheme="minorHAnsi"/>
              </w:rPr>
              <w:t xml:space="preserve">požadovaných parametrů </w:t>
            </w:r>
            <w:r w:rsidR="0095279D" w:rsidRPr="00BB569D">
              <w:rPr>
                <w:rFonts w:asciiTheme="minorHAnsi" w:hAnsiTheme="minorHAnsi" w:cstheme="minorHAnsi"/>
              </w:rPr>
              <w:t xml:space="preserve">bylo </w:t>
            </w:r>
            <w:r w:rsidRPr="00BB569D">
              <w:rPr>
                <w:rFonts w:asciiTheme="minorHAnsi" w:hAnsiTheme="minorHAnsi" w:cstheme="minorHAnsi"/>
              </w:rPr>
              <w:t xml:space="preserve">u kontrolovaných zakázek stanoveno nepřiměřeně potřebám zadavatele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 xml:space="preserve">a deklarovanému účelu, </w:t>
            </w:r>
            <w:r w:rsidR="0095279D">
              <w:rPr>
                <w:rFonts w:asciiTheme="minorHAnsi" w:hAnsiTheme="minorHAnsi" w:cstheme="minorHAnsi"/>
              </w:rPr>
              <w:t xml:space="preserve">resp. </w:t>
            </w:r>
            <w:r w:rsidRPr="00BB569D">
              <w:rPr>
                <w:rFonts w:asciiTheme="minorHAnsi" w:hAnsiTheme="minorHAnsi" w:cstheme="minorHAnsi"/>
              </w:rPr>
              <w:t>byly nesprávně nastaven</w:t>
            </w:r>
            <w:r w:rsidR="0095279D">
              <w:rPr>
                <w:rFonts w:asciiTheme="minorHAnsi" w:hAnsiTheme="minorHAnsi" w:cstheme="minorHAnsi"/>
              </w:rPr>
              <w:t>y</w:t>
            </w:r>
            <w:r w:rsidRPr="00BB569D">
              <w:rPr>
                <w:rFonts w:asciiTheme="minorHAnsi" w:hAnsiTheme="minorHAnsi" w:cstheme="minorHAnsi"/>
              </w:rPr>
              <w:t xml:space="preserve"> technické parametry předmětu výběrového řízení.</w:t>
            </w:r>
          </w:p>
          <w:p w:rsidR="00052839" w:rsidRPr="00BB569D" w:rsidRDefault="0095279D" w:rsidP="002E13B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52839" w:rsidRPr="00BB569D">
              <w:rPr>
                <w:rFonts w:asciiTheme="minorHAnsi" w:hAnsiTheme="minorHAnsi" w:cstheme="minorHAnsi"/>
              </w:rPr>
              <w:t>ontrolující zjistili, že bylo pořízeno nepřiměřené množství majetku/výstupů.</w:t>
            </w:r>
          </w:p>
        </w:tc>
      </w:tr>
      <w:tr w:rsidR="00052839" w:rsidRPr="00BB569D" w:rsidTr="002E13B3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39" w:rsidRPr="00BB569D" w:rsidRDefault="00052839" w:rsidP="002E13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4.</w:t>
            </w:r>
          </w:p>
          <w:p w:rsidR="00052839" w:rsidRPr="00BB569D" w:rsidRDefault="00052839" w:rsidP="002E13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BB569D">
              <w:rPr>
                <w:rFonts w:asciiTheme="minorHAnsi" w:hAnsiTheme="minorHAnsi" w:cstheme="minorHAnsi"/>
                <w:b/>
              </w:rPr>
              <w:t>Vynaložené prostředky nejsou hospodárné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39" w:rsidRPr="00BB569D" w:rsidRDefault="00052839" w:rsidP="002E13B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 xml:space="preserve">Vynaložené prostředky nejsou hospodárné, pokud projekt a jeho realizaci provázely zásadní nedostatky, výdaje vynaložené na realizaci projektu byly nepřiměřené nebo rozpočet (rozpis) výdajů projektu byl výrazně překročen bez řádného doložení, velká část výdajů nesouvisela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 xml:space="preserve">s realizací projektu, výdaje projektu byly uplatněny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Pr="00BB569D">
              <w:rPr>
                <w:rFonts w:asciiTheme="minorHAnsi" w:hAnsiTheme="minorHAnsi" w:cstheme="minorHAnsi"/>
              </w:rPr>
              <w:t>v rámci jiného projektu a dotačního programu/opatření.</w:t>
            </w:r>
          </w:p>
          <w:p w:rsidR="00052839" w:rsidRPr="00BB569D" w:rsidRDefault="00052839" w:rsidP="002E13B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lastRenderedPageBreak/>
              <w:t>Uplatněné výdaje nebyly způsobilými dle stanovených podmínek a neodpovídaly stanoveným limitům a výdaje na stavební práce neodpovídaly cenám dle katalogů cen stavebních prací.</w:t>
            </w:r>
          </w:p>
          <w:p w:rsidR="00052839" w:rsidRPr="00BB569D" w:rsidRDefault="0095279D" w:rsidP="002E13B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52839" w:rsidRPr="00BB569D">
              <w:rPr>
                <w:rFonts w:asciiTheme="minorHAnsi" w:hAnsiTheme="minorHAnsi" w:cstheme="minorHAnsi"/>
              </w:rPr>
              <w:t xml:space="preserve">odavatelé hlavních aktivit projektu nebyli vybráni </w:t>
            </w:r>
            <w:r w:rsidR="00DD5804" w:rsidRPr="00BB569D">
              <w:rPr>
                <w:rFonts w:asciiTheme="minorHAnsi" w:hAnsiTheme="minorHAnsi" w:cstheme="minorHAnsi"/>
              </w:rPr>
              <w:br/>
            </w:r>
            <w:r w:rsidR="00052839" w:rsidRPr="00BB569D">
              <w:rPr>
                <w:rFonts w:asciiTheme="minorHAnsi" w:hAnsiTheme="minorHAnsi" w:cstheme="minorHAnsi"/>
              </w:rPr>
              <w:t>v souladu se ZZVZ nebo Příručkou. Zadavatel buď podle těchto předpisů vůbec nepostupoval</w:t>
            </w:r>
            <w:r>
              <w:rPr>
                <w:rFonts w:asciiTheme="minorHAnsi" w:hAnsiTheme="minorHAnsi" w:cstheme="minorHAnsi"/>
              </w:rPr>
              <w:t>,</w:t>
            </w:r>
            <w:r w:rsidR="00052839" w:rsidRPr="00BB569D">
              <w:rPr>
                <w:rFonts w:asciiTheme="minorHAnsi" w:hAnsiTheme="minorHAnsi" w:cstheme="minorHAnsi"/>
              </w:rPr>
              <w:t xml:space="preserve"> nebo podle těchto předpisů </w:t>
            </w:r>
            <w:r>
              <w:rPr>
                <w:rFonts w:asciiTheme="minorHAnsi" w:hAnsiTheme="minorHAnsi" w:cstheme="minorHAnsi"/>
              </w:rPr>
              <w:t xml:space="preserve">sice </w:t>
            </w:r>
            <w:r w:rsidR="00052839" w:rsidRPr="00BB569D">
              <w:rPr>
                <w:rFonts w:asciiTheme="minorHAnsi" w:hAnsiTheme="minorHAnsi" w:cstheme="minorHAnsi"/>
              </w:rPr>
              <w:t xml:space="preserve">postupoval, ale </w:t>
            </w:r>
            <w:r>
              <w:rPr>
                <w:rFonts w:asciiTheme="minorHAnsi" w:hAnsiTheme="minorHAnsi" w:cstheme="minorHAnsi"/>
              </w:rPr>
              <w:t xml:space="preserve">porušil je takovým způsobem, že to </w:t>
            </w:r>
            <w:r w:rsidR="00052839" w:rsidRPr="00BB569D">
              <w:rPr>
                <w:rFonts w:asciiTheme="minorHAnsi" w:hAnsiTheme="minorHAnsi" w:cstheme="minorHAnsi"/>
              </w:rPr>
              <w:t>mohlo mít zásadní vliv na výběr nejvhodnější nabídky.</w:t>
            </w:r>
          </w:p>
          <w:p w:rsidR="00052839" w:rsidRPr="00BB569D" w:rsidRDefault="00052839" w:rsidP="002E13B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Příjemce nevytvořil smluvní podmínky pro aktivní řízení dodavatelských vztahů. V</w:t>
            </w:r>
            <w:r w:rsidR="0095279D">
              <w:rPr>
                <w:rFonts w:asciiTheme="minorHAnsi" w:hAnsiTheme="minorHAnsi" w:cstheme="minorHAnsi"/>
              </w:rPr>
              <w:t xml:space="preserve"> </w:t>
            </w:r>
            <w:r w:rsidRPr="00BB569D">
              <w:rPr>
                <w:rFonts w:asciiTheme="minorHAnsi" w:hAnsiTheme="minorHAnsi" w:cstheme="minorHAnsi"/>
              </w:rPr>
              <w:t xml:space="preserve">důsledku </w:t>
            </w:r>
            <w:r w:rsidR="0095279D">
              <w:rPr>
                <w:rFonts w:asciiTheme="minorHAnsi" w:hAnsiTheme="minorHAnsi" w:cstheme="minorHAnsi"/>
              </w:rPr>
              <w:t xml:space="preserve">toho </w:t>
            </w:r>
            <w:r w:rsidRPr="00BB569D">
              <w:rPr>
                <w:rFonts w:asciiTheme="minorHAnsi" w:hAnsiTheme="minorHAnsi" w:cstheme="minorHAnsi"/>
              </w:rPr>
              <w:t xml:space="preserve">došlo např. k technickým problémům s pořízeným </w:t>
            </w:r>
            <w:r w:rsidR="0095279D">
              <w:rPr>
                <w:rFonts w:asciiTheme="minorHAnsi" w:hAnsiTheme="minorHAnsi" w:cstheme="minorHAnsi"/>
              </w:rPr>
              <w:t>majetkem</w:t>
            </w:r>
            <w:r w:rsidRPr="00BB569D">
              <w:rPr>
                <w:rFonts w:asciiTheme="minorHAnsi" w:hAnsiTheme="minorHAnsi" w:cstheme="minorHAnsi"/>
              </w:rPr>
              <w:t>.</w:t>
            </w:r>
          </w:p>
          <w:p w:rsidR="00052839" w:rsidRPr="00BB569D" w:rsidRDefault="00052839" w:rsidP="002E13B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BB569D">
              <w:rPr>
                <w:rFonts w:asciiTheme="minorHAnsi" w:hAnsiTheme="minorHAnsi" w:cstheme="minorHAnsi"/>
              </w:rPr>
              <w:t>Kontrolující zjistili, že většina z požadovaných parametrů kontrolovaných zakázek byla nepřiměřená potřebám zadavatele a deklarovanému účelu. Příjemce tak pořídil v rámci projektu výstupy v</w:t>
            </w:r>
            <w:r w:rsidR="0095279D">
              <w:rPr>
                <w:rFonts w:asciiTheme="minorHAnsi" w:hAnsiTheme="minorHAnsi" w:cstheme="minorHAnsi"/>
              </w:rPr>
              <w:t xml:space="preserve"> </w:t>
            </w:r>
            <w:r w:rsidRPr="00BB569D">
              <w:rPr>
                <w:rFonts w:asciiTheme="minorHAnsi" w:hAnsiTheme="minorHAnsi" w:cstheme="minorHAnsi"/>
              </w:rPr>
              <w:t>nepřiměřené kvalitě a</w:t>
            </w:r>
            <w:r w:rsidR="0095279D">
              <w:rPr>
                <w:rFonts w:asciiTheme="minorHAnsi" w:hAnsiTheme="minorHAnsi" w:cstheme="minorHAnsi"/>
              </w:rPr>
              <w:t>/nebo nepřiměřeném</w:t>
            </w:r>
            <w:r w:rsidRPr="00BB569D">
              <w:rPr>
                <w:rFonts w:asciiTheme="minorHAnsi" w:hAnsiTheme="minorHAnsi" w:cstheme="minorHAnsi"/>
              </w:rPr>
              <w:t xml:space="preserve"> množství. </w:t>
            </w:r>
          </w:p>
        </w:tc>
      </w:tr>
    </w:tbl>
    <w:p w:rsidR="00F15613" w:rsidRDefault="00F15613">
      <w:pPr>
        <w:spacing w:before="0"/>
        <w:jc w:val="left"/>
      </w:pPr>
    </w:p>
    <w:p w:rsidR="00F15613" w:rsidRDefault="00F15613">
      <w:pPr>
        <w:spacing w:before="0"/>
        <w:jc w:val="left"/>
      </w:pPr>
    </w:p>
    <w:p w:rsidR="005F0567" w:rsidRDefault="005F0567" w:rsidP="00055DBF">
      <w:pPr>
        <w:jc w:val="right"/>
        <w:rPr>
          <w:b/>
        </w:rPr>
        <w:sectPr w:rsidR="005F0567" w:rsidSect="00606C50">
          <w:footerReference w:type="default" r:id="rId20"/>
          <w:headerReference w:type="first" r:id="rId21"/>
          <w:footerReference w:type="first" r:id="rId2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55DBF" w:rsidRPr="00C2576C" w:rsidRDefault="00055DBF" w:rsidP="00B42885">
      <w:pPr>
        <w:jc w:val="right"/>
        <w:outlineLvl w:val="0"/>
        <w:rPr>
          <w:b/>
        </w:rPr>
      </w:pPr>
      <w:r w:rsidRPr="00C2576C">
        <w:rPr>
          <w:b/>
        </w:rPr>
        <w:lastRenderedPageBreak/>
        <w:t xml:space="preserve">Příloha č. </w:t>
      </w:r>
      <w:r>
        <w:rPr>
          <w:b/>
        </w:rPr>
        <w:t>3</w:t>
      </w:r>
    </w:p>
    <w:p w:rsidR="00F15613" w:rsidRDefault="00055DBF" w:rsidP="00AA1CA1">
      <w:pPr>
        <w:spacing w:after="120"/>
        <w:jc w:val="center"/>
        <w:rPr>
          <w:b/>
        </w:rPr>
      </w:pPr>
      <w:r w:rsidRPr="00FF366B">
        <w:rPr>
          <w:b/>
        </w:rPr>
        <w:t>Přehled kontrolovaných projektů PRV 2014</w:t>
      </w:r>
      <w:r w:rsidR="004E2EE9">
        <w:rPr>
          <w:b/>
        </w:rPr>
        <w:t>–</w:t>
      </w:r>
      <w:r w:rsidRPr="00FF366B">
        <w:rPr>
          <w:b/>
        </w:rPr>
        <w:t>2020 u příjemců a hodnocení účelnosti a hospodárnosti</w:t>
      </w:r>
      <w:r w:rsidR="0095279D">
        <w:rPr>
          <w:b/>
        </w:rPr>
        <w:t xml:space="preserve"> těchto projektů</w:t>
      </w:r>
    </w:p>
    <w:p w:rsidR="00375883" w:rsidRPr="005F0567" w:rsidRDefault="00375883" w:rsidP="00AA1CA1">
      <w:pPr>
        <w:spacing w:after="120"/>
        <w:jc w:val="center"/>
        <w:rPr>
          <w:b/>
        </w:rPr>
      </w:pPr>
    </w:p>
    <w:tbl>
      <w:tblPr>
        <w:tblW w:w="1455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2840"/>
        <w:gridCol w:w="2760"/>
        <w:gridCol w:w="2040"/>
        <w:gridCol w:w="1900"/>
        <w:gridCol w:w="2084"/>
        <w:gridCol w:w="1936"/>
      </w:tblGrid>
      <w:tr w:rsidR="00B11CA9" w:rsidRPr="005F0567" w:rsidTr="00D17BAD">
        <w:trPr>
          <w:trHeight w:val="397"/>
          <w:tblHeader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000000" w:fill="E5F1FF"/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28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F1FF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5F1FF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5F1FF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 xml:space="preserve">Kontrolovaný příjemce podpory 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5F1FF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>Poskytnutá podpora v Kč</w:t>
            </w:r>
          </w:p>
        </w:tc>
        <w:tc>
          <w:tcPr>
            <w:tcW w:w="40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5F1FF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>Hodnocení</w:t>
            </w:r>
          </w:p>
        </w:tc>
      </w:tr>
      <w:tr w:rsidR="00B11CA9" w:rsidRPr="005F0567" w:rsidTr="00D17BAD">
        <w:trPr>
          <w:trHeight w:val="454"/>
          <w:tblHeader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B11CA9" w:rsidRPr="005F0567" w:rsidRDefault="00B11CA9" w:rsidP="002E13B3">
            <w:pPr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5F1FF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>Účelnost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5F1FF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>Hospodárnost</w:t>
            </w:r>
          </w:p>
        </w:tc>
      </w:tr>
      <w:tr w:rsidR="00B11CA9" w:rsidRPr="005F0567" w:rsidTr="00D17BAD">
        <w:trPr>
          <w:trHeight w:val="300"/>
        </w:trPr>
        <w:tc>
          <w:tcPr>
            <w:tcW w:w="9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1745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17/005/0411h/564/001745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Modernizace farmy Blížkovice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AGRODRUŽSTVO BLÍŽKOVICE, družstvo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12 799 398,00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0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3324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18/007/0411h/564/003324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Modernizace farmy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18 803 896,00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0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0140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19/008/0641a/564/000140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Diverzifikace podniku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875 000,00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52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0161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20/011/0641a/564/000161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Investice do nezemědělských činností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847 446,00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57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0617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17/004/0641a/564/000617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Investice do nezemědělských činností - Ing. Zdeněk Kupský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Ing. Zdeněk Kupský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584 550,00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51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0805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17/004/0642a/564/000805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Podpora agroturistiky - Ing.</w:t>
            </w:r>
            <w:r w:rsidR="00CA4922">
              <w:rPr>
                <w:rFonts w:cs="Times New Roman"/>
                <w:sz w:val="20"/>
                <w:szCs w:val="20"/>
                <w:lang w:eastAsia="cs-CZ"/>
              </w:rPr>
              <w:t> </w:t>
            </w:r>
            <w:r w:rsidRPr="005F0567">
              <w:rPr>
                <w:rFonts w:cs="Times New Roman"/>
                <w:sz w:val="20"/>
                <w:szCs w:val="20"/>
                <w:lang w:eastAsia="cs-CZ"/>
              </w:rPr>
              <w:t>Zdeněk Kupský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2 848 491,00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1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0479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19/008/0642a/564/000479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Podpora agroturistiky</w:t>
            </w:r>
            <w:r w:rsidR="00316DE1">
              <w:rPr>
                <w:rFonts w:cs="Times New Roman"/>
                <w:sz w:val="20"/>
                <w:szCs w:val="20"/>
                <w:lang w:eastAsia="cs-CZ"/>
              </w:rPr>
              <w:t xml:space="preserve"> </w:t>
            </w:r>
            <w:r w:rsidRPr="005F0567">
              <w:rPr>
                <w:rFonts w:cs="Times New Roman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1 727 607,00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0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2567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17/005/0411j/564/002567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Stáj pro výkrm brojlerů Lysice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ZEAS Lysice, a.s.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4 000 000,00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51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3255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18/007/0411j/564/003255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Stáj pro výkrm brojlerů Lysice II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5 172 677,00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52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2703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21/012/0411l/564/002703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Modernizace skladu a pořízení techniky pro sady Lysice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1 965 844,00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0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0976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16/002/0642a/120/000976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Wellness Choťovice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Ing. Karel Horák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4 455 000,00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51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0208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17/004/0641a/120/000208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Investice do nezemědělské techniky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1 111 077,00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0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2844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17/005/0411d/120/002844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Jímka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1 890 459,00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15"/>
        </w:trPr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0817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20/011/0642a/120/000817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Sportoviště pro děti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1 124 325,00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0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lastRenderedPageBreak/>
              <w:t>0238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18/006/0641a/120/000238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Kovoobrábění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Ing. Ondřej Kříženecký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846 537,00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51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0404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18/006/0641c/120/000404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Paletizační linka pro distribuci peletek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1 795 500,00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0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0171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19/008/0641a/120/000171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Prodejní sklad dřevovýroby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4 403 133,00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15"/>
        </w:trPr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0240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17/004/0643a/120/000240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Balička pelet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1 260 000,00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0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2030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18/007/0411i/231/002030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Modernizace farmy Dešná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ZEMSPOL DEŠNÁ, s.r.o.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37 499 620,00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B11CA9" w:rsidRPr="005F0567" w:rsidTr="00D17BAD">
        <w:trPr>
          <w:trHeight w:val="31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0125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17/004/0641a/231/000125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9" w:rsidRPr="005F0567" w:rsidRDefault="00B11CA9" w:rsidP="00D17BAD">
            <w:pPr>
              <w:spacing w:before="0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Investice do mycí linky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CA9" w:rsidRPr="005F0567" w:rsidRDefault="00B11CA9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9" w:rsidRPr="005F0567" w:rsidRDefault="00B11CA9" w:rsidP="00CA4922">
            <w:pPr>
              <w:spacing w:before="0"/>
              <w:ind w:right="283"/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3 039 488,00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1CA9" w:rsidRPr="005F0567" w:rsidRDefault="00B11CA9" w:rsidP="002E13B3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CA4922" w:rsidRPr="005F0567" w:rsidTr="00CA4922">
        <w:trPr>
          <w:trHeight w:val="315"/>
        </w:trPr>
        <w:tc>
          <w:tcPr>
            <w:tcW w:w="8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922" w:rsidRPr="005F0567" w:rsidRDefault="00CA4922" w:rsidP="00CA4922">
            <w:pPr>
              <w:spacing w:before="0"/>
              <w:ind w:left="495"/>
              <w:jc w:val="left"/>
              <w:rPr>
                <w:rFonts w:cs="Times New Roman"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>Celkem PRV</w:t>
            </w:r>
            <w:r w:rsidRPr="005F0567">
              <w:rPr>
                <w:rFonts w:cs="Times New Roman"/>
                <w:sz w:val="20"/>
                <w:szCs w:val="20"/>
                <w:lang w:eastAsia="cs-CZ"/>
              </w:rPr>
              <w:t> </w:t>
            </w:r>
            <w:r w:rsidRPr="00D17BAD">
              <w:rPr>
                <w:rFonts w:cs="Times New Roman"/>
                <w:b/>
                <w:sz w:val="20"/>
                <w:szCs w:val="20"/>
                <w:lang w:eastAsia="cs-CZ"/>
              </w:rPr>
              <w:t>2014–2020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22" w:rsidRPr="005F0567" w:rsidRDefault="00CA4922" w:rsidP="00CA4922">
            <w:pPr>
              <w:spacing w:before="0"/>
              <w:ind w:right="283"/>
              <w:jc w:val="right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5F0567"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>107 050 048,00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22" w:rsidRPr="005F0567" w:rsidRDefault="00CA4922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922" w:rsidRPr="005F0567" w:rsidRDefault="00CA4922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</w:p>
        </w:tc>
      </w:tr>
    </w:tbl>
    <w:p w:rsidR="005F0567" w:rsidRDefault="005F0567" w:rsidP="005F0567">
      <w:pPr>
        <w:rPr>
          <w:b/>
        </w:rPr>
      </w:pPr>
    </w:p>
    <w:p w:rsidR="005F0567" w:rsidRPr="00AD74B5" w:rsidRDefault="005F0567" w:rsidP="005F0567"/>
    <w:p w:rsidR="005F0567" w:rsidRPr="00E86F3F" w:rsidRDefault="005F0567" w:rsidP="005F0567">
      <w:pPr>
        <w:tabs>
          <w:tab w:val="left" w:pos="993"/>
        </w:tabs>
        <w:rPr>
          <w:rFonts w:cstheme="minorHAnsi"/>
          <w:b/>
          <w:sz w:val="20"/>
          <w:szCs w:val="20"/>
        </w:rPr>
      </w:pPr>
      <w:r w:rsidRPr="002C310E">
        <w:rPr>
          <w:rFonts w:cstheme="minorHAnsi"/>
          <w:b/>
          <w:sz w:val="20"/>
          <w:szCs w:val="20"/>
        </w:rPr>
        <w:t>Stupně hodnocení:</w:t>
      </w:r>
    </w:p>
    <w:tbl>
      <w:tblPr>
        <w:tblW w:w="63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539"/>
      </w:tblGrid>
      <w:tr w:rsidR="005F0567" w:rsidRPr="00375883" w:rsidTr="00D17BAD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0567" w:rsidRPr="00375883" w:rsidRDefault="005F0567" w:rsidP="002E13B3">
            <w:pPr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375883">
              <w:rPr>
                <w:rFonts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67" w:rsidRPr="00375883" w:rsidRDefault="005F0567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  <w:r w:rsidRPr="00375883">
              <w:rPr>
                <w:rFonts w:cs="Times New Roman"/>
                <w:sz w:val="20"/>
                <w:szCs w:val="20"/>
                <w:lang w:eastAsia="cs-CZ"/>
              </w:rPr>
              <w:t xml:space="preserve">Vynaložené prostředky </w:t>
            </w:r>
            <w:r w:rsidRPr="00375883"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  <w:t>jsou účelné</w:t>
            </w:r>
            <w:r w:rsidR="00CA4922"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  <w:t>/</w:t>
            </w:r>
            <w:r w:rsidRPr="00375883"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  <w:t>hospodárné</w:t>
            </w:r>
          </w:p>
        </w:tc>
      </w:tr>
      <w:tr w:rsidR="005F0567" w:rsidRPr="00375883" w:rsidTr="00D17BA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567" w:rsidRPr="00375883" w:rsidRDefault="005F0567" w:rsidP="002E13B3">
            <w:pPr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375883">
              <w:rPr>
                <w:rFonts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67" w:rsidRPr="00375883" w:rsidRDefault="005F0567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  <w:r w:rsidRPr="00375883">
              <w:rPr>
                <w:rFonts w:cs="Times New Roman"/>
                <w:sz w:val="20"/>
                <w:szCs w:val="20"/>
                <w:lang w:eastAsia="cs-CZ"/>
              </w:rPr>
              <w:t>Vynaložené prostředky jsou účelné</w:t>
            </w:r>
            <w:r w:rsidR="00CA4922"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  <w:t>/</w:t>
            </w:r>
            <w:r w:rsidR="00CA4922" w:rsidRPr="00375883"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  <w:t>hospodárné</w:t>
            </w:r>
            <w:r w:rsidRPr="00375883">
              <w:rPr>
                <w:rFonts w:cs="Times New Roman"/>
                <w:sz w:val="20"/>
                <w:szCs w:val="20"/>
                <w:lang w:eastAsia="cs-CZ"/>
              </w:rPr>
              <w:t xml:space="preserve"> s výhradou</w:t>
            </w:r>
          </w:p>
        </w:tc>
      </w:tr>
      <w:tr w:rsidR="005F0567" w:rsidRPr="00375883" w:rsidTr="00D17BA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0567" w:rsidRPr="00375883" w:rsidRDefault="005F0567" w:rsidP="002E13B3">
            <w:pPr>
              <w:jc w:val="right"/>
              <w:rPr>
                <w:rFonts w:cs="Times New Roman"/>
                <w:sz w:val="20"/>
                <w:szCs w:val="20"/>
                <w:lang w:eastAsia="cs-CZ"/>
              </w:rPr>
            </w:pPr>
            <w:r w:rsidRPr="00375883">
              <w:rPr>
                <w:rFonts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67" w:rsidRPr="00375883" w:rsidRDefault="005F0567" w:rsidP="002E13B3">
            <w:pPr>
              <w:rPr>
                <w:rFonts w:cs="Times New Roman"/>
                <w:sz w:val="20"/>
                <w:szCs w:val="20"/>
                <w:lang w:eastAsia="cs-CZ"/>
              </w:rPr>
            </w:pPr>
            <w:r w:rsidRPr="00375883">
              <w:rPr>
                <w:rFonts w:cs="Times New Roman"/>
                <w:sz w:val="20"/>
                <w:szCs w:val="20"/>
                <w:lang w:eastAsia="cs-CZ"/>
              </w:rPr>
              <w:t>Vynaložené prostředky jsou účelné</w:t>
            </w:r>
            <w:r w:rsidR="00CA4922"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  <w:t>/</w:t>
            </w:r>
            <w:r w:rsidR="00CA4922" w:rsidRPr="00375883"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  <w:t>hospodárné</w:t>
            </w:r>
            <w:r w:rsidRPr="00375883">
              <w:rPr>
                <w:rFonts w:cs="Times New Roman"/>
                <w:sz w:val="20"/>
                <w:szCs w:val="20"/>
                <w:lang w:eastAsia="cs-CZ"/>
              </w:rPr>
              <w:t xml:space="preserve"> pouze omezeně</w:t>
            </w:r>
          </w:p>
        </w:tc>
      </w:tr>
      <w:tr w:rsidR="00E62F30" w:rsidRPr="00375883" w:rsidTr="00D17BAD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62F30" w:rsidRPr="00375883" w:rsidRDefault="00E62F30" w:rsidP="002E13B3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375883"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F30" w:rsidRPr="00375883" w:rsidRDefault="00E62F30" w:rsidP="002E13B3">
            <w:pPr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375883"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  <w:t>Vynaložené prostředky jsou neúčelné</w:t>
            </w:r>
            <w:r w:rsidR="00CA4922"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  <w:t>/ne</w:t>
            </w:r>
            <w:r w:rsidR="00CA4922" w:rsidRPr="00375883">
              <w:rPr>
                <w:rFonts w:cs="Times New Roman"/>
                <w:color w:val="000000" w:themeColor="text1"/>
                <w:sz w:val="20"/>
                <w:szCs w:val="20"/>
                <w:lang w:eastAsia="cs-CZ"/>
              </w:rPr>
              <w:t>hospodárné</w:t>
            </w:r>
          </w:p>
        </w:tc>
      </w:tr>
    </w:tbl>
    <w:p w:rsidR="005F0567" w:rsidRDefault="005F0567" w:rsidP="005F0567">
      <w:pPr>
        <w:tabs>
          <w:tab w:val="left" w:pos="1104"/>
          <w:tab w:val="left" w:pos="1687"/>
        </w:tabs>
        <w:sectPr w:rsidR="005F0567" w:rsidSect="00C016D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F0567" w:rsidRDefault="005F0567" w:rsidP="005F0567">
      <w:pPr>
        <w:tabs>
          <w:tab w:val="left" w:pos="1104"/>
          <w:tab w:val="left" w:pos="1687"/>
        </w:tabs>
      </w:pPr>
    </w:p>
    <w:p w:rsidR="00D05261" w:rsidRDefault="00D05261" w:rsidP="00B42885">
      <w:pPr>
        <w:jc w:val="right"/>
        <w:outlineLvl w:val="0"/>
        <w:rPr>
          <w:b/>
        </w:rPr>
      </w:pPr>
      <w:r w:rsidRPr="00C2576C">
        <w:rPr>
          <w:b/>
        </w:rPr>
        <w:t xml:space="preserve">Příloha č. </w:t>
      </w:r>
      <w:r>
        <w:rPr>
          <w:b/>
        </w:rPr>
        <w:t>4</w:t>
      </w:r>
    </w:p>
    <w:p w:rsidR="00627AE3" w:rsidRPr="00627AE3" w:rsidRDefault="00627AE3" w:rsidP="00627AE3">
      <w:pPr>
        <w:jc w:val="center"/>
        <w:rPr>
          <w:b/>
        </w:rPr>
      </w:pPr>
      <w:r w:rsidRPr="00627AE3">
        <w:rPr>
          <w:b/>
        </w:rPr>
        <w:t>Plnění cílových hodnot monitorovacích indikátorů v kontrolovaných operacích</w:t>
      </w:r>
    </w:p>
    <w:p w:rsidR="004570EE" w:rsidRDefault="004570EE" w:rsidP="00D17BAD">
      <w:pPr>
        <w:spacing w:after="40"/>
        <w:jc w:val="left"/>
        <w:rPr>
          <w:i/>
        </w:rPr>
      </w:pPr>
      <w:r w:rsidRPr="00D17BAD">
        <w:t>M01 –</w:t>
      </w:r>
      <w:r w:rsidRPr="00627AE3">
        <w:rPr>
          <w:i/>
        </w:rPr>
        <w:t xml:space="preserve"> Předávání znalostí a informační akce</w:t>
      </w:r>
    </w:p>
    <w:tbl>
      <w:tblPr>
        <w:tblW w:w="1411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4592"/>
        <w:gridCol w:w="1361"/>
        <w:gridCol w:w="1361"/>
        <w:gridCol w:w="1361"/>
        <w:gridCol w:w="1361"/>
        <w:gridCol w:w="1361"/>
        <w:gridCol w:w="1361"/>
      </w:tblGrid>
      <w:tr w:rsidR="00F32161" w:rsidRPr="0003611E" w:rsidTr="00D17BAD">
        <w:trPr>
          <w:trHeight w:val="300"/>
          <w:tblHeader/>
        </w:trPr>
        <w:tc>
          <w:tcPr>
            <w:tcW w:w="1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 xml:space="preserve">Změny indikátorů ve verzích programového dokumentu </w:t>
            </w:r>
            <w:r w:rsidR="00FB0B57">
              <w:rPr>
                <w:sz w:val="18"/>
                <w:szCs w:val="18"/>
                <w:lang w:eastAsia="cs-CZ"/>
              </w:rPr>
              <w:t>PRV 2014–2020</w:t>
            </w:r>
          </w:p>
        </w:tc>
      </w:tr>
      <w:tr w:rsidR="00FB0B57" w:rsidRPr="0003611E" w:rsidTr="00A817EF">
        <w:trPr>
          <w:trHeight w:val="900"/>
          <w:tblHeader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2161" w:rsidRPr="00097F1C" w:rsidRDefault="00F32161" w:rsidP="00F32161">
            <w:pPr>
              <w:spacing w:before="0"/>
              <w:jc w:val="left"/>
              <w:rPr>
                <w:b/>
                <w:sz w:val="18"/>
                <w:szCs w:val="18"/>
                <w:lang w:eastAsia="cs-CZ"/>
              </w:rPr>
            </w:pPr>
            <w:r w:rsidRPr="00097F1C">
              <w:rPr>
                <w:b/>
                <w:sz w:val="18"/>
                <w:szCs w:val="18"/>
                <w:lang w:eastAsia="cs-CZ"/>
              </w:rPr>
              <w:t>Typ indikátoru</w:t>
            </w:r>
            <w:r>
              <w:rPr>
                <w:b/>
                <w:sz w:val="18"/>
                <w:szCs w:val="18"/>
                <w:lang w:eastAsia="cs-CZ"/>
              </w:rPr>
              <w:t xml:space="preserve"> / </w:t>
            </w:r>
            <w:r w:rsidR="00FB0B57">
              <w:rPr>
                <w:b/>
                <w:sz w:val="18"/>
                <w:szCs w:val="18"/>
                <w:lang w:eastAsia="cs-CZ"/>
              </w:rPr>
              <w:t xml:space="preserve">číslo </w:t>
            </w:r>
            <w:r>
              <w:rPr>
                <w:b/>
                <w:sz w:val="18"/>
                <w:szCs w:val="18"/>
                <w:lang w:eastAsia="cs-CZ"/>
              </w:rPr>
              <w:t>opatření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2161" w:rsidRPr="0003611E" w:rsidRDefault="00F32161" w:rsidP="00F32161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Název indikátoru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2161" w:rsidRPr="0003611E" w:rsidRDefault="00F32161" w:rsidP="00F32161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Cílová hodnota indikátoru </w:t>
            </w:r>
            <w:r w:rsidR="004E2EE9">
              <w:rPr>
                <w:b/>
                <w:bCs/>
                <w:sz w:val="18"/>
                <w:szCs w:val="18"/>
                <w:lang w:eastAsia="cs-CZ"/>
              </w:rPr>
              <w:t>–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 10.</w:t>
            </w:r>
            <w:r w:rsidR="00FB0B57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aktualizace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2161" w:rsidRPr="0003611E" w:rsidRDefault="00F32161" w:rsidP="00F32161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Cílová hodnota indikátoru </w:t>
            </w:r>
            <w:r w:rsidR="004E2EE9">
              <w:rPr>
                <w:b/>
                <w:bCs/>
                <w:sz w:val="18"/>
                <w:szCs w:val="18"/>
                <w:lang w:eastAsia="cs-CZ"/>
              </w:rPr>
              <w:t>–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 11.</w:t>
            </w:r>
            <w:r w:rsidR="00FB0B57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aktualizace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2161" w:rsidRPr="0003611E" w:rsidRDefault="00F32161" w:rsidP="00F32161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Dosažená výše indikátoru </w:t>
            </w:r>
            <w:r>
              <w:rPr>
                <w:b/>
                <w:bCs/>
                <w:sz w:val="18"/>
                <w:szCs w:val="18"/>
                <w:lang w:eastAsia="cs-CZ"/>
              </w:rPr>
              <w:t>ke dni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 3</w:t>
            </w:r>
            <w:r w:rsidR="00D17BAD">
              <w:rPr>
                <w:b/>
                <w:bCs/>
                <w:sz w:val="18"/>
                <w:szCs w:val="18"/>
                <w:lang w:eastAsia="cs-CZ"/>
              </w:rPr>
              <w:t>1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. 3. 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2161" w:rsidRPr="0003611E" w:rsidRDefault="00F32161" w:rsidP="00F32161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Dosažená výše indikátoru </w:t>
            </w:r>
            <w:r>
              <w:rPr>
                <w:b/>
                <w:bCs/>
                <w:sz w:val="18"/>
                <w:szCs w:val="18"/>
                <w:lang w:eastAsia="cs-CZ"/>
              </w:rPr>
              <w:t>ke dni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 30. 6. 2023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2161" w:rsidRPr="0003611E" w:rsidRDefault="00F32161" w:rsidP="00F32161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% plnění k</w:t>
            </w:r>
            <w:r w:rsidR="00FB0B57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30.</w:t>
            </w:r>
            <w:r w:rsidR="00FB0B57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6.</w:t>
            </w:r>
            <w:r w:rsidR="00FB0B57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2023 vůči 10.</w:t>
            </w:r>
            <w:r w:rsidR="00A817EF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aktualizaci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2161" w:rsidRPr="0003611E" w:rsidRDefault="00F32161" w:rsidP="00F32161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% plnění k</w:t>
            </w:r>
            <w:r w:rsidR="00FB0B57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30.</w:t>
            </w:r>
            <w:r w:rsidR="00FB0B57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6.</w:t>
            </w:r>
            <w:r w:rsidR="00FB0B57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2023</w:t>
            </w:r>
            <w:r w:rsidR="00FB0B57">
              <w:rPr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vůči 11.</w:t>
            </w:r>
            <w:r w:rsidR="00A817EF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aktualizaci</w:t>
            </w:r>
          </w:p>
        </w:tc>
      </w:tr>
      <w:tr w:rsidR="00F32161" w:rsidRPr="0003611E" w:rsidTr="00A817EF">
        <w:trPr>
          <w:trHeight w:val="300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F32161" w:rsidRDefault="00F32161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Výstup</w:t>
            </w:r>
            <w:r>
              <w:rPr>
                <w:sz w:val="18"/>
                <w:szCs w:val="18"/>
                <w:lang w:eastAsia="cs-CZ"/>
              </w:rPr>
              <w:t xml:space="preserve"> / M01</w:t>
            </w: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B0B57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  <w:p w:rsidR="00127C87" w:rsidRDefault="00127C87" w:rsidP="00127C87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Výstup</w:t>
            </w:r>
            <w:r>
              <w:rPr>
                <w:sz w:val="18"/>
                <w:szCs w:val="18"/>
                <w:lang w:eastAsia="cs-CZ"/>
              </w:rPr>
              <w:t xml:space="preserve"> / M01</w:t>
            </w:r>
          </w:p>
          <w:p w:rsidR="00127C87" w:rsidRPr="0003611E" w:rsidRDefault="00127C87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lastRenderedPageBreak/>
              <w:t xml:space="preserve">O.12 (92301) Počet účastníků vzdělávání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2A (1.1.1)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10 972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5 251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3 096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3</w:t>
            </w:r>
            <w:r w:rsidR="00A817EF">
              <w:rPr>
                <w:color w:val="auto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color w:val="auto"/>
                <w:sz w:val="18"/>
                <w:szCs w:val="18"/>
                <w:lang w:eastAsia="cs-CZ"/>
              </w:rPr>
              <w:t>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28,22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58,96</w:t>
            </w:r>
          </w:p>
        </w:tc>
      </w:tr>
      <w:tr w:rsidR="00FB0B57" w:rsidRPr="0003611E" w:rsidTr="00A817EF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 xml:space="preserve">O.12 (92301) Počet účastníků vzdělávání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2B (1.1.1)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681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283,75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283,75</w:t>
            </w:r>
          </w:p>
        </w:tc>
      </w:tr>
      <w:tr w:rsidR="00F32161" w:rsidRPr="0003611E" w:rsidTr="00A817EF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 xml:space="preserve">O.12 (92301) Počet účastníků vzdělávání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2C (1.1.1)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</w:tr>
      <w:tr w:rsidR="00FB0B57" w:rsidRPr="0003611E" w:rsidTr="00A817EF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 xml:space="preserve">O.12 (92301) Počet účastníků vzdělávání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3A (1.1.1)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5 236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5 236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2 879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3040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58,06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58,06</w:t>
            </w:r>
          </w:p>
        </w:tc>
      </w:tr>
      <w:tr w:rsidR="00FB0B57" w:rsidRPr="0003611E" w:rsidTr="00A817EF">
        <w:trPr>
          <w:trHeight w:val="42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 xml:space="preserve">O.12 (92301) Počet účastníků vzdělávání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4 (1.1.1) </w:t>
            </w:r>
            <w:r w:rsidR="00A817EF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zemědělství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31 594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15 452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3 278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3 278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10,07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19,98</w:t>
            </w:r>
          </w:p>
        </w:tc>
      </w:tr>
      <w:tr w:rsidR="00FB0B57" w:rsidRPr="0003611E" w:rsidTr="00A817EF">
        <w:trPr>
          <w:trHeight w:val="41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 xml:space="preserve">O.12 (92301) Počet účastníků vzdělávání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4 (1.1.1) </w:t>
            </w:r>
            <w:r w:rsidR="00A817EF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lesnictví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952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</w:p>
        </w:tc>
      </w:tr>
      <w:tr w:rsidR="00F32161" w:rsidRPr="0003611E" w:rsidTr="00A817EF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 xml:space="preserve">O.12 (92301) Počet účastníků vzdělávání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5 (1.1.1) </w:t>
            </w:r>
            <w:r w:rsidR="00A817EF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lesy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</w:tr>
      <w:tr w:rsidR="00FB0B57" w:rsidRPr="0003611E" w:rsidTr="00A817EF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2A (1.1.1)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1 766 185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400 092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235 891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235 891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13,36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58,96</w:t>
            </w:r>
          </w:p>
        </w:tc>
      </w:tr>
      <w:tr w:rsidR="00F32161" w:rsidRPr="0003611E" w:rsidTr="00A817EF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2B (1.1.1)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90 744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90 744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53 931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53 931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59,43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59,43</w:t>
            </w:r>
          </w:p>
        </w:tc>
      </w:tr>
      <w:tr w:rsidR="00FB0B57" w:rsidRPr="0003611E" w:rsidTr="00A817EF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2C (1.1.1)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99 956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99 956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</w:tr>
      <w:tr w:rsidR="00F32161" w:rsidRPr="0003611E" w:rsidTr="00A817EF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3A (1.1.1)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549 759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549 759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195 182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230 134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41,86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41,86</w:t>
            </w:r>
          </w:p>
        </w:tc>
      </w:tr>
      <w:tr w:rsidR="00FB0B57" w:rsidRPr="0003611E" w:rsidTr="00A817EF">
        <w:trPr>
          <w:trHeight w:val="41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4 </w:t>
            </w:r>
            <w:r w:rsidR="00A817EF">
              <w:rPr>
                <w:sz w:val="18"/>
                <w:szCs w:val="18"/>
                <w:lang w:eastAsia="cs-CZ"/>
              </w:rPr>
              <w:br/>
            </w:r>
            <w:r w:rsidRPr="0003611E">
              <w:rPr>
                <w:sz w:val="18"/>
                <w:szCs w:val="18"/>
                <w:lang w:eastAsia="cs-CZ"/>
              </w:rPr>
              <w:t xml:space="preserve">(1.1.1) </w:t>
            </w:r>
            <w:r w:rsidR="007922DA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zemědělství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6 812 209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2 679 978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189 564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189 564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2,74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6,82</w:t>
            </w:r>
          </w:p>
        </w:tc>
      </w:tr>
      <w:tr w:rsidR="00F32161" w:rsidRPr="0003611E" w:rsidTr="00A817EF">
        <w:trPr>
          <w:trHeight w:val="39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4 </w:t>
            </w:r>
            <w:r w:rsidR="00A817EF">
              <w:rPr>
                <w:sz w:val="18"/>
                <w:szCs w:val="18"/>
                <w:lang w:eastAsia="cs-CZ"/>
              </w:rPr>
              <w:br/>
            </w:r>
            <w:r w:rsidRPr="0003611E">
              <w:rPr>
                <w:sz w:val="18"/>
                <w:szCs w:val="18"/>
                <w:lang w:eastAsia="cs-CZ"/>
              </w:rPr>
              <w:t xml:space="preserve">(1.1.1) </w:t>
            </w:r>
            <w:r w:rsidR="007922DA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lesnictví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99 956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99 956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</w:p>
        </w:tc>
      </w:tr>
      <w:tr w:rsidR="00FB0B57" w:rsidRPr="0003611E" w:rsidTr="00A817EF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5 </w:t>
            </w:r>
            <w:r w:rsidR="00A817EF">
              <w:rPr>
                <w:sz w:val="18"/>
                <w:szCs w:val="18"/>
                <w:lang w:eastAsia="cs-CZ"/>
              </w:rPr>
              <w:br/>
            </w:r>
            <w:r w:rsidRPr="0003611E">
              <w:rPr>
                <w:sz w:val="18"/>
                <w:szCs w:val="18"/>
                <w:lang w:eastAsia="cs-CZ"/>
              </w:rPr>
              <w:t xml:space="preserve">(1.1.1) </w:t>
            </w:r>
            <w:r w:rsidR="007922DA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lesy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49 978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49 978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A817EF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</w:tr>
      <w:tr w:rsidR="00F32161" w:rsidRPr="0003611E" w:rsidTr="001865FA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1865FA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 (1.1.1)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9 468 787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3 970 463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674 567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709 520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7,49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17,87</w:t>
            </w:r>
          </w:p>
        </w:tc>
      </w:tr>
      <w:tr w:rsidR="00FB0B57" w:rsidRPr="0003611E" w:rsidTr="00B541B6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2A (1.1.1, 1.2.1)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2 526 452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2 526 452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235 891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436 349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17,27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17,27</w:t>
            </w:r>
          </w:p>
        </w:tc>
      </w:tr>
      <w:tr w:rsidR="00F32161" w:rsidRPr="0003611E" w:rsidTr="00B541B6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2B (1.1.1, 1.2.1)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199 226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199 226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53 931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121 114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60,79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60,79</w:t>
            </w:r>
          </w:p>
        </w:tc>
      </w:tr>
      <w:tr w:rsidR="00FB0B57" w:rsidRPr="0003611E" w:rsidTr="00B541B6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2C (1.1.1, 1.2.1)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152 003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152 003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</w:tr>
      <w:tr w:rsidR="00F32161" w:rsidRPr="0003611E" w:rsidTr="00B541B6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3A (1.1.1, 1.2.1)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1 002 018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1 002 018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195 182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407 046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40,62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40,62</w:t>
            </w:r>
          </w:p>
        </w:tc>
      </w:tr>
      <w:tr w:rsidR="00FB0B57" w:rsidRPr="0003611E" w:rsidTr="00B541B6">
        <w:trPr>
          <w:trHeight w:val="35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4 (1.1.1, 1.2.1)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zemědělství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8 722 658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8 722 658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590 694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590 694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6,66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6,66</w:t>
            </w:r>
          </w:p>
        </w:tc>
      </w:tr>
      <w:tr w:rsidR="00F32161" w:rsidRPr="0003611E" w:rsidTr="00B541B6">
        <w:trPr>
          <w:trHeight w:val="49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4 (1.1.1, 1.2.1)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lesnictví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145 899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145 899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</w:p>
        </w:tc>
      </w:tr>
      <w:tr w:rsidR="00FB0B57" w:rsidRPr="0003611E" w:rsidTr="00B541B6">
        <w:trPr>
          <w:trHeight w:val="399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priorita 5 (1.1.1, 1.2.1)</w:t>
            </w:r>
            <w:r w:rsidR="00FC13FD">
              <w:rPr>
                <w:sz w:val="18"/>
                <w:szCs w:val="18"/>
                <w:lang w:eastAsia="cs-CZ"/>
              </w:rPr>
              <w:t xml:space="preserve"> </w:t>
            </w:r>
            <w:r w:rsidR="00B541B6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 xml:space="preserve"> lesy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52 404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52 404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0,00</w:t>
            </w:r>
          </w:p>
        </w:tc>
      </w:tr>
      <w:tr w:rsidR="00F32161" w:rsidRPr="0003611E" w:rsidTr="001865FA">
        <w:trPr>
          <w:trHeight w:val="34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61" w:rsidRPr="0003611E" w:rsidRDefault="00F32161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1865FA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</w:t>
            </w:r>
            <w:r w:rsidR="001865FA">
              <w:rPr>
                <w:sz w:val="18"/>
                <w:szCs w:val="18"/>
                <w:lang w:eastAsia="cs-CZ"/>
              </w:rPr>
              <w:t>.</w:t>
            </w:r>
            <w:r w:rsidRPr="0003611E">
              <w:rPr>
                <w:sz w:val="18"/>
                <w:szCs w:val="18"/>
                <w:lang w:eastAsia="cs-CZ"/>
              </w:rPr>
              <w:t>1 (92501) Celkové veřejné výdaje (EUR) (1.1.1, 1.2.1)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12 800 661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12 800 661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674 567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1 555 202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12,15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61" w:rsidRPr="0003611E" w:rsidRDefault="00F32161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12,15</w:t>
            </w:r>
          </w:p>
        </w:tc>
      </w:tr>
      <w:tr w:rsidR="00A817EF" w:rsidRPr="0003611E" w:rsidTr="00B541B6">
        <w:trPr>
          <w:trHeight w:val="423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EF" w:rsidRPr="0003611E" w:rsidRDefault="00A817EF" w:rsidP="00F32161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Výsledek</w:t>
            </w:r>
            <w:r>
              <w:rPr>
                <w:sz w:val="18"/>
                <w:szCs w:val="18"/>
                <w:lang w:eastAsia="cs-CZ"/>
              </w:rPr>
              <w:t xml:space="preserve"> / M01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17EF" w:rsidRPr="0003611E" w:rsidRDefault="00A817EF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T1 (92510) Podíl výdajů podle čl. 14 nařízení EU č.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03611E">
              <w:rPr>
                <w:sz w:val="18"/>
                <w:szCs w:val="18"/>
                <w:lang w:eastAsia="cs-CZ"/>
              </w:rPr>
              <w:t>1305/2013 v poměru k celkovým výdajům PRV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7EF" w:rsidRPr="0003611E" w:rsidRDefault="00A817EF" w:rsidP="007922DA">
            <w:pPr>
              <w:spacing w:before="0"/>
              <w:ind w:right="159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0,27</w:t>
            </w:r>
            <w:r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7EF" w:rsidRPr="0003611E" w:rsidRDefault="00A817EF" w:rsidP="007922DA">
            <w:pPr>
              <w:spacing w:before="0"/>
              <w:ind w:right="159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0,27</w:t>
            </w:r>
            <w:r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7EF" w:rsidRPr="0003611E" w:rsidRDefault="00A817EF" w:rsidP="007922DA">
            <w:pPr>
              <w:spacing w:before="0"/>
              <w:ind w:right="159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0,031</w:t>
            </w:r>
            <w:r>
              <w:rPr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7EF" w:rsidRPr="0003611E" w:rsidRDefault="00A817EF" w:rsidP="007922DA">
            <w:pPr>
              <w:spacing w:before="0"/>
              <w:ind w:right="159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0,033</w:t>
            </w:r>
            <w:r>
              <w:rPr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7EF" w:rsidRPr="0003611E" w:rsidRDefault="00A817EF" w:rsidP="007922DA">
            <w:pPr>
              <w:spacing w:before="0"/>
              <w:ind w:right="159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12,22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7EF" w:rsidRPr="0003611E" w:rsidRDefault="00A817EF" w:rsidP="007922DA">
            <w:pPr>
              <w:spacing w:before="0"/>
              <w:ind w:right="159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12,22</w:t>
            </w:r>
          </w:p>
        </w:tc>
      </w:tr>
      <w:tr w:rsidR="00A817EF" w:rsidRPr="0003611E" w:rsidTr="00B541B6">
        <w:trPr>
          <w:trHeight w:val="401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7EF" w:rsidRPr="0003611E" w:rsidRDefault="00A817EF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EF" w:rsidRPr="0003611E" w:rsidRDefault="00A817EF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T3 Celkový počet vyškolených účastníků podle čl. 14 nařízení EU č. 1305/2013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50 422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28 559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9 934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10 095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20,02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35,35</w:t>
            </w:r>
          </w:p>
        </w:tc>
      </w:tr>
      <w:tr w:rsidR="00A817EF" w:rsidRPr="0003611E" w:rsidTr="00B541B6">
        <w:trPr>
          <w:trHeight w:val="364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7EF" w:rsidRPr="0003611E" w:rsidRDefault="00A817EF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7EF" w:rsidRPr="0003611E" w:rsidRDefault="00A817EF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92303 Počet účastníků absolvujících akce se zaměřením na zavádění a předávání inovací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23 389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23 631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78,77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78,77</w:t>
            </w:r>
          </w:p>
        </w:tc>
      </w:tr>
      <w:tr w:rsidR="00A817EF" w:rsidRPr="0003611E" w:rsidTr="00B541B6">
        <w:trPr>
          <w:trHeight w:val="485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7EF" w:rsidRPr="0003611E" w:rsidRDefault="00A817EF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EF" w:rsidRPr="0003611E" w:rsidRDefault="00A817EF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92302 Počet účastníků, kteří se v rámci období 2014</w:t>
            </w:r>
            <w:r w:rsidRPr="00A817EF">
              <w:rPr>
                <w:sz w:val="18"/>
                <w:szCs w:val="18"/>
                <w:lang w:eastAsia="cs-CZ"/>
              </w:rPr>
              <w:t>–</w:t>
            </w:r>
            <w:r w:rsidRPr="0003611E">
              <w:rPr>
                <w:sz w:val="18"/>
                <w:szCs w:val="18"/>
                <w:lang w:eastAsia="cs-CZ"/>
              </w:rPr>
              <w:t>2020 účastnili min. dvou akcí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7 500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7 500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16 212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16 212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216,16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216,16</w:t>
            </w:r>
          </w:p>
        </w:tc>
      </w:tr>
      <w:tr w:rsidR="00A817EF" w:rsidRPr="0003611E" w:rsidTr="00B541B6">
        <w:trPr>
          <w:trHeight w:val="137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EF" w:rsidRPr="0003611E" w:rsidRDefault="00A817EF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7EF" w:rsidRPr="0003611E" w:rsidRDefault="00A817EF" w:rsidP="00F32161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60000 Celkový počet účastníků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27 500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27 500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29 701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29 701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108,00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7EF" w:rsidRPr="0003611E" w:rsidRDefault="00A817EF" w:rsidP="00B541B6">
            <w:pPr>
              <w:spacing w:before="0"/>
              <w:ind w:right="157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108,00</w:t>
            </w:r>
          </w:p>
        </w:tc>
      </w:tr>
    </w:tbl>
    <w:p w:rsidR="00966DDE" w:rsidRPr="004570EE" w:rsidRDefault="004570EE" w:rsidP="00A817EF">
      <w:pPr>
        <w:spacing w:before="40"/>
        <w:jc w:val="left"/>
        <w:rPr>
          <w:sz w:val="20"/>
          <w:szCs w:val="20"/>
        </w:rPr>
      </w:pPr>
      <w:r w:rsidRPr="00A817EF">
        <w:rPr>
          <w:b/>
          <w:sz w:val="20"/>
          <w:szCs w:val="20"/>
        </w:rPr>
        <w:t>Zdroj:</w:t>
      </w:r>
      <w:r w:rsidRPr="004570EE">
        <w:rPr>
          <w:sz w:val="20"/>
          <w:szCs w:val="20"/>
        </w:rPr>
        <w:t xml:space="preserve"> </w:t>
      </w:r>
      <w:r w:rsidR="00A817EF">
        <w:rPr>
          <w:sz w:val="20"/>
          <w:szCs w:val="20"/>
        </w:rPr>
        <w:t>p</w:t>
      </w:r>
      <w:r w:rsidR="00AA1CA1">
        <w:rPr>
          <w:sz w:val="20"/>
          <w:szCs w:val="20"/>
        </w:rPr>
        <w:t>rogramový dokument PRV 2014</w:t>
      </w:r>
      <w:r w:rsidR="004E2EE9">
        <w:rPr>
          <w:sz w:val="20"/>
          <w:szCs w:val="20"/>
        </w:rPr>
        <w:t>–</w:t>
      </w:r>
      <w:r w:rsidR="00AA1CA1">
        <w:rPr>
          <w:sz w:val="20"/>
          <w:szCs w:val="20"/>
        </w:rPr>
        <w:t xml:space="preserve">2020 a </w:t>
      </w:r>
      <w:r w:rsidRPr="00A817EF">
        <w:rPr>
          <w:i/>
          <w:sz w:val="20"/>
          <w:szCs w:val="20"/>
        </w:rPr>
        <w:t>Pře</w:t>
      </w:r>
      <w:r w:rsidR="00AA1CA1" w:rsidRPr="00A817EF">
        <w:rPr>
          <w:i/>
          <w:sz w:val="20"/>
          <w:szCs w:val="20"/>
        </w:rPr>
        <w:t>hled plnění cílových hodnot indikátorů ke dni 30. 6. 2023</w:t>
      </w:r>
      <w:r w:rsidR="00AA1CA1">
        <w:rPr>
          <w:sz w:val="20"/>
        </w:rPr>
        <w:t>.</w:t>
      </w:r>
    </w:p>
    <w:p w:rsidR="00F32161" w:rsidRDefault="00F32161" w:rsidP="00AA1CA1">
      <w:pPr>
        <w:spacing w:after="120"/>
        <w:jc w:val="left"/>
        <w:rPr>
          <w:i/>
        </w:rPr>
      </w:pPr>
    </w:p>
    <w:p w:rsidR="00F32161" w:rsidRDefault="00F32161" w:rsidP="00AA1CA1">
      <w:pPr>
        <w:spacing w:after="120"/>
        <w:jc w:val="left"/>
        <w:rPr>
          <w:i/>
        </w:rPr>
      </w:pPr>
    </w:p>
    <w:p w:rsidR="00F32161" w:rsidRDefault="00F32161" w:rsidP="00AA1CA1">
      <w:pPr>
        <w:spacing w:after="120"/>
        <w:jc w:val="left"/>
        <w:rPr>
          <w:i/>
        </w:rPr>
      </w:pPr>
    </w:p>
    <w:p w:rsidR="004570EE" w:rsidRPr="00627AE3" w:rsidRDefault="004570EE" w:rsidP="00D17BAD">
      <w:pPr>
        <w:spacing w:after="40"/>
        <w:jc w:val="left"/>
        <w:rPr>
          <w:i/>
        </w:rPr>
      </w:pPr>
      <w:r w:rsidRPr="00D17BAD">
        <w:lastRenderedPageBreak/>
        <w:t>M04 –</w:t>
      </w:r>
      <w:r w:rsidRPr="00627AE3">
        <w:rPr>
          <w:i/>
        </w:rPr>
        <w:t xml:space="preserve"> Investice do hmotného majetku </w:t>
      </w:r>
    </w:p>
    <w:tbl>
      <w:tblPr>
        <w:tblW w:w="140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288"/>
        <w:gridCol w:w="1275"/>
        <w:gridCol w:w="1134"/>
        <w:gridCol w:w="1276"/>
        <w:gridCol w:w="1134"/>
        <w:gridCol w:w="1276"/>
        <w:gridCol w:w="1276"/>
        <w:gridCol w:w="1137"/>
        <w:gridCol w:w="1101"/>
      </w:tblGrid>
      <w:tr w:rsidR="00EB0F49" w:rsidRPr="0003611E" w:rsidTr="00164C1B">
        <w:trPr>
          <w:trHeight w:val="300"/>
          <w:tblHeader/>
        </w:trPr>
        <w:tc>
          <w:tcPr>
            <w:tcW w:w="14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Zm</w:t>
            </w:r>
            <w:r w:rsidRPr="00B541B6">
              <w:rPr>
                <w:sz w:val="18"/>
                <w:szCs w:val="18"/>
                <w:lang w:eastAsia="cs-CZ"/>
              </w:rPr>
              <w:t>ěny indikátorů ve verzích programového dokumentu</w:t>
            </w:r>
            <w:r w:rsidR="00B541B6">
              <w:rPr>
                <w:sz w:val="18"/>
                <w:szCs w:val="18"/>
                <w:lang w:eastAsia="cs-CZ"/>
              </w:rPr>
              <w:t xml:space="preserve"> PRV 2014–2020</w:t>
            </w:r>
          </w:p>
        </w:tc>
      </w:tr>
      <w:tr w:rsidR="00097F1C" w:rsidRPr="0003611E" w:rsidTr="00164C1B">
        <w:trPr>
          <w:trHeight w:val="653"/>
          <w:tblHeader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Typ indikátoru</w:t>
            </w:r>
            <w:r w:rsidR="00F34228">
              <w:rPr>
                <w:b/>
                <w:bCs/>
                <w:sz w:val="18"/>
                <w:szCs w:val="18"/>
                <w:lang w:eastAsia="cs-CZ"/>
              </w:rPr>
              <w:t xml:space="preserve"> / </w:t>
            </w:r>
            <w:r w:rsidR="00B541B6">
              <w:rPr>
                <w:b/>
                <w:bCs/>
                <w:sz w:val="18"/>
                <w:szCs w:val="18"/>
                <w:lang w:eastAsia="cs-CZ"/>
              </w:rPr>
              <w:t xml:space="preserve">číslo </w:t>
            </w:r>
            <w:r w:rsidR="00F34228">
              <w:rPr>
                <w:b/>
                <w:bCs/>
                <w:sz w:val="18"/>
                <w:szCs w:val="18"/>
                <w:lang w:eastAsia="cs-CZ"/>
              </w:rPr>
              <w:t>operace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Název indikátoru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Cílová hodnota indikátoru </w:t>
            </w:r>
            <w:r w:rsidR="004E2EE9">
              <w:rPr>
                <w:b/>
                <w:bCs/>
                <w:sz w:val="18"/>
                <w:szCs w:val="18"/>
                <w:lang w:eastAsia="cs-CZ"/>
              </w:rPr>
              <w:t>–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 10. aktualizace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Cílová hodnota indikátoru </w:t>
            </w:r>
            <w:r w:rsidR="004E2EE9">
              <w:rPr>
                <w:b/>
                <w:bCs/>
                <w:sz w:val="18"/>
                <w:szCs w:val="18"/>
                <w:lang w:eastAsia="cs-CZ"/>
              </w:rPr>
              <w:t>–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 11. aktualizace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Dosažená výše indikátoru </w:t>
            </w:r>
            <w:r>
              <w:rPr>
                <w:b/>
                <w:bCs/>
                <w:sz w:val="18"/>
                <w:szCs w:val="18"/>
                <w:lang w:eastAsia="cs-CZ"/>
              </w:rPr>
              <w:t>ke dni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 3</w:t>
            </w:r>
            <w:r w:rsidR="00D17BAD">
              <w:rPr>
                <w:b/>
                <w:bCs/>
                <w:sz w:val="18"/>
                <w:szCs w:val="18"/>
                <w:lang w:eastAsia="cs-CZ"/>
              </w:rPr>
              <w:t>1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. 3. 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Dosažená výše indikátoru </w:t>
            </w:r>
            <w:r>
              <w:rPr>
                <w:b/>
                <w:bCs/>
                <w:sz w:val="18"/>
                <w:szCs w:val="18"/>
                <w:lang w:eastAsia="cs-CZ"/>
              </w:rPr>
              <w:t>ke dni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 xml:space="preserve"> 30. 6. 2023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% plnění k</w:t>
            </w:r>
            <w:r w:rsidR="00B541B6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30.</w:t>
            </w:r>
            <w:r w:rsidR="00B541B6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6. 2023 vůči 10. aktualizaci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% plnění k</w:t>
            </w:r>
            <w:r w:rsidR="00B541B6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30.</w:t>
            </w:r>
            <w:r w:rsidR="00B541B6">
              <w:rPr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b/>
                <w:bCs/>
                <w:sz w:val="18"/>
                <w:szCs w:val="18"/>
                <w:lang w:eastAsia="cs-CZ"/>
              </w:rPr>
              <w:t>6. 2023 vůči 11. aktualizaci</w:t>
            </w:r>
          </w:p>
        </w:tc>
      </w:tr>
      <w:tr w:rsidR="00097F1C" w:rsidRPr="0003611E" w:rsidTr="00164C1B">
        <w:trPr>
          <w:trHeight w:val="390"/>
          <w:tblHeader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10. aktualizace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Financováno EURI</w:t>
            </w:r>
            <w:r w:rsidR="007B5D1E">
              <w:rPr>
                <w:rStyle w:val="Znakapoznpodarou"/>
                <w:b/>
                <w:bCs/>
                <w:sz w:val="18"/>
                <w:szCs w:val="18"/>
                <w:lang w:eastAsia="cs-CZ"/>
              </w:rPr>
              <w:footnoteReference w:id="17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11. aktualizace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Financováno EURI</w:t>
            </w:r>
            <w:r w:rsidR="00C8653E" w:rsidRPr="00164C1B">
              <w:rPr>
                <w:b/>
                <w:bCs/>
                <w:sz w:val="18"/>
                <w:szCs w:val="18"/>
                <w:vertAlign w:val="superscript"/>
                <w:lang w:eastAsia="cs-CZ"/>
              </w:rPr>
              <w:t>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97F1C" w:rsidRPr="0003611E" w:rsidTr="00164C1B">
        <w:trPr>
          <w:trHeight w:val="29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Výstup</w:t>
            </w:r>
            <w:r w:rsidR="00F34228">
              <w:rPr>
                <w:sz w:val="18"/>
                <w:szCs w:val="18"/>
                <w:lang w:eastAsia="cs-CZ"/>
              </w:rPr>
              <w:t xml:space="preserve"> / 4.1.1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O.1 (92501) Celkové veřejné výdaje (4.1.1)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629 275 553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113 207 547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612 693 265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113 314 849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457 831 669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489 973 490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77,86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79,97</w:t>
            </w:r>
          </w:p>
        </w:tc>
      </w:tr>
      <w:tr w:rsidR="00097F1C" w:rsidRPr="0003611E" w:rsidTr="00164C1B">
        <w:trPr>
          <w:trHeight w:val="28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 xml:space="preserve">O.2 (92500) Celkové investice (4.1.1) </w:t>
            </w:r>
            <w:r w:rsidR="00EB0F49">
              <w:rPr>
                <w:sz w:val="18"/>
                <w:szCs w:val="18"/>
                <w:lang w:eastAsia="cs-CZ"/>
              </w:rPr>
              <w:t xml:space="preserve">v </w:t>
            </w:r>
            <w:r w:rsidRPr="0003611E">
              <w:rPr>
                <w:sz w:val="18"/>
                <w:szCs w:val="18"/>
                <w:lang w:eastAsia="cs-CZ"/>
              </w:rPr>
              <w:t>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1 352 698 952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243 352 423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1 296 563 988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239 793 646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986 252 758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1 049 617 515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77,59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color w:val="FF0000"/>
                <w:sz w:val="18"/>
                <w:szCs w:val="18"/>
                <w:lang w:eastAsia="cs-CZ"/>
              </w:rPr>
              <w:t>80,95</w:t>
            </w:r>
          </w:p>
        </w:tc>
      </w:tr>
      <w:tr w:rsidR="00097F1C" w:rsidRPr="0003611E" w:rsidTr="00164C1B">
        <w:trPr>
          <w:trHeight w:val="41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O.4 (93701) Počet podpořených zemědělských podniků (4.1.1)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7 416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8</w:t>
            </w:r>
            <w:r w:rsidR="002F71DD">
              <w:rPr>
                <w:color w:val="auto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color w:val="auto"/>
                <w:sz w:val="18"/>
                <w:szCs w:val="18"/>
                <w:lang w:eastAsia="cs-CZ"/>
              </w:rPr>
              <w:t>036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115,78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115,78</w:t>
            </w:r>
          </w:p>
        </w:tc>
      </w:tr>
      <w:tr w:rsidR="00097F1C" w:rsidRPr="0003611E" w:rsidTr="00164C1B">
        <w:trPr>
          <w:trHeight w:val="66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94000 Počet zemědělských podniků s</w:t>
            </w:r>
            <w:r w:rsidR="00EB0F49">
              <w:rPr>
                <w:sz w:val="18"/>
                <w:szCs w:val="18"/>
                <w:lang w:eastAsia="cs-CZ"/>
              </w:rPr>
              <w:t> </w:t>
            </w:r>
            <w:r w:rsidRPr="0003611E">
              <w:rPr>
                <w:sz w:val="18"/>
                <w:szCs w:val="18"/>
                <w:lang w:eastAsia="cs-CZ"/>
              </w:rPr>
              <w:t>investiční podporou (4.1) (bez vícenásobného započítání)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4 330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4</w:t>
            </w:r>
            <w:r w:rsidR="002F71DD">
              <w:rPr>
                <w:color w:val="auto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color w:val="auto"/>
                <w:sz w:val="18"/>
                <w:szCs w:val="18"/>
                <w:lang w:eastAsia="cs-CZ"/>
              </w:rPr>
              <w:t>581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90,00</w:t>
            </w:r>
          </w:p>
        </w:tc>
      </w:tr>
      <w:tr w:rsidR="00097F1C" w:rsidRPr="0003611E" w:rsidTr="00164C1B">
        <w:trPr>
          <w:trHeight w:val="6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94901 Počet projektů v podpořených podnicích, které zajišťují dobré životní podmínky zvířat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2 679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2</w:t>
            </w:r>
            <w:r w:rsidR="002F71DD">
              <w:rPr>
                <w:color w:val="auto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color w:val="auto"/>
                <w:sz w:val="18"/>
                <w:szCs w:val="18"/>
                <w:lang w:eastAsia="cs-CZ"/>
              </w:rPr>
              <w:t>786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64,99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64,99</w:t>
            </w:r>
          </w:p>
        </w:tc>
      </w:tr>
      <w:tr w:rsidR="00097F1C" w:rsidRPr="0003611E" w:rsidTr="00164C1B">
        <w:trPr>
          <w:trHeight w:val="43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92701 Počet podpořených inovativních projektů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716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115,11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115,11</w:t>
            </w:r>
          </w:p>
        </w:tc>
      </w:tr>
      <w:tr w:rsidR="00097F1C" w:rsidRPr="0003611E" w:rsidTr="00164C1B">
        <w:trPr>
          <w:trHeight w:val="66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4570EE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Výsledek</w:t>
            </w:r>
            <w:r w:rsidR="00F34228">
              <w:rPr>
                <w:sz w:val="18"/>
                <w:szCs w:val="18"/>
                <w:lang w:eastAsia="cs-CZ"/>
              </w:rPr>
              <w:t xml:space="preserve"> / 4.1.1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R1/T4 (93710) Podíl zemědělských podniků s podporou z PRV na investice do restrukturalizace nebo modernizace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26,45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7,51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26,45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7,51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28,26</w:t>
            </w:r>
            <w:r w:rsidR="002F71DD">
              <w:rPr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30,62</w:t>
            </w:r>
            <w:r w:rsidR="002F71DD">
              <w:rPr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115,77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115,77</w:t>
            </w:r>
          </w:p>
        </w:tc>
      </w:tr>
      <w:tr w:rsidR="00097F1C" w:rsidRPr="0003611E" w:rsidTr="00164C1B">
        <w:trPr>
          <w:trHeight w:val="4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92020 Podíl podniků, u kterých došlo ke zvýšení hrubé přidané hodnoty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30,00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30,00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30,00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30,00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49,7</w:t>
            </w:r>
            <w:r w:rsidR="002F71DD">
              <w:rPr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49,7</w:t>
            </w:r>
            <w:r w:rsidR="002F71DD">
              <w:rPr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165,67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165,67</w:t>
            </w:r>
          </w:p>
        </w:tc>
      </w:tr>
      <w:tr w:rsidR="00097F1C" w:rsidRPr="0003611E" w:rsidTr="00164C1B">
        <w:trPr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92010 Podíl podniků, u kterých došlo ke zvýšení výkonů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30,00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30,00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30,00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30,00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53,5</w:t>
            </w:r>
            <w:r w:rsidR="002F71DD">
              <w:rPr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53,5</w:t>
            </w:r>
            <w:r w:rsidR="002F71DD">
              <w:rPr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178,33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color w:val="auto"/>
                <w:sz w:val="18"/>
                <w:szCs w:val="18"/>
                <w:lang w:eastAsia="cs-CZ"/>
              </w:rPr>
              <w:t>178,33</w:t>
            </w:r>
          </w:p>
        </w:tc>
      </w:tr>
      <w:tr w:rsidR="00097F1C" w:rsidRPr="0003611E" w:rsidTr="00164C1B">
        <w:trPr>
          <w:trHeight w:val="104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7F1C" w:rsidRPr="0003611E" w:rsidRDefault="00097F1C" w:rsidP="004570EE">
            <w:pPr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93801 Změna hodnoty zemědělské produkce v přepočtu na plný ekvivalent pracovní síly (RPJ) u podpořených oproti nepodpořeným podnikům.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164C1B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5,00</w:t>
            </w:r>
            <w:r w:rsidR="002F71DD">
              <w:rPr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03611E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Vyhodnocení ex-post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03611E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Vyhodnocení ex-post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03611E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Vyhodnocení ex-post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F1C" w:rsidRPr="0003611E" w:rsidRDefault="00097F1C" w:rsidP="0003611E">
            <w:pPr>
              <w:spacing w:before="0"/>
              <w:jc w:val="center"/>
              <w:rPr>
                <w:sz w:val="18"/>
                <w:szCs w:val="18"/>
                <w:lang w:eastAsia="cs-CZ"/>
              </w:rPr>
            </w:pPr>
            <w:r w:rsidRPr="0003611E">
              <w:rPr>
                <w:sz w:val="18"/>
                <w:szCs w:val="18"/>
                <w:lang w:eastAsia="cs-CZ"/>
              </w:rPr>
              <w:t>Vyhodnocení ex-post</w:t>
            </w:r>
          </w:p>
        </w:tc>
      </w:tr>
    </w:tbl>
    <w:p w:rsidR="00F32161" w:rsidRPr="00127C87" w:rsidRDefault="00AA1CA1" w:rsidP="00164C1B">
      <w:pPr>
        <w:spacing w:before="40" w:after="240"/>
        <w:jc w:val="left"/>
        <w:rPr>
          <w:sz w:val="20"/>
          <w:szCs w:val="20"/>
        </w:rPr>
      </w:pPr>
      <w:r w:rsidRPr="00164C1B">
        <w:rPr>
          <w:b/>
          <w:sz w:val="20"/>
          <w:szCs w:val="20"/>
        </w:rPr>
        <w:t>Zdroj:</w:t>
      </w:r>
      <w:r w:rsidRPr="004570EE">
        <w:rPr>
          <w:sz w:val="20"/>
          <w:szCs w:val="20"/>
        </w:rPr>
        <w:t xml:space="preserve"> </w:t>
      </w:r>
      <w:r w:rsidR="00B541B6">
        <w:rPr>
          <w:sz w:val="20"/>
          <w:szCs w:val="20"/>
        </w:rPr>
        <w:t>p</w:t>
      </w:r>
      <w:r>
        <w:rPr>
          <w:sz w:val="20"/>
          <w:szCs w:val="20"/>
        </w:rPr>
        <w:t>rogramový dokument PRV 2014</w:t>
      </w:r>
      <w:r w:rsidR="004E2EE9">
        <w:rPr>
          <w:sz w:val="20"/>
          <w:szCs w:val="20"/>
        </w:rPr>
        <w:t>–</w:t>
      </w:r>
      <w:r>
        <w:rPr>
          <w:sz w:val="20"/>
          <w:szCs w:val="20"/>
        </w:rPr>
        <w:t xml:space="preserve">2020 a </w:t>
      </w:r>
      <w:r w:rsidRPr="00164C1B">
        <w:rPr>
          <w:i/>
          <w:sz w:val="20"/>
          <w:szCs w:val="20"/>
        </w:rPr>
        <w:t>Přehled plnění cílových hodnot indikátorů ke dni 30. 6. 2023</w:t>
      </w:r>
      <w:r>
        <w:rPr>
          <w:sz w:val="20"/>
        </w:rPr>
        <w:t>.</w:t>
      </w:r>
    </w:p>
    <w:p w:rsidR="004570EE" w:rsidRPr="00627AE3" w:rsidRDefault="004570EE" w:rsidP="00164C1B">
      <w:pPr>
        <w:spacing w:before="0" w:after="40"/>
        <w:jc w:val="left"/>
        <w:rPr>
          <w:i/>
        </w:rPr>
      </w:pPr>
      <w:r w:rsidRPr="00164C1B">
        <w:lastRenderedPageBreak/>
        <w:t>M06 –</w:t>
      </w:r>
      <w:r w:rsidRPr="00627AE3">
        <w:rPr>
          <w:i/>
        </w:rPr>
        <w:t xml:space="preserve"> Rozvoj zemědělských podniků a podnikatelské činnosti </w:t>
      </w:r>
    </w:p>
    <w:tbl>
      <w:tblPr>
        <w:tblW w:w="1406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3816"/>
        <w:gridCol w:w="1210"/>
        <w:gridCol w:w="1136"/>
        <w:gridCol w:w="1185"/>
        <w:gridCol w:w="1139"/>
        <w:gridCol w:w="1055"/>
        <w:gridCol w:w="1077"/>
        <w:gridCol w:w="1147"/>
        <w:gridCol w:w="1168"/>
      </w:tblGrid>
      <w:tr w:rsidR="007B5D1E" w:rsidRPr="002E13B3" w:rsidTr="00967F46">
        <w:trPr>
          <w:trHeight w:val="300"/>
          <w:tblHeader/>
        </w:trPr>
        <w:tc>
          <w:tcPr>
            <w:tcW w:w="14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7B5D1E" w:rsidRPr="0003611E" w:rsidRDefault="007B5D1E" w:rsidP="007B5D1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Změny indikátorů ve verzích programového dokumentu</w:t>
            </w:r>
            <w:r w:rsidR="00967F4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PRV 2014–2020</w:t>
            </w:r>
          </w:p>
        </w:tc>
      </w:tr>
      <w:tr w:rsidR="00967F46" w:rsidRPr="002E13B3" w:rsidTr="00757663">
        <w:trPr>
          <w:trHeight w:val="540"/>
          <w:tblHeader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7F46" w:rsidRPr="0003611E" w:rsidRDefault="00967F46" w:rsidP="002E13B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Typ indikátoru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/ </w:t>
            </w:r>
            <w:r w:rsidR="007D5D2D">
              <w:rPr>
                <w:b/>
                <w:bCs/>
                <w:sz w:val="18"/>
                <w:szCs w:val="18"/>
                <w:lang w:eastAsia="cs-CZ"/>
              </w:rPr>
              <w:t xml:space="preserve">číslo </w:t>
            </w:r>
            <w:r>
              <w:rPr>
                <w:b/>
                <w:bCs/>
                <w:sz w:val="18"/>
                <w:szCs w:val="18"/>
                <w:lang w:eastAsia="cs-CZ"/>
              </w:rPr>
              <w:t>operace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67F46" w:rsidRPr="007B5D1E" w:rsidRDefault="00967F46" w:rsidP="002E13B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cs-CZ"/>
              </w:rPr>
            </w:pPr>
            <w:r w:rsidRPr="007B5D1E">
              <w:rPr>
                <w:rFonts w:asciiTheme="minorHAnsi" w:hAnsiTheme="minorHAnsi" w:cstheme="minorHAnsi"/>
                <w:b/>
                <w:sz w:val="18"/>
                <w:szCs w:val="18"/>
                <w:lang w:eastAsia="cs-CZ"/>
              </w:rPr>
              <w:t>Název indikátoru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7F46" w:rsidRPr="0003611E" w:rsidRDefault="00967F46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Cílová hodnota indikátoru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–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 10. aktualizace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7F46" w:rsidRPr="0003611E" w:rsidRDefault="00967F46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Cílová hodnota indikátoru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–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 11. aktualizace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7F46" w:rsidRPr="0003611E" w:rsidRDefault="00967F46" w:rsidP="002E13B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Dosažená výše indikátoru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ke dni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 3</w:t>
            </w:r>
            <w:r w:rsidR="00C7570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1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. 3. 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7F46" w:rsidRPr="0003611E" w:rsidRDefault="00967F46" w:rsidP="002E13B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Dosažená výše indikátoru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ke dni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 30. 6. 2023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7F46" w:rsidRPr="0003611E" w:rsidRDefault="00967F46" w:rsidP="002E13B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% plnění k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30.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6. 2023 vůči 10. aktual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izaci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7F46" w:rsidRPr="0003611E" w:rsidRDefault="00967F46" w:rsidP="002E13B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% plnění k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30.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6. 2023 vůči 11. aktual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izaci</w:t>
            </w:r>
          </w:p>
        </w:tc>
      </w:tr>
      <w:tr w:rsidR="00967F46" w:rsidRPr="002E13B3" w:rsidTr="007D5D2D">
        <w:trPr>
          <w:trHeight w:val="600"/>
          <w:tblHeader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46" w:rsidRPr="0003611E" w:rsidRDefault="00967F46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46" w:rsidRPr="0003611E" w:rsidRDefault="00967F46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67F46" w:rsidRPr="0003611E" w:rsidRDefault="00967F46" w:rsidP="002E13B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10. aktualizace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7F46" w:rsidRPr="0003611E" w:rsidRDefault="00967F46" w:rsidP="002E13B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Financováno EURI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67F46" w:rsidRPr="0003611E" w:rsidRDefault="00967F46" w:rsidP="002E13B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11. aktualizace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7F46" w:rsidRPr="0003611E" w:rsidRDefault="00967F46" w:rsidP="002E13B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Financováno EURI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46" w:rsidRPr="0003611E" w:rsidRDefault="00967F46" w:rsidP="002E13B3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46" w:rsidRPr="0003611E" w:rsidRDefault="00967F46" w:rsidP="002E13B3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46" w:rsidRPr="0003611E" w:rsidRDefault="00967F46" w:rsidP="002E13B3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46" w:rsidRPr="0003611E" w:rsidRDefault="00967F46" w:rsidP="002E13B3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B5D1E" w:rsidRPr="002E13B3" w:rsidTr="00164C1B">
        <w:trPr>
          <w:trHeight w:val="300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F3422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Výstup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/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6.1.1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O.1 (92501) Celkové veřejné výdaje (6.1.1) 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v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EUR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57 272 242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6 013 290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56 714 940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5 905 988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48 658 894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48 926 509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85,43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86,27</w:t>
            </w:r>
          </w:p>
        </w:tc>
      </w:tr>
      <w:tr w:rsidR="007B5D1E" w:rsidRPr="002E13B3" w:rsidTr="00164C1B">
        <w:trPr>
          <w:trHeight w:val="30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O.2 (92500) Celkové investice (6.1.1)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v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EUR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76 762 342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8 059 650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65 222 181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6 791 886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59 612 416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59 684 835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77,75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91,51</w:t>
            </w:r>
          </w:p>
        </w:tc>
      </w:tr>
      <w:tr w:rsidR="007B5D1E" w:rsidRPr="002E13B3" w:rsidTr="00164C1B">
        <w:trPr>
          <w:trHeight w:val="30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O.4 (93701) Počet podpořených zemědělských podniků/příjemců (6.1.1)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1 273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</w:t>
            </w:r>
            <w:r w:rsidR="00C8653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</w:t>
            </w:r>
            <w:r w:rsidR="00C8653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257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99,76</w:t>
            </w:r>
          </w:p>
        </w:tc>
      </w:tr>
      <w:tr w:rsidR="007B5D1E" w:rsidRPr="002E13B3" w:rsidTr="00164C1B">
        <w:trPr>
          <w:trHeight w:val="293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2E13B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/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6.1.1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R3/T5 (94201) Podíl zemědělských podniků s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podporou z programu rozvoje venkova na plán rozvoje podnikatelské činnosti/investice pro mladé zemědělce (6.1.1)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4,85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0,51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4,80</w:t>
            </w:r>
            <w:r w:rsidR="00C8653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0,50</w:t>
            </w:r>
            <w:r w:rsidR="00C8653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4,79</w:t>
            </w:r>
            <w:r w:rsidR="00C8653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4,79</w:t>
            </w:r>
            <w:r w:rsidR="00C8653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98,76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99,79</w:t>
            </w:r>
          </w:p>
        </w:tc>
      </w:tr>
      <w:tr w:rsidR="007B5D1E" w:rsidRPr="002E13B3" w:rsidTr="00164C1B">
        <w:trPr>
          <w:trHeight w:val="293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93800 Standardní produkce (EUR) (6.1.1)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11 111 111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1 116 218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11 111 111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1 116 218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25</w:t>
            </w:r>
            <w:r w:rsidR="00C8653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774</w:t>
            </w:r>
            <w:r w:rsidR="00C8653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073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25 774 073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231,97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231,97</w:t>
            </w:r>
          </w:p>
        </w:tc>
      </w:tr>
      <w:tr w:rsidR="007B5D1E" w:rsidRPr="002E13B3" w:rsidTr="00164C1B">
        <w:trPr>
          <w:trHeight w:val="300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2E13B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Výstup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/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6.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.1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O.1 (92501) Celkové veřejné výdaje (6.4.1) 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v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EUR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63 652 657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tabs>
                <w:tab w:val="left" w:pos="331"/>
              </w:tabs>
              <w:spacing w:before="0"/>
              <w:ind w:right="-125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  <w:r>
              <w:rPr>
                <w:rStyle w:val="Znakapoznpodarou"/>
                <w:rFonts w:asciiTheme="minorHAnsi" w:hAnsiTheme="minorHAnsi" w:cstheme="minorHAnsi"/>
                <w:sz w:val="18"/>
                <w:szCs w:val="18"/>
                <w:lang w:eastAsia="cs-CZ"/>
              </w:rPr>
              <w:footnoteReference w:id="18"/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64 635 778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41 876 681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45 622 379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71,67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70,58</w:t>
            </w:r>
          </w:p>
        </w:tc>
      </w:tr>
      <w:tr w:rsidR="007B5D1E" w:rsidRPr="002E13B3" w:rsidTr="00164C1B">
        <w:trPr>
          <w:trHeight w:val="30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O.2 (92500) Celkové investice (6.4.1) 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v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EUR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159 673 359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162 139 527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97 632 845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106 483 220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66,69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65,67</w:t>
            </w:r>
          </w:p>
        </w:tc>
      </w:tr>
      <w:tr w:rsidR="007B5D1E" w:rsidRPr="002E13B3" w:rsidTr="00164C1B">
        <w:trPr>
          <w:trHeight w:val="30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O.3 (92702) Počet podpořených operací (6.4.1)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847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927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</w:t>
            </w:r>
            <w:r w:rsidR="00C8653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123,61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120,54</w:t>
            </w:r>
          </w:p>
        </w:tc>
      </w:tr>
      <w:tr w:rsidR="007B5D1E" w:rsidRPr="002E13B3" w:rsidTr="00164C1B">
        <w:trPr>
          <w:trHeight w:val="31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O.4 (93701) Počet podpořených zemědělských podniků/příjemců (6.4.1)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847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927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838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101,45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98,94</w:t>
            </w:r>
          </w:p>
        </w:tc>
      </w:tr>
      <w:tr w:rsidR="007B5D1E" w:rsidRPr="002E13B3" w:rsidTr="00164C1B">
        <w:trPr>
          <w:trHeight w:val="300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2E13B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/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6.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.1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R21/T20 (94700) Pracovní místa vytvořená v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rámci projektů (6.4.1)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467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358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379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82,39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81,16</w:t>
            </w:r>
          </w:p>
        </w:tc>
      </w:tr>
      <w:tr w:rsidR="007B5D1E" w:rsidRPr="002E13B3" w:rsidTr="00164C1B">
        <w:trPr>
          <w:trHeight w:val="39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T16 (94510) Celkové investice do výroby energie z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obnovitelných zdrojů (EUR)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4 497 331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4 497 331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</w:tr>
      <w:tr w:rsidR="007B5D1E" w:rsidRPr="002E13B3" w:rsidTr="00164C1B">
        <w:trPr>
          <w:trHeight w:val="30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92512 Podíl celkových veřejných výdajů na operaci k celkovému rozpočtu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1,33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1,35</w:t>
            </w:r>
            <w:r w:rsidR="00C8653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0,873</w:t>
            </w:r>
            <w:r w:rsidR="00C8653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0,951</w:t>
            </w:r>
            <w:r w:rsidR="00C8653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71,50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70,44</w:t>
            </w:r>
          </w:p>
        </w:tc>
      </w:tr>
      <w:tr w:rsidR="007D5D2D" w:rsidRPr="002E13B3" w:rsidTr="007D5D2D">
        <w:trPr>
          <w:trHeight w:val="94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93720 Podíl zemědělských podniků s podporou z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PRV do investic na založení nebo rozvoj nezemědělských činností (6.4.1) vůči všem zemědělským podnikům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3,15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3,23</w:t>
            </w:r>
            <w:r w:rsidR="00C8653E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3,532</w:t>
            </w:r>
            <w:r w:rsidR="00C8653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3,193</w:t>
            </w:r>
            <w:r w:rsidR="00C8653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101,37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98,85</w:t>
            </w:r>
          </w:p>
        </w:tc>
      </w:tr>
      <w:tr w:rsidR="007D5D2D" w:rsidRPr="002E13B3" w:rsidTr="007D5D2D">
        <w:trPr>
          <w:trHeight w:val="39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C8653E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92020 Podíl podniků, u kterých došlo ke zvýšení hrubé přidané hodnoty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30,00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30,00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974826" w:rsidRDefault="007B5D1E" w:rsidP="00C8653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56,3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56,3</w:t>
            </w:r>
            <w:r w:rsidR="00C8653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187,67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187,67</w:t>
            </w:r>
          </w:p>
        </w:tc>
      </w:tr>
      <w:tr w:rsidR="00967F46" w:rsidRPr="002E13B3" w:rsidTr="00A532A7">
        <w:trPr>
          <w:trHeight w:val="454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2E13B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lastRenderedPageBreak/>
              <w:t>Výstup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/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6.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O.1 (92501) Celkové veřejné výdaje (6.4.2) 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v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EUR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20 874 181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19 841 015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14 508 401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15 377 157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73,67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77,50</w:t>
            </w:r>
          </w:p>
        </w:tc>
      </w:tr>
      <w:tr w:rsidR="00967F46" w:rsidRPr="002E13B3" w:rsidTr="00A532A7">
        <w:trPr>
          <w:trHeight w:val="454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O.2 (92500) Celkové investice (6.4.2) 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v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EUR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47 441 320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45 093 216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28 350 475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30 284 796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63,84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67,16</w:t>
            </w:r>
          </w:p>
        </w:tc>
      </w:tr>
      <w:tr w:rsidR="00967F46" w:rsidRPr="002E13B3" w:rsidTr="00A532A7">
        <w:trPr>
          <w:trHeight w:val="454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O.3 (92702) Počet podpořených operací (6.4.2)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72,73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76,60</w:t>
            </w:r>
          </w:p>
        </w:tc>
      </w:tr>
      <w:tr w:rsidR="00967F46" w:rsidRPr="002E13B3" w:rsidTr="001865FA">
        <w:trPr>
          <w:trHeight w:val="567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O.4 (93701) Počet podpořených zemědělských podniků/příjemců (6.4.2)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66,16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69,68</w:t>
            </w:r>
          </w:p>
        </w:tc>
      </w:tr>
      <w:tr w:rsidR="00967F46" w:rsidRPr="002E13B3" w:rsidTr="001865FA">
        <w:trPr>
          <w:trHeight w:val="567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2E13B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/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6.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R21/T20 (94700) Pracovní místa vytvořená v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rámci projektů (6.4.2)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84,21</w:t>
            </w:r>
          </w:p>
        </w:tc>
      </w:tr>
      <w:tr w:rsidR="00967F46" w:rsidRPr="002E13B3" w:rsidTr="001865FA">
        <w:trPr>
          <w:trHeight w:val="567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92512 Podíl celkových veřejných výdajů na operaci k celkovému rozpočtu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0,44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0,41</w:t>
            </w:r>
            <w:r w:rsidR="007D5D2D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0,302</w:t>
            </w:r>
            <w:r w:rsidR="007D5D2D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0,320</w:t>
            </w:r>
            <w:r w:rsidR="007D5D2D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72,73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78,05</w:t>
            </w:r>
          </w:p>
        </w:tc>
      </w:tr>
      <w:tr w:rsidR="00967F46" w:rsidRPr="002E13B3" w:rsidTr="00FC3830">
        <w:trPr>
          <w:trHeight w:val="964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93720 Podíl zemědělských podniků s podporou z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PRV do investic na založení nebo rozvoj nezemědělských činností (6.4.2) vůči všem zemědělským podnikům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0,75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0,71</w:t>
            </w:r>
            <w:r w:rsidR="007D5D2D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0,518</w:t>
            </w:r>
            <w:r w:rsidR="007D5D2D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0,500</w:t>
            </w:r>
            <w:r w:rsidR="007D5D2D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66,67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FF0000"/>
                <w:sz w:val="18"/>
                <w:szCs w:val="18"/>
                <w:lang w:eastAsia="cs-CZ"/>
              </w:rPr>
              <w:t>70,42</w:t>
            </w:r>
          </w:p>
        </w:tc>
      </w:tr>
      <w:tr w:rsidR="00967F46" w:rsidRPr="002E13B3" w:rsidTr="001865FA">
        <w:trPr>
          <w:trHeight w:val="567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92020 Podíl podniků, u kterých došlo ke zvýšení hrubé přidané hodnoty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30,00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30,00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56,3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56,3</w:t>
            </w:r>
            <w:r w:rsidR="007D5D2D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187,67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187,67</w:t>
            </w:r>
          </w:p>
        </w:tc>
      </w:tr>
      <w:tr w:rsidR="00967F46" w:rsidRPr="002E13B3" w:rsidTr="00A532A7">
        <w:trPr>
          <w:trHeight w:val="454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03611E" w:rsidRDefault="007B5D1E" w:rsidP="002E13B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Výstup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/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6.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O.1 (92501) Celkové veřejné výdaje (6.4.3) 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v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EUR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852 359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852 359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852 360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852 360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100,00</w:t>
            </w:r>
          </w:p>
        </w:tc>
      </w:tr>
      <w:tr w:rsidR="00967F46" w:rsidRPr="002E13B3" w:rsidTr="00A532A7">
        <w:trPr>
          <w:trHeight w:val="454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O.2 (92500) Celkové investice (6.4.3) </w:t>
            </w:r>
            <w:r w:rsidR="007D5D2D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v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EUR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2 047 785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2 047 785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2 047 785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2 047 785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100,00</w:t>
            </w:r>
          </w:p>
        </w:tc>
      </w:tr>
      <w:tr w:rsidR="00967F46" w:rsidRPr="002E13B3" w:rsidTr="00A532A7">
        <w:trPr>
          <w:trHeight w:val="454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O.3 (92702) Počet podpořených operací (6.4.3)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100,00</w:t>
            </w:r>
          </w:p>
        </w:tc>
      </w:tr>
      <w:tr w:rsidR="00967F46" w:rsidRPr="002E13B3" w:rsidTr="001865FA">
        <w:trPr>
          <w:trHeight w:val="567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Pr="0003611E" w:rsidRDefault="007B5D1E" w:rsidP="002E13B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E" w:rsidRPr="0003611E" w:rsidRDefault="007B5D1E" w:rsidP="007D5D2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O.4 (93701) Počet podpořených zemědělských podniků/příjemců (6.4.3)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7D5D2D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03611E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E" w:rsidRPr="00974826" w:rsidRDefault="007B5D1E" w:rsidP="00164C1B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974826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100,00</w:t>
            </w:r>
          </w:p>
        </w:tc>
      </w:tr>
    </w:tbl>
    <w:p w:rsidR="00A532A7" w:rsidRDefault="00A532A7" w:rsidP="00D17BAD">
      <w:pPr>
        <w:spacing w:before="0"/>
      </w:pPr>
    </w:p>
    <w:tbl>
      <w:tblPr>
        <w:tblW w:w="1406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816"/>
        <w:gridCol w:w="1210"/>
        <w:gridCol w:w="1136"/>
        <w:gridCol w:w="1185"/>
        <w:gridCol w:w="1140"/>
        <w:gridCol w:w="1055"/>
        <w:gridCol w:w="1077"/>
        <w:gridCol w:w="1147"/>
        <w:gridCol w:w="1157"/>
        <w:gridCol w:w="12"/>
      </w:tblGrid>
      <w:tr w:rsidR="00A532A7" w:rsidRPr="0003611E" w:rsidTr="00757663">
        <w:trPr>
          <w:trHeight w:val="300"/>
          <w:tblHeader/>
        </w:trPr>
        <w:tc>
          <w:tcPr>
            <w:tcW w:w="1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</w:tcPr>
          <w:p w:rsidR="00A532A7" w:rsidRPr="0003611E" w:rsidRDefault="00A532A7" w:rsidP="00A532A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lastRenderedPageBreak/>
              <w:t>Změny indikátorů ve verzích programového dokumentu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PRV 2014–2020</w:t>
            </w:r>
          </w:p>
        </w:tc>
      </w:tr>
      <w:tr w:rsidR="00757663" w:rsidRPr="0003611E" w:rsidTr="00324026">
        <w:trPr>
          <w:trHeight w:val="539"/>
          <w:tblHeader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7663" w:rsidRPr="0003611E" w:rsidRDefault="00757663" w:rsidP="00A532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b/>
                <w:bCs/>
                <w:sz w:val="18"/>
                <w:szCs w:val="18"/>
                <w:lang w:eastAsia="cs-CZ"/>
              </w:rPr>
              <w:t>Typ indikátoru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/ číslo operace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57663" w:rsidRPr="007B5D1E" w:rsidRDefault="00757663" w:rsidP="00A532A7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cs-CZ"/>
              </w:rPr>
            </w:pPr>
            <w:r w:rsidRPr="007B5D1E">
              <w:rPr>
                <w:rFonts w:asciiTheme="minorHAnsi" w:hAnsiTheme="minorHAnsi" w:cstheme="minorHAnsi"/>
                <w:b/>
                <w:sz w:val="18"/>
                <w:szCs w:val="18"/>
                <w:lang w:eastAsia="cs-CZ"/>
              </w:rPr>
              <w:t>Název indikátoru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Cílová hodnota indikátoru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–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 10. aktualizace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Cílová hodnota indikátoru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–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 11. aktualizace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7663" w:rsidRPr="0003611E" w:rsidRDefault="00757663" w:rsidP="00A532A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Dosažená výše indikátoru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ke dni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 3</w:t>
            </w:r>
            <w:r w:rsidR="00337A1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1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. 3. 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7663" w:rsidRPr="0003611E" w:rsidRDefault="00757663" w:rsidP="00A532A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Dosažená výše indikátoru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ke dni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 30. 6. 2023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7663" w:rsidRPr="0003611E" w:rsidRDefault="00757663" w:rsidP="00A532A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% plnění k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30.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6. 2023 vůči 10. aktual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izaci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57663" w:rsidRPr="0003611E" w:rsidRDefault="00757663" w:rsidP="00A532A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% plnění k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30.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6. 2023 vůči 11. aktual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izaci</w:t>
            </w:r>
          </w:p>
        </w:tc>
      </w:tr>
      <w:tr w:rsidR="00757663" w:rsidRPr="0003611E" w:rsidTr="00324026">
        <w:trPr>
          <w:trHeight w:val="315"/>
          <w:tblHeader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57663" w:rsidRPr="0003611E" w:rsidRDefault="00757663" w:rsidP="00757663">
            <w:pPr>
              <w:spacing w:before="0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757663" w:rsidRPr="007B5D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10. aktualizace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Financováno EURI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11. aktualizace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Financováno EURI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57663" w:rsidRPr="002E13B3" w:rsidTr="00324026">
        <w:trPr>
          <w:trHeight w:val="570"/>
          <w:tblHeader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Výsledek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/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6.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</w:t>
            </w:r>
          </w:p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92512 Podíl celkových veřejných výdajů na operaci k celkovému rozpočtu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0,02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0,018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0,018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88,82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88,82</w:t>
            </w:r>
          </w:p>
        </w:tc>
      </w:tr>
      <w:tr w:rsidR="00757663" w:rsidRPr="002E13B3" w:rsidTr="00FC3830">
        <w:trPr>
          <w:trHeight w:val="964"/>
          <w:tblHeader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63" w:rsidRPr="0003611E" w:rsidRDefault="00757663" w:rsidP="0075766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93720 Podíl zemědělských podniků s podporou z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PRV do investic na založení nebo rozvoj nezemědělských činností (6.4.3) vůči všem zemědělským podnikům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0,05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0,05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0,053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0,050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100,00</w:t>
            </w:r>
          </w:p>
        </w:tc>
      </w:tr>
      <w:tr w:rsidR="00757663" w:rsidRPr="002E13B3" w:rsidTr="00757663">
        <w:trPr>
          <w:gridAfter w:val="1"/>
          <w:wAfter w:w="12" w:type="dxa"/>
          <w:trHeight w:val="571"/>
          <w:tblHeader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63" w:rsidRPr="0003611E" w:rsidRDefault="00757663" w:rsidP="0075766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92020 Podíl podniků, u kterých došlo ke zvýšení hrubé přidané hodnoty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30,00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30,00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</w:t>
            </w:r>
          </w:p>
        </w:tc>
      </w:tr>
      <w:tr w:rsidR="00757663" w:rsidRPr="002E13B3" w:rsidTr="00757663">
        <w:trPr>
          <w:gridAfter w:val="1"/>
          <w:wAfter w:w="12" w:type="dxa"/>
          <w:trHeight w:val="623"/>
          <w:tblHeader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63" w:rsidRPr="0003611E" w:rsidRDefault="00757663" w:rsidP="0075766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63" w:rsidRPr="0003611E" w:rsidRDefault="00757663" w:rsidP="0075766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T16 (94510) Celkové investice do výroby energie z</w:t>
            </w:r>
            <w:r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 </w:t>
            </w: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obnovitelných zdrojů (EUR)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2 047 785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2 047 785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NR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2 047 785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color w:val="auto"/>
                <w:sz w:val="18"/>
                <w:szCs w:val="18"/>
                <w:lang w:eastAsia="cs-CZ"/>
              </w:rPr>
              <w:t>2 047 785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63" w:rsidRPr="0003611E" w:rsidRDefault="00757663" w:rsidP="00757663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03611E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100</w:t>
            </w:r>
          </w:p>
        </w:tc>
      </w:tr>
    </w:tbl>
    <w:p w:rsidR="00AA1CA1" w:rsidRDefault="00AA1CA1" w:rsidP="00D17BAD">
      <w:pPr>
        <w:spacing w:before="40"/>
        <w:jc w:val="left"/>
        <w:rPr>
          <w:sz w:val="20"/>
          <w:szCs w:val="20"/>
        </w:rPr>
      </w:pPr>
      <w:r w:rsidRPr="00164C1B">
        <w:rPr>
          <w:b/>
          <w:sz w:val="20"/>
          <w:szCs w:val="20"/>
        </w:rPr>
        <w:t>Zdroj:</w:t>
      </w:r>
      <w:r w:rsidRPr="004570EE">
        <w:rPr>
          <w:sz w:val="20"/>
          <w:szCs w:val="20"/>
        </w:rPr>
        <w:t xml:space="preserve"> </w:t>
      </w:r>
      <w:r w:rsidR="00164C1B">
        <w:rPr>
          <w:sz w:val="20"/>
          <w:szCs w:val="20"/>
        </w:rPr>
        <w:t>p</w:t>
      </w:r>
      <w:r>
        <w:rPr>
          <w:sz w:val="20"/>
          <w:szCs w:val="20"/>
        </w:rPr>
        <w:t>rogramový dokument PRV 2014</w:t>
      </w:r>
      <w:r w:rsidR="004E2EE9">
        <w:rPr>
          <w:sz w:val="20"/>
          <w:szCs w:val="20"/>
        </w:rPr>
        <w:t>–</w:t>
      </w:r>
      <w:r>
        <w:rPr>
          <w:sz w:val="20"/>
          <w:szCs w:val="20"/>
        </w:rPr>
        <w:t xml:space="preserve">2020 a </w:t>
      </w:r>
      <w:r w:rsidRPr="00D17BAD">
        <w:rPr>
          <w:i/>
          <w:sz w:val="20"/>
          <w:szCs w:val="20"/>
        </w:rPr>
        <w:t>Přehled plnění cílových hodnot indikátorů ke dni 30. 6. 2023</w:t>
      </w:r>
      <w:r>
        <w:rPr>
          <w:sz w:val="20"/>
        </w:rPr>
        <w:t>.</w:t>
      </w:r>
    </w:p>
    <w:p w:rsidR="004570EE" w:rsidRPr="004570EE" w:rsidRDefault="004570EE" w:rsidP="00AA1CA1">
      <w:pPr>
        <w:jc w:val="left"/>
        <w:rPr>
          <w:b/>
        </w:rPr>
      </w:pPr>
    </w:p>
    <w:sectPr w:rsidR="004570EE" w:rsidRPr="004570EE" w:rsidSect="00C016D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CE" w:rsidRDefault="00985BCE">
      <w:pPr>
        <w:spacing w:before="0"/>
      </w:pPr>
      <w:r>
        <w:separator/>
      </w:r>
    </w:p>
  </w:endnote>
  <w:endnote w:type="continuationSeparator" w:id="0">
    <w:p w:rsidR="00985BCE" w:rsidRDefault="00985B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MT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595214"/>
      <w:docPartObj>
        <w:docPartGallery w:val="Page Numbers (Bottom of Page)"/>
        <w:docPartUnique/>
      </w:docPartObj>
    </w:sdtPr>
    <w:sdtEndPr/>
    <w:sdtContent>
      <w:p w:rsidR="0069354D" w:rsidRDefault="006935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9354D" w:rsidRDefault="006935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4D" w:rsidRDefault="0069354D">
    <w:pPr>
      <w:pStyle w:val="Zpat"/>
      <w:jc w:val="center"/>
    </w:pPr>
  </w:p>
  <w:p w:rsidR="0069354D" w:rsidRDefault="006935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CE" w:rsidRDefault="00985BCE" w:rsidP="004F24F4">
      <w:r>
        <w:separator/>
      </w:r>
    </w:p>
  </w:footnote>
  <w:footnote w:type="continuationSeparator" w:id="0">
    <w:p w:rsidR="00985BCE" w:rsidRDefault="00985BCE" w:rsidP="004F24F4">
      <w:r>
        <w:continuationSeparator/>
      </w:r>
    </w:p>
  </w:footnote>
  <w:footnote w:id="1">
    <w:p w:rsidR="0069354D" w:rsidRDefault="0069354D" w:rsidP="00ED0FD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27D60">
        <w:rPr>
          <w:rFonts w:asciiTheme="minorHAnsi" w:hAnsiTheme="minorHAnsi" w:cstheme="minorHAnsi"/>
        </w:rPr>
        <w:t xml:space="preserve">SMART cíle jsou: konkrétní (Specific), měřitelné (Measurable), dosažitelné (Attainable), </w:t>
      </w:r>
      <w:r>
        <w:rPr>
          <w:rFonts w:asciiTheme="minorHAnsi" w:hAnsiTheme="minorHAnsi" w:cstheme="minorHAnsi"/>
        </w:rPr>
        <w:t>relevantní</w:t>
      </w:r>
      <w:r w:rsidRPr="00827D60">
        <w:rPr>
          <w:rFonts w:asciiTheme="minorHAnsi" w:hAnsiTheme="minorHAnsi" w:cstheme="minorHAnsi"/>
        </w:rPr>
        <w:t xml:space="preserve"> (Relevant) </w:t>
      </w:r>
      <w:r>
        <w:rPr>
          <w:rFonts w:asciiTheme="minorHAnsi" w:hAnsiTheme="minorHAnsi" w:cstheme="minorHAnsi"/>
        </w:rPr>
        <w:br/>
      </w:r>
      <w:r w:rsidRPr="00827D60">
        <w:rPr>
          <w:rFonts w:asciiTheme="minorHAnsi" w:hAnsiTheme="minorHAnsi" w:cstheme="minorHAnsi"/>
        </w:rPr>
        <w:t>a časově vymezené (</w:t>
      </w:r>
      <w:r w:rsidRPr="00ED0FD5">
        <w:rPr>
          <w:rFonts w:asciiTheme="minorHAnsi" w:hAnsiTheme="minorHAnsi" w:cstheme="minorHAnsi"/>
          <w:lang w:val="en-GB"/>
        </w:rPr>
        <w:t>Timely</w:t>
      </w:r>
      <w:r w:rsidRPr="00827D60">
        <w:rPr>
          <w:rFonts w:asciiTheme="minorHAnsi" w:hAnsiTheme="minorHAnsi" w:cstheme="minorHAnsi"/>
        </w:rPr>
        <w:t>).</w:t>
      </w:r>
    </w:p>
  </w:footnote>
  <w:footnote w:id="2">
    <w:p w:rsidR="0069354D" w:rsidRPr="00E745AB" w:rsidRDefault="0069354D" w:rsidP="00ED0FD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C1868">
        <w:rPr>
          <w:rFonts w:asciiTheme="minorHAnsi" w:hAnsiTheme="minorHAnsi" w:cstheme="minorHAnsi"/>
        </w:rPr>
        <w:t>Strategický dokument schválený usnesení</w:t>
      </w:r>
      <w:r>
        <w:rPr>
          <w:rFonts w:asciiTheme="minorHAnsi" w:hAnsiTheme="minorHAnsi" w:cstheme="minorHAnsi"/>
        </w:rPr>
        <w:t>m</w:t>
      </w:r>
      <w:r w:rsidRPr="00DC1868">
        <w:rPr>
          <w:rFonts w:asciiTheme="minorHAnsi" w:hAnsiTheme="minorHAnsi" w:cstheme="minorHAnsi"/>
        </w:rPr>
        <w:t xml:space="preserve"> vlády České republiky ze dne 2. května 2016 č. 392, </w:t>
      </w:r>
      <w:r w:rsidRPr="00D17BAD">
        <w:rPr>
          <w:rFonts w:asciiTheme="minorHAnsi" w:hAnsiTheme="minorHAnsi" w:cstheme="minorHAnsi"/>
          <w:i/>
        </w:rPr>
        <w:t>ke</w:t>
      </w:r>
      <w:r>
        <w:rPr>
          <w:rFonts w:asciiTheme="minorHAnsi" w:hAnsiTheme="minorHAnsi" w:cstheme="minorHAnsi"/>
          <w:i/>
        </w:rPr>
        <w:t xml:space="preserve"> </w:t>
      </w:r>
      <w:r w:rsidRPr="00D17BAD">
        <w:rPr>
          <w:rFonts w:asciiTheme="minorHAnsi" w:hAnsiTheme="minorHAnsi" w:cstheme="minorHAnsi"/>
          <w:i/>
        </w:rPr>
        <w:t xml:space="preserve">Strategii resortu Ministerstva zemědělství České republiky s výhledem </w:t>
      </w:r>
      <w:r>
        <w:rPr>
          <w:rFonts w:asciiTheme="minorHAnsi" w:hAnsiTheme="minorHAnsi" w:cstheme="minorHAnsi"/>
          <w:i/>
        </w:rPr>
        <w:t>do</w:t>
      </w:r>
      <w:r w:rsidRPr="00D17BAD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r</w:t>
      </w:r>
      <w:r w:rsidRPr="00D17BAD">
        <w:rPr>
          <w:rFonts w:asciiTheme="minorHAnsi" w:hAnsiTheme="minorHAnsi" w:cstheme="minorHAnsi"/>
          <w:i/>
        </w:rPr>
        <w:t>oku 2030</w:t>
      </w:r>
      <w:r>
        <w:rPr>
          <w:rFonts w:asciiTheme="minorHAnsi" w:hAnsiTheme="minorHAnsi" w:cstheme="minorHAnsi"/>
          <w:bCs/>
        </w:rPr>
        <w:t xml:space="preserve">. </w:t>
      </w:r>
    </w:p>
  </w:footnote>
  <w:footnote w:id="3">
    <w:p w:rsidR="0069354D" w:rsidRDefault="0069354D" w:rsidP="00D17BA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828BC">
        <w:t>Usnesení vlády České republiky ze dne 9. července 2014 č. 532</w:t>
      </w:r>
      <w:r>
        <w:t>,</w:t>
      </w:r>
      <w:r w:rsidRPr="005828BC">
        <w:t xml:space="preserve"> </w:t>
      </w:r>
      <w:r w:rsidRPr="00D17BAD">
        <w:rPr>
          <w:i/>
        </w:rPr>
        <w:t>o Programu rozvoje venkova na období let 2014 až 2020</w:t>
      </w:r>
      <w:r>
        <w:t xml:space="preserve">. </w:t>
      </w:r>
    </w:p>
  </w:footnote>
  <w:footnote w:id="4">
    <w:p w:rsidR="0069354D" w:rsidRPr="00BE5A03" w:rsidRDefault="0069354D" w:rsidP="00D17BAD">
      <w:pPr>
        <w:pStyle w:val="Textpoznpodarou"/>
        <w:ind w:left="284" w:hanging="284"/>
        <w:rPr>
          <w:rFonts w:asciiTheme="minorHAnsi" w:hAnsiTheme="minorHAnsi" w:cstheme="minorHAnsi"/>
        </w:rPr>
      </w:pPr>
      <w:r w:rsidRPr="00BE5A03">
        <w:rPr>
          <w:rStyle w:val="Znakapoznpodarou"/>
          <w:rFonts w:asciiTheme="minorHAnsi" w:hAnsiTheme="minorHAnsi" w:cstheme="minorHAnsi"/>
        </w:rPr>
        <w:footnoteRef/>
      </w:r>
      <w:r w:rsidRPr="00BE5A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E5A03">
        <w:rPr>
          <w:rFonts w:asciiTheme="minorHAnsi" w:hAnsiTheme="minorHAnsi" w:cstheme="minorHAnsi"/>
        </w:rPr>
        <w:t>Alokaci na PRV 2014</w:t>
      </w:r>
      <w:r w:rsidRPr="004E2EE9">
        <w:rPr>
          <w:rFonts w:asciiTheme="minorHAnsi" w:hAnsiTheme="minorHAnsi" w:cstheme="minorHAnsi"/>
        </w:rPr>
        <w:t>–</w:t>
      </w:r>
      <w:r w:rsidRPr="00BE5A03">
        <w:rPr>
          <w:rFonts w:asciiTheme="minorHAnsi" w:hAnsiTheme="minorHAnsi" w:cstheme="minorHAnsi"/>
        </w:rPr>
        <w:t xml:space="preserve">2020 schválila Evropská komise v eurech. Celková částka alokovaná na realizaci programu je 3 076 mil. </w:t>
      </w:r>
      <w:r>
        <w:rPr>
          <w:rFonts w:asciiTheme="minorHAnsi" w:hAnsiTheme="minorHAnsi" w:cstheme="minorHAnsi"/>
        </w:rPr>
        <w:t>€</w:t>
      </w:r>
      <w:r w:rsidRPr="00BE5A03">
        <w:rPr>
          <w:rFonts w:asciiTheme="minorHAnsi" w:hAnsiTheme="minorHAnsi" w:cstheme="minorHAnsi"/>
        </w:rPr>
        <w:t xml:space="preserve">. NKÚ provedl přepočet měnovým kurzem 24,075 </w:t>
      </w:r>
      <w:r>
        <w:rPr>
          <w:rFonts w:asciiTheme="minorHAnsi" w:hAnsiTheme="minorHAnsi" w:cstheme="minorHAnsi"/>
        </w:rPr>
        <w:t>Kč/€</w:t>
      </w:r>
      <w:r w:rsidRPr="00BE5A03">
        <w:rPr>
          <w:rFonts w:asciiTheme="minorHAnsi" w:hAnsiTheme="minorHAnsi" w:cstheme="minorHAnsi"/>
        </w:rPr>
        <w:t xml:space="preserve"> určeným Č</w:t>
      </w:r>
      <w:r>
        <w:rPr>
          <w:rFonts w:asciiTheme="minorHAnsi" w:hAnsiTheme="minorHAnsi" w:cstheme="minorHAnsi"/>
        </w:rPr>
        <w:t>eskou národní bankou</w:t>
      </w:r>
      <w:r w:rsidRPr="00BE5A03">
        <w:rPr>
          <w:rFonts w:asciiTheme="minorHAnsi" w:hAnsiTheme="minorHAnsi" w:cstheme="minorHAnsi"/>
        </w:rPr>
        <w:t xml:space="preserve"> ke dni 31.</w:t>
      </w:r>
      <w:r>
        <w:rPr>
          <w:rFonts w:asciiTheme="minorHAnsi" w:hAnsiTheme="minorHAnsi" w:cstheme="minorHAnsi"/>
        </w:rPr>
        <w:t xml:space="preserve"> </w:t>
      </w:r>
      <w:r w:rsidRPr="00BE5A03">
        <w:rPr>
          <w:rFonts w:asciiTheme="minorHAnsi" w:hAnsiTheme="minorHAnsi" w:cstheme="minorHAnsi"/>
        </w:rPr>
        <w:t xml:space="preserve">8. 2023. I další částky uvedené v kontrolním závěru jsou přepočteny tímto kurzem. </w:t>
      </w:r>
    </w:p>
  </w:footnote>
  <w:footnote w:id="5">
    <w:p w:rsidR="0069354D" w:rsidRPr="005C3D94" w:rsidRDefault="0069354D" w:rsidP="00D17BAD">
      <w:pPr>
        <w:pStyle w:val="Textpoznpodarou"/>
        <w:ind w:left="284" w:hanging="284"/>
        <w:rPr>
          <w:rFonts w:asciiTheme="minorHAnsi" w:hAnsiTheme="minorHAnsi" w:cstheme="minorHAnsi"/>
        </w:rPr>
      </w:pPr>
      <w:r w:rsidRPr="005C3D94">
        <w:rPr>
          <w:rStyle w:val="Znakapoznpodarou"/>
          <w:rFonts w:asciiTheme="minorHAnsi" w:hAnsiTheme="minorHAnsi" w:cstheme="minorHAnsi"/>
        </w:rPr>
        <w:footnoteRef/>
      </w:r>
      <w:r w:rsidRPr="005C3D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961C1">
        <w:rPr>
          <w:rFonts w:asciiTheme="minorHAnsi" w:hAnsiTheme="minorHAnsi" w:cstheme="minorHAnsi"/>
        </w:rPr>
        <w:t xml:space="preserve">Nařízení Evropského parlamentu a Rady č. 1305/2013 </w:t>
      </w:r>
      <w:r w:rsidRPr="005C3D94">
        <w:rPr>
          <w:rFonts w:asciiTheme="minorHAnsi" w:hAnsiTheme="minorHAnsi" w:cstheme="minorHAnsi"/>
        </w:rPr>
        <w:t>ze dne 17. prosince 2013</w:t>
      </w:r>
      <w:r>
        <w:rPr>
          <w:rFonts w:asciiTheme="minorHAnsi" w:hAnsiTheme="minorHAnsi" w:cstheme="minorHAnsi"/>
        </w:rPr>
        <w:t>,</w:t>
      </w:r>
      <w:r w:rsidRPr="005C3D94">
        <w:rPr>
          <w:rFonts w:asciiTheme="minorHAnsi" w:hAnsiTheme="minorHAnsi" w:cstheme="minorHAnsi"/>
        </w:rPr>
        <w:t xml:space="preserve"> o podpoře pro rozvoj venkova z Evropského zemědělského fondu pro rozvoj venkova (EZFRV) a o zrušení nařízení Rady (ES) č. 1698/2005</w:t>
      </w:r>
      <w:r>
        <w:rPr>
          <w:rFonts w:asciiTheme="minorHAnsi" w:hAnsiTheme="minorHAnsi" w:cstheme="minorHAnsi"/>
        </w:rPr>
        <w:t>.</w:t>
      </w:r>
    </w:p>
  </w:footnote>
  <w:footnote w:id="6">
    <w:p w:rsidR="0069354D" w:rsidRDefault="0069354D" w:rsidP="00D17BAD">
      <w:pPr>
        <w:pStyle w:val="Textpoznpodarou"/>
        <w:ind w:left="284" w:hanging="284"/>
      </w:pPr>
      <w:r w:rsidRPr="00A606ED">
        <w:rPr>
          <w:rStyle w:val="Znakapoznpodarou"/>
        </w:rPr>
        <w:footnoteRef/>
      </w:r>
      <w:r w:rsidRPr="00A606ED">
        <w:t xml:space="preserve"> </w:t>
      </w:r>
      <w:r>
        <w:tab/>
      </w:r>
      <w:r w:rsidRPr="00A606ED">
        <w:rPr>
          <w:rFonts w:asciiTheme="minorHAnsi" w:hAnsiTheme="minorHAnsi" w:cstheme="minorHAnsi"/>
        </w:rPr>
        <w:t>Nařízení Evropského parlamentu a Rady (EU) č. 1306/2013</w:t>
      </w:r>
      <w:r w:rsidRPr="008D3E84">
        <w:rPr>
          <w:rFonts w:asciiTheme="minorHAnsi" w:hAnsiTheme="minorHAnsi" w:cstheme="minorHAnsi"/>
        </w:rPr>
        <w:t xml:space="preserve"> ze dne 17. prosince 2013</w:t>
      </w:r>
      <w:r>
        <w:rPr>
          <w:rFonts w:asciiTheme="minorHAnsi" w:hAnsiTheme="minorHAnsi" w:cstheme="minorHAnsi"/>
        </w:rPr>
        <w:t>,</w:t>
      </w:r>
      <w:r w:rsidRPr="008D3E84">
        <w:rPr>
          <w:rFonts w:asciiTheme="minorHAnsi" w:hAnsiTheme="minorHAnsi" w:cstheme="minorHAnsi"/>
        </w:rPr>
        <w:t xml:space="preserve"> o financování, řízení </w:t>
      </w:r>
      <w:r>
        <w:rPr>
          <w:rFonts w:asciiTheme="minorHAnsi" w:hAnsiTheme="minorHAnsi" w:cstheme="minorHAnsi"/>
        </w:rPr>
        <w:br/>
      </w:r>
      <w:r w:rsidRPr="008D3E8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8D3E84">
        <w:rPr>
          <w:rFonts w:asciiTheme="minorHAnsi" w:hAnsiTheme="minorHAnsi" w:cstheme="minorHAnsi"/>
        </w:rPr>
        <w:t>sledování společné zemědělské politiky a o zrušení nařízení Rady (EHS) č. 352/78, (ES) č. 165/94, (ES)</w:t>
      </w:r>
      <w:r>
        <w:rPr>
          <w:rFonts w:asciiTheme="minorHAnsi" w:hAnsiTheme="minorHAnsi" w:cstheme="minorHAnsi"/>
        </w:rPr>
        <w:t> </w:t>
      </w:r>
      <w:r w:rsidRPr="008D3E84">
        <w:rPr>
          <w:rFonts w:asciiTheme="minorHAnsi" w:hAnsiTheme="minorHAnsi" w:cstheme="minorHAnsi"/>
        </w:rPr>
        <w:t>č.</w:t>
      </w:r>
      <w:r>
        <w:rPr>
          <w:rFonts w:asciiTheme="minorHAnsi" w:hAnsiTheme="minorHAnsi" w:cstheme="minorHAnsi"/>
        </w:rPr>
        <w:t> </w:t>
      </w:r>
      <w:r w:rsidRPr="008D3E84">
        <w:rPr>
          <w:rFonts w:asciiTheme="minorHAnsi" w:hAnsiTheme="minorHAnsi" w:cstheme="minorHAnsi"/>
        </w:rPr>
        <w:t>2799/98, (ES) č. 814/2000, (ES) č. 1290/2005 a (ES) č. 485/2008</w:t>
      </w:r>
      <w:r>
        <w:rPr>
          <w:rFonts w:asciiTheme="minorHAnsi" w:hAnsiTheme="minorHAnsi" w:cstheme="minorHAnsi"/>
        </w:rPr>
        <w:t>.</w:t>
      </w:r>
    </w:p>
  </w:footnote>
  <w:footnote w:id="7">
    <w:p w:rsidR="0069354D" w:rsidRPr="0059478A" w:rsidRDefault="0069354D" w:rsidP="00D17BAD">
      <w:pPr>
        <w:pStyle w:val="Textpoznpodarou"/>
        <w:ind w:left="284" w:hanging="284"/>
        <w:rPr>
          <w:rFonts w:asciiTheme="minorHAnsi" w:hAnsiTheme="minorHAnsi" w:cstheme="minorHAnsi"/>
        </w:rPr>
      </w:pPr>
      <w:r w:rsidRPr="00142BCE">
        <w:rPr>
          <w:rStyle w:val="Znakapoznpodarou"/>
          <w:rFonts w:asciiTheme="minorHAnsi" w:eastAsiaTheme="majorEastAsia" w:hAnsiTheme="minorHAnsi" w:cstheme="minorHAnsi"/>
        </w:rPr>
        <w:footnoteRef/>
      </w:r>
      <w:r w:rsidRPr="00142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42BCE">
        <w:rPr>
          <w:rFonts w:asciiTheme="minorHAnsi" w:hAnsiTheme="minorHAnsi" w:cstheme="minorHAnsi"/>
        </w:rPr>
        <w:t xml:space="preserve">Prováděcí nařízení </w:t>
      </w:r>
      <w:r>
        <w:rPr>
          <w:rFonts w:asciiTheme="minorHAnsi" w:hAnsiTheme="minorHAnsi" w:cstheme="minorHAnsi"/>
        </w:rPr>
        <w:t>K</w:t>
      </w:r>
      <w:r w:rsidRPr="00142BCE">
        <w:rPr>
          <w:rFonts w:asciiTheme="minorHAnsi" w:hAnsiTheme="minorHAnsi" w:cstheme="minorHAnsi"/>
        </w:rPr>
        <w:t>omise (EU) č. 834/2014</w:t>
      </w:r>
      <w:r>
        <w:rPr>
          <w:rFonts w:asciiTheme="minorHAnsi" w:hAnsiTheme="minorHAnsi" w:cstheme="minorHAnsi"/>
        </w:rPr>
        <w:t xml:space="preserve"> </w:t>
      </w:r>
      <w:r w:rsidRPr="0059478A">
        <w:rPr>
          <w:rFonts w:asciiTheme="minorHAnsi" w:hAnsiTheme="minorHAnsi" w:cstheme="minorHAnsi"/>
        </w:rPr>
        <w:t>ze dne 22. července 2014</w:t>
      </w:r>
      <w:r w:rsidRPr="00142BC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</w:t>
      </w:r>
      <w:r w:rsidRPr="00142BCE">
        <w:rPr>
          <w:rFonts w:asciiTheme="minorHAnsi" w:hAnsiTheme="minorHAnsi" w:cstheme="minorHAnsi"/>
        </w:rPr>
        <w:t>terým se stanoví prováděcí pravidla pro</w:t>
      </w:r>
      <w:r>
        <w:rPr>
          <w:rFonts w:asciiTheme="minorHAnsi" w:hAnsiTheme="minorHAnsi" w:cstheme="minorHAnsi"/>
        </w:rPr>
        <w:t> </w:t>
      </w:r>
      <w:r w:rsidRPr="00142BCE">
        <w:rPr>
          <w:rFonts w:asciiTheme="minorHAnsi" w:hAnsiTheme="minorHAnsi" w:cstheme="minorHAnsi"/>
        </w:rPr>
        <w:t>uplatňování</w:t>
      </w:r>
      <w:r>
        <w:rPr>
          <w:rFonts w:asciiTheme="minorHAnsi" w:hAnsiTheme="minorHAnsi" w:cstheme="minorHAnsi"/>
        </w:rPr>
        <w:t xml:space="preserve"> </w:t>
      </w:r>
      <w:r w:rsidRPr="00142BCE">
        <w:rPr>
          <w:rFonts w:asciiTheme="minorHAnsi" w:hAnsiTheme="minorHAnsi" w:cstheme="minorHAnsi"/>
        </w:rPr>
        <w:t>společného rámce pro sledování a hodnocení společné zemědělské politiky</w:t>
      </w:r>
      <w:r>
        <w:rPr>
          <w:rFonts w:asciiTheme="minorHAnsi" w:hAnsiTheme="minorHAnsi" w:cstheme="minorHAnsi"/>
        </w:rPr>
        <w:t xml:space="preserve">. </w:t>
      </w:r>
    </w:p>
  </w:footnote>
  <w:footnote w:id="8">
    <w:p w:rsidR="0069354D" w:rsidRDefault="0069354D" w:rsidP="00D17BA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Dle ustanovení § 2 písm. o) zákona č. 320/2001 Sb., o finanční kontrole ve veřejné správě a o změně některých zákonů (zákon o finanční kontrole).</w:t>
      </w:r>
    </w:p>
  </w:footnote>
  <w:footnote w:id="9">
    <w:p w:rsidR="0069354D" w:rsidRDefault="0069354D" w:rsidP="00D17BA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Dle ustanovení § 2 písm. m) zákona č. 320/2001 Sb.</w:t>
      </w:r>
    </w:p>
  </w:footnote>
  <w:footnote w:id="10">
    <w:p w:rsidR="0069354D" w:rsidRDefault="0069354D" w:rsidP="00D17BA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134/2016 Sb., </w:t>
      </w:r>
      <w:r w:rsidRPr="0052177F">
        <w:t>o zadávání veřejných zakázek</w:t>
      </w:r>
      <w:r>
        <w:t>.</w:t>
      </w:r>
    </w:p>
  </w:footnote>
  <w:footnote w:id="11">
    <w:p w:rsidR="0069354D" w:rsidRDefault="0069354D" w:rsidP="00D17BA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Vzorek projektů prověřovaných u příjemců </w:t>
      </w:r>
      <w:r w:rsidRPr="001F4C18">
        <w:rPr>
          <w:rFonts w:cstheme="minorHAnsi"/>
        </w:rPr>
        <w:t xml:space="preserve">byl součástí </w:t>
      </w:r>
      <w:r>
        <w:rPr>
          <w:rFonts w:cstheme="minorHAnsi"/>
        </w:rPr>
        <w:t xml:space="preserve">i </w:t>
      </w:r>
      <w:r w:rsidRPr="001F4C18">
        <w:rPr>
          <w:rFonts w:cstheme="minorHAnsi"/>
        </w:rPr>
        <w:t>vzorku 50 projektů ověřovaných u SZIF.</w:t>
      </w:r>
    </w:p>
  </w:footnote>
  <w:footnote w:id="12">
    <w:p w:rsidR="0069354D" w:rsidRPr="00172BBA" w:rsidRDefault="0069354D" w:rsidP="00D17BAD">
      <w:pPr>
        <w:pStyle w:val="Textpoznpodarou"/>
        <w:ind w:left="284" w:hanging="284"/>
        <w:rPr>
          <w:rFonts w:asciiTheme="minorHAnsi" w:hAnsiTheme="minorHAnsi" w:cstheme="minorHAnsi"/>
        </w:rPr>
      </w:pPr>
      <w:r w:rsidRPr="00172BBA">
        <w:rPr>
          <w:rStyle w:val="Znakapoznpodarou"/>
          <w:rFonts w:asciiTheme="minorHAnsi" w:hAnsiTheme="minorHAnsi" w:cstheme="minorHAnsi"/>
        </w:rPr>
        <w:footnoteRef/>
      </w:r>
      <w:r w:rsidRPr="00172B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72BBA">
        <w:rPr>
          <w:rFonts w:asciiTheme="minorHAnsi" w:hAnsiTheme="minorHAnsi" w:cstheme="minorHAnsi"/>
        </w:rPr>
        <w:t>Ex-ante evaluace (předběžné zhodnocení) programu probíhá na začátku programového cyklu v rámci příprav strategie programu.</w:t>
      </w:r>
    </w:p>
  </w:footnote>
  <w:footnote w:id="13">
    <w:p w:rsidR="0069354D" w:rsidRPr="00612527" w:rsidRDefault="0069354D" w:rsidP="00D17BAD">
      <w:pPr>
        <w:pStyle w:val="Textpoznpodarou"/>
        <w:ind w:left="284" w:hanging="284"/>
        <w:rPr>
          <w:rFonts w:asciiTheme="minorHAnsi" w:hAnsiTheme="minorHAnsi" w:cstheme="minorHAnsi"/>
        </w:rPr>
      </w:pPr>
      <w:r w:rsidRPr="00CF414F">
        <w:rPr>
          <w:rStyle w:val="Znakapoznpodarou"/>
          <w:rFonts w:asciiTheme="minorHAnsi" w:eastAsiaTheme="majorEastAsia" w:hAnsiTheme="minorHAnsi" w:cstheme="minorHAnsi"/>
        </w:rPr>
        <w:footnoteRef/>
      </w:r>
      <w:r w:rsidRPr="00CF41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F414F">
        <w:rPr>
          <w:rFonts w:asciiTheme="minorHAnsi" w:hAnsiTheme="minorHAnsi" w:cstheme="minorHAnsi"/>
        </w:rPr>
        <w:t>Např. indikátor výsledku</w:t>
      </w:r>
      <w:r>
        <w:rPr>
          <w:rFonts w:asciiTheme="minorHAnsi" w:hAnsiTheme="minorHAnsi" w:cstheme="minorHAnsi"/>
        </w:rPr>
        <w:t xml:space="preserve"> u</w:t>
      </w:r>
      <w:r w:rsidRPr="00CF41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opatření </w:t>
      </w:r>
      <w:r w:rsidRPr="00CF414F">
        <w:rPr>
          <w:rFonts w:asciiTheme="minorHAnsi" w:hAnsiTheme="minorHAnsi" w:cstheme="minorHAnsi"/>
        </w:rPr>
        <w:t xml:space="preserve">M01 </w:t>
      </w:r>
      <w:r w:rsidRPr="00604106">
        <w:rPr>
          <w:rFonts w:asciiTheme="minorHAnsi" w:hAnsiTheme="minorHAnsi" w:cstheme="minorHAnsi"/>
        </w:rPr>
        <w:t>–</w:t>
      </w:r>
      <w:r w:rsidRPr="00CF414F">
        <w:rPr>
          <w:rFonts w:asciiTheme="minorHAnsi" w:hAnsiTheme="minorHAnsi" w:cstheme="minorHAnsi"/>
        </w:rPr>
        <w:t xml:space="preserve"> </w:t>
      </w:r>
      <w:r w:rsidRPr="00CF414F">
        <w:rPr>
          <w:rFonts w:asciiTheme="minorHAnsi" w:hAnsiTheme="minorHAnsi" w:cstheme="minorHAnsi"/>
          <w:i/>
        </w:rPr>
        <w:t>(92302) Počet účastníků, kteří se v rámci období 2014–2020 účastnili min. dvou akcí</w:t>
      </w:r>
      <w:r>
        <w:rPr>
          <w:rFonts w:asciiTheme="minorHAnsi" w:hAnsiTheme="minorHAnsi" w:cstheme="minorHAnsi"/>
        </w:rPr>
        <w:t>;</w:t>
      </w:r>
      <w:r w:rsidRPr="00CF414F">
        <w:rPr>
          <w:rFonts w:asciiTheme="minorHAnsi" w:hAnsiTheme="minorHAnsi" w:cstheme="minorHAnsi"/>
        </w:rPr>
        <w:t xml:space="preserve"> indikátor výstupu </w:t>
      </w:r>
      <w:r>
        <w:rPr>
          <w:rFonts w:asciiTheme="minorHAnsi" w:hAnsiTheme="minorHAnsi" w:cstheme="minorHAnsi"/>
        </w:rPr>
        <w:t xml:space="preserve">u operace </w:t>
      </w:r>
      <w:r w:rsidRPr="00CF414F">
        <w:rPr>
          <w:rFonts w:asciiTheme="minorHAnsi" w:hAnsiTheme="minorHAnsi" w:cstheme="minorHAnsi"/>
        </w:rPr>
        <w:t xml:space="preserve">6.4.1 </w:t>
      </w:r>
      <w:r w:rsidRPr="0060410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CF414F">
        <w:rPr>
          <w:rFonts w:asciiTheme="minorHAnsi" w:hAnsiTheme="minorHAnsi" w:cstheme="minorHAnsi"/>
          <w:i/>
        </w:rPr>
        <w:t>O.3 (92702) Počet podpořených operací</w:t>
      </w:r>
      <w:r>
        <w:rPr>
          <w:rFonts w:asciiTheme="minorHAnsi" w:hAnsiTheme="minorHAnsi" w:cstheme="minorHAnsi"/>
        </w:rPr>
        <w:t>;</w:t>
      </w:r>
      <w:r w:rsidRPr="00CF414F">
        <w:rPr>
          <w:rFonts w:asciiTheme="minorHAnsi" w:hAnsiTheme="minorHAnsi" w:cstheme="minorHAnsi"/>
        </w:rPr>
        <w:t xml:space="preserve"> indikátor výstupu</w:t>
      </w:r>
      <w:r>
        <w:rPr>
          <w:rFonts w:asciiTheme="minorHAnsi" w:hAnsiTheme="minorHAnsi" w:cstheme="minorHAnsi"/>
        </w:rPr>
        <w:t xml:space="preserve"> u operací </w:t>
      </w:r>
      <w:r w:rsidRPr="00CF414F">
        <w:rPr>
          <w:rFonts w:asciiTheme="minorHAnsi" w:hAnsiTheme="minorHAnsi" w:cstheme="minorHAnsi"/>
        </w:rPr>
        <w:t xml:space="preserve">6.1.1 a 4.1.1 </w:t>
      </w:r>
      <w:r w:rsidRPr="00604106">
        <w:rPr>
          <w:rFonts w:asciiTheme="minorHAnsi" w:hAnsiTheme="minorHAnsi" w:cstheme="minorHAnsi"/>
        </w:rPr>
        <w:t>–</w:t>
      </w:r>
      <w:r w:rsidRPr="00CF414F">
        <w:rPr>
          <w:rFonts w:asciiTheme="minorHAnsi" w:hAnsiTheme="minorHAnsi" w:cstheme="minorHAnsi"/>
        </w:rPr>
        <w:t xml:space="preserve"> </w:t>
      </w:r>
      <w:r w:rsidRPr="00CF414F">
        <w:rPr>
          <w:rFonts w:asciiTheme="minorHAnsi" w:hAnsiTheme="minorHAnsi" w:cstheme="minorHAnsi"/>
          <w:i/>
        </w:rPr>
        <w:t>O.4. (93701) Počet podpořených zemědělských podniků/příjemců</w:t>
      </w:r>
      <w:r w:rsidRPr="00D17BAD">
        <w:rPr>
          <w:rFonts w:asciiTheme="minorHAnsi" w:hAnsiTheme="minorHAnsi" w:cstheme="minorHAnsi"/>
        </w:rPr>
        <w:t>.</w:t>
      </w:r>
    </w:p>
  </w:footnote>
  <w:footnote w:id="14">
    <w:p w:rsidR="0069354D" w:rsidRPr="00757D57" w:rsidRDefault="0069354D" w:rsidP="00D17BAD">
      <w:pPr>
        <w:pStyle w:val="Textpoznpodarou"/>
        <w:ind w:left="284" w:hanging="284"/>
      </w:pPr>
      <w:r w:rsidRPr="00757D57">
        <w:rPr>
          <w:rStyle w:val="Znakapoznpodarou"/>
        </w:rPr>
        <w:footnoteRef/>
      </w:r>
      <w:r w:rsidRPr="00757D57">
        <w:t xml:space="preserve"> </w:t>
      </w:r>
      <w:r w:rsidRPr="00757D57">
        <w:tab/>
      </w:r>
      <w:r w:rsidRPr="00757D57">
        <w:rPr>
          <w:rFonts w:asciiTheme="minorHAnsi" w:hAnsiTheme="minorHAnsi" w:cstheme="minorHAnsi"/>
        </w:rPr>
        <w:t>Lhůta vázanosti projektu na účel, a tedy i doba</w:t>
      </w:r>
      <w:r>
        <w:rPr>
          <w:rFonts w:asciiTheme="minorHAnsi" w:hAnsiTheme="minorHAnsi" w:cstheme="minorHAnsi"/>
        </w:rPr>
        <w:t>,</w:t>
      </w:r>
      <w:r w:rsidRPr="00757D57">
        <w:rPr>
          <w:rFonts w:asciiTheme="minorHAnsi" w:hAnsiTheme="minorHAnsi" w:cstheme="minorHAnsi"/>
        </w:rPr>
        <w:t xml:space="preserve"> po kterou musí příjemci předkládat monitorovací zprávy, je pět let. Pouze v případě M01 stanovilo MZe povinnost předkládat monitorovací zprávu po dobu dvou let.</w:t>
      </w:r>
      <w:r w:rsidRPr="00757D57">
        <w:t xml:space="preserve"> </w:t>
      </w:r>
    </w:p>
  </w:footnote>
  <w:footnote w:id="15">
    <w:p w:rsidR="0069354D" w:rsidRPr="00D17BAD" w:rsidRDefault="0069354D" w:rsidP="00D17BAD">
      <w:pPr>
        <w:spacing w:before="0"/>
        <w:ind w:left="284" w:hanging="284"/>
        <w:rPr>
          <w:sz w:val="20"/>
          <w:szCs w:val="20"/>
        </w:rPr>
      </w:pPr>
      <w:r w:rsidRPr="00D17BAD">
        <w:rPr>
          <w:rStyle w:val="Znakapoznpodarou"/>
          <w:sz w:val="20"/>
          <w:szCs w:val="20"/>
        </w:rPr>
        <w:footnoteRef/>
      </w:r>
      <w:r w:rsidRPr="00D17BAD">
        <w:rPr>
          <w:sz w:val="20"/>
          <w:szCs w:val="20"/>
        </w:rPr>
        <w:t xml:space="preserve"> </w:t>
      </w:r>
      <w:r w:rsidRPr="00D17BAD">
        <w:rPr>
          <w:sz w:val="20"/>
          <w:szCs w:val="20"/>
        </w:rPr>
        <w:tab/>
      </w:r>
      <w:r w:rsidRPr="00757D57">
        <w:rPr>
          <w:rFonts w:asciiTheme="minorHAnsi" w:hAnsiTheme="minorHAnsi" w:cstheme="minorHAnsi"/>
          <w:sz w:val="20"/>
          <w:szCs w:val="20"/>
        </w:rPr>
        <w:t>SZIF 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57D57">
        <w:rPr>
          <w:rFonts w:asciiTheme="minorHAnsi" w:hAnsiTheme="minorHAnsi" w:cstheme="minorHAnsi"/>
          <w:sz w:val="20"/>
          <w:szCs w:val="20"/>
        </w:rPr>
        <w:t xml:space="preserve">této záležitosti </w:t>
      </w:r>
      <w:r>
        <w:rPr>
          <w:rFonts w:asciiTheme="minorHAnsi" w:hAnsiTheme="minorHAnsi" w:cstheme="minorHAnsi"/>
          <w:sz w:val="20"/>
          <w:szCs w:val="20"/>
        </w:rPr>
        <w:t>Nejvyššímu kontrolnímu úřadu</w:t>
      </w:r>
      <w:r w:rsidRPr="00757D57">
        <w:rPr>
          <w:rFonts w:asciiTheme="minorHAnsi" w:hAnsiTheme="minorHAnsi" w:cstheme="minorHAnsi"/>
          <w:sz w:val="20"/>
          <w:szCs w:val="20"/>
        </w:rPr>
        <w:t xml:space="preserve"> sdělil:</w:t>
      </w:r>
      <w:r w:rsidRPr="00757D57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D17BAD">
        <w:rPr>
          <w:rFonts w:asciiTheme="minorHAnsi" w:hAnsiTheme="minorHAnsi" w:cstheme="minorHAnsi"/>
          <w:bCs/>
          <w:sz w:val="20"/>
          <w:szCs w:val="20"/>
        </w:rPr>
        <w:t>„</w:t>
      </w:r>
      <w:r w:rsidRPr="00757D57">
        <w:rPr>
          <w:rFonts w:asciiTheme="minorHAnsi" w:hAnsiTheme="minorHAnsi" w:cstheme="minorHAnsi"/>
          <w:bCs/>
          <w:i/>
          <w:sz w:val="20"/>
          <w:szCs w:val="20"/>
        </w:rPr>
        <w:t>SZIF odpovídá za kontrolu odevzdání všech formulářů Monitorovacích zpráv</w:t>
      </w:r>
      <w:r>
        <w:rPr>
          <w:rFonts w:asciiTheme="minorHAnsi" w:hAnsiTheme="minorHAnsi" w:cstheme="minorHAnsi"/>
          <w:bCs/>
          <w:i/>
          <w:sz w:val="20"/>
          <w:szCs w:val="20"/>
        </w:rPr>
        <w:t> </w:t>
      </w:r>
      <w:r w:rsidRPr="00757D57">
        <w:rPr>
          <w:rFonts w:asciiTheme="minorHAnsi" w:hAnsiTheme="minorHAnsi" w:cstheme="minorHAnsi"/>
          <w:bCs/>
          <w:i/>
          <w:sz w:val="20"/>
          <w:szCs w:val="20"/>
        </w:rPr>
        <w:t>… a upozorňuje opakovaně příjemce dotace na neodevzdané Monitorovací zprávy...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757D57">
        <w:rPr>
          <w:rFonts w:asciiTheme="minorHAnsi" w:hAnsiTheme="minorHAnsi" w:cstheme="minorHAnsi"/>
          <w:bCs/>
          <w:i/>
          <w:sz w:val="20"/>
          <w:szCs w:val="20"/>
        </w:rPr>
        <w:t>SZIF nekontroluje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757D57">
        <w:rPr>
          <w:rFonts w:asciiTheme="minorHAnsi" w:hAnsiTheme="minorHAnsi" w:cstheme="minorHAnsi"/>
          <w:bCs/>
          <w:i/>
          <w:sz w:val="20"/>
          <w:szCs w:val="20"/>
        </w:rPr>
        <w:t>v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757D57">
        <w:rPr>
          <w:rFonts w:asciiTheme="minorHAnsi" w:hAnsiTheme="minorHAnsi" w:cstheme="minorHAnsi"/>
          <w:bCs/>
          <w:i/>
          <w:sz w:val="20"/>
          <w:szCs w:val="20"/>
        </w:rPr>
        <w:t>rámci ex post kontrol u jednotlivých projektů správnost jednotlivých dat, vyplněných příjemcem dotace v</w:t>
      </w:r>
      <w:r>
        <w:rPr>
          <w:rFonts w:asciiTheme="minorHAnsi" w:hAnsiTheme="minorHAnsi" w:cstheme="minorHAnsi"/>
          <w:bCs/>
          <w:i/>
          <w:sz w:val="20"/>
          <w:szCs w:val="20"/>
        </w:rPr>
        <w:t> </w:t>
      </w:r>
      <w:r w:rsidRPr="00757D57">
        <w:rPr>
          <w:rFonts w:asciiTheme="minorHAnsi" w:hAnsiTheme="minorHAnsi" w:cstheme="minorHAnsi"/>
          <w:bCs/>
          <w:i/>
          <w:sz w:val="20"/>
          <w:szCs w:val="20"/>
        </w:rPr>
        <w:t>Monitorovací zprávě, a ani tyto data nijak ke své činnosti nevyužívá...</w:t>
      </w:r>
      <w:r w:rsidRPr="00D17BAD">
        <w:rPr>
          <w:rFonts w:asciiTheme="minorHAnsi" w:hAnsiTheme="minorHAnsi" w:cstheme="minorHAnsi"/>
          <w:bCs/>
          <w:sz w:val="20"/>
          <w:szCs w:val="20"/>
        </w:rPr>
        <w:t>“</w:t>
      </w:r>
    </w:p>
  </w:footnote>
  <w:footnote w:id="16">
    <w:p w:rsidR="0069354D" w:rsidRPr="00A2715C" w:rsidRDefault="0069354D" w:rsidP="00D17BAD">
      <w:pPr>
        <w:pStyle w:val="Textpoznpodarou"/>
        <w:ind w:left="284" w:hanging="284"/>
        <w:rPr>
          <w:rFonts w:asciiTheme="minorHAnsi" w:hAnsiTheme="minorHAnsi" w:cstheme="minorHAnsi"/>
        </w:rPr>
      </w:pPr>
      <w:r w:rsidRPr="00A2715C">
        <w:rPr>
          <w:rStyle w:val="Znakapoznpodarou"/>
          <w:rFonts w:asciiTheme="minorHAnsi" w:hAnsiTheme="minorHAnsi" w:cstheme="minorHAnsi"/>
        </w:rPr>
        <w:footnoteRef/>
      </w:r>
      <w:r w:rsidRPr="00A271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17BAD">
        <w:rPr>
          <w:rFonts w:asciiTheme="minorHAnsi" w:hAnsiTheme="minorHAnsi" w:cstheme="minorHAnsi"/>
          <w:i/>
        </w:rPr>
        <w:t>Dohoda o vymezení kompetencí a způsobu spolupráce mezi Řídicím orgánem PRV a platební agenturou při zabezpečování závazků vyplývajících pro Českou republiku při čerpání podpory z Evropského fondu pro rozvoj venkova</w:t>
      </w:r>
      <w:r w:rsidRPr="00A271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(d</w:t>
      </w:r>
      <w:r w:rsidRPr="00A2715C">
        <w:rPr>
          <w:rFonts w:asciiTheme="minorHAnsi" w:hAnsiTheme="minorHAnsi" w:cstheme="minorHAnsi"/>
        </w:rPr>
        <w:t xml:space="preserve">ále </w:t>
      </w:r>
      <w:r>
        <w:rPr>
          <w:rFonts w:asciiTheme="minorHAnsi" w:hAnsiTheme="minorHAnsi" w:cstheme="minorHAnsi"/>
        </w:rPr>
        <w:t>též</w:t>
      </w:r>
      <w:r w:rsidRPr="00A2715C">
        <w:rPr>
          <w:rFonts w:asciiTheme="minorHAnsi" w:hAnsiTheme="minorHAnsi" w:cstheme="minorHAnsi"/>
        </w:rPr>
        <w:t xml:space="preserve"> „</w:t>
      </w:r>
      <w:r w:rsidRPr="00D17BAD">
        <w:rPr>
          <w:rFonts w:asciiTheme="minorHAnsi" w:hAnsiTheme="minorHAnsi" w:cstheme="minorHAnsi"/>
        </w:rPr>
        <w:t>Dohoda o vymezení kompetencí</w:t>
      </w:r>
      <w:r w:rsidRPr="00A2715C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).</w:t>
      </w:r>
    </w:p>
  </w:footnote>
  <w:footnote w:id="17">
    <w:p w:rsidR="0069354D" w:rsidRDefault="0069354D" w:rsidP="00D17BA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B5D1E">
        <w:t xml:space="preserve">Nástroj Evropské unie, pro který byly na roky 2021 a 2022 uvolněny finanční zdroje na řešení dopadu krize </w:t>
      </w:r>
      <w:r>
        <w:t>způsobené covidem-19</w:t>
      </w:r>
      <w:r w:rsidRPr="007B5D1E">
        <w:t xml:space="preserve"> a jejích následků pro odvětví zemědělství a venkovské oblasti </w:t>
      </w:r>
      <w:r>
        <w:t>E</w:t>
      </w:r>
      <w:r w:rsidRPr="007B5D1E">
        <w:t>U. Tento nástroj byl zřízen nařízením Rady (EU) 2020/2094 ze dne 14. prosince 2020, kterým se zřizuje Nástroj Evropské unie na podporu oživení, jehož účelem je podpořit oživení po krizi COVID-19.</w:t>
      </w:r>
    </w:p>
  </w:footnote>
  <w:footnote w:id="18">
    <w:p w:rsidR="0069354D" w:rsidRDefault="0069354D" w:rsidP="00164C1B">
      <w:pPr>
        <w:pStyle w:val="Textpoznpodarou"/>
        <w:ind w:left="426" w:hanging="426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Nerelevantní údaj – opatření nebyly přiděleny prostředky EURI.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4D" w:rsidRDefault="0069354D" w:rsidP="005E23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0CD"/>
    <w:multiLevelType w:val="hybridMultilevel"/>
    <w:tmpl w:val="22043EFA"/>
    <w:lvl w:ilvl="0" w:tplc="FA16B54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C1E"/>
    <w:multiLevelType w:val="multilevel"/>
    <w:tmpl w:val="01EAA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0C041FE"/>
    <w:multiLevelType w:val="hybridMultilevel"/>
    <w:tmpl w:val="2DA8D42E"/>
    <w:lvl w:ilvl="0" w:tplc="22F2F998">
      <w:start w:val="1"/>
      <w:numFmt w:val="decimal"/>
      <w:pStyle w:val="JK1"/>
      <w:lvlText w:val="1.%1"/>
      <w:lvlJc w:val="left"/>
      <w:pPr>
        <w:ind w:left="720" w:hanging="360"/>
      </w:pPr>
      <w:rPr>
        <w:b/>
      </w:rPr>
    </w:lvl>
    <w:lvl w:ilvl="1" w:tplc="C80855D6">
      <w:start w:val="1"/>
      <w:numFmt w:val="lowerLetter"/>
      <w:lvlText w:val="%2."/>
      <w:lvlJc w:val="left"/>
      <w:pPr>
        <w:ind w:left="1440" w:hanging="360"/>
      </w:pPr>
    </w:lvl>
    <w:lvl w:ilvl="2" w:tplc="790067C6">
      <w:start w:val="1"/>
      <w:numFmt w:val="lowerRoman"/>
      <w:lvlText w:val="%3."/>
      <w:lvlJc w:val="right"/>
      <w:pPr>
        <w:ind w:left="2160" w:hanging="180"/>
      </w:pPr>
    </w:lvl>
    <w:lvl w:ilvl="3" w:tplc="A6187EFC">
      <w:start w:val="1"/>
      <w:numFmt w:val="decimal"/>
      <w:lvlText w:val="%4."/>
      <w:lvlJc w:val="left"/>
      <w:pPr>
        <w:ind w:left="2880" w:hanging="360"/>
      </w:pPr>
    </w:lvl>
    <w:lvl w:ilvl="4" w:tplc="2D94E3E4">
      <w:start w:val="1"/>
      <w:numFmt w:val="lowerLetter"/>
      <w:lvlText w:val="%5."/>
      <w:lvlJc w:val="left"/>
      <w:pPr>
        <w:ind w:left="3600" w:hanging="360"/>
      </w:pPr>
    </w:lvl>
    <w:lvl w:ilvl="5" w:tplc="41C822D4">
      <w:start w:val="1"/>
      <w:numFmt w:val="lowerRoman"/>
      <w:lvlText w:val="%6."/>
      <w:lvlJc w:val="right"/>
      <w:pPr>
        <w:ind w:left="4320" w:hanging="180"/>
      </w:pPr>
    </w:lvl>
    <w:lvl w:ilvl="6" w:tplc="A34081F6">
      <w:start w:val="1"/>
      <w:numFmt w:val="decimal"/>
      <w:lvlText w:val="%7."/>
      <w:lvlJc w:val="left"/>
      <w:pPr>
        <w:ind w:left="5040" w:hanging="360"/>
      </w:pPr>
    </w:lvl>
    <w:lvl w:ilvl="7" w:tplc="28B4E14E">
      <w:start w:val="1"/>
      <w:numFmt w:val="lowerLetter"/>
      <w:lvlText w:val="%8."/>
      <w:lvlJc w:val="left"/>
      <w:pPr>
        <w:ind w:left="5760" w:hanging="360"/>
      </w:pPr>
    </w:lvl>
    <w:lvl w:ilvl="8" w:tplc="09B23D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903"/>
    <w:multiLevelType w:val="hybridMultilevel"/>
    <w:tmpl w:val="0DE21CCC"/>
    <w:lvl w:ilvl="0" w:tplc="7B0AB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762F"/>
    <w:multiLevelType w:val="hybridMultilevel"/>
    <w:tmpl w:val="65EA2E18"/>
    <w:lvl w:ilvl="0" w:tplc="7B0AB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2C9B"/>
    <w:multiLevelType w:val="hybridMultilevel"/>
    <w:tmpl w:val="AEF81580"/>
    <w:lvl w:ilvl="0" w:tplc="7B0AB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4DF7"/>
    <w:multiLevelType w:val="hybridMultilevel"/>
    <w:tmpl w:val="F5BCE8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34CE"/>
    <w:multiLevelType w:val="hybridMultilevel"/>
    <w:tmpl w:val="221CD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C46F4"/>
    <w:multiLevelType w:val="hybridMultilevel"/>
    <w:tmpl w:val="A8203C9A"/>
    <w:lvl w:ilvl="0" w:tplc="7B0AB7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F2B3D3D"/>
    <w:multiLevelType w:val="hybridMultilevel"/>
    <w:tmpl w:val="BA4A5288"/>
    <w:lvl w:ilvl="0" w:tplc="B70CEAE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62C17"/>
    <w:multiLevelType w:val="hybridMultilevel"/>
    <w:tmpl w:val="A28C4512"/>
    <w:lvl w:ilvl="0" w:tplc="59EAD52C">
      <w:start w:val="1"/>
      <w:numFmt w:val="decimal"/>
      <w:pStyle w:val="JK4"/>
      <w:lvlText w:val="4.%1"/>
      <w:lvlJc w:val="left"/>
      <w:pPr>
        <w:ind w:left="3479" w:hanging="360"/>
      </w:pPr>
      <w:rPr>
        <w:b/>
        <w:i w:val="0"/>
        <w:color w:val="auto"/>
      </w:rPr>
    </w:lvl>
    <w:lvl w:ilvl="1" w:tplc="68783516">
      <w:start w:val="1"/>
      <w:numFmt w:val="lowerLetter"/>
      <w:lvlText w:val="%2."/>
      <w:lvlJc w:val="left"/>
      <w:pPr>
        <w:ind w:left="1440" w:hanging="360"/>
      </w:pPr>
    </w:lvl>
    <w:lvl w:ilvl="2" w:tplc="DF600268">
      <w:start w:val="1"/>
      <w:numFmt w:val="lowerRoman"/>
      <w:lvlText w:val="%3."/>
      <w:lvlJc w:val="right"/>
      <w:pPr>
        <w:ind w:left="2160" w:hanging="180"/>
      </w:pPr>
    </w:lvl>
    <w:lvl w:ilvl="3" w:tplc="BC021B42">
      <w:start w:val="1"/>
      <w:numFmt w:val="decimal"/>
      <w:lvlText w:val="%4."/>
      <w:lvlJc w:val="left"/>
      <w:pPr>
        <w:ind w:left="2880" w:hanging="360"/>
      </w:pPr>
    </w:lvl>
    <w:lvl w:ilvl="4" w:tplc="F842A75E">
      <w:start w:val="1"/>
      <w:numFmt w:val="lowerLetter"/>
      <w:lvlText w:val="%5."/>
      <w:lvlJc w:val="left"/>
      <w:pPr>
        <w:ind w:left="3600" w:hanging="360"/>
      </w:pPr>
    </w:lvl>
    <w:lvl w:ilvl="5" w:tplc="433CA0D8">
      <w:start w:val="1"/>
      <w:numFmt w:val="lowerRoman"/>
      <w:lvlText w:val="%6."/>
      <w:lvlJc w:val="right"/>
      <w:pPr>
        <w:ind w:left="4320" w:hanging="180"/>
      </w:pPr>
    </w:lvl>
    <w:lvl w:ilvl="6" w:tplc="1B447788">
      <w:start w:val="1"/>
      <w:numFmt w:val="decimal"/>
      <w:lvlText w:val="%7."/>
      <w:lvlJc w:val="left"/>
      <w:pPr>
        <w:ind w:left="5040" w:hanging="360"/>
      </w:pPr>
    </w:lvl>
    <w:lvl w:ilvl="7" w:tplc="1988ED0E">
      <w:start w:val="1"/>
      <w:numFmt w:val="lowerLetter"/>
      <w:lvlText w:val="%8."/>
      <w:lvlJc w:val="left"/>
      <w:pPr>
        <w:ind w:left="5760" w:hanging="360"/>
      </w:pPr>
    </w:lvl>
    <w:lvl w:ilvl="8" w:tplc="F8F8EF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0A"/>
    <w:multiLevelType w:val="hybridMultilevel"/>
    <w:tmpl w:val="0E9234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96BD7"/>
    <w:multiLevelType w:val="hybridMultilevel"/>
    <w:tmpl w:val="7374A3CE"/>
    <w:lvl w:ilvl="0" w:tplc="C166100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E4136"/>
    <w:multiLevelType w:val="multilevel"/>
    <w:tmpl w:val="BA44371E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Nadpis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4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251C0D"/>
    <w:multiLevelType w:val="hybridMultilevel"/>
    <w:tmpl w:val="8A64A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BC"/>
    <w:rsid w:val="00000834"/>
    <w:rsid w:val="000017D9"/>
    <w:rsid w:val="00001A14"/>
    <w:rsid w:val="00001C9B"/>
    <w:rsid w:val="0000200D"/>
    <w:rsid w:val="00002481"/>
    <w:rsid w:val="00003425"/>
    <w:rsid w:val="00003486"/>
    <w:rsid w:val="00003F35"/>
    <w:rsid w:val="00006E4B"/>
    <w:rsid w:val="0001151C"/>
    <w:rsid w:val="00012C93"/>
    <w:rsid w:val="0001321B"/>
    <w:rsid w:val="000133A5"/>
    <w:rsid w:val="00013495"/>
    <w:rsid w:val="00013CCD"/>
    <w:rsid w:val="00014439"/>
    <w:rsid w:val="00014B71"/>
    <w:rsid w:val="0001637C"/>
    <w:rsid w:val="00016392"/>
    <w:rsid w:val="000169E6"/>
    <w:rsid w:val="000170EA"/>
    <w:rsid w:val="000177EB"/>
    <w:rsid w:val="00020014"/>
    <w:rsid w:val="0002047A"/>
    <w:rsid w:val="000208F9"/>
    <w:rsid w:val="00020F70"/>
    <w:rsid w:val="00021957"/>
    <w:rsid w:val="000221EC"/>
    <w:rsid w:val="000224EB"/>
    <w:rsid w:val="0002296E"/>
    <w:rsid w:val="000230F8"/>
    <w:rsid w:val="00023124"/>
    <w:rsid w:val="00023D90"/>
    <w:rsid w:val="000244AC"/>
    <w:rsid w:val="00024FE7"/>
    <w:rsid w:val="00025124"/>
    <w:rsid w:val="00025B14"/>
    <w:rsid w:val="00027E0F"/>
    <w:rsid w:val="00030C0A"/>
    <w:rsid w:val="000316CD"/>
    <w:rsid w:val="00031961"/>
    <w:rsid w:val="00032A92"/>
    <w:rsid w:val="00032C24"/>
    <w:rsid w:val="00032E2B"/>
    <w:rsid w:val="00032F1D"/>
    <w:rsid w:val="000333B9"/>
    <w:rsid w:val="000341CB"/>
    <w:rsid w:val="000344E7"/>
    <w:rsid w:val="00034BEC"/>
    <w:rsid w:val="00034D53"/>
    <w:rsid w:val="00035345"/>
    <w:rsid w:val="000354DB"/>
    <w:rsid w:val="0003611E"/>
    <w:rsid w:val="0003635B"/>
    <w:rsid w:val="00036490"/>
    <w:rsid w:val="000364EB"/>
    <w:rsid w:val="00036CE6"/>
    <w:rsid w:val="00036E1D"/>
    <w:rsid w:val="00036E5B"/>
    <w:rsid w:val="00036F54"/>
    <w:rsid w:val="00037840"/>
    <w:rsid w:val="00037B0B"/>
    <w:rsid w:val="00040099"/>
    <w:rsid w:val="0004063E"/>
    <w:rsid w:val="00041147"/>
    <w:rsid w:val="0004242B"/>
    <w:rsid w:val="00042495"/>
    <w:rsid w:val="00042C92"/>
    <w:rsid w:val="0004337C"/>
    <w:rsid w:val="00043624"/>
    <w:rsid w:val="00043A2D"/>
    <w:rsid w:val="00043A32"/>
    <w:rsid w:val="00043DD2"/>
    <w:rsid w:val="00043F84"/>
    <w:rsid w:val="00043FD3"/>
    <w:rsid w:val="00044BC9"/>
    <w:rsid w:val="00045102"/>
    <w:rsid w:val="0004580E"/>
    <w:rsid w:val="0004589B"/>
    <w:rsid w:val="00045F20"/>
    <w:rsid w:val="000461B0"/>
    <w:rsid w:val="00046511"/>
    <w:rsid w:val="00047937"/>
    <w:rsid w:val="00047CA9"/>
    <w:rsid w:val="00050235"/>
    <w:rsid w:val="00051A53"/>
    <w:rsid w:val="000523E8"/>
    <w:rsid w:val="000525D1"/>
    <w:rsid w:val="00052839"/>
    <w:rsid w:val="00052BCA"/>
    <w:rsid w:val="000532A9"/>
    <w:rsid w:val="00053DFD"/>
    <w:rsid w:val="00054728"/>
    <w:rsid w:val="00055978"/>
    <w:rsid w:val="00055C7B"/>
    <w:rsid w:val="00055DBF"/>
    <w:rsid w:val="00056EF5"/>
    <w:rsid w:val="0005727C"/>
    <w:rsid w:val="00057360"/>
    <w:rsid w:val="00057F13"/>
    <w:rsid w:val="00060BA1"/>
    <w:rsid w:val="00061F16"/>
    <w:rsid w:val="000636E4"/>
    <w:rsid w:val="000643BE"/>
    <w:rsid w:val="000647E9"/>
    <w:rsid w:val="00065104"/>
    <w:rsid w:val="000654B3"/>
    <w:rsid w:val="00065743"/>
    <w:rsid w:val="000661F2"/>
    <w:rsid w:val="0006632E"/>
    <w:rsid w:val="000674C3"/>
    <w:rsid w:val="00067BED"/>
    <w:rsid w:val="0007162F"/>
    <w:rsid w:val="00071ECF"/>
    <w:rsid w:val="00073C17"/>
    <w:rsid w:val="0007406A"/>
    <w:rsid w:val="00074647"/>
    <w:rsid w:val="000747D3"/>
    <w:rsid w:val="00074B23"/>
    <w:rsid w:val="00074EAB"/>
    <w:rsid w:val="00076CF3"/>
    <w:rsid w:val="00077773"/>
    <w:rsid w:val="00077845"/>
    <w:rsid w:val="00077A31"/>
    <w:rsid w:val="00077B57"/>
    <w:rsid w:val="00080335"/>
    <w:rsid w:val="0008059E"/>
    <w:rsid w:val="00081FD8"/>
    <w:rsid w:val="000821A8"/>
    <w:rsid w:val="0008286C"/>
    <w:rsid w:val="00082ED9"/>
    <w:rsid w:val="000835E5"/>
    <w:rsid w:val="00083C50"/>
    <w:rsid w:val="00083C7D"/>
    <w:rsid w:val="00084613"/>
    <w:rsid w:val="000853B1"/>
    <w:rsid w:val="00085B3A"/>
    <w:rsid w:val="00085DCE"/>
    <w:rsid w:val="00086173"/>
    <w:rsid w:val="00086B8D"/>
    <w:rsid w:val="00087064"/>
    <w:rsid w:val="00087141"/>
    <w:rsid w:val="00090088"/>
    <w:rsid w:val="0009016D"/>
    <w:rsid w:val="000907E2"/>
    <w:rsid w:val="00091B4C"/>
    <w:rsid w:val="00091D47"/>
    <w:rsid w:val="00091E15"/>
    <w:rsid w:val="00091F1E"/>
    <w:rsid w:val="00092176"/>
    <w:rsid w:val="0009256B"/>
    <w:rsid w:val="00094314"/>
    <w:rsid w:val="0009478B"/>
    <w:rsid w:val="000947FB"/>
    <w:rsid w:val="00097039"/>
    <w:rsid w:val="00097727"/>
    <w:rsid w:val="00097F1C"/>
    <w:rsid w:val="000A078B"/>
    <w:rsid w:val="000A14FE"/>
    <w:rsid w:val="000A1FCD"/>
    <w:rsid w:val="000A279D"/>
    <w:rsid w:val="000A50C4"/>
    <w:rsid w:val="000A67D3"/>
    <w:rsid w:val="000A710F"/>
    <w:rsid w:val="000A71B9"/>
    <w:rsid w:val="000A7609"/>
    <w:rsid w:val="000A7C93"/>
    <w:rsid w:val="000A7CF6"/>
    <w:rsid w:val="000B0CB4"/>
    <w:rsid w:val="000B0F3A"/>
    <w:rsid w:val="000B1B4F"/>
    <w:rsid w:val="000B23C0"/>
    <w:rsid w:val="000B2830"/>
    <w:rsid w:val="000B345B"/>
    <w:rsid w:val="000B3B80"/>
    <w:rsid w:val="000B3B94"/>
    <w:rsid w:val="000B4537"/>
    <w:rsid w:val="000B5014"/>
    <w:rsid w:val="000B54E2"/>
    <w:rsid w:val="000B594A"/>
    <w:rsid w:val="000B5DEC"/>
    <w:rsid w:val="000B676C"/>
    <w:rsid w:val="000B6C0F"/>
    <w:rsid w:val="000B727D"/>
    <w:rsid w:val="000B735B"/>
    <w:rsid w:val="000C0952"/>
    <w:rsid w:val="000C14E0"/>
    <w:rsid w:val="000C1AAE"/>
    <w:rsid w:val="000C1FF9"/>
    <w:rsid w:val="000C20C6"/>
    <w:rsid w:val="000C3AE3"/>
    <w:rsid w:val="000C3E05"/>
    <w:rsid w:val="000C46E5"/>
    <w:rsid w:val="000C4CE5"/>
    <w:rsid w:val="000C51DE"/>
    <w:rsid w:val="000C5E8F"/>
    <w:rsid w:val="000C79F0"/>
    <w:rsid w:val="000D04D6"/>
    <w:rsid w:val="000D0EAE"/>
    <w:rsid w:val="000D1EE0"/>
    <w:rsid w:val="000D22A6"/>
    <w:rsid w:val="000D240E"/>
    <w:rsid w:val="000D34E3"/>
    <w:rsid w:val="000D3BA9"/>
    <w:rsid w:val="000D3F0D"/>
    <w:rsid w:val="000D4B19"/>
    <w:rsid w:val="000D4B8E"/>
    <w:rsid w:val="000D4CDC"/>
    <w:rsid w:val="000D7249"/>
    <w:rsid w:val="000D7CB0"/>
    <w:rsid w:val="000E01C6"/>
    <w:rsid w:val="000E0770"/>
    <w:rsid w:val="000E2AD8"/>
    <w:rsid w:val="000E4144"/>
    <w:rsid w:val="000E497B"/>
    <w:rsid w:val="000E5041"/>
    <w:rsid w:val="000E5FB6"/>
    <w:rsid w:val="000E724C"/>
    <w:rsid w:val="000E7489"/>
    <w:rsid w:val="000E74B2"/>
    <w:rsid w:val="000E785D"/>
    <w:rsid w:val="000E799F"/>
    <w:rsid w:val="000F0726"/>
    <w:rsid w:val="000F0C7D"/>
    <w:rsid w:val="000F126C"/>
    <w:rsid w:val="000F1F78"/>
    <w:rsid w:val="000F3835"/>
    <w:rsid w:val="000F3BD8"/>
    <w:rsid w:val="000F3C29"/>
    <w:rsid w:val="000F430C"/>
    <w:rsid w:val="000F4596"/>
    <w:rsid w:val="000F4790"/>
    <w:rsid w:val="000F4A98"/>
    <w:rsid w:val="000F5368"/>
    <w:rsid w:val="000F5457"/>
    <w:rsid w:val="000F55DF"/>
    <w:rsid w:val="000F641D"/>
    <w:rsid w:val="000F6B6B"/>
    <w:rsid w:val="000F6D45"/>
    <w:rsid w:val="000F7325"/>
    <w:rsid w:val="000F7538"/>
    <w:rsid w:val="000F7760"/>
    <w:rsid w:val="000F7BCD"/>
    <w:rsid w:val="000F7EFA"/>
    <w:rsid w:val="00101419"/>
    <w:rsid w:val="00101BF4"/>
    <w:rsid w:val="00102C16"/>
    <w:rsid w:val="00103D44"/>
    <w:rsid w:val="0010420B"/>
    <w:rsid w:val="0010489E"/>
    <w:rsid w:val="001056C1"/>
    <w:rsid w:val="0010573C"/>
    <w:rsid w:val="001073FB"/>
    <w:rsid w:val="00107856"/>
    <w:rsid w:val="00107C9E"/>
    <w:rsid w:val="00110148"/>
    <w:rsid w:val="00110C23"/>
    <w:rsid w:val="001110CB"/>
    <w:rsid w:val="001117CA"/>
    <w:rsid w:val="0011190A"/>
    <w:rsid w:val="00111C1A"/>
    <w:rsid w:val="0011203A"/>
    <w:rsid w:val="00112040"/>
    <w:rsid w:val="001123D8"/>
    <w:rsid w:val="001128BC"/>
    <w:rsid w:val="00112E66"/>
    <w:rsid w:val="00112EF8"/>
    <w:rsid w:val="00113741"/>
    <w:rsid w:val="0011377B"/>
    <w:rsid w:val="001149E7"/>
    <w:rsid w:val="001153CA"/>
    <w:rsid w:val="00115AFD"/>
    <w:rsid w:val="001160B6"/>
    <w:rsid w:val="001168A2"/>
    <w:rsid w:val="00116F7A"/>
    <w:rsid w:val="001177BE"/>
    <w:rsid w:val="00117C0B"/>
    <w:rsid w:val="00120CAE"/>
    <w:rsid w:val="00120D41"/>
    <w:rsid w:val="00120FA6"/>
    <w:rsid w:val="0012152B"/>
    <w:rsid w:val="00121BEA"/>
    <w:rsid w:val="00123F07"/>
    <w:rsid w:val="001243CE"/>
    <w:rsid w:val="00126DD7"/>
    <w:rsid w:val="001271DF"/>
    <w:rsid w:val="00127C87"/>
    <w:rsid w:val="0013011A"/>
    <w:rsid w:val="001302A3"/>
    <w:rsid w:val="001303F9"/>
    <w:rsid w:val="00131812"/>
    <w:rsid w:val="00132CD0"/>
    <w:rsid w:val="00132D4B"/>
    <w:rsid w:val="00132FA3"/>
    <w:rsid w:val="00133772"/>
    <w:rsid w:val="00133C15"/>
    <w:rsid w:val="001402FF"/>
    <w:rsid w:val="00140552"/>
    <w:rsid w:val="0014058B"/>
    <w:rsid w:val="001410EB"/>
    <w:rsid w:val="00141E9C"/>
    <w:rsid w:val="001431BF"/>
    <w:rsid w:val="00143217"/>
    <w:rsid w:val="001438FA"/>
    <w:rsid w:val="00144DDE"/>
    <w:rsid w:val="001452E7"/>
    <w:rsid w:val="00146263"/>
    <w:rsid w:val="00146488"/>
    <w:rsid w:val="001468E8"/>
    <w:rsid w:val="00147E1A"/>
    <w:rsid w:val="00147E7B"/>
    <w:rsid w:val="001507BB"/>
    <w:rsid w:val="00152196"/>
    <w:rsid w:val="0015290D"/>
    <w:rsid w:val="00152B6F"/>
    <w:rsid w:val="001534A2"/>
    <w:rsid w:val="0015400C"/>
    <w:rsid w:val="00155AB2"/>
    <w:rsid w:val="00155FAA"/>
    <w:rsid w:val="00156CFA"/>
    <w:rsid w:val="00157822"/>
    <w:rsid w:val="00160549"/>
    <w:rsid w:val="00160843"/>
    <w:rsid w:val="00162B39"/>
    <w:rsid w:val="00164C1B"/>
    <w:rsid w:val="00164DD3"/>
    <w:rsid w:val="00165534"/>
    <w:rsid w:val="00165B93"/>
    <w:rsid w:val="00166251"/>
    <w:rsid w:val="00166AEF"/>
    <w:rsid w:val="00166E5D"/>
    <w:rsid w:val="00167650"/>
    <w:rsid w:val="00167B8A"/>
    <w:rsid w:val="00167CEE"/>
    <w:rsid w:val="00170066"/>
    <w:rsid w:val="00170FA8"/>
    <w:rsid w:val="00171BE9"/>
    <w:rsid w:val="00172429"/>
    <w:rsid w:val="00172775"/>
    <w:rsid w:val="00173C46"/>
    <w:rsid w:val="00173FEE"/>
    <w:rsid w:val="001740A5"/>
    <w:rsid w:val="0017452A"/>
    <w:rsid w:val="001754DA"/>
    <w:rsid w:val="00177172"/>
    <w:rsid w:val="00177293"/>
    <w:rsid w:val="00180834"/>
    <w:rsid w:val="00180D1A"/>
    <w:rsid w:val="00180F80"/>
    <w:rsid w:val="00182B8F"/>
    <w:rsid w:val="00182D7B"/>
    <w:rsid w:val="00183792"/>
    <w:rsid w:val="001838A0"/>
    <w:rsid w:val="00183E13"/>
    <w:rsid w:val="00184BE3"/>
    <w:rsid w:val="00184C74"/>
    <w:rsid w:val="00184E6D"/>
    <w:rsid w:val="00185D5B"/>
    <w:rsid w:val="00185E12"/>
    <w:rsid w:val="001865FA"/>
    <w:rsid w:val="00186AF1"/>
    <w:rsid w:val="001870BC"/>
    <w:rsid w:val="00190B4C"/>
    <w:rsid w:val="0019229A"/>
    <w:rsid w:val="00194C6B"/>
    <w:rsid w:val="00195578"/>
    <w:rsid w:val="001955FB"/>
    <w:rsid w:val="00195FED"/>
    <w:rsid w:val="00196112"/>
    <w:rsid w:val="00196A38"/>
    <w:rsid w:val="00196B8F"/>
    <w:rsid w:val="00196E48"/>
    <w:rsid w:val="001979D4"/>
    <w:rsid w:val="001A00CE"/>
    <w:rsid w:val="001A0CE7"/>
    <w:rsid w:val="001A237E"/>
    <w:rsid w:val="001A31DE"/>
    <w:rsid w:val="001A41A7"/>
    <w:rsid w:val="001A4398"/>
    <w:rsid w:val="001A43A9"/>
    <w:rsid w:val="001A4A93"/>
    <w:rsid w:val="001A5242"/>
    <w:rsid w:val="001A5CAB"/>
    <w:rsid w:val="001A693D"/>
    <w:rsid w:val="001A6C46"/>
    <w:rsid w:val="001B051B"/>
    <w:rsid w:val="001B0861"/>
    <w:rsid w:val="001B1180"/>
    <w:rsid w:val="001B1335"/>
    <w:rsid w:val="001B1587"/>
    <w:rsid w:val="001B2547"/>
    <w:rsid w:val="001B3E3A"/>
    <w:rsid w:val="001B4B4C"/>
    <w:rsid w:val="001B5DBB"/>
    <w:rsid w:val="001B7ACE"/>
    <w:rsid w:val="001C0A62"/>
    <w:rsid w:val="001C0DE9"/>
    <w:rsid w:val="001C13B8"/>
    <w:rsid w:val="001C18A7"/>
    <w:rsid w:val="001C1A0C"/>
    <w:rsid w:val="001C3A76"/>
    <w:rsid w:val="001C3F79"/>
    <w:rsid w:val="001C4022"/>
    <w:rsid w:val="001C431C"/>
    <w:rsid w:val="001C47B5"/>
    <w:rsid w:val="001C50C2"/>
    <w:rsid w:val="001C6779"/>
    <w:rsid w:val="001C6BC0"/>
    <w:rsid w:val="001C73DD"/>
    <w:rsid w:val="001C76CE"/>
    <w:rsid w:val="001C7910"/>
    <w:rsid w:val="001C7AA5"/>
    <w:rsid w:val="001D0088"/>
    <w:rsid w:val="001D0277"/>
    <w:rsid w:val="001D0350"/>
    <w:rsid w:val="001D1E06"/>
    <w:rsid w:val="001D1E66"/>
    <w:rsid w:val="001D38F2"/>
    <w:rsid w:val="001D4338"/>
    <w:rsid w:val="001D48D6"/>
    <w:rsid w:val="001D50A3"/>
    <w:rsid w:val="001D62F8"/>
    <w:rsid w:val="001D6886"/>
    <w:rsid w:val="001D68D2"/>
    <w:rsid w:val="001D70B8"/>
    <w:rsid w:val="001D73DD"/>
    <w:rsid w:val="001D73E9"/>
    <w:rsid w:val="001D74C5"/>
    <w:rsid w:val="001E0BBA"/>
    <w:rsid w:val="001E0BED"/>
    <w:rsid w:val="001E0F5E"/>
    <w:rsid w:val="001E0FDC"/>
    <w:rsid w:val="001E12DB"/>
    <w:rsid w:val="001E19B9"/>
    <w:rsid w:val="001E1DCB"/>
    <w:rsid w:val="001E272A"/>
    <w:rsid w:val="001E35B6"/>
    <w:rsid w:val="001E3CEC"/>
    <w:rsid w:val="001E4BCE"/>
    <w:rsid w:val="001E501B"/>
    <w:rsid w:val="001E59B9"/>
    <w:rsid w:val="001E5C4A"/>
    <w:rsid w:val="001E6071"/>
    <w:rsid w:val="001E6DCB"/>
    <w:rsid w:val="001E76A8"/>
    <w:rsid w:val="001E774E"/>
    <w:rsid w:val="001E7D29"/>
    <w:rsid w:val="001F12A8"/>
    <w:rsid w:val="001F1B05"/>
    <w:rsid w:val="001F207E"/>
    <w:rsid w:val="001F2502"/>
    <w:rsid w:val="001F26C3"/>
    <w:rsid w:val="001F3C90"/>
    <w:rsid w:val="001F476E"/>
    <w:rsid w:val="001F4FCE"/>
    <w:rsid w:val="001F55C1"/>
    <w:rsid w:val="001F58BD"/>
    <w:rsid w:val="001F5CE0"/>
    <w:rsid w:val="001F6A25"/>
    <w:rsid w:val="00200E9F"/>
    <w:rsid w:val="0020287E"/>
    <w:rsid w:val="0020347F"/>
    <w:rsid w:val="002039B6"/>
    <w:rsid w:val="00203C09"/>
    <w:rsid w:val="00203EA1"/>
    <w:rsid w:val="0020452B"/>
    <w:rsid w:val="0020456D"/>
    <w:rsid w:val="00204A1D"/>
    <w:rsid w:val="002056AF"/>
    <w:rsid w:val="00205CFF"/>
    <w:rsid w:val="00206352"/>
    <w:rsid w:val="002066A9"/>
    <w:rsid w:val="00206A4B"/>
    <w:rsid w:val="00206F72"/>
    <w:rsid w:val="0020755D"/>
    <w:rsid w:val="002079AF"/>
    <w:rsid w:val="00210760"/>
    <w:rsid w:val="0021121F"/>
    <w:rsid w:val="00211B4C"/>
    <w:rsid w:val="00213B57"/>
    <w:rsid w:val="002156C2"/>
    <w:rsid w:val="002161EC"/>
    <w:rsid w:val="00216E03"/>
    <w:rsid w:val="00217834"/>
    <w:rsid w:val="002210C5"/>
    <w:rsid w:val="00221501"/>
    <w:rsid w:val="00222C48"/>
    <w:rsid w:val="00223013"/>
    <w:rsid w:val="002235EC"/>
    <w:rsid w:val="00223B0E"/>
    <w:rsid w:val="00223B7B"/>
    <w:rsid w:val="0022460C"/>
    <w:rsid w:val="00224C7F"/>
    <w:rsid w:val="00224DBA"/>
    <w:rsid w:val="0022585D"/>
    <w:rsid w:val="002259C8"/>
    <w:rsid w:val="00227CD8"/>
    <w:rsid w:val="002309DE"/>
    <w:rsid w:val="0023134B"/>
    <w:rsid w:val="00231F9C"/>
    <w:rsid w:val="00232442"/>
    <w:rsid w:val="00232DF5"/>
    <w:rsid w:val="00233194"/>
    <w:rsid w:val="00233445"/>
    <w:rsid w:val="00235086"/>
    <w:rsid w:val="00235CF1"/>
    <w:rsid w:val="00236940"/>
    <w:rsid w:val="00236A5A"/>
    <w:rsid w:val="002408E7"/>
    <w:rsid w:val="00240C26"/>
    <w:rsid w:val="00240D3C"/>
    <w:rsid w:val="00241A68"/>
    <w:rsid w:val="0024226A"/>
    <w:rsid w:val="00242342"/>
    <w:rsid w:val="00242965"/>
    <w:rsid w:val="00242FA8"/>
    <w:rsid w:val="00243791"/>
    <w:rsid w:val="00243B2B"/>
    <w:rsid w:val="002469BA"/>
    <w:rsid w:val="00247507"/>
    <w:rsid w:val="0025057A"/>
    <w:rsid w:val="00250A29"/>
    <w:rsid w:val="00252222"/>
    <w:rsid w:val="002522CF"/>
    <w:rsid w:val="002523B1"/>
    <w:rsid w:val="00253113"/>
    <w:rsid w:val="0025346A"/>
    <w:rsid w:val="0025349B"/>
    <w:rsid w:val="002535CF"/>
    <w:rsid w:val="00253855"/>
    <w:rsid w:val="0025417C"/>
    <w:rsid w:val="00254EA8"/>
    <w:rsid w:val="0025513A"/>
    <w:rsid w:val="00255174"/>
    <w:rsid w:val="00255DB8"/>
    <w:rsid w:val="00255DD7"/>
    <w:rsid w:val="00255FA1"/>
    <w:rsid w:val="00256586"/>
    <w:rsid w:val="00257778"/>
    <w:rsid w:val="00257ECC"/>
    <w:rsid w:val="00260410"/>
    <w:rsid w:val="00260A89"/>
    <w:rsid w:val="00260AF5"/>
    <w:rsid w:val="00261701"/>
    <w:rsid w:val="00261CA9"/>
    <w:rsid w:val="00261E34"/>
    <w:rsid w:val="00262449"/>
    <w:rsid w:val="00262DA1"/>
    <w:rsid w:val="002630CA"/>
    <w:rsid w:val="00263260"/>
    <w:rsid w:val="0026466D"/>
    <w:rsid w:val="00264856"/>
    <w:rsid w:val="002648EA"/>
    <w:rsid w:val="002653AB"/>
    <w:rsid w:val="00265BF5"/>
    <w:rsid w:val="002661A0"/>
    <w:rsid w:val="00266708"/>
    <w:rsid w:val="00266790"/>
    <w:rsid w:val="002667F4"/>
    <w:rsid w:val="00267353"/>
    <w:rsid w:val="00267D51"/>
    <w:rsid w:val="00270079"/>
    <w:rsid w:val="00270436"/>
    <w:rsid w:val="00270501"/>
    <w:rsid w:val="002727F5"/>
    <w:rsid w:val="00272927"/>
    <w:rsid w:val="00272A88"/>
    <w:rsid w:val="00272D86"/>
    <w:rsid w:val="00273B57"/>
    <w:rsid w:val="00273DC6"/>
    <w:rsid w:val="0027466B"/>
    <w:rsid w:val="00274D14"/>
    <w:rsid w:val="00274EFD"/>
    <w:rsid w:val="00274F0B"/>
    <w:rsid w:val="00275306"/>
    <w:rsid w:val="00275D7B"/>
    <w:rsid w:val="00275D8A"/>
    <w:rsid w:val="0027604D"/>
    <w:rsid w:val="002762F9"/>
    <w:rsid w:val="00276A2E"/>
    <w:rsid w:val="002774A7"/>
    <w:rsid w:val="002777E5"/>
    <w:rsid w:val="00280AF3"/>
    <w:rsid w:val="00280FA6"/>
    <w:rsid w:val="0028129A"/>
    <w:rsid w:val="00281771"/>
    <w:rsid w:val="002825C0"/>
    <w:rsid w:val="00282707"/>
    <w:rsid w:val="0028306A"/>
    <w:rsid w:val="00283429"/>
    <w:rsid w:val="00283EBB"/>
    <w:rsid w:val="00284DD9"/>
    <w:rsid w:val="00284F01"/>
    <w:rsid w:val="00285C67"/>
    <w:rsid w:val="00285E8F"/>
    <w:rsid w:val="00286885"/>
    <w:rsid w:val="00287605"/>
    <w:rsid w:val="00290C3B"/>
    <w:rsid w:val="00291A61"/>
    <w:rsid w:val="0029203C"/>
    <w:rsid w:val="0029253E"/>
    <w:rsid w:val="0029292D"/>
    <w:rsid w:val="00292B9C"/>
    <w:rsid w:val="002931EC"/>
    <w:rsid w:val="002938BE"/>
    <w:rsid w:val="00293B44"/>
    <w:rsid w:val="0029427A"/>
    <w:rsid w:val="002943B5"/>
    <w:rsid w:val="002943C6"/>
    <w:rsid w:val="00294551"/>
    <w:rsid w:val="002945EF"/>
    <w:rsid w:val="002954C4"/>
    <w:rsid w:val="002960F9"/>
    <w:rsid w:val="00296719"/>
    <w:rsid w:val="002978B2"/>
    <w:rsid w:val="002A0892"/>
    <w:rsid w:val="002A124F"/>
    <w:rsid w:val="002A24F9"/>
    <w:rsid w:val="002A33FF"/>
    <w:rsid w:val="002A352B"/>
    <w:rsid w:val="002A370B"/>
    <w:rsid w:val="002A50C0"/>
    <w:rsid w:val="002A50F3"/>
    <w:rsid w:val="002A50F7"/>
    <w:rsid w:val="002A56A1"/>
    <w:rsid w:val="002A59C5"/>
    <w:rsid w:val="002A5B98"/>
    <w:rsid w:val="002A637B"/>
    <w:rsid w:val="002A68A7"/>
    <w:rsid w:val="002A6943"/>
    <w:rsid w:val="002A7604"/>
    <w:rsid w:val="002B0684"/>
    <w:rsid w:val="002B0ABE"/>
    <w:rsid w:val="002B0B28"/>
    <w:rsid w:val="002B131A"/>
    <w:rsid w:val="002B1DA9"/>
    <w:rsid w:val="002B2B1B"/>
    <w:rsid w:val="002B2B2D"/>
    <w:rsid w:val="002B3D07"/>
    <w:rsid w:val="002B4D7F"/>
    <w:rsid w:val="002B5612"/>
    <w:rsid w:val="002B6136"/>
    <w:rsid w:val="002B61A9"/>
    <w:rsid w:val="002B6A5A"/>
    <w:rsid w:val="002B7AF7"/>
    <w:rsid w:val="002C0271"/>
    <w:rsid w:val="002C0306"/>
    <w:rsid w:val="002C0F12"/>
    <w:rsid w:val="002C11D5"/>
    <w:rsid w:val="002C1573"/>
    <w:rsid w:val="002C1EF4"/>
    <w:rsid w:val="002C3634"/>
    <w:rsid w:val="002C3978"/>
    <w:rsid w:val="002C4598"/>
    <w:rsid w:val="002C45C8"/>
    <w:rsid w:val="002C4CCE"/>
    <w:rsid w:val="002C58F6"/>
    <w:rsid w:val="002C60F4"/>
    <w:rsid w:val="002C60F9"/>
    <w:rsid w:val="002C643E"/>
    <w:rsid w:val="002C6BB9"/>
    <w:rsid w:val="002C6E42"/>
    <w:rsid w:val="002C75DE"/>
    <w:rsid w:val="002D238D"/>
    <w:rsid w:val="002D3AF7"/>
    <w:rsid w:val="002D467D"/>
    <w:rsid w:val="002D5E59"/>
    <w:rsid w:val="002D606F"/>
    <w:rsid w:val="002D62F6"/>
    <w:rsid w:val="002D69BC"/>
    <w:rsid w:val="002D75D4"/>
    <w:rsid w:val="002D760D"/>
    <w:rsid w:val="002E13B3"/>
    <w:rsid w:val="002E2060"/>
    <w:rsid w:val="002E356B"/>
    <w:rsid w:val="002E359F"/>
    <w:rsid w:val="002E4117"/>
    <w:rsid w:val="002E42A2"/>
    <w:rsid w:val="002E44C8"/>
    <w:rsid w:val="002E5108"/>
    <w:rsid w:val="002E69AF"/>
    <w:rsid w:val="002E6B49"/>
    <w:rsid w:val="002F001A"/>
    <w:rsid w:val="002F04C0"/>
    <w:rsid w:val="002F0615"/>
    <w:rsid w:val="002F0EEA"/>
    <w:rsid w:val="002F14E3"/>
    <w:rsid w:val="002F1782"/>
    <w:rsid w:val="002F1C32"/>
    <w:rsid w:val="002F2034"/>
    <w:rsid w:val="002F2C90"/>
    <w:rsid w:val="002F37D3"/>
    <w:rsid w:val="002F398C"/>
    <w:rsid w:val="002F40CA"/>
    <w:rsid w:val="002F4937"/>
    <w:rsid w:val="002F548C"/>
    <w:rsid w:val="002F71DD"/>
    <w:rsid w:val="002F7642"/>
    <w:rsid w:val="002F7BBC"/>
    <w:rsid w:val="002F7F8A"/>
    <w:rsid w:val="00301328"/>
    <w:rsid w:val="00301794"/>
    <w:rsid w:val="003017D9"/>
    <w:rsid w:val="00301A7F"/>
    <w:rsid w:val="00302170"/>
    <w:rsid w:val="0030296C"/>
    <w:rsid w:val="00302DF9"/>
    <w:rsid w:val="00302E3C"/>
    <w:rsid w:val="003030D9"/>
    <w:rsid w:val="003032B1"/>
    <w:rsid w:val="00305A1E"/>
    <w:rsid w:val="00305E49"/>
    <w:rsid w:val="00307FB3"/>
    <w:rsid w:val="003105A5"/>
    <w:rsid w:val="00310636"/>
    <w:rsid w:val="0031084A"/>
    <w:rsid w:val="00310CCC"/>
    <w:rsid w:val="003121E4"/>
    <w:rsid w:val="00312420"/>
    <w:rsid w:val="003125EA"/>
    <w:rsid w:val="00313551"/>
    <w:rsid w:val="003137CD"/>
    <w:rsid w:val="003148FE"/>
    <w:rsid w:val="0031496B"/>
    <w:rsid w:val="00314AE6"/>
    <w:rsid w:val="00314ED9"/>
    <w:rsid w:val="003155AD"/>
    <w:rsid w:val="00315F7B"/>
    <w:rsid w:val="003169AB"/>
    <w:rsid w:val="00316DE1"/>
    <w:rsid w:val="00317382"/>
    <w:rsid w:val="00317D5B"/>
    <w:rsid w:val="003206DC"/>
    <w:rsid w:val="00321207"/>
    <w:rsid w:val="003212BC"/>
    <w:rsid w:val="003226C7"/>
    <w:rsid w:val="00323B63"/>
    <w:rsid w:val="00323C7C"/>
    <w:rsid w:val="00324026"/>
    <w:rsid w:val="00324187"/>
    <w:rsid w:val="0032486C"/>
    <w:rsid w:val="00324A2C"/>
    <w:rsid w:val="003265A2"/>
    <w:rsid w:val="00327961"/>
    <w:rsid w:val="00327A6D"/>
    <w:rsid w:val="00327BB5"/>
    <w:rsid w:val="00327C47"/>
    <w:rsid w:val="003306A3"/>
    <w:rsid w:val="00331E0C"/>
    <w:rsid w:val="00332415"/>
    <w:rsid w:val="00332DDD"/>
    <w:rsid w:val="00334425"/>
    <w:rsid w:val="0033495D"/>
    <w:rsid w:val="00334EA3"/>
    <w:rsid w:val="00335221"/>
    <w:rsid w:val="0033539E"/>
    <w:rsid w:val="00335787"/>
    <w:rsid w:val="00335811"/>
    <w:rsid w:val="003359F7"/>
    <w:rsid w:val="00336085"/>
    <w:rsid w:val="003361FB"/>
    <w:rsid w:val="00336C4F"/>
    <w:rsid w:val="00337123"/>
    <w:rsid w:val="00337A11"/>
    <w:rsid w:val="003403E4"/>
    <w:rsid w:val="003419ED"/>
    <w:rsid w:val="00342411"/>
    <w:rsid w:val="0034291C"/>
    <w:rsid w:val="00344896"/>
    <w:rsid w:val="0034547D"/>
    <w:rsid w:val="0034580A"/>
    <w:rsid w:val="00346A51"/>
    <w:rsid w:val="003473DD"/>
    <w:rsid w:val="00347A9A"/>
    <w:rsid w:val="00351D23"/>
    <w:rsid w:val="00353769"/>
    <w:rsid w:val="0035425C"/>
    <w:rsid w:val="003542F6"/>
    <w:rsid w:val="00355309"/>
    <w:rsid w:val="00355C55"/>
    <w:rsid w:val="003560CB"/>
    <w:rsid w:val="003563FC"/>
    <w:rsid w:val="0035776B"/>
    <w:rsid w:val="00357B06"/>
    <w:rsid w:val="00357D0D"/>
    <w:rsid w:val="00360157"/>
    <w:rsid w:val="003605BC"/>
    <w:rsid w:val="00360F0F"/>
    <w:rsid w:val="00361151"/>
    <w:rsid w:val="00363D86"/>
    <w:rsid w:val="00364F7D"/>
    <w:rsid w:val="00365E14"/>
    <w:rsid w:val="00366660"/>
    <w:rsid w:val="00366823"/>
    <w:rsid w:val="003677F1"/>
    <w:rsid w:val="00367C8D"/>
    <w:rsid w:val="0037030A"/>
    <w:rsid w:val="00370840"/>
    <w:rsid w:val="00370D2B"/>
    <w:rsid w:val="003723C6"/>
    <w:rsid w:val="00372E78"/>
    <w:rsid w:val="003732E1"/>
    <w:rsid w:val="00373595"/>
    <w:rsid w:val="003740BB"/>
    <w:rsid w:val="003743B0"/>
    <w:rsid w:val="0037473B"/>
    <w:rsid w:val="0037473F"/>
    <w:rsid w:val="0037476D"/>
    <w:rsid w:val="003749BF"/>
    <w:rsid w:val="00375883"/>
    <w:rsid w:val="00376631"/>
    <w:rsid w:val="0037671A"/>
    <w:rsid w:val="00377DEB"/>
    <w:rsid w:val="00380156"/>
    <w:rsid w:val="003816ED"/>
    <w:rsid w:val="003825DA"/>
    <w:rsid w:val="0038393C"/>
    <w:rsid w:val="00383F0B"/>
    <w:rsid w:val="003841C5"/>
    <w:rsid w:val="00384C89"/>
    <w:rsid w:val="00386C2B"/>
    <w:rsid w:val="003871DE"/>
    <w:rsid w:val="0038778E"/>
    <w:rsid w:val="003905D7"/>
    <w:rsid w:val="0039088B"/>
    <w:rsid w:val="00390E32"/>
    <w:rsid w:val="0039197C"/>
    <w:rsid w:val="00391A45"/>
    <w:rsid w:val="00392D9F"/>
    <w:rsid w:val="0039374F"/>
    <w:rsid w:val="003940A9"/>
    <w:rsid w:val="0039478D"/>
    <w:rsid w:val="00395485"/>
    <w:rsid w:val="00395A2E"/>
    <w:rsid w:val="0039645E"/>
    <w:rsid w:val="0039747C"/>
    <w:rsid w:val="003A0B37"/>
    <w:rsid w:val="003A2707"/>
    <w:rsid w:val="003A37DB"/>
    <w:rsid w:val="003A4AFB"/>
    <w:rsid w:val="003A4B99"/>
    <w:rsid w:val="003A5247"/>
    <w:rsid w:val="003A5854"/>
    <w:rsid w:val="003A7534"/>
    <w:rsid w:val="003A7714"/>
    <w:rsid w:val="003B05C4"/>
    <w:rsid w:val="003B0B32"/>
    <w:rsid w:val="003B11EC"/>
    <w:rsid w:val="003B1226"/>
    <w:rsid w:val="003B135C"/>
    <w:rsid w:val="003B1F85"/>
    <w:rsid w:val="003B2499"/>
    <w:rsid w:val="003B3BB6"/>
    <w:rsid w:val="003B51C9"/>
    <w:rsid w:val="003B5311"/>
    <w:rsid w:val="003B5781"/>
    <w:rsid w:val="003B5FB8"/>
    <w:rsid w:val="003B6DC3"/>
    <w:rsid w:val="003B745F"/>
    <w:rsid w:val="003B74D5"/>
    <w:rsid w:val="003C0694"/>
    <w:rsid w:val="003C166A"/>
    <w:rsid w:val="003C27D2"/>
    <w:rsid w:val="003C27D4"/>
    <w:rsid w:val="003C27E2"/>
    <w:rsid w:val="003C2E63"/>
    <w:rsid w:val="003C332F"/>
    <w:rsid w:val="003C465F"/>
    <w:rsid w:val="003C4842"/>
    <w:rsid w:val="003C4E9E"/>
    <w:rsid w:val="003C53FC"/>
    <w:rsid w:val="003C5DFC"/>
    <w:rsid w:val="003C6C90"/>
    <w:rsid w:val="003C703E"/>
    <w:rsid w:val="003C738A"/>
    <w:rsid w:val="003C7569"/>
    <w:rsid w:val="003D0C84"/>
    <w:rsid w:val="003D0E5B"/>
    <w:rsid w:val="003D0FE3"/>
    <w:rsid w:val="003D0FEC"/>
    <w:rsid w:val="003D0FFB"/>
    <w:rsid w:val="003D1D1D"/>
    <w:rsid w:val="003D231C"/>
    <w:rsid w:val="003D3914"/>
    <w:rsid w:val="003D3D41"/>
    <w:rsid w:val="003D532B"/>
    <w:rsid w:val="003D56D9"/>
    <w:rsid w:val="003D5788"/>
    <w:rsid w:val="003D6EC5"/>
    <w:rsid w:val="003D7CAE"/>
    <w:rsid w:val="003E0611"/>
    <w:rsid w:val="003E1EDE"/>
    <w:rsid w:val="003E2533"/>
    <w:rsid w:val="003E2B07"/>
    <w:rsid w:val="003E4F68"/>
    <w:rsid w:val="003E5219"/>
    <w:rsid w:val="003E572B"/>
    <w:rsid w:val="003E614F"/>
    <w:rsid w:val="003E6980"/>
    <w:rsid w:val="003E69D6"/>
    <w:rsid w:val="003E6E72"/>
    <w:rsid w:val="003E6ED6"/>
    <w:rsid w:val="003E7C8D"/>
    <w:rsid w:val="003F01AB"/>
    <w:rsid w:val="003F0BAC"/>
    <w:rsid w:val="003F0ECC"/>
    <w:rsid w:val="003F1954"/>
    <w:rsid w:val="003F1CE6"/>
    <w:rsid w:val="003F1F86"/>
    <w:rsid w:val="003F2CD7"/>
    <w:rsid w:val="003F32B0"/>
    <w:rsid w:val="003F34A1"/>
    <w:rsid w:val="003F34BE"/>
    <w:rsid w:val="003F37E1"/>
    <w:rsid w:val="003F37F3"/>
    <w:rsid w:val="003F3B7A"/>
    <w:rsid w:val="003F4266"/>
    <w:rsid w:val="003F432C"/>
    <w:rsid w:val="003F5148"/>
    <w:rsid w:val="003F5320"/>
    <w:rsid w:val="003F5381"/>
    <w:rsid w:val="003F6B23"/>
    <w:rsid w:val="003F6F78"/>
    <w:rsid w:val="003F7C4D"/>
    <w:rsid w:val="00400AC3"/>
    <w:rsid w:val="00402153"/>
    <w:rsid w:val="00402BAE"/>
    <w:rsid w:val="00403189"/>
    <w:rsid w:val="00403C1B"/>
    <w:rsid w:val="004045C1"/>
    <w:rsid w:val="0040548C"/>
    <w:rsid w:val="00405DFF"/>
    <w:rsid w:val="00406AC1"/>
    <w:rsid w:val="00406D85"/>
    <w:rsid w:val="00407FD6"/>
    <w:rsid w:val="00410797"/>
    <w:rsid w:val="00410DF4"/>
    <w:rsid w:val="00410FCC"/>
    <w:rsid w:val="004115D6"/>
    <w:rsid w:val="004124BA"/>
    <w:rsid w:val="00412A7D"/>
    <w:rsid w:val="00412ABC"/>
    <w:rsid w:val="00412C86"/>
    <w:rsid w:val="00412E76"/>
    <w:rsid w:val="00413178"/>
    <w:rsid w:val="004131C8"/>
    <w:rsid w:val="00413FFD"/>
    <w:rsid w:val="004142B7"/>
    <w:rsid w:val="00415923"/>
    <w:rsid w:val="00416146"/>
    <w:rsid w:val="00416604"/>
    <w:rsid w:val="00417184"/>
    <w:rsid w:val="00417A74"/>
    <w:rsid w:val="00421304"/>
    <w:rsid w:val="00421E5A"/>
    <w:rsid w:val="00422AF3"/>
    <w:rsid w:val="00422B56"/>
    <w:rsid w:val="004230A0"/>
    <w:rsid w:val="0042408E"/>
    <w:rsid w:val="00424E75"/>
    <w:rsid w:val="00425675"/>
    <w:rsid w:val="0042575A"/>
    <w:rsid w:val="00425DEB"/>
    <w:rsid w:val="00426C6E"/>
    <w:rsid w:val="004275CA"/>
    <w:rsid w:val="004313C7"/>
    <w:rsid w:val="004314C3"/>
    <w:rsid w:val="00431A31"/>
    <w:rsid w:val="0043205F"/>
    <w:rsid w:val="00434154"/>
    <w:rsid w:val="00434D4A"/>
    <w:rsid w:val="00435E06"/>
    <w:rsid w:val="00435FB0"/>
    <w:rsid w:val="004366D2"/>
    <w:rsid w:val="00436AB3"/>
    <w:rsid w:val="00436DB9"/>
    <w:rsid w:val="00437159"/>
    <w:rsid w:val="0043722F"/>
    <w:rsid w:val="0043791C"/>
    <w:rsid w:val="004404D1"/>
    <w:rsid w:val="00442368"/>
    <w:rsid w:val="0044344F"/>
    <w:rsid w:val="00443850"/>
    <w:rsid w:val="00443B4F"/>
    <w:rsid w:val="00443C39"/>
    <w:rsid w:val="00443F17"/>
    <w:rsid w:val="004463B8"/>
    <w:rsid w:val="00446A5C"/>
    <w:rsid w:val="00447456"/>
    <w:rsid w:val="004479B9"/>
    <w:rsid w:val="00450685"/>
    <w:rsid w:val="00451861"/>
    <w:rsid w:val="00452B78"/>
    <w:rsid w:val="00454828"/>
    <w:rsid w:val="004549A5"/>
    <w:rsid w:val="004557EE"/>
    <w:rsid w:val="0045600B"/>
    <w:rsid w:val="0045633B"/>
    <w:rsid w:val="00456402"/>
    <w:rsid w:val="004570EE"/>
    <w:rsid w:val="0045719C"/>
    <w:rsid w:val="00457383"/>
    <w:rsid w:val="00457F57"/>
    <w:rsid w:val="004601AF"/>
    <w:rsid w:val="004611EF"/>
    <w:rsid w:val="0046277E"/>
    <w:rsid w:val="00462920"/>
    <w:rsid w:val="00462CE2"/>
    <w:rsid w:val="004647BA"/>
    <w:rsid w:val="004648B9"/>
    <w:rsid w:val="00464D29"/>
    <w:rsid w:val="00464E6D"/>
    <w:rsid w:val="00465536"/>
    <w:rsid w:val="00465C20"/>
    <w:rsid w:val="00465E2B"/>
    <w:rsid w:val="0046603B"/>
    <w:rsid w:val="004670E3"/>
    <w:rsid w:val="0046746C"/>
    <w:rsid w:val="0046770E"/>
    <w:rsid w:val="004677FF"/>
    <w:rsid w:val="00467BB5"/>
    <w:rsid w:val="00470072"/>
    <w:rsid w:val="0047024D"/>
    <w:rsid w:val="004702C2"/>
    <w:rsid w:val="00470911"/>
    <w:rsid w:val="00471106"/>
    <w:rsid w:val="004712B8"/>
    <w:rsid w:val="004716B7"/>
    <w:rsid w:val="00471F21"/>
    <w:rsid w:val="004720E6"/>
    <w:rsid w:val="00472A7E"/>
    <w:rsid w:val="004731B6"/>
    <w:rsid w:val="00473305"/>
    <w:rsid w:val="004743DE"/>
    <w:rsid w:val="004744B8"/>
    <w:rsid w:val="004744F4"/>
    <w:rsid w:val="00474A97"/>
    <w:rsid w:val="00474C28"/>
    <w:rsid w:val="00474E76"/>
    <w:rsid w:val="0047511C"/>
    <w:rsid w:val="004762E2"/>
    <w:rsid w:val="00476606"/>
    <w:rsid w:val="00476A31"/>
    <w:rsid w:val="00480726"/>
    <w:rsid w:val="00480D99"/>
    <w:rsid w:val="004830FA"/>
    <w:rsid w:val="00484594"/>
    <w:rsid w:val="004845FE"/>
    <w:rsid w:val="00485038"/>
    <w:rsid w:val="00485FFF"/>
    <w:rsid w:val="00486B6A"/>
    <w:rsid w:val="00487CA7"/>
    <w:rsid w:val="00487F9B"/>
    <w:rsid w:val="00490B7D"/>
    <w:rsid w:val="00490EA3"/>
    <w:rsid w:val="004911FA"/>
    <w:rsid w:val="00492099"/>
    <w:rsid w:val="00492723"/>
    <w:rsid w:val="004938D0"/>
    <w:rsid w:val="004938FC"/>
    <w:rsid w:val="00493A08"/>
    <w:rsid w:val="00494BE8"/>
    <w:rsid w:val="00495691"/>
    <w:rsid w:val="00495E2D"/>
    <w:rsid w:val="00495E5A"/>
    <w:rsid w:val="004966D2"/>
    <w:rsid w:val="004968B4"/>
    <w:rsid w:val="00497A1C"/>
    <w:rsid w:val="004A0424"/>
    <w:rsid w:val="004A07C1"/>
    <w:rsid w:val="004A0C3B"/>
    <w:rsid w:val="004A2124"/>
    <w:rsid w:val="004A219D"/>
    <w:rsid w:val="004A2F5F"/>
    <w:rsid w:val="004A32F1"/>
    <w:rsid w:val="004A33CF"/>
    <w:rsid w:val="004A5C32"/>
    <w:rsid w:val="004A60FF"/>
    <w:rsid w:val="004A621B"/>
    <w:rsid w:val="004A6631"/>
    <w:rsid w:val="004A68F4"/>
    <w:rsid w:val="004A72CC"/>
    <w:rsid w:val="004A75F6"/>
    <w:rsid w:val="004B0093"/>
    <w:rsid w:val="004B1E9C"/>
    <w:rsid w:val="004B34F8"/>
    <w:rsid w:val="004B3AFE"/>
    <w:rsid w:val="004B3DB0"/>
    <w:rsid w:val="004B5D67"/>
    <w:rsid w:val="004B7030"/>
    <w:rsid w:val="004B70E4"/>
    <w:rsid w:val="004B7304"/>
    <w:rsid w:val="004B74BF"/>
    <w:rsid w:val="004B76FF"/>
    <w:rsid w:val="004C027A"/>
    <w:rsid w:val="004C0E4F"/>
    <w:rsid w:val="004C29E9"/>
    <w:rsid w:val="004C3AA5"/>
    <w:rsid w:val="004C4521"/>
    <w:rsid w:val="004C55BF"/>
    <w:rsid w:val="004C592B"/>
    <w:rsid w:val="004C5A60"/>
    <w:rsid w:val="004C680C"/>
    <w:rsid w:val="004C6B90"/>
    <w:rsid w:val="004C6E54"/>
    <w:rsid w:val="004C78E7"/>
    <w:rsid w:val="004D0241"/>
    <w:rsid w:val="004D0841"/>
    <w:rsid w:val="004D1538"/>
    <w:rsid w:val="004D15D8"/>
    <w:rsid w:val="004D2E5B"/>
    <w:rsid w:val="004D4BC3"/>
    <w:rsid w:val="004D501A"/>
    <w:rsid w:val="004D5773"/>
    <w:rsid w:val="004D5A21"/>
    <w:rsid w:val="004D6634"/>
    <w:rsid w:val="004D6F14"/>
    <w:rsid w:val="004D7B6E"/>
    <w:rsid w:val="004E197E"/>
    <w:rsid w:val="004E221A"/>
    <w:rsid w:val="004E22D6"/>
    <w:rsid w:val="004E2EE9"/>
    <w:rsid w:val="004E3DBA"/>
    <w:rsid w:val="004E46F5"/>
    <w:rsid w:val="004E6247"/>
    <w:rsid w:val="004E632E"/>
    <w:rsid w:val="004E6489"/>
    <w:rsid w:val="004E64B9"/>
    <w:rsid w:val="004E66DF"/>
    <w:rsid w:val="004E734E"/>
    <w:rsid w:val="004E7B31"/>
    <w:rsid w:val="004F08CB"/>
    <w:rsid w:val="004F1257"/>
    <w:rsid w:val="004F144C"/>
    <w:rsid w:val="004F17C7"/>
    <w:rsid w:val="004F24F4"/>
    <w:rsid w:val="004F7807"/>
    <w:rsid w:val="005001EA"/>
    <w:rsid w:val="005001EE"/>
    <w:rsid w:val="00501988"/>
    <w:rsid w:val="00501CD5"/>
    <w:rsid w:val="005023FA"/>
    <w:rsid w:val="005025BC"/>
    <w:rsid w:val="005025F6"/>
    <w:rsid w:val="00502614"/>
    <w:rsid w:val="0050292C"/>
    <w:rsid w:val="00502F3B"/>
    <w:rsid w:val="00504BE5"/>
    <w:rsid w:val="00505118"/>
    <w:rsid w:val="00505DA9"/>
    <w:rsid w:val="005067CD"/>
    <w:rsid w:val="00510643"/>
    <w:rsid w:val="0051078C"/>
    <w:rsid w:val="005112CA"/>
    <w:rsid w:val="0051188A"/>
    <w:rsid w:val="00511BA8"/>
    <w:rsid w:val="00512D5A"/>
    <w:rsid w:val="005134BE"/>
    <w:rsid w:val="00514288"/>
    <w:rsid w:val="00514572"/>
    <w:rsid w:val="00514B5E"/>
    <w:rsid w:val="00516109"/>
    <w:rsid w:val="005161C3"/>
    <w:rsid w:val="005166DC"/>
    <w:rsid w:val="00516DB6"/>
    <w:rsid w:val="005173C2"/>
    <w:rsid w:val="00517C4D"/>
    <w:rsid w:val="00520FFB"/>
    <w:rsid w:val="005217A8"/>
    <w:rsid w:val="005232BD"/>
    <w:rsid w:val="005233B5"/>
    <w:rsid w:val="00523825"/>
    <w:rsid w:val="005242ED"/>
    <w:rsid w:val="005249F9"/>
    <w:rsid w:val="00524F9F"/>
    <w:rsid w:val="0052509E"/>
    <w:rsid w:val="005250CF"/>
    <w:rsid w:val="00525771"/>
    <w:rsid w:val="00525B85"/>
    <w:rsid w:val="00525D15"/>
    <w:rsid w:val="00526F95"/>
    <w:rsid w:val="00527BB6"/>
    <w:rsid w:val="0053098C"/>
    <w:rsid w:val="00534A16"/>
    <w:rsid w:val="005354A2"/>
    <w:rsid w:val="00535992"/>
    <w:rsid w:val="00535F4D"/>
    <w:rsid w:val="005360C8"/>
    <w:rsid w:val="00536963"/>
    <w:rsid w:val="00540889"/>
    <w:rsid w:val="00540DE2"/>
    <w:rsid w:val="0054182E"/>
    <w:rsid w:val="0054186F"/>
    <w:rsid w:val="00542B02"/>
    <w:rsid w:val="00542B18"/>
    <w:rsid w:val="0054313E"/>
    <w:rsid w:val="005431FA"/>
    <w:rsid w:val="00543FBD"/>
    <w:rsid w:val="00544441"/>
    <w:rsid w:val="00544DC0"/>
    <w:rsid w:val="00544E65"/>
    <w:rsid w:val="005451E9"/>
    <w:rsid w:val="005452E4"/>
    <w:rsid w:val="005454D5"/>
    <w:rsid w:val="00545B1D"/>
    <w:rsid w:val="0054627F"/>
    <w:rsid w:val="00546A42"/>
    <w:rsid w:val="00547CBC"/>
    <w:rsid w:val="00550AD4"/>
    <w:rsid w:val="00550CB0"/>
    <w:rsid w:val="00551294"/>
    <w:rsid w:val="00551310"/>
    <w:rsid w:val="0055138F"/>
    <w:rsid w:val="005520BA"/>
    <w:rsid w:val="00552395"/>
    <w:rsid w:val="005534A5"/>
    <w:rsid w:val="0055389F"/>
    <w:rsid w:val="00553CC4"/>
    <w:rsid w:val="00555122"/>
    <w:rsid w:val="005560B0"/>
    <w:rsid w:val="00556659"/>
    <w:rsid w:val="00556D8E"/>
    <w:rsid w:val="00556DDD"/>
    <w:rsid w:val="005579B4"/>
    <w:rsid w:val="00557A73"/>
    <w:rsid w:val="00557B61"/>
    <w:rsid w:val="005608A9"/>
    <w:rsid w:val="005611F0"/>
    <w:rsid w:val="005616A2"/>
    <w:rsid w:val="00561B84"/>
    <w:rsid w:val="00562609"/>
    <w:rsid w:val="00562FE4"/>
    <w:rsid w:val="00563B5D"/>
    <w:rsid w:val="00563BAA"/>
    <w:rsid w:val="00563F14"/>
    <w:rsid w:val="005649EE"/>
    <w:rsid w:val="00564BB8"/>
    <w:rsid w:val="005650C5"/>
    <w:rsid w:val="005653A6"/>
    <w:rsid w:val="0056540F"/>
    <w:rsid w:val="005657EE"/>
    <w:rsid w:val="00565E05"/>
    <w:rsid w:val="00565F2B"/>
    <w:rsid w:val="0056667D"/>
    <w:rsid w:val="00567045"/>
    <w:rsid w:val="00567C98"/>
    <w:rsid w:val="005718AC"/>
    <w:rsid w:val="0057217E"/>
    <w:rsid w:val="00572783"/>
    <w:rsid w:val="00573AA2"/>
    <w:rsid w:val="00573C2C"/>
    <w:rsid w:val="00573CBE"/>
    <w:rsid w:val="00573EF5"/>
    <w:rsid w:val="0057431E"/>
    <w:rsid w:val="00574376"/>
    <w:rsid w:val="005754C0"/>
    <w:rsid w:val="00575AB5"/>
    <w:rsid w:val="00576A0E"/>
    <w:rsid w:val="00576D1C"/>
    <w:rsid w:val="00576FDE"/>
    <w:rsid w:val="0057733C"/>
    <w:rsid w:val="0057748C"/>
    <w:rsid w:val="00580842"/>
    <w:rsid w:val="00580A01"/>
    <w:rsid w:val="00580B42"/>
    <w:rsid w:val="00581BC4"/>
    <w:rsid w:val="0058229B"/>
    <w:rsid w:val="005828BC"/>
    <w:rsid w:val="005840F7"/>
    <w:rsid w:val="00585798"/>
    <w:rsid w:val="00587A9F"/>
    <w:rsid w:val="0059089D"/>
    <w:rsid w:val="00590942"/>
    <w:rsid w:val="00590972"/>
    <w:rsid w:val="0059236D"/>
    <w:rsid w:val="00592500"/>
    <w:rsid w:val="005935C2"/>
    <w:rsid w:val="0059367F"/>
    <w:rsid w:val="005946E3"/>
    <w:rsid w:val="0059509F"/>
    <w:rsid w:val="005950C1"/>
    <w:rsid w:val="005953AA"/>
    <w:rsid w:val="00595EFC"/>
    <w:rsid w:val="00596DA7"/>
    <w:rsid w:val="00597169"/>
    <w:rsid w:val="00597644"/>
    <w:rsid w:val="00597DBD"/>
    <w:rsid w:val="005A151B"/>
    <w:rsid w:val="005A1DB9"/>
    <w:rsid w:val="005A2993"/>
    <w:rsid w:val="005A2E5D"/>
    <w:rsid w:val="005A3159"/>
    <w:rsid w:val="005A38EF"/>
    <w:rsid w:val="005A3F1E"/>
    <w:rsid w:val="005A44DF"/>
    <w:rsid w:val="005A4DC2"/>
    <w:rsid w:val="005A5160"/>
    <w:rsid w:val="005A57ED"/>
    <w:rsid w:val="005A5C82"/>
    <w:rsid w:val="005A6225"/>
    <w:rsid w:val="005A6339"/>
    <w:rsid w:val="005A6451"/>
    <w:rsid w:val="005A66E0"/>
    <w:rsid w:val="005A67ED"/>
    <w:rsid w:val="005A6C46"/>
    <w:rsid w:val="005A6E13"/>
    <w:rsid w:val="005A7950"/>
    <w:rsid w:val="005A7B11"/>
    <w:rsid w:val="005A7D0F"/>
    <w:rsid w:val="005B1A07"/>
    <w:rsid w:val="005B2039"/>
    <w:rsid w:val="005B2378"/>
    <w:rsid w:val="005B2A74"/>
    <w:rsid w:val="005B2A84"/>
    <w:rsid w:val="005B368F"/>
    <w:rsid w:val="005B4E65"/>
    <w:rsid w:val="005B5015"/>
    <w:rsid w:val="005B51C7"/>
    <w:rsid w:val="005B5502"/>
    <w:rsid w:val="005B5696"/>
    <w:rsid w:val="005B5DEB"/>
    <w:rsid w:val="005B6434"/>
    <w:rsid w:val="005B75C1"/>
    <w:rsid w:val="005B7989"/>
    <w:rsid w:val="005C0CD4"/>
    <w:rsid w:val="005C1605"/>
    <w:rsid w:val="005C1EC5"/>
    <w:rsid w:val="005C26E1"/>
    <w:rsid w:val="005C2DB2"/>
    <w:rsid w:val="005C3666"/>
    <w:rsid w:val="005C38E0"/>
    <w:rsid w:val="005C3EF7"/>
    <w:rsid w:val="005C473D"/>
    <w:rsid w:val="005C57B4"/>
    <w:rsid w:val="005C6044"/>
    <w:rsid w:val="005C6055"/>
    <w:rsid w:val="005C61B2"/>
    <w:rsid w:val="005C6680"/>
    <w:rsid w:val="005C6DA7"/>
    <w:rsid w:val="005C7078"/>
    <w:rsid w:val="005C77E9"/>
    <w:rsid w:val="005C7940"/>
    <w:rsid w:val="005D02DA"/>
    <w:rsid w:val="005D0E3E"/>
    <w:rsid w:val="005D1AAD"/>
    <w:rsid w:val="005D25C6"/>
    <w:rsid w:val="005D2748"/>
    <w:rsid w:val="005D2A37"/>
    <w:rsid w:val="005D31E5"/>
    <w:rsid w:val="005D3D6A"/>
    <w:rsid w:val="005D44A8"/>
    <w:rsid w:val="005D5997"/>
    <w:rsid w:val="005D5BC1"/>
    <w:rsid w:val="005D66D3"/>
    <w:rsid w:val="005D78F9"/>
    <w:rsid w:val="005E06FC"/>
    <w:rsid w:val="005E0FFD"/>
    <w:rsid w:val="005E139D"/>
    <w:rsid w:val="005E1424"/>
    <w:rsid w:val="005E1839"/>
    <w:rsid w:val="005E1D23"/>
    <w:rsid w:val="005E1E6B"/>
    <w:rsid w:val="005E1EAE"/>
    <w:rsid w:val="005E2358"/>
    <w:rsid w:val="005E23AB"/>
    <w:rsid w:val="005E29F1"/>
    <w:rsid w:val="005E2CEF"/>
    <w:rsid w:val="005E39DE"/>
    <w:rsid w:val="005E3A8A"/>
    <w:rsid w:val="005E40AD"/>
    <w:rsid w:val="005E54D6"/>
    <w:rsid w:val="005E70EA"/>
    <w:rsid w:val="005E750D"/>
    <w:rsid w:val="005E7B7C"/>
    <w:rsid w:val="005F0567"/>
    <w:rsid w:val="005F064A"/>
    <w:rsid w:val="005F0685"/>
    <w:rsid w:val="005F091A"/>
    <w:rsid w:val="005F13ED"/>
    <w:rsid w:val="005F1417"/>
    <w:rsid w:val="005F29CF"/>
    <w:rsid w:val="005F3252"/>
    <w:rsid w:val="005F339D"/>
    <w:rsid w:val="005F356A"/>
    <w:rsid w:val="005F4276"/>
    <w:rsid w:val="005F455F"/>
    <w:rsid w:val="005F4CCC"/>
    <w:rsid w:val="005F629C"/>
    <w:rsid w:val="005F6345"/>
    <w:rsid w:val="005F6349"/>
    <w:rsid w:val="005F65C8"/>
    <w:rsid w:val="005F6CF8"/>
    <w:rsid w:val="006016FF"/>
    <w:rsid w:val="00601D72"/>
    <w:rsid w:val="00601DAF"/>
    <w:rsid w:val="00601F03"/>
    <w:rsid w:val="00602C90"/>
    <w:rsid w:val="0060321D"/>
    <w:rsid w:val="006036EC"/>
    <w:rsid w:val="006038A8"/>
    <w:rsid w:val="00603D75"/>
    <w:rsid w:val="00604106"/>
    <w:rsid w:val="00604872"/>
    <w:rsid w:val="00604B9C"/>
    <w:rsid w:val="00604C5A"/>
    <w:rsid w:val="00604CB6"/>
    <w:rsid w:val="006054E1"/>
    <w:rsid w:val="006068E9"/>
    <w:rsid w:val="00606A2E"/>
    <w:rsid w:val="00606C50"/>
    <w:rsid w:val="0060729F"/>
    <w:rsid w:val="0061095F"/>
    <w:rsid w:val="00610EAE"/>
    <w:rsid w:val="006110B8"/>
    <w:rsid w:val="006115AC"/>
    <w:rsid w:val="0061292F"/>
    <w:rsid w:val="00613DA6"/>
    <w:rsid w:val="00615EB1"/>
    <w:rsid w:val="006169C2"/>
    <w:rsid w:val="00616C58"/>
    <w:rsid w:val="0061726A"/>
    <w:rsid w:val="006178D3"/>
    <w:rsid w:val="00617FAB"/>
    <w:rsid w:val="00621335"/>
    <w:rsid w:val="00621C6B"/>
    <w:rsid w:val="00621FC2"/>
    <w:rsid w:val="00622A55"/>
    <w:rsid w:val="00623D05"/>
    <w:rsid w:val="00623EB1"/>
    <w:rsid w:val="00623F50"/>
    <w:rsid w:val="006246A9"/>
    <w:rsid w:val="006246F9"/>
    <w:rsid w:val="00624BD7"/>
    <w:rsid w:val="00624D07"/>
    <w:rsid w:val="00624E14"/>
    <w:rsid w:val="0062512E"/>
    <w:rsid w:val="006252CB"/>
    <w:rsid w:val="00627AE3"/>
    <w:rsid w:val="00631C0D"/>
    <w:rsid w:val="00631E13"/>
    <w:rsid w:val="00632348"/>
    <w:rsid w:val="00632D12"/>
    <w:rsid w:val="00632D39"/>
    <w:rsid w:val="0063331F"/>
    <w:rsid w:val="006360E7"/>
    <w:rsid w:val="00636C78"/>
    <w:rsid w:val="00637019"/>
    <w:rsid w:val="00637F56"/>
    <w:rsid w:val="00640290"/>
    <w:rsid w:val="00640BA6"/>
    <w:rsid w:val="00641360"/>
    <w:rsid w:val="00641A5A"/>
    <w:rsid w:val="00642592"/>
    <w:rsid w:val="00642C7E"/>
    <w:rsid w:val="00642D76"/>
    <w:rsid w:val="00643A33"/>
    <w:rsid w:val="006441E1"/>
    <w:rsid w:val="00644895"/>
    <w:rsid w:val="00644951"/>
    <w:rsid w:val="00645592"/>
    <w:rsid w:val="00645630"/>
    <w:rsid w:val="0064641F"/>
    <w:rsid w:val="006466C6"/>
    <w:rsid w:val="00646ADA"/>
    <w:rsid w:val="00646D97"/>
    <w:rsid w:val="0064760B"/>
    <w:rsid w:val="00647893"/>
    <w:rsid w:val="00647B9E"/>
    <w:rsid w:val="00650722"/>
    <w:rsid w:val="00650A93"/>
    <w:rsid w:val="00651063"/>
    <w:rsid w:val="00652307"/>
    <w:rsid w:val="00653E79"/>
    <w:rsid w:val="00654074"/>
    <w:rsid w:val="0065475D"/>
    <w:rsid w:val="00654B4D"/>
    <w:rsid w:val="0065555B"/>
    <w:rsid w:val="0065697E"/>
    <w:rsid w:val="00657BA4"/>
    <w:rsid w:val="006614A9"/>
    <w:rsid w:val="00661774"/>
    <w:rsid w:val="00661D2F"/>
    <w:rsid w:val="006627A5"/>
    <w:rsid w:val="00662F8A"/>
    <w:rsid w:val="00663314"/>
    <w:rsid w:val="00663971"/>
    <w:rsid w:val="00663FE8"/>
    <w:rsid w:val="00664069"/>
    <w:rsid w:val="006642C0"/>
    <w:rsid w:val="00665077"/>
    <w:rsid w:val="00665250"/>
    <w:rsid w:val="00665289"/>
    <w:rsid w:val="00665C11"/>
    <w:rsid w:val="0066697F"/>
    <w:rsid w:val="0066768B"/>
    <w:rsid w:val="0067034A"/>
    <w:rsid w:val="0067072F"/>
    <w:rsid w:val="00673E0B"/>
    <w:rsid w:val="006744F0"/>
    <w:rsid w:val="00676C1D"/>
    <w:rsid w:val="0068106A"/>
    <w:rsid w:val="006811D0"/>
    <w:rsid w:val="006812DD"/>
    <w:rsid w:val="00682022"/>
    <w:rsid w:val="006827D9"/>
    <w:rsid w:val="00682E9B"/>
    <w:rsid w:val="006832C1"/>
    <w:rsid w:val="0068419A"/>
    <w:rsid w:val="00684574"/>
    <w:rsid w:val="00684915"/>
    <w:rsid w:val="006853A7"/>
    <w:rsid w:val="006853FF"/>
    <w:rsid w:val="006856A3"/>
    <w:rsid w:val="00685FB1"/>
    <w:rsid w:val="00686202"/>
    <w:rsid w:val="00686315"/>
    <w:rsid w:val="006866C9"/>
    <w:rsid w:val="00686FFA"/>
    <w:rsid w:val="0068718F"/>
    <w:rsid w:val="00687F65"/>
    <w:rsid w:val="00690742"/>
    <w:rsid w:val="00691037"/>
    <w:rsid w:val="00693258"/>
    <w:rsid w:val="0069354D"/>
    <w:rsid w:val="00693C99"/>
    <w:rsid w:val="0069426D"/>
    <w:rsid w:val="006954EE"/>
    <w:rsid w:val="00695AD2"/>
    <w:rsid w:val="00697859"/>
    <w:rsid w:val="006A030F"/>
    <w:rsid w:val="006A24D8"/>
    <w:rsid w:val="006A35C1"/>
    <w:rsid w:val="006A360D"/>
    <w:rsid w:val="006A3C39"/>
    <w:rsid w:val="006A4606"/>
    <w:rsid w:val="006A6252"/>
    <w:rsid w:val="006A6BF1"/>
    <w:rsid w:val="006A7427"/>
    <w:rsid w:val="006A7897"/>
    <w:rsid w:val="006A7DC6"/>
    <w:rsid w:val="006B0BFA"/>
    <w:rsid w:val="006B225C"/>
    <w:rsid w:val="006B3E8D"/>
    <w:rsid w:val="006B527F"/>
    <w:rsid w:val="006B5C90"/>
    <w:rsid w:val="006B5D53"/>
    <w:rsid w:val="006B5E7E"/>
    <w:rsid w:val="006B656F"/>
    <w:rsid w:val="006B65DE"/>
    <w:rsid w:val="006B7699"/>
    <w:rsid w:val="006C073F"/>
    <w:rsid w:val="006C206F"/>
    <w:rsid w:val="006C2DF7"/>
    <w:rsid w:val="006C32C8"/>
    <w:rsid w:val="006C3E2D"/>
    <w:rsid w:val="006C4E83"/>
    <w:rsid w:val="006C6815"/>
    <w:rsid w:val="006C6E63"/>
    <w:rsid w:val="006C7174"/>
    <w:rsid w:val="006C7CEA"/>
    <w:rsid w:val="006C7E2A"/>
    <w:rsid w:val="006D0151"/>
    <w:rsid w:val="006D07DB"/>
    <w:rsid w:val="006D0A7E"/>
    <w:rsid w:val="006D0C6D"/>
    <w:rsid w:val="006D1017"/>
    <w:rsid w:val="006D1923"/>
    <w:rsid w:val="006D1FBB"/>
    <w:rsid w:val="006D24F5"/>
    <w:rsid w:val="006D4000"/>
    <w:rsid w:val="006D553C"/>
    <w:rsid w:val="006D5659"/>
    <w:rsid w:val="006D5792"/>
    <w:rsid w:val="006D5FD6"/>
    <w:rsid w:val="006D60BD"/>
    <w:rsid w:val="006D7461"/>
    <w:rsid w:val="006D7D0A"/>
    <w:rsid w:val="006D7D2D"/>
    <w:rsid w:val="006D7D47"/>
    <w:rsid w:val="006E1083"/>
    <w:rsid w:val="006E12B0"/>
    <w:rsid w:val="006E1319"/>
    <w:rsid w:val="006E1D83"/>
    <w:rsid w:val="006E2C20"/>
    <w:rsid w:val="006E3DC2"/>
    <w:rsid w:val="006E4421"/>
    <w:rsid w:val="006E4688"/>
    <w:rsid w:val="006E474C"/>
    <w:rsid w:val="006E59B7"/>
    <w:rsid w:val="006E7BA6"/>
    <w:rsid w:val="006F05ED"/>
    <w:rsid w:val="006F0A47"/>
    <w:rsid w:val="006F1236"/>
    <w:rsid w:val="006F13BD"/>
    <w:rsid w:val="006F142E"/>
    <w:rsid w:val="006F14D6"/>
    <w:rsid w:val="006F1941"/>
    <w:rsid w:val="006F1B50"/>
    <w:rsid w:val="006F20CF"/>
    <w:rsid w:val="006F236C"/>
    <w:rsid w:val="006F26D1"/>
    <w:rsid w:val="006F2F55"/>
    <w:rsid w:val="006F3954"/>
    <w:rsid w:val="006F3C0D"/>
    <w:rsid w:val="006F59FF"/>
    <w:rsid w:val="006F5F3D"/>
    <w:rsid w:val="006F67D4"/>
    <w:rsid w:val="006F7278"/>
    <w:rsid w:val="007019B8"/>
    <w:rsid w:val="007023A5"/>
    <w:rsid w:val="00702EE1"/>
    <w:rsid w:val="00703621"/>
    <w:rsid w:val="007037CB"/>
    <w:rsid w:val="00703B83"/>
    <w:rsid w:val="0070435E"/>
    <w:rsid w:val="007043F3"/>
    <w:rsid w:val="00704B61"/>
    <w:rsid w:val="0070557F"/>
    <w:rsid w:val="00705EAA"/>
    <w:rsid w:val="00706DDB"/>
    <w:rsid w:val="00707667"/>
    <w:rsid w:val="007120C8"/>
    <w:rsid w:val="00714F15"/>
    <w:rsid w:val="00715787"/>
    <w:rsid w:val="00715D03"/>
    <w:rsid w:val="00717517"/>
    <w:rsid w:val="0071751F"/>
    <w:rsid w:val="00717996"/>
    <w:rsid w:val="00717DE1"/>
    <w:rsid w:val="007204EA"/>
    <w:rsid w:val="00720A89"/>
    <w:rsid w:val="00720AAC"/>
    <w:rsid w:val="00721096"/>
    <w:rsid w:val="007211E4"/>
    <w:rsid w:val="007215BA"/>
    <w:rsid w:val="00721B43"/>
    <w:rsid w:val="00722DB9"/>
    <w:rsid w:val="007234B8"/>
    <w:rsid w:val="007237DC"/>
    <w:rsid w:val="00723850"/>
    <w:rsid w:val="00723B92"/>
    <w:rsid w:val="00724101"/>
    <w:rsid w:val="007249D9"/>
    <w:rsid w:val="00724CD8"/>
    <w:rsid w:val="00724F28"/>
    <w:rsid w:val="007251DF"/>
    <w:rsid w:val="00726013"/>
    <w:rsid w:val="00726F24"/>
    <w:rsid w:val="00726F69"/>
    <w:rsid w:val="00727D8D"/>
    <w:rsid w:val="00731928"/>
    <w:rsid w:val="00732009"/>
    <w:rsid w:val="00732321"/>
    <w:rsid w:val="00733818"/>
    <w:rsid w:val="00734B8F"/>
    <w:rsid w:val="00735345"/>
    <w:rsid w:val="007364DE"/>
    <w:rsid w:val="00737122"/>
    <w:rsid w:val="00737386"/>
    <w:rsid w:val="00737644"/>
    <w:rsid w:val="00740142"/>
    <w:rsid w:val="0074035F"/>
    <w:rsid w:val="007406C5"/>
    <w:rsid w:val="007414E1"/>
    <w:rsid w:val="00741923"/>
    <w:rsid w:val="00741F8E"/>
    <w:rsid w:val="00743508"/>
    <w:rsid w:val="00743E0C"/>
    <w:rsid w:val="0074436B"/>
    <w:rsid w:val="00744455"/>
    <w:rsid w:val="0074453F"/>
    <w:rsid w:val="00744750"/>
    <w:rsid w:val="007456AA"/>
    <w:rsid w:val="00745A0C"/>
    <w:rsid w:val="00745B7F"/>
    <w:rsid w:val="00746202"/>
    <w:rsid w:val="00746839"/>
    <w:rsid w:val="00746CDE"/>
    <w:rsid w:val="00746E68"/>
    <w:rsid w:val="0074744C"/>
    <w:rsid w:val="00747721"/>
    <w:rsid w:val="00747831"/>
    <w:rsid w:val="007509A1"/>
    <w:rsid w:val="007513C0"/>
    <w:rsid w:val="007520DA"/>
    <w:rsid w:val="007529FD"/>
    <w:rsid w:val="00755660"/>
    <w:rsid w:val="00755D80"/>
    <w:rsid w:val="00756131"/>
    <w:rsid w:val="00757663"/>
    <w:rsid w:val="00757799"/>
    <w:rsid w:val="00757D57"/>
    <w:rsid w:val="007605E6"/>
    <w:rsid w:val="00760DAC"/>
    <w:rsid w:val="00762571"/>
    <w:rsid w:val="0076307E"/>
    <w:rsid w:val="0076495F"/>
    <w:rsid w:val="007649C3"/>
    <w:rsid w:val="00764ED3"/>
    <w:rsid w:val="007662A0"/>
    <w:rsid w:val="00766429"/>
    <w:rsid w:val="0076705A"/>
    <w:rsid w:val="00767865"/>
    <w:rsid w:val="00767E39"/>
    <w:rsid w:val="0077109E"/>
    <w:rsid w:val="007719DB"/>
    <w:rsid w:val="00771CD3"/>
    <w:rsid w:val="00772477"/>
    <w:rsid w:val="00774155"/>
    <w:rsid w:val="007747E2"/>
    <w:rsid w:val="00774925"/>
    <w:rsid w:val="00774FCF"/>
    <w:rsid w:val="00774FD4"/>
    <w:rsid w:val="00775B62"/>
    <w:rsid w:val="00775DBD"/>
    <w:rsid w:val="007761BB"/>
    <w:rsid w:val="00776539"/>
    <w:rsid w:val="0077657C"/>
    <w:rsid w:val="007815FB"/>
    <w:rsid w:val="00781D56"/>
    <w:rsid w:val="00782732"/>
    <w:rsid w:val="00782AE7"/>
    <w:rsid w:val="00783E6C"/>
    <w:rsid w:val="00783E7A"/>
    <w:rsid w:val="0078534B"/>
    <w:rsid w:val="00785515"/>
    <w:rsid w:val="00785B19"/>
    <w:rsid w:val="00785F9A"/>
    <w:rsid w:val="00787EA6"/>
    <w:rsid w:val="00790105"/>
    <w:rsid w:val="0079028D"/>
    <w:rsid w:val="00790DAD"/>
    <w:rsid w:val="00790F1A"/>
    <w:rsid w:val="00791602"/>
    <w:rsid w:val="00791C05"/>
    <w:rsid w:val="00791E52"/>
    <w:rsid w:val="007922DA"/>
    <w:rsid w:val="00792459"/>
    <w:rsid w:val="007928C3"/>
    <w:rsid w:val="007933DE"/>
    <w:rsid w:val="00793D08"/>
    <w:rsid w:val="007942BE"/>
    <w:rsid w:val="00796467"/>
    <w:rsid w:val="00796725"/>
    <w:rsid w:val="00796B6A"/>
    <w:rsid w:val="0079780E"/>
    <w:rsid w:val="0079796E"/>
    <w:rsid w:val="007A0987"/>
    <w:rsid w:val="007A16AE"/>
    <w:rsid w:val="007A193D"/>
    <w:rsid w:val="007A1DC5"/>
    <w:rsid w:val="007A2B3E"/>
    <w:rsid w:val="007A3D8D"/>
    <w:rsid w:val="007A3E85"/>
    <w:rsid w:val="007A3F5E"/>
    <w:rsid w:val="007A4000"/>
    <w:rsid w:val="007A47EC"/>
    <w:rsid w:val="007A4824"/>
    <w:rsid w:val="007A52DA"/>
    <w:rsid w:val="007A57E3"/>
    <w:rsid w:val="007A668B"/>
    <w:rsid w:val="007A6A3B"/>
    <w:rsid w:val="007A6A76"/>
    <w:rsid w:val="007A7429"/>
    <w:rsid w:val="007A785C"/>
    <w:rsid w:val="007B0818"/>
    <w:rsid w:val="007B19F7"/>
    <w:rsid w:val="007B1B0A"/>
    <w:rsid w:val="007B28BF"/>
    <w:rsid w:val="007B2A81"/>
    <w:rsid w:val="007B3FDD"/>
    <w:rsid w:val="007B49C9"/>
    <w:rsid w:val="007B5D1E"/>
    <w:rsid w:val="007B5D38"/>
    <w:rsid w:val="007B7668"/>
    <w:rsid w:val="007C04CB"/>
    <w:rsid w:val="007C0E7E"/>
    <w:rsid w:val="007C1DD0"/>
    <w:rsid w:val="007C2E96"/>
    <w:rsid w:val="007C37A0"/>
    <w:rsid w:val="007C48EB"/>
    <w:rsid w:val="007C5096"/>
    <w:rsid w:val="007C5B5C"/>
    <w:rsid w:val="007C5B69"/>
    <w:rsid w:val="007C5D0F"/>
    <w:rsid w:val="007C6729"/>
    <w:rsid w:val="007C79BC"/>
    <w:rsid w:val="007D077E"/>
    <w:rsid w:val="007D0C9B"/>
    <w:rsid w:val="007D1A53"/>
    <w:rsid w:val="007D27EA"/>
    <w:rsid w:val="007D4081"/>
    <w:rsid w:val="007D4188"/>
    <w:rsid w:val="007D4BCC"/>
    <w:rsid w:val="007D5137"/>
    <w:rsid w:val="007D5A6C"/>
    <w:rsid w:val="007D5D2D"/>
    <w:rsid w:val="007D6947"/>
    <w:rsid w:val="007E09A2"/>
    <w:rsid w:val="007E1EE6"/>
    <w:rsid w:val="007E24D9"/>
    <w:rsid w:val="007E2934"/>
    <w:rsid w:val="007E2D08"/>
    <w:rsid w:val="007E31BC"/>
    <w:rsid w:val="007E35C0"/>
    <w:rsid w:val="007E38BC"/>
    <w:rsid w:val="007E500B"/>
    <w:rsid w:val="007E6C49"/>
    <w:rsid w:val="007E726C"/>
    <w:rsid w:val="007E7455"/>
    <w:rsid w:val="007E7486"/>
    <w:rsid w:val="007E7570"/>
    <w:rsid w:val="007E7630"/>
    <w:rsid w:val="007E7B92"/>
    <w:rsid w:val="007F0269"/>
    <w:rsid w:val="007F092F"/>
    <w:rsid w:val="007F0B33"/>
    <w:rsid w:val="007F0BEB"/>
    <w:rsid w:val="007F11C6"/>
    <w:rsid w:val="007F1D4A"/>
    <w:rsid w:val="007F33E8"/>
    <w:rsid w:val="007F45AF"/>
    <w:rsid w:val="007F4CCA"/>
    <w:rsid w:val="007F4CEF"/>
    <w:rsid w:val="007F6AB1"/>
    <w:rsid w:val="007F6D87"/>
    <w:rsid w:val="007F6E7B"/>
    <w:rsid w:val="007F785D"/>
    <w:rsid w:val="007F7991"/>
    <w:rsid w:val="00800A6A"/>
    <w:rsid w:val="0080149D"/>
    <w:rsid w:val="008014D5"/>
    <w:rsid w:val="00801CA5"/>
    <w:rsid w:val="00802E95"/>
    <w:rsid w:val="0080305F"/>
    <w:rsid w:val="00803183"/>
    <w:rsid w:val="008038AD"/>
    <w:rsid w:val="00803ABB"/>
    <w:rsid w:val="00803AC9"/>
    <w:rsid w:val="00805776"/>
    <w:rsid w:val="00806917"/>
    <w:rsid w:val="00806FA8"/>
    <w:rsid w:val="0080702E"/>
    <w:rsid w:val="00807B73"/>
    <w:rsid w:val="00807C2E"/>
    <w:rsid w:val="00810936"/>
    <w:rsid w:val="00810CA5"/>
    <w:rsid w:val="00810CD9"/>
    <w:rsid w:val="00810D3F"/>
    <w:rsid w:val="0081138F"/>
    <w:rsid w:val="00811632"/>
    <w:rsid w:val="0081208A"/>
    <w:rsid w:val="00812407"/>
    <w:rsid w:val="00812457"/>
    <w:rsid w:val="008138D0"/>
    <w:rsid w:val="0081426F"/>
    <w:rsid w:val="00814539"/>
    <w:rsid w:val="0081480B"/>
    <w:rsid w:val="008159F5"/>
    <w:rsid w:val="00816CA0"/>
    <w:rsid w:val="00816EC1"/>
    <w:rsid w:val="00816F59"/>
    <w:rsid w:val="00817AC5"/>
    <w:rsid w:val="00817B00"/>
    <w:rsid w:val="00820993"/>
    <w:rsid w:val="00820E30"/>
    <w:rsid w:val="008219EF"/>
    <w:rsid w:val="008220D4"/>
    <w:rsid w:val="00822C3F"/>
    <w:rsid w:val="00822DD6"/>
    <w:rsid w:val="0082382F"/>
    <w:rsid w:val="00823B71"/>
    <w:rsid w:val="00824709"/>
    <w:rsid w:val="008271AA"/>
    <w:rsid w:val="00827D5A"/>
    <w:rsid w:val="0083027A"/>
    <w:rsid w:val="0083176E"/>
    <w:rsid w:val="00831F08"/>
    <w:rsid w:val="008324D1"/>
    <w:rsid w:val="0083269F"/>
    <w:rsid w:val="00832FC6"/>
    <w:rsid w:val="00833540"/>
    <w:rsid w:val="00834344"/>
    <w:rsid w:val="00834670"/>
    <w:rsid w:val="008355C4"/>
    <w:rsid w:val="00836389"/>
    <w:rsid w:val="008368B3"/>
    <w:rsid w:val="0083787F"/>
    <w:rsid w:val="00837F5B"/>
    <w:rsid w:val="0084082C"/>
    <w:rsid w:val="008409BA"/>
    <w:rsid w:val="00840EFF"/>
    <w:rsid w:val="00840F03"/>
    <w:rsid w:val="008412E8"/>
    <w:rsid w:val="008414E7"/>
    <w:rsid w:val="00841589"/>
    <w:rsid w:val="00843E9F"/>
    <w:rsid w:val="008440CE"/>
    <w:rsid w:val="0084430B"/>
    <w:rsid w:val="00844A5A"/>
    <w:rsid w:val="00844A5F"/>
    <w:rsid w:val="0084541E"/>
    <w:rsid w:val="00845579"/>
    <w:rsid w:val="00845697"/>
    <w:rsid w:val="0084569B"/>
    <w:rsid w:val="00845782"/>
    <w:rsid w:val="00845A48"/>
    <w:rsid w:val="00845E40"/>
    <w:rsid w:val="00847110"/>
    <w:rsid w:val="008474F6"/>
    <w:rsid w:val="00850B39"/>
    <w:rsid w:val="0085148D"/>
    <w:rsid w:val="00852B55"/>
    <w:rsid w:val="0085324C"/>
    <w:rsid w:val="00853A05"/>
    <w:rsid w:val="00853CD0"/>
    <w:rsid w:val="00853E8D"/>
    <w:rsid w:val="00854908"/>
    <w:rsid w:val="008555B8"/>
    <w:rsid w:val="0085565B"/>
    <w:rsid w:val="00855B4D"/>
    <w:rsid w:val="00856877"/>
    <w:rsid w:val="008568E9"/>
    <w:rsid w:val="00856F7E"/>
    <w:rsid w:val="00857DEB"/>
    <w:rsid w:val="0086005A"/>
    <w:rsid w:val="00860C83"/>
    <w:rsid w:val="00860E51"/>
    <w:rsid w:val="00861413"/>
    <w:rsid w:val="00861417"/>
    <w:rsid w:val="00861D20"/>
    <w:rsid w:val="00861EE5"/>
    <w:rsid w:val="0086207E"/>
    <w:rsid w:val="00863426"/>
    <w:rsid w:val="00863577"/>
    <w:rsid w:val="0086378F"/>
    <w:rsid w:val="008639CD"/>
    <w:rsid w:val="00865FA7"/>
    <w:rsid w:val="008673E7"/>
    <w:rsid w:val="008676D2"/>
    <w:rsid w:val="00867FA9"/>
    <w:rsid w:val="00870265"/>
    <w:rsid w:val="00870825"/>
    <w:rsid w:val="00871E95"/>
    <w:rsid w:val="00872280"/>
    <w:rsid w:val="008740CA"/>
    <w:rsid w:val="00874145"/>
    <w:rsid w:val="00875D1B"/>
    <w:rsid w:val="00876251"/>
    <w:rsid w:val="00876D80"/>
    <w:rsid w:val="00877326"/>
    <w:rsid w:val="00880908"/>
    <w:rsid w:val="008816A3"/>
    <w:rsid w:val="0088170E"/>
    <w:rsid w:val="00881ED4"/>
    <w:rsid w:val="0088282F"/>
    <w:rsid w:val="00883952"/>
    <w:rsid w:val="008839E0"/>
    <w:rsid w:val="00883A2C"/>
    <w:rsid w:val="00883AED"/>
    <w:rsid w:val="008842E0"/>
    <w:rsid w:val="0088511A"/>
    <w:rsid w:val="00886497"/>
    <w:rsid w:val="008870AE"/>
    <w:rsid w:val="00887A08"/>
    <w:rsid w:val="0089030E"/>
    <w:rsid w:val="00892025"/>
    <w:rsid w:val="00892425"/>
    <w:rsid w:val="008927BF"/>
    <w:rsid w:val="00892DDA"/>
    <w:rsid w:val="008943E6"/>
    <w:rsid w:val="008945D5"/>
    <w:rsid w:val="00894B0F"/>
    <w:rsid w:val="00894F5F"/>
    <w:rsid w:val="008951C2"/>
    <w:rsid w:val="00895E2A"/>
    <w:rsid w:val="00896910"/>
    <w:rsid w:val="008A0D5A"/>
    <w:rsid w:val="008A0DEA"/>
    <w:rsid w:val="008A220E"/>
    <w:rsid w:val="008A2893"/>
    <w:rsid w:val="008A3703"/>
    <w:rsid w:val="008A4098"/>
    <w:rsid w:val="008A4850"/>
    <w:rsid w:val="008A6CE1"/>
    <w:rsid w:val="008A6DE4"/>
    <w:rsid w:val="008A6E11"/>
    <w:rsid w:val="008A709C"/>
    <w:rsid w:val="008A7539"/>
    <w:rsid w:val="008B25B1"/>
    <w:rsid w:val="008B591E"/>
    <w:rsid w:val="008C0372"/>
    <w:rsid w:val="008C1948"/>
    <w:rsid w:val="008C1BD0"/>
    <w:rsid w:val="008C255F"/>
    <w:rsid w:val="008C25A5"/>
    <w:rsid w:val="008C30AF"/>
    <w:rsid w:val="008C3EBA"/>
    <w:rsid w:val="008C4E47"/>
    <w:rsid w:val="008C54A3"/>
    <w:rsid w:val="008C5510"/>
    <w:rsid w:val="008C554A"/>
    <w:rsid w:val="008C67E2"/>
    <w:rsid w:val="008C6DA7"/>
    <w:rsid w:val="008C7AAC"/>
    <w:rsid w:val="008C7CA5"/>
    <w:rsid w:val="008C7DAA"/>
    <w:rsid w:val="008C7DD7"/>
    <w:rsid w:val="008D0E49"/>
    <w:rsid w:val="008D22FF"/>
    <w:rsid w:val="008D27E2"/>
    <w:rsid w:val="008D376B"/>
    <w:rsid w:val="008D3C25"/>
    <w:rsid w:val="008D3D29"/>
    <w:rsid w:val="008D430B"/>
    <w:rsid w:val="008D502B"/>
    <w:rsid w:val="008D5381"/>
    <w:rsid w:val="008D54DF"/>
    <w:rsid w:val="008D5748"/>
    <w:rsid w:val="008D5CC1"/>
    <w:rsid w:val="008D6586"/>
    <w:rsid w:val="008D6E00"/>
    <w:rsid w:val="008D6FE3"/>
    <w:rsid w:val="008E069D"/>
    <w:rsid w:val="008E16E1"/>
    <w:rsid w:val="008E16FA"/>
    <w:rsid w:val="008E1C29"/>
    <w:rsid w:val="008E2788"/>
    <w:rsid w:val="008E3BA0"/>
    <w:rsid w:val="008E4D1F"/>
    <w:rsid w:val="008E514B"/>
    <w:rsid w:val="008E56D7"/>
    <w:rsid w:val="008E6282"/>
    <w:rsid w:val="008E67E6"/>
    <w:rsid w:val="008E687F"/>
    <w:rsid w:val="008E72F3"/>
    <w:rsid w:val="008E7567"/>
    <w:rsid w:val="008E7589"/>
    <w:rsid w:val="008E7A19"/>
    <w:rsid w:val="008E7B70"/>
    <w:rsid w:val="008E7C51"/>
    <w:rsid w:val="008F009C"/>
    <w:rsid w:val="008F0320"/>
    <w:rsid w:val="008F1D3E"/>
    <w:rsid w:val="008F281C"/>
    <w:rsid w:val="008F2BEE"/>
    <w:rsid w:val="008F500C"/>
    <w:rsid w:val="008F55D1"/>
    <w:rsid w:val="008F611E"/>
    <w:rsid w:val="008F7746"/>
    <w:rsid w:val="008F7998"/>
    <w:rsid w:val="00900E06"/>
    <w:rsid w:val="00901ABA"/>
    <w:rsid w:val="00902831"/>
    <w:rsid w:val="00903462"/>
    <w:rsid w:val="00904328"/>
    <w:rsid w:val="0090455B"/>
    <w:rsid w:val="009045B4"/>
    <w:rsid w:val="0090479B"/>
    <w:rsid w:val="0090480A"/>
    <w:rsid w:val="00905518"/>
    <w:rsid w:val="00905808"/>
    <w:rsid w:val="009063A9"/>
    <w:rsid w:val="00906A66"/>
    <w:rsid w:val="00906B5E"/>
    <w:rsid w:val="00907DA4"/>
    <w:rsid w:val="00910FE2"/>
    <w:rsid w:val="0091192B"/>
    <w:rsid w:val="00911A3D"/>
    <w:rsid w:val="0091224F"/>
    <w:rsid w:val="0091345D"/>
    <w:rsid w:val="009135DF"/>
    <w:rsid w:val="0091361C"/>
    <w:rsid w:val="00913BF9"/>
    <w:rsid w:val="00914133"/>
    <w:rsid w:val="00914152"/>
    <w:rsid w:val="009177F6"/>
    <w:rsid w:val="009202DB"/>
    <w:rsid w:val="009204C0"/>
    <w:rsid w:val="009215CB"/>
    <w:rsid w:val="009227D4"/>
    <w:rsid w:val="00922A1A"/>
    <w:rsid w:val="009235D0"/>
    <w:rsid w:val="009243E5"/>
    <w:rsid w:val="00925742"/>
    <w:rsid w:val="0092588C"/>
    <w:rsid w:val="009268B4"/>
    <w:rsid w:val="00927489"/>
    <w:rsid w:val="009277F0"/>
    <w:rsid w:val="00930C8D"/>
    <w:rsid w:val="00930EBC"/>
    <w:rsid w:val="00931C16"/>
    <w:rsid w:val="00932A26"/>
    <w:rsid w:val="00932B08"/>
    <w:rsid w:val="00933241"/>
    <w:rsid w:val="009339B6"/>
    <w:rsid w:val="00933E6E"/>
    <w:rsid w:val="009355ED"/>
    <w:rsid w:val="00935627"/>
    <w:rsid w:val="00936539"/>
    <w:rsid w:val="00936709"/>
    <w:rsid w:val="00937A62"/>
    <w:rsid w:val="00937ADC"/>
    <w:rsid w:val="00937DB1"/>
    <w:rsid w:val="00941D82"/>
    <w:rsid w:val="0094237F"/>
    <w:rsid w:val="00942D8D"/>
    <w:rsid w:val="009443D9"/>
    <w:rsid w:val="00944859"/>
    <w:rsid w:val="009454BC"/>
    <w:rsid w:val="009455D4"/>
    <w:rsid w:val="00945FAD"/>
    <w:rsid w:val="00946D07"/>
    <w:rsid w:val="00946EED"/>
    <w:rsid w:val="00947430"/>
    <w:rsid w:val="00947B8D"/>
    <w:rsid w:val="0095030A"/>
    <w:rsid w:val="00950EE5"/>
    <w:rsid w:val="009510C7"/>
    <w:rsid w:val="0095279D"/>
    <w:rsid w:val="00953929"/>
    <w:rsid w:val="00954862"/>
    <w:rsid w:val="009559AF"/>
    <w:rsid w:val="0095684B"/>
    <w:rsid w:val="00956D76"/>
    <w:rsid w:val="00957102"/>
    <w:rsid w:val="00957C3F"/>
    <w:rsid w:val="009600C7"/>
    <w:rsid w:val="00960B74"/>
    <w:rsid w:val="00961427"/>
    <w:rsid w:val="00961E8E"/>
    <w:rsid w:val="00962747"/>
    <w:rsid w:val="0096332E"/>
    <w:rsid w:val="009636A9"/>
    <w:rsid w:val="009636C6"/>
    <w:rsid w:val="00963E65"/>
    <w:rsid w:val="00963EF1"/>
    <w:rsid w:val="009649B7"/>
    <w:rsid w:val="00964FF7"/>
    <w:rsid w:val="00965206"/>
    <w:rsid w:val="009663E2"/>
    <w:rsid w:val="00966C10"/>
    <w:rsid w:val="00966DDE"/>
    <w:rsid w:val="00967346"/>
    <w:rsid w:val="0096799E"/>
    <w:rsid w:val="00967E7E"/>
    <w:rsid w:val="00967F46"/>
    <w:rsid w:val="009701D4"/>
    <w:rsid w:val="009706EC"/>
    <w:rsid w:val="00971D02"/>
    <w:rsid w:val="00972181"/>
    <w:rsid w:val="00972B79"/>
    <w:rsid w:val="00973404"/>
    <w:rsid w:val="009740EF"/>
    <w:rsid w:val="00974248"/>
    <w:rsid w:val="00974826"/>
    <w:rsid w:val="009759D6"/>
    <w:rsid w:val="00976505"/>
    <w:rsid w:val="009775A8"/>
    <w:rsid w:val="00977F48"/>
    <w:rsid w:val="00977FBF"/>
    <w:rsid w:val="009823EC"/>
    <w:rsid w:val="00982D48"/>
    <w:rsid w:val="009842F9"/>
    <w:rsid w:val="00984333"/>
    <w:rsid w:val="009847C8"/>
    <w:rsid w:val="00985213"/>
    <w:rsid w:val="00985A95"/>
    <w:rsid w:val="00985BCE"/>
    <w:rsid w:val="00985C84"/>
    <w:rsid w:val="009864C6"/>
    <w:rsid w:val="0098726B"/>
    <w:rsid w:val="009907CF"/>
    <w:rsid w:val="00990FB8"/>
    <w:rsid w:val="009914F8"/>
    <w:rsid w:val="00991864"/>
    <w:rsid w:val="00991914"/>
    <w:rsid w:val="00992A32"/>
    <w:rsid w:val="00992CC0"/>
    <w:rsid w:val="009949D6"/>
    <w:rsid w:val="00994DE8"/>
    <w:rsid w:val="00995B51"/>
    <w:rsid w:val="00995B7E"/>
    <w:rsid w:val="00995C4B"/>
    <w:rsid w:val="00995FAA"/>
    <w:rsid w:val="00996A73"/>
    <w:rsid w:val="00996F5D"/>
    <w:rsid w:val="0099756F"/>
    <w:rsid w:val="00997A23"/>
    <w:rsid w:val="009A0814"/>
    <w:rsid w:val="009A0A54"/>
    <w:rsid w:val="009A0F24"/>
    <w:rsid w:val="009A0FE2"/>
    <w:rsid w:val="009A12F6"/>
    <w:rsid w:val="009A1CFC"/>
    <w:rsid w:val="009A2837"/>
    <w:rsid w:val="009A3A93"/>
    <w:rsid w:val="009A40AF"/>
    <w:rsid w:val="009A5234"/>
    <w:rsid w:val="009A5EF3"/>
    <w:rsid w:val="009A658A"/>
    <w:rsid w:val="009A79E9"/>
    <w:rsid w:val="009A7C40"/>
    <w:rsid w:val="009B1EEE"/>
    <w:rsid w:val="009B3941"/>
    <w:rsid w:val="009B3F53"/>
    <w:rsid w:val="009B52EE"/>
    <w:rsid w:val="009B70CC"/>
    <w:rsid w:val="009B7CCD"/>
    <w:rsid w:val="009C0391"/>
    <w:rsid w:val="009C09F3"/>
    <w:rsid w:val="009C0A94"/>
    <w:rsid w:val="009C0AC2"/>
    <w:rsid w:val="009C0ECA"/>
    <w:rsid w:val="009C1664"/>
    <w:rsid w:val="009C1A18"/>
    <w:rsid w:val="009C1B2A"/>
    <w:rsid w:val="009C2901"/>
    <w:rsid w:val="009C2D1E"/>
    <w:rsid w:val="009C310F"/>
    <w:rsid w:val="009C331F"/>
    <w:rsid w:val="009C39A5"/>
    <w:rsid w:val="009C3D44"/>
    <w:rsid w:val="009C3DB2"/>
    <w:rsid w:val="009C45FC"/>
    <w:rsid w:val="009C4A01"/>
    <w:rsid w:val="009C4A35"/>
    <w:rsid w:val="009C4AD0"/>
    <w:rsid w:val="009C52F6"/>
    <w:rsid w:val="009C579C"/>
    <w:rsid w:val="009D25BF"/>
    <w:rsid w:val="009D3145"/>
    <w:rsid w:val="009D3742"/>
    <w:rsid w:val="009D3796"/>
    <w:rsid w:val="009D3C33"/>
    <w:rsid w:val="009D3D6C"/>
    <w:rsid w:val="009D3DB3"/>
    <w:rsid w:val="009D42C5"/>
    <w:rsid w:val="009D517B"/>
    <w:rsid w:val="009D52F4"/>
    <w:rsid w:val="009D6672"/>
    <w:rsid w:val="009E1089"/>
    <w:rsid w:val="009E1A35"/>
    <w:rsid w:val="009E2F85"/>
    <w:rsid w:val="009E3515"/>
    <w:rsid w:val="009E49D8"/>
    <w:rsid w:val="009E560F"/>
    <w:rsid w:val="009E58CB"/>
    <w:rsid w:val="009E6EC9"/>
    <w:rsid w:val="009E6FE6"/>
    <w:rsid w:val="009F11C2"/>
    <w:rsid w:val="009F124E"/>
    <w:rsid w:val="009F1E9F"/>
    <w:rsid w:val="009F31A1"/>
    <w:rsid w:val="009F5069"/>
    <w:rsid w:val="009F6154"/>
    <w:rsid w:val="009F63E1"/>
    <w:rsid w:val="00A010DB"/>
    <w:rsid w:val="00A01AA3"/>
    <w:rsid w:val="00A01CB9"/>
    <w:rsid w:val="00A01DB5"/>
    <w:rsid w:val="00A03034"/>
    <w:rsid w:val="00A0399C"/>
    <w:rsid w:val="00A042AD"/>
    <w:rsid w:val="00A054FB"/>
    <w:rsid w:val="00A05F8E"/>
    <w:rsid w:val="00A06ED0"/>
    <w:rsid w:val="00A1008F"/>
    <w:rsid w:val="00A1053A"/>
    <w:rsid w:val="00A10956"/>
    <w:rsid w:val="00A1156D"/>
    <w:rsid w:val="00A1159F"/>
    <w:rsid w:val="00A1255C"/>
    <w:rsid w:val="00A13339"/>
    <w:rsid w:val="00A13405"/>
    <w:rsid w:val="00A135ED"/>
    <w:rsid w:val="00A13C85"/>
    <w:rsid w:val="00A14CFE"/>
    <w:rsid w:val="00A14D45"/>
    <w:rsid w:val="00A14F9F"/>
    <w:rsid w:val="00A15027"/>
    <w:rsid w:val="00A16DDE"/>
    <w:rsid w:val="00A1726B"/>
    <w:rsid w:val="00A1734E"/>
    <w:rsid w:val="00A17732"/>
    <w:rsid w:val="00A17D99"/>
    <w:rsid w:val="00A207EF"/>
    <w:rsid w:val="00A21391"/>
    <w:rsid w:val="00A21C65"/>
    <w:rsid w:val="00A22E81"/>
    <w:rsid w:val="00A23E54"/>
    <w:rsid w:val="00A242A4"/>
    <w:rsid w:val="00A256EE"/>
    <w:rsid w:val="00A259C7"/>
    <w:rsid w:val="00A26255"/>
    <w:rsid w:val="00A26455"/>
    <w:rsid w:val="00A26C31"/>
    <w:rsid w:val="00A27871"/>
    <w:rsid w:val="00A31DC6"/>
    <w:rsid w:val="00A31F51"/>
    <w:rsid w:val="00A32034"/>
    <w:rsid w:val="00A32BE9"/>
    <w:rsid w:val="00A32E14"/>
    <w:rsid w:val="00A33574"/>
    <w:rsid w:val="00A339AB"/>
    <w:rsid w:val="00A33B1C"/>
    <w:rsid w:val="00A33F0D"/>
    <w:rsid w:val="00A3447F"/>
    <w:rsid w:val="00A34C43"/>
    <w:rsid w:val="00A34D62"/>
    <w:rsid w:val="00A371A9"/>
    <w:rsid w:val="00A400EB"/>
    <w:rsid w:val="00A401C3"/>
    <w:rsid w:val="00A405DD"/>
    <w:rsid w:val="00A4062D"/>
    <w:rsid w:val="00A414E0"/>
    <w:rsid w:val="00A41964"/>
    <w:rsid w:val="00A439CC"/>
    <w:rsid w:val="00A43BEC"/>
    <w:rsid w:val="00A43E3A"/>
    <w:rsid w:val="00A43FF8"/>
    <w:rsid w:val="00A44D15"/>
    <w:rsid w:val="00A45068"/>
    <w:rsid w:val="00A46029"/>
    <w:rsid w:val="00A46264"/>
    <w:rsid w:val="00A469DF"/>
    <w:rsid w:val="00A46BF6"/>
    <w:rsid w:val="00A4784E"/>
    <w:rsid w:val="00A47920"/>
    <w:rsid w:val="00A500A5"/>
    <w:rsid w:val="00A5021B"/>
    <w:rsid w:val="00A50D7A"/>
    <w:rsid w:val="00A51FE8"/>
    <w:rsid w:val="00A523CE"/>
    <w:rsid w:val="00A532A7"/>
    <w:rsid w:val="00A53331"/>
    <w:rsid w:val="00A54489"/>
    <w:rsid w:val="00A55042"/>
    <w:rsid w:val="00A55530"/>
    <w:rsid w:val="00A55650"/>
    <w:rsid w:val="00A566A2"/>
    <w:rsid w:val="00A606ED"/>
    <w:rsid w:val="00A60C41"/>
    <w:rsid w:val="00A60ECD"/>
    <w:rsid w:val="00A615A4"/>
    <w:rsid w:val="00A6192E"/>
    <w:rsid w:val="00A62C54"/>
    <w:rsid w:val="00A62EEC"/>
    <w:rsid w:val="00A63903"/>
    <w:rsid w:val="00A64389"/>
    <w:rsid w:val="00A64CEE"/>
    <w:rsid w:val="00A64D70"/>
    <w:rsid w:val="00A660F9"/>
    <w:rsid w:val="00A66191"/>
    <w:rsid w:val="00A6726C"/>
    <w:rsid w:val="00A71538"/>
    <w:rsid w:val="00A71771"/>
    <w:rsid w:val="00A71A5C"/>
    <w:rsid w:val="00A71C85"/>
    <w:rsid w:val="00A71E6B"/>
    <w:rsid w:val="00A721E6"/>
    <w:rsid w:val="00A7248E"/>
    <w:rsid w:val="00A72D37"/>
    <w:rsid w:val="00A734EE"/>
    <w:rsid w:val="00A7441A"/>
    <w:rsid w:val="00A7526C"/>
    <w:rsid w:val="00A75660"/>
    <w:rsid w:val="00A75EF0"/>
    <w:rsid w:val="00A76C37"/>
    <w:rsid w:val="00A77D3F"/>
    <w:rsid w:val="00A8032B"/>
    <w:rsid w:val="00A80434"/>
    <w:rsid w:val="00A80B70"/>
    <w:rsid w:val="00A80BC6"/>
    <w:rsid w:val="00A81569"/>
    <w:rsid w:val="00A817EF"/>
    <w:rsid w:val="00A82295"/>
    <w:rsid w:val="00A836FC"/>
    <w:rsid w:val="00A83DD1"/>
    <w:rsid w:val="00A8487C"/>
    <w:rsid w:val="00A84D9B"/>
    <w:rsid w:val="00A855B6"/>
    <w:rsid w:val="00A856D6"/>
    <w:rsid w:val="00A85893"/>
    <w:rsid w:val="00A85E42"/>
    <w:rsid w:val="00A86153"/>
    <w:rsid w:val="00A86294"/>
    <w:rsid w:val="00A86BE9"/>
    <w:rsid w:val="00A86C3F"/>
    <w:rsid w:val="00A86DD7"/>
    <w:rsid w:val="00A90D36"/>
    <w:rsid w:val="00A91BF4"/>
    <w:rsid w:val="00A91D5A"/>
    <w:rsid w:val="00A91D5F"/>
    <w:rsid w:val="00A92662"/>
    <w:rsid w:val="00A93225"/>
    <w:rsid w:val="00A93DF2"/>
    <w:rsid w:val="00A94258"/>
    <w:rsid w:val="00A95E1B"/>
    <w:rsid w:val="00A97C97"/>
    <w:rsid w:val="00AA0208"/>
    <w:rsid w:val="00AA035D"/>
    <w:rsid w:val="00AA169E"/>
    <w:rsid w:val="00AA1850"/>
    <w:rsid w:val="00AA1CA1"/>
    <w:rsid w:val="00AA2024"/>
    <w:rsid w:val="00AA301F"/>
    <w:rsid w:val="00AA330E"/>
    <w:rsid w:val="00AA59CF"/>
    <w:rsid w:val="00AA59FE"/>
    <w:rsid w:val="00AA79AB"/>
    <w:rsid w:val="00AA7A03"/>
    <w:rsid w:val="00AA7F6C"/>
    <w:rsid w:val="00AA7F6F"/>
    <w:rsid w:val="00AB03AA"/>
    <w:rsid w:val="00AB058E"/>
    <w:rsid w:val="00AB0669"/>
    <w:rsid w:val="00AB0EB0"/>
    <w:rsid w:val="00AB162D"/>
    <w:rsid w:val="00AB1BC6"/>
    <w:rsid w:val="00AB1D53"/>
    <w:rsid w:val="00AB2C91"/>
    <w:rsid w:val="00AB2DC1"/>
    <w:rsid w:val="00AB32DD"/>
    <w:rsid w:val="00AB3FE2"/>
    <w:rsid w:val="00AB4463"/>
    <w:rsid w:val="00AB471D"/>
    <w:rsid w:val="00AB485F"/>
    <w:rsid w:val="00AB5553"/>
    <w:rsid w:val="00AB6F75"/>
    <w:rsid w:val="00AB73C6"/>
    <w:rsid w:val="00AC0068"/>
    <w:rsid w:val="00AC08DE"/>
    <w:rsid w:val="00AC13E7"/>
    <w:rsid w:val="00AC1B95"/>
    <w:rsid w:val="00AC1EBC"/>
    <w:rsid w:val="00AC2204"/>
    <w:rsid w:val="00AC4A4A"/>
    <w:rsid w:val="00AC5556"/>
    <w:rsid w:val="00AC5D69"/>
    <w:rsid w:val="00AC66A6"/>
    <w:rsid w:val="00AC6785"/>
    <w:rsid w:val="00AC7485"/>
    <w:rsid w:val="00AC7840"/>
    <w:rsid w:val="00AC7898"/>
    <w:rsid w:val="00AC7BFE"/>
    <w:rsid w:val="00AD0157"/>
    <w:rsid w:val="00AD164D"/>
    <w:rsid w:val="00AD2DE1"/>
    <w:rsid w:val="00AD38DE"/>
    <w:rsid w:val="00AD44F3"/>
    <w:rsid w:val="00AD47D4"/>
    <w:rsid w:val="00AD49ED"/>
    <w:rsid w:val="00AD4F11"/>
    <w:rsid w:val="00AD6ADA"/>
    <w:rsid w:val="00AD7872"/>
    <w:rsid w:val="00AD78F3"/>
    <w:rsid w:val="00AD7E3F"/>
    <w:rsid w:val="00AE0BAB"/>
    <w:rsid w:val="00AE1F79"/>
    <w:rsid w:val="00AE2AB3"/>
    <w:rsid w:val="00AE2AD1"/>
    <w:rsid w:val="00AE2FA9"/>
    <w:rsid w:val="00AE4771"/>
    <w:rsid w:val="00AE4B32"/>
    <w:rsid w:val="00AE501B"/>
    <w:rsid w:val="00AE611C"/>
    <w:rsid w:val="00AE628C"/>
    <w:rsid w:val="00AE6395"/>
    <w:rsid w:val="00AE69D9"/>
    <w:rsid w:val="00AE6F38"/>
    <w:rsid w:val="00AE71D4"/>
    <w:rsid w:val="00AF1108"/>
    <w:rsid w:val="00AF2149"/>
    <w:rsid w:val="00AF21C7"/>
    <w:rsid w:val="00AF2770"/>
    <w:rsid w:val="00AF3177"/>
    <w:rsid w:val="00AF5044"/>
    <w:rsid w:val="00AF55B3"/>
    <w:rsid w:val="00AF7265"/>
    <w:rsid w:val="00AF7F82"/>
    <w:rsid w:val="00B00758"/>
    <w:rsid w:val="00B0208F"/>
    <w:rsid w:val="00B02816"/>
    <w:rsid w:val="00B02A53"/>
    <w:rsid w:val="00B0549B"/>
    <w:rsid w:val="00B05EA3"/>
    <w:rsid w:val="00B06E08"/>
    <w:rsid w:val="00B071C9"/>
    <w:rsid w:val="00B07215"/>
    <w:rsid w:val="00B07345"/>
    <w:rsid w:val="00B075F2"/>
    <w:rsid w:val="00B0767B"/>
    <w:rsid w:val="00B07A80"/>
    <w:rsid w:val="00B07EFD"/>
    <w:rsid w:val="00B11CA9"/>
    <w:rsid w:val="00B1287C"/>
    <w:rsid w:val="00B14D88"/>
    <w:rsid w:val="00B15D63"/>
    <w:rsid w:val="00B16E27"/>
    <w:rsid w:val="00B1734A"/>
    <w:rsid w:val="00B20F43"/>
    <w:rsid w:val="00B2174D"/>
    <w:rsid w:val="00B2189E"/>
    <w:rsid w:val="00B23C8C"/>
    <w:rsid w:val="00B24189"/>
    <w:rsid w:val="00B24888"/>
    <w:rsid w:val="00B248E5"/>
    <w:rsid w:val="00B24B0D"/>
    <w:rsid w:val="00B25357"/>
    <w:rsid w:val="00B259AB"/>
    <w:rsid w:val="00B25DCD"/>
    <w:rsid w:val="00B25DE9"/>
    <w:rsid w:val="00B26B66"/>
    <w:rsid w:val="00B26FBD"/>
    <w:rsid w:val="00B277B1"/>
    <w:rsid w:val="00B27EE2"/>
    <w:rsid w:val="00B27F69"/>
    <w:rsid w:val="00B27F95"/>
    <w:rsid w:val="00B30702"/>
    <w:rsid w:val="00B307B4"/>
    <w:rsid w:val="00B319C5"/>
    <w:rsid w:val="00B31B15"/>
    <w:rsid w:val="00B32114"/>
    <w:rsid w:val="00B32BEE"/>
    <w:rsid w:val="00B33F37"/>
    <w:rsid w:val="00B34086"/>
    <w:rsid w:val="00B347EA"/>
    <w:rsid w:val="00B34EBB"/>
    <w:rsid w:val="00B34FB8"/>
    <w:rsid w:val="00B36228"/>
    <w:rsid w:val="00B37130"/>
    <w:rsid w:val="00B37660"/>
    <w:rsid w:val="00B37E4A"/>
    <w:rsid w:val="00B40074"/>
    <w:rsid w:val="00B405A2"/>
    <w:rsid w:val="00B40F19"/>
    <w:rsid w:val="00B41224"/>
    <w:rsid w:val="00B41284"/>
    <w:rsid w:val="00B41BE0"/>
    <w:rsid w:val="00B42307"/>
    <w:rsid w:val="00B42885"/>
    <w:rsid w:val="00B43B27"/>
    <w:rsid w:val="00B44021"/>
    <w:rsid w:val="00B4426A"/>
    <w:rsid w:val="00B45AD9"/>
    <w:rsid w:val="00B45BBC"/>
    <w:rsid w:val="00B45FDB"/>
    <w:rsid w:val="00B46871"/>
    <w:rsid w:val="00B46BB0"/>
    <w:rsid w:val="00B4778A"/>
    <w:rsid w:val="00B47F92"/>
    <w:rsid w:val="00B501BE"/>
    <w:rsid w:val="00B50BA0"/>
    <w:rsid w:val="00B51801"/>
    <w:rsid w:val="00B52B3F"/>
    <w:rsid w:val="00B52C11"/>
    <w:rsid w:val="00B52E1C"/>
    <w:rsid w:val="00B53A70"/>
    <w:rsid w:val="00B541B6"/>
    <w:rsid w:val="00B543CF"/>
    <w:rsid w:val="00B54527"/>
    <w:rsid w:val="00B5452E"/>
    <w:rsid w:val="00B55565"/>
    <w:rsid w:val="00B5602C"/>
    <w:rsid w:val="00B56535"/>
    <w:rsid w:val="00B56D71"/>
    <w:rsid w:val="00B606AF"/>
    <w:rsid w:val="00B6070F"/>
    <w:rsid w:val="00B607A6"/>
    <w:rsid w:val="00B61D27"/>
    <w:rsid w:val="00B63035"/>
    <w:rsid w:val="00B63CC8"/>
    <w:rsid w:val="00B65A01"/>
    <w:rsid w:val="00B66655"/>
    <w:rsid w:val="00B6718F"/>
    <w:rsid w:val="00B673DF"/>
    <w:rsid w:val="00B707F9"/>
    <w:rsid w:val="00B70D16"/>
    <w:rsid w:val="00B710A2"/>
    <w:rsid w:val="00B725E6"/>
    <w:rsid w:val="00B7399D"/>
    <w:rsid w:val="00B73BA5"/>
    <w:rsid w:val="00B747AC"/>
    <w:rsid w:val="00B74FFC"/>
    <w:rsid w:val="00B758EF"/>
    <w:rsid w:val="00B75D7D"/>
    <w:rsid w:val="00B75DF3"/>
    <w:rsid w:val="00B7639D"/>
    <w:rsid w:val="00B766CC"/>
    <w:rsid w:val="00B7671D"/>
    <w:rsid w:val="00B76E8A"/>
    <w:rsid w:val="00B76F0C"/>
    <w:rsid w:val="00B77F6C"/>
    <w:rsid w:val="00B80359"/>
    <w:rsid w:val="00B80C08"/>
    <w:rsid w:val="00B81B11"/>
    <w:rsid w:val="00B82A93"/>
    <w:rsid w:val="00B83434"/>
    <w:rsid w:val="00B83A99"/>
    <w:rsid w:val="00B84045"/>
    <w:rsid w:val="00B85AEC"/>
    <w:rsid w:val="00B86DE3"/>
    <w:rsid w:val="00B8743F"/>
    <w:rsid w:val="00B87AED"/>
    <w:rsid w:val="00B90AC7"/>
    <w:rsid w:val="00B918E0"/>
    <w:rsid w:val="00B91AF1"/>
    <w:rsid w:val="00B92406"/>
    <w:rsid w:val="00B933C3"/>
    <w:rsid w:val="00B938AA"/>
    <w:rsid w:val="00B93B8B"/>
    <w:rsid w:val="00B94899"/>
    <w:rsid w:val="00B94C41"/>
    <w:rsid w:val="00B9564A"/>
    <w:rsid w:val="00B9660C"/>
    <w:rsid w:val="00B96D6E"/>
    <w:rsid w:val="00BA09D5"/>
    <w:rsid w:val="00BA185C"/>
    <w:rsid w:val="00BA18F4"/>
    <w:rsid w:val="00BA28A9"/>
    <w:rsid w:val="00BA2D1D"/>
    <w:rsid w:val="00BA2DD8"/>
    <w:rsid w:val="00BA34A4"/>
    <w:rsid w:val="00BA3605"/>
    <w:rsid w:val="00BA3BF5"/>
    <w:rsid w:val="00BA452D"/>
    <w:rsid w:val="00BA4845"/>
    <w:rsid w:val="00BA492A"/>
    <w:rsid w:val="00BA4DAA"/>
    <w:rsid w:val="00BA4FB0"/>
    <w:rsid w:val="00BA53C7"/>
    <w:rsid w:val="00BA726C"/>
    <w:rsid w:val="00BB0AAD"/>
    <w:rsid w:val="00BB16E8"/>
    <w:rsid w:val="00BB1743"/>
    <w:rsid w:val="00BB1BB1"/>
    <w:rsid w:val="00BB1D5D"/>
    <w:rsid w:val="00BB2455"/>
    <w:rsid w:val="00BB2564"/>
    <w:rsid w:val="00BB38B6"/>
    <w:rsid w:val="00BB38FE"/>
    <w:rsid w:val="00BB3A3A"/>
    <w:rsid w:val="00BB497F"/>
    <w:rsid w:val="00BB4CF1"/>
    <w:rsid w:val="00BB52A8"/>
    <w:rsid w:val="00BB55AE"/>
    <w:rsid w:val="00BB569D"/>
    <w:rsid w:val="00BB5DEA"/>
    <w:rsid w:val="00BB5EC5"/>
    <w:rsid w:val="00BB6B67"/>
    <w:rsid w:val="00BB79DF"/>
    <w:rsid w:val="00BC12E9"/>
    <w:rsid w:val="00BC2F2B"/>
    <w:rsid w:val="00BC2FDB"/>
    <w:rsid w:val="00BC3190"/>
    <w:rsid w:val="00BC34C9"/>
    <w:rsid w:val="00BC652C"/>
    <w:rsid w:val="00BC6B4C"/>
    <w:rsid w:val="00BC7E1D"/>
    <w:rsid w:val="00BD0383"/>
    <w:rsid w:val="00BD0F42"/>
    <w:rsid w:val="00BD132B"/>
    <w:rsid w:val="00BD14C7"/>
    <w:rsid w:val="00BD1637"/>
    <w:rsid w:val="00BD2E16"/>
    <w:rsid w:val="00BD3B45"/>
    <w:rsid w:val="00BD40A6"/>
    <w:rsid w:val="00BD43CE"/>
    <w:rsid w:val="00BD575F"/>
    <w:rsid w:val="00BD5B30"/>
    <w:rsid w:val="00BD60E3"/>
    <w:rsid w:val="00BD6361"/>
    <w:rsid w:val="00BD6545"/>
    <w:rsid w:val="00BD6647"/>
    <w:rsid w:val="00BD767A"/>
    <w:rsid w:val="00BD76EF"/>
    <w:rsid w:val="00BE03F6"/>
    <w:rsid w:val="00BE0E3D"/>
    <w:rsid w:val="00BE2115"/>
    <w:rsid w:val="00BE21F5"/>
    <w:rsid w:val="00BE2C79"/>
    <w:rsid w:val="00BE4370"/>
    <w:rsid w:val="00BE4FD6"/>
    <w:rsid w:val="00BE65DD"/>
    <w:rsid w:val="00BE6D08"/>
    <w:rsid w:val="00BE6E08"/>
    <w:rsid w:val="00BF0717"/>
    <w:rsid w:val="00BF0CBE"/>
    <w:rsid w:val="00BF1D0F"/>
    <w:rsid w:val="00BF2107"/>
    <w:rsid w:val="00BF3161"/>
    <w:rsid w:val="00BF3775"/>
    <w:rsid w:val="00BF3BFC"/>
    <w:rsid w:val="00BF3F82"/>
    <w:rsid w:val="00BF527C"/>
    <w:rsid w:val="00BF5D08"/>
    <w:rsid w:val="00BF5EB0"/>
    <w:rsid w:val="00BF6043"/>
    <w:rsid w:val="00BF66FF"/>
    <w:rsid w:val="00BF6822"/>
    <w:rsid w:val="00BF682A"/>
    <w:rsid w:val="00BF6EFE"/>
    <w:rsid w:val="00BF6F7C"/>
    <w:rsid w:val="00C00788"/>
    <w:rsid w:val="00C00D3B"/>
    <w:rsid w:val="00C013EA"/>
    <w:rsid w:val="00C016DC"/>
    <w:rsid w:val="00C02969"/>
    <w:rsid w:val="00C02B12"/>
    <w:rsid w:val="00C03010"/>
    <w:rsid w:val="00C04C51"/>
    <w:rsid w:val="00C04D72"/>
    <w:rsid w:val="00C05104"/>
    <w:rsid w:val="00C05AE2"/>
    <w:rsid w:val="00C06168"/>
    <w:rsid w:val="00C06910"/>
    <w:rsid w:val="00C07EA1"/>
    <w:rsid w:val="00C07F92"/>
    <w:rsid w:val="00C10CDF"/>
    <w:rsid w:val="00C11C19"/>
    <w:rsid w:val="00C12362"/>
    <w:rsid w:val="00C12E5E"/>
    <w:rsid w:val="00C130BA"/>
    <w:rsid w:val="00C13149"/>
    <w:rsid w:val="00C13E73"/>
    <w:rsid w:val="00C13F8D"/>
    <w:rsid w:val="00C152A3"/>
    <w:rsid w:val="00C152B6"/>
    <w:rsid w:val="00C157D2"/>
    <w:rsid w:val="00C1665B"/>
    <w:rsid w:val="00C16BD2"/>
    <w:rsid w:val="00C17A19"/>
    <w:rsid w:val="00C20889"/>
    <w:rsid w:val="00C20EAF"/>
    <w:rsid w:val="00C21BCE"/>
    <w:rsid w:val="00C21C8D"/>
    <w:rsid w:val="00C21EC1"/>
    <w:rsid w:val="00C227D6"/>
    <w:rsid w:val="00C23159"/>
    <w:rsid w:val="00C235F1"/>
    <w:rsid w:val="00C2376E"/>
    <w:rsid w:val="00C247E1"/>
    <w:rsid w:val="00C24C27"/>
    <w:rsid w:val="00C24D64"/>
    <w:rsid w:val="00C3013D"/>
    <w:rsid w:val="00C302DA"/>
    <w:rsid w:val="00C30A98"/>
    <w:rsid w:val="00C3129A"/>
    <w:rsid w:val="00C3173F"/>
    <w:rsid w:val="00C32907"/>
    <w:rsid w:val="00C32963"/>
    <w:rsid w:val="00C3319C"/>
    <w:rsid w:val="00C33FEF"/>
    <w:rsid w:val="00C34471"/>
    <w:rsid w:val="00C34B50"/>
    <w:rsid w:val="00C34F9A"/>
    <w:rsid w:val="00C35825"/>
    <w:rsid w:val="00C35E77"/>
    <w:rsid w:val="00C37AEA"/>
    <w:rsid w:val="00C408D4"/>
    <w:rsid w:val="00C40C43"/>
    <w:rsid w:val="00C40D86"/>
    <w:rsid w:val="00C4163F"/>
    <w:rsid w:val="00C41FF0"/>
    <w:rsid w:val="00C43230"/>
    <w:rsid w:val="00C438E6"/>
    <w:rsid w:val="00C444B9"/>
    <w:rsid w:val="00C45D59"/>
    <w:rsid w:val="00C45E35"/>
    <w:rsid w:val="00C464D4"/>
    <w:rsid w:val="00C468CC"/>
    <w:rsid w:val="00C46A77"/>
    <w:rsid w:val="00C47EE9"/>
    <w:rsid w:val="00C47F65"/>
    <w:rsid w:val="00C50B6E"/>
    <w:rsid w:val="00C50CB4"/>
    <w:rsid w:val="00C51CBF"/>
    <w:rsid w:val="00C51F50"/>
    <w:rsid w:val="00C52AEA"/>
    <w:rsid w:val="00C52E5D"/>
    <w:rsid w:val="00C55AD3"/>
    <w:rsid w:val="00C56104"/>
    <w:rsid w:val="00C56BEA"/>
    <w:rsid w:val="00C5706A"/>
    <w:rsid w:val="00C57BA3"/>
    <w:rsid w:val="00C60313"/>
    <w:rsid w:val="00C6086E"/>
    <w:rsid w:val="00C60A6F"/>
    <w:rsid w:val="00C62400"/>
    <w:rsid w:val="00C62E46"/>
    <w:rsid w:val="00C62FCF"/>
    <w:rsid w:val="00C63384"/>
    <w:rsid w:val="00C639A9"/>
    <w:rsid w:val="00C63F03"/>
    <w:rsid w:val="00C644F5"/>
    <w:rsid w:val="00C657C1"/>
    <w:rsid w:val="00C65E66"/>
    <w:rsid w:val="00C6645F"/>
    <w:rsid w:val="00C67675"/>
    <w:rsid w:val="00C67742"/>
    <w:rsid w:val="00C67ED6"/>
    <w:rsid w:val="00C7037D"/>
    <w:rsid w:val="00C709C2"/>
    <w:rsid w:val="00C70C9F"/>
    <w:rsid w:val="00C70E61"/>
    <w:rsid w:val="00C72119"/>
    <w:rsid w:val="00C72179"/>
    <w:rsid w:val="00C72DEC"/>
    <w:rsid w:val="00C7428C"/>
    <w:rsid w:val="00C74562"/>
    <w:rsid w:val="00C7470A"/>
    <w:rsid w:val="00C7495A"/>
    <w:rsid w:val="00C74F99"/>
    <w:rsid w:val="00C75706"/>
    <w:rsid w:val="00C7593D"/>
    <w:rsid w:val="00C75D28"/>
    <w:rsid w:val="00C75ECF"/>
    <w:rsid w:val="00C76326"/>
    <w:rsid w:val="00C7683F"/>
    <w:rsid w:val="00C77473"/>
    <w:rsid w:val="00C777BC"/>
    <w:rsid w:val="00C778CC"/>
    <w:rsid w:val="00C800A6"/>
    <w:rsid w:val="00C80329"/>
    <w:rsid w:val="00C80527"/>
    <w:rsid w:val="00C81037"/>
    <w:rsid w:val="00C816C0"/>
    <w:rsid w:val="00C81A45"/>
    <w:rsid w:val="00C82188"/>
    <w:rsid w:val="00C82631"/>
    <w:rsid w:val="00C82CFE"/>
    <w:rsid w:val="00C832CA"/>
    <w:rsid w:val="00C83CD9"/>
    <w:rsid w:val="00C83D79"/>
    <w:rsid w:val="00C8403F"/>
    <w:rsid w:val="00C84882"/>
    <w:rsid w:val="00C84F17"/>
    <w:rsid w:val="00C85397"/>
    <w:rsid w:val="00C8623D"/>
    <w:rsid w:val="00C8653E"/>
    <w:rsid w:val="00C86FB4"/>
    <w:rsid w:val="00C87142"/>
    <w:rsid w:val="00C872B1"/>
    <w:rsid w:val="00C87781"/>
    <w:rsid w:val="00C90E84"/>
    <w:rsid w:val="00C91313"/>
    <w:rsid w:val="00C91EF2"/>
    <w:rsid w:val="00C91F99"/>
    <w:rsid w:val="00C9260C"/>
    <w:rsid w:val="00C92A2E"/>
    <w:rsid w:val="00C9545C"/>
    <w:rsid w:val="00C9551B"/>
    <w:rsid w:val="00C95780"/>
    <w:rsid w:val="00C95B1E"/>
    <w:rsid w:val="00C95C0A"/>
    <w:rsid w:val="00C963E2"/>
    <w:rsid w:val="00C96D4B"/>
    <w:rsid w:val="00CA022C"/>
    <w:rsid w:val="00CA03FE"/>
    <w:rsid w:val="00CA086F"/>
    <w:rsid w:val="00CA08F5"/>
    <w:rsid w:val="00CA210E"/>
    <w:rsid w:val="00CA2139"/>
    <w:rsid w:val="00CA396A"/>
    <w:rsid w:val="00CA46AC"/>
    <w:rsid w:val="00CA4922"/>
    <w:rsid w:val="00CA49F2"/>
    <w:rsid w:val="00CA4AD3"/>
    <w:rsid w:val="00CA642B"/>
    <w:rsid w:val="00CA753C"/>
    <w:rsid w:val="00CA75E1"/>
    <w:rsid w:val="00CA7ACF"/>
    <w:rsid w:val="00CB031C"/>
    <w:rsid w:val="00CB0ED9"/>
    <w:rsid w:val="00CB0EDA"/>
    <w:rsid w:val="00CB0F4F"/>
    <w:rsid w:val="00CB1839"/>
    <w:rsid w:val="00CB1858"/>
    <w:rsid w:val="00CB27C0"/>
    <w:rsid w:val="00CB2E34"/>
    <w:rsid w:val="00CB3EA8"/>
    <w:rsid w:val="00CB46B4"/>
    <w:rsid w:val="00CB47A5"/>
    <w:rsid w:val="00CB4B56"/>
    <w:rsid w:val="00CB5B2C"/>
    <w:rsid w:val="00CB66FA"/>
    <w:rsid w:val="00CB6A2A"/>
    <w:rsid w:val="00CB78C9"/>
    <w:rsid w:val="00CB7ECB"/>
    <w:rsid w:val="00CC08A4"/>
    <w:rsid w:val="00CC09D8"/>
    <w:rsid w:val="00CC0BFF"/>
    <w:rsid w:val="00CC1509"/>
    <w:rsid w:val="00CC2F55"/>
    <w:rsid w:val="00CC37E6"/>
    <w:rsid w:val="00CC3889"/>
    <w:rsid w:val="00CC4BAC"/>
    <w:rsid w:val="00CC627C"/>
    <w:rsid w:val="00CC6A32"/>
    <w:rsid w:val="00CC755E"/>
    <w:rsid w:val="00CC7940"/>
    <w:rsid w:val="00CD092A"/>
    <w:rsid w:val="00CD0C28"/>
    <w:rsid w:val="00CD0FE0"/>
    <w:rsid w:val="00CD1269"/>
    <w:rsid w:val="00CD22DB"/>
    <w:rsid w:val="00CD383F"/>
    <w:rsid w:val="00CD42CB"/>
    <w:rsid w:val="00CD4ADE"/>
    <w:rsid w:val="00CD4D4E"/>
    <w:rsid w:val="00CD54D8"/>
    <w:rsid w:val="00CD5C77"/>
    <w:rsid w:val="00CD6913"/>
    <w:rsid w:val="00CD7679"/>
    <w:rsid w:val="00CE08FE"/>
    <w:rsid w:val="00CE0D24"/>
    <w:rsid w:val="00CE19EF"/>
    <w:rsid w:val="00CE2118"/>
    <w:rsid w:val="00CE235C"/>
    <w:rsid w:val="00CE5F92"/>
    <w:rsid w:val="00CE644D"/>
    <w:rsid w:val="00CE6812"/>
    <w:rsid w:val="00CE6CD2"/>
    <w:rsid w:val="00CE6EE3"/>
    <w:rsid w:val="00CE7CFC"/>
    <w:rsid w:val="00CF035F"/>
    <w:rsid w:val="00CF03E1"/>
    <w:rsid w:val="00CF14EB"/>
    <w:rsid w:val="00CF2081"/>
    <w:rsid w:val="00CF2F25"/>
    <w:rsid w:val="00CF3BBD"/>
    <w:rsid w:val="00CF443B"/>
    <w:rsid w:val="00CF5812"/>
    <w:rsid w:val="00CF5FC7"/>
    <w:rsid w:val="00CF750A"/>
    <w:rsid w:val="00CF7AA0"/>
    <w:rsid w:val="00D00321"/>
    <w:rsid w:val="00D01BCF"/>
    <w:rsid w:val="00D0234F"/>
    <w:rsid w:val="00D02921"/>
    <w:rsid w:val="00D02AE3"/>
    <w:rsid w:val="00D031FC"/>
    <w:rsid w:val="00D03235"/>
    <w:rsid w:val="00D032C9"/>
    <w:rsid w:val="00D03401"/>
    <w:rsid w:val="00D03CD2"/>
    <w:rsid w:val="00D03FDC"/>
    <w:rsid w:val="00D05261"/>
    <w:rsid w:val="00D06887"/>
    <w:rsid w:val="00D07D2E"/>
    <w:rsid w:val="00D10159"/>
    <w:rsid w:val="00D10D70"/>
    <w:rsid w:val="00D118D1"/>
    <w:rsid w:val="00D12A8A"/>
    <w:rsid w:val="00D13F5E"/>
    <w:rsid w:val="00D14232"/>
    <w:rsid w:val="00D14622"/>
    <w:rsid w:val="00D1518D"/>
    <w:rsid w:val="00D152F8"/>
    <w:rsid w:val="00D16DAB"/>
    <w:rsid w:val="00D1703C"/>
    <w:rsid w:val="00D17AC2"/>
    <w:rsid w:val="00D17BAD"/>
    <w:rsid w:val="00D201C1"/>
    <w:rsid w:val="00D2068A"/>
    <w:rsid w:val="00D210ED"/>
    <w:rsid w:val="00D21569"/>
    <w:rsid w:val="00D21950"/>
    <w:rsid w:val="00D21C33"/>
    <w:rsid w:val="00D21E42"/>
    <w:rsid w:val="00D22253"/>
    <w:rsid w:val="00D226E1"/>
    <w:rsid w:val="00D22EB1"/>
    <w:rsid w:val="00D231D8"/>
    <w:rsid w:val="00D23970"/>
    <w:rsid w:val="00D24F61"/>
    <w:rsid w:val="00D25CEA"/>
    <w:rsid w:val="00D265E9"/>
    <w:rsid w:val="00D26730"/>
    <w:rsid w:val="00D2706D"/>
    <w:rsid w:val="00D279E9"/>
    <w:rsid w:val="00D27B16"/>
    <w:rsid w:val="00D27F86"/>
    <w:rsid w:val="00D30EA1"/>
    <w:rsid w:val="00D32A7D"/>
    <w:rsid w:val="00D338CF"/>
    <w:rsid w:val="00D33F45"/>
    <w:rsid w:val="00D34527"/>
    <w:rsid w:val="00D35A55"/>
    <w:rsid w:val="00D36097"/>
    <w:rsid w:val="00D40AC2"/>
    <w:rsid w:val="00D41A01"/>
    <w:rsid w:val="00D42591"/>
    <w:rsid w:val="00D43D6D"/>
    <w:rsid w:val="00D44F9B"/>
    <w:rsid w:val="00D458C9"/>
    <w:rsid w:val="00D4610D"/>
    <w:rsid w:val="00D465A8"/>
    <w:rsid w:val="00D466FA"/>
    <w:rsid w:val="00D46758"/>
    <w:rsid w:val="00D468B3"/>
    <w:rsid w:val="00D478F3"/>
    <w:rsid w:val="00D50C33"/>
    <w:rsid w:val="00D50CAD"/>
    <w:rsid w:val="00D50EF0"/>
    <w:rsid w:val="00D524C0"/>
    <w:rsid w:val="00D535F3"/>
    <w:rsid w:val="00D53AA8"/>
    <w:rsid w:val="00D53D7C"/>
    <w:rsid w:val="00D53E4A"/>
    <w:rsid w:val="00D5413D"/>
    <w:rsid w:val="00D547D3"/>
    <w:rsid w:val="00D54E32"/>
    <w:rsid w:val="00D5588E"/>
    <w:rsid w:val="00D55A59"/>
    <w:rsid w:val="00D55ED9"/>
    <w:rsid w:val="00D55FED"/>
    <w:rsid w:val="00D56A80"/>
    <w:rsid w:val="00D578D0"/>
    <w:rsid w:val="00D60016"/>
    <w:rsid w:val="00D60086"/>
    <w:rsid w:val="00D60B82"/>
    <w:rsid w:val="00D60DD7"/>
    <w:rsid w:val="00D61FCC"/>
    <w:rsid w:val="00D62724"/>
    <w:rsid w:val="00D63350"/>
    <w:rsid w:val="00D637D3"/>
    <w:rsid w:val="00D63D36"/>
    <w:rsid w:val="00D64CCE"/>
    <w:rsid w:val="00D64DAC"/>
    <w:rsid w:val="00D662B5"/>
    <w:rsid w:val="00D665B6"/>
    <w:rsid w:val="00D70714"/>
    <w:rsid w:val="00D70729"/>
    <w:rsid w:val="00D70866"/>
    <w:rsid w:val="00D708DF"/>
    <w:rsid w:val="00D7247F"/>
    <w:rsid w:val="00D730B3"/>
    <w:rsid w:val="00D7402E"/>
    <w:rsid w:val="00D741F6"/>
    <w:rsid w:val="00D74426"/>
    <w:rsid w:val="00D74D81"/>
    <w:rsid w:val="00D75210"/>
    <w:rsid w:val="00D75E5D"/>
    <w:rsid w:val="00D7610F"/>
    <w:rsid w:val="00D7667B"/>
    <w:rsid w:val="00D766A7"/>
    <w:rsid w:val="00D76808"/>
    <w:rsid w:val="00D801FE"/>
    <w:rsid w:val="00D8074F"/>
    <w:rsid w:val="00D80908"/>
    <w:rsid w:val="00D80AA5"/>
    <w:rsid w:val="00D80D25"/>
    <w:rsid w:val="00D80F07"/>
    <w:rsid w:val="00D81058"/>
    <w:rsid w:val="00D81BA2"/>
    <w:rsid w:val="00D82039"/>
    <w:rsid w:val="00D830D6"/>
    <w:rsid w:val="00D84071"/>
    <w:rsid w:val="00D843AA"/>
    <w:rsid w:val="00D8451E"/>
    <w:rsid w:val="00D84B7A"/>
    <w:rsid w:val="00D85024"/>
    <w:rsid w:val="00D86DAB"/>
    <w:rsid w:val="00D870E4"/>
    <w:rsid w:val="00D87AD7"/>
    <w:rsid w:val="00D90E3A"/>
    <w:rsid w:val="00D91D0B"/>
    <w:rsid w:val="00D91DFF"/>
    <w:rsid w:val="00D926A8"/>
    <w:rsid w:val="00D92B68"/>
    <w:rsid w:val="00D93A65"/>
    <w:rsid w:val="00D97037"/>
    <w:rsid w:val="00D97310"/>
    <w:rsid w:val="00D97C3B"/>
    <w:rsid w:val="00DA0417"/>
    <w:rsid w:val="00DA063D"/>
    <w:rsid w:val="00DA087E"/>
    <w:rsid w:val="00DA0C1B"/>
    <w:rsid w:val="00DA11F1"/>
    <w:rsid w:val="00DA1F13"/>
    <w:rsid w:val="00DA21F5"/>
    <w:rsid w:val="00DA2237"/>
    <w:rsid w:val="00DA47EA"/>
    <w:rsid w:val="00DA4DC7"/>
    <w:rsid w:val="00DA53A6"/>
    <w:rsid w:val="00DA55E5"/>
    <w:rsid w:val="00DA57EA"/>
    <w:rsid w:val="00DA5976"/>
    <w:rsid w:val="00DA5EA4"/>
    <w:rsid w:val="00DA6035"/>
    <w:rsid w:val="00DA649E"/>
    <w:rsid w:val="00DA7845"/>
    <w:rsid w:val="00DA78E8"/>
    <w:rsid w:val="00DB0723"/>
    <w:rsid w:val="00DB082C"/>
    <w:rsid w:val="00DB1B30"/>
    <w:rsid w:val="00DB1BF1"/>
    <w:rsid w:val="00DB2D5E"/>
    <w:rsid w:val="00DB2E06"/>
    <w:rsid w:val="00DB3206"/>
    <w:rsid w:val="00DB374F"/>
    <w:rsid w:val="00DB3A4B"/>
    <w:rsid w:val="00DB45D9"/>
    <w:rsid w:val="00DB4E7F"/>
    <w:rsid w:val="00DB51CD"/>
    <w:rsid w:val="00DB6B15"/>
    <w:rsid w:val="00DB76B4"/>
    <w:rsid w:val="00DB7773"/>
    <w:rsid w:val="00DC0381"/>
    <w:rsid w:val="00DC0BE9"/>
    <w:rsid w:val="00DC138D"/>
    <w:rsid w:val="00DC1868"/>
    <w:rsid w:val="00DC24E5"/>
    <w:rsid w:val="00DC2F29"/>
    <w:rsid w:val="00DC3316"/>
    <w:rsid w:val="00DC426C"/>
    <w:rsid w:val="00DC5150"/>
    <w:rsid w:val="00DC54A9"/>
    <w:rsid w:val="00DC6668"/>
    <w:rsid w:val="00DC7111"/>
    <w:rsid w:val="00DC732F"/>
    <w:rsid w:val="00DD007D"/>
    <w:rsid w:val="00DD02F8"/>
    <w:rsid w:val="00DD0873"/>
    <w:rsid w:val="00DD0AD0"/>
    <w:rsid w:val="00DD0E51"/>
    <w:rsid w:val="00DD1E24"/>
    <w:rsid w:val="00DD26F9"/>
    <w:rsid w:val="00DD2CC0"/>
    <w:rsid w:val="00DD2F46"/>
    <w:rsid w:val="00DD35C4"/>
    <w:rsid w:val="00DD4150"/>
    <w:rsid w:val="00DD4690"/>
    <w:rsid w:val="00DD5804"/>
    <w:rsid w:val="00DD5862"/>
    <w:rsid w:val="00DD5878"/>
    <w:rsid w:val="00DD677B"/>
    <w:rsid w:val="00DD67D4"/>
    <w:rsid w:val="00DD7085"/>
    <w:rsid w:val="00DD7830"/>
    <w:rsid w:val="00DE01B4"/>
    <w:rsid w:val="00DE03DD"/>
    <w:rsid w:val="00DE0DED"/>
    <w:rsid w:val="00DE3FB3"/>
    <w:rsid w:val="00DE4E5E"/>
    <w:rsid w:val="00DE53B3"/>
    <w:rsid w:val="00DE55D7"/>
    <w:rsid w:val="00DE5820"/>
    <w:rsid w:val="00DE5FC1"/>
    <w:rsid w:val="00DE627E"/>
    <w:rsid w:val="00DE6F0F"/>
    <w:rsid w:val="00DE6FC2"/>
    <w:rsid w:val="00DE7124"/>
    <w:rsid w:val="00DE7384"/>
    <w:rsid w:val="00DF0E96"/>
    <w:rsid w:val="00DF1542"/>
    <w:rsid w:val="00DF2245"/>
    <w:rsid w:val="00DF2D21"/>
    <w:rsid w:val="00DF4A5A"/>
    <w:rsid w:val="00DF6C96"/>
    <w:rsid w:val="00DF70EC"/>
    <w:rsid w:val="00DF746C"/>
    <w:rsid w:val="00DF7671"/>
    <w:rsid w:val="00DF782A"/>
    <w:rsid w:val="00DF7D4A"/>
    <w:rsid w:val="00DF7FE6"/>
    <w:rsid w:val="00E00A3A"/>
    <w:rsid w:val="00E01262"/>
    <w:rsid w:val="00E0248E"/>
    <w:rsid w:val="00E0268F"/>
    <w:rsid w:val="00E02B0F"/>
    <w:rsid w:val="00E040E8"/>
    <w:rsid w:val="00E0486C"/>
    <w:rsid w:val="00E048E5"/>
    <w:rsid w:val="00E04DFB"/>
    <w:rsid w:val="00E04E79"/>
    <w:rsid w:val="00E06260"/>
    <w:rsid w:val="00E07257"/>
    <w:rsid w:val="00E073C6"/>
    <w:rsid w:val="00E07A60"/>
    <w:rsid w:val="00E1091A"/>
    <w:rsid w:val="00E1098B"/>
    <w:rsid w:val="00E12853"/>
    <w:rsid w:val="00E12E02"/>
    <w:rsid w:val="00E12E73"/>
    <w:rsid w:val="00E14374"/>
    <w:rsid w:val="00E149DE"/>
    <w:rsid w:val="00E1593B"/>
    <w:rsid w:val="00E1602E"/>
    <w:rsid w:val="00E16292"/>
    <w:rsid w:val="00E16295"/>
    <w:rsid w:val="00E16935"/>
    <w:rsid w:val="00E1693D"/>
    <w:rsid w:val="00E17AF1"/>
    <w:rsid w:val="00E20100"/>
    <w:rsid w:val="00E20192"/>
    <w:rsid w:val="00E20949"/>
    <w:rsid w:val="00E20D97"/>
    <w:rsid w:val="00E25DD2"/>
    <w:rsid w:val="00E27078"/>
    <w:rsid w:val="00E27ACC"/>
    <w:rsid w:val="00E31019"/>
    <w:rsid w:val="00E32226"/>
    <w:rsid w:val="00E32818"/>
    <w:rsid w:val="00E335D4"/>
    <w:rsid w:val="00E33761"/>
    <w:rsid w:val="00E337DB"/>
    <w:rsid w:val="00E33DEB"/>
    <w:rsid w:val="00E34AB7"/>
    <w:rsid w:val="00E35B65"/>
    <w:rsid w:val="00E368FD"/>
    <w:rsid w:val="00E36AB1"/>
    <w:rsid w:val="00E36BE4"/>
    <w:rsid w:val="00E37266"/>
    <w:rsid w:val="00E418A9"/>
    <w:rsid w:val="00E4366E"/>
    <w:rsid w:val="00E439A7"/>
    <w:rsid w:val="00E442D5"/>
    <w:rsid w:val="00E4469E"/>
    <w:rsid w:val="00E446A4"/>
    <w:rsid w:val="00E44AEC"/>
    <w:rsid w:val="00E44CA4"/>
    <w:rsid w:val="00E44D57"/>
    <w:rsid w:val="00E451CE"/>
    <w:rsid w:val="00E451EA"/>
    <w:rsid w:val="00E45283"/>
    <w:rsid w:val="00E46194"/>
    <w:rsid w:val="00E46806"/>
    <w:rsid w:val="00E46A53"/>
    <w:rsid w:val="00E47369"/>
    <w:rsid w:val="00E50318"/>
    <w:rsid w:val="00E503A4"/>
    <w:rsid w:val="00E51C78"/>
    <w:rsid w:val="00E51D31"/>
    <w:rsid w:val="00E52A23"/>
    <w:rsid w:val="00E532FA"/>
    <w:rsid w:val="00E53EFA"/>
    <w:rsid w:val="00E54830"/>
    <w:rsid w:val="00E54FD6"/>
    <w:rsid w:val="00E55AD3"/>
    <w:rsid w:val="00E60295"/>
    <w:rsid w:val="00E6159B"/>
    <w:rsid w:val="00E61A5F"/>
    <w:rsid w:val="00E628EA"/>
    <w:rsid w:val="00E62F30"/>
    <w:rsid w:val="00E631A9"/>
    <w:rsid w:val="00E63D9F"/>
    <w:rsid w:val="00E63E88"/>
    <w:rsid w:val="00E64604"/>
    <w:rsid w:val="00E64E0C"/>
    <w:rsid w:val="00E65499"/>
    <w:rsid w:val="00E656D5"/>
    <w:rsid w:val="00E66192"/>
    <w:rsid w:val="00E66BFD"/>
    <w:rsid w:val="00E66CA2"/>
    <w:rsid w:val="00E70FA3"/>
    <w:rsid w:val="00E710FB"/>
    <w:rsid w:val="00E7140F"/>
    <w:rsid w:val="00E717CE"/>
    <w:rsid w:val="00E7215C"/>
    <w:rsid w:val="00E72FD2"/>
    <w:rsid w:val="00E733FB"/>
    <w:rsid w:val="00E74050"/>
    <w:rsid w:val="00E743F1"/>
    <w:rsid w:val="00E756B6"/>
    <w:rsid w:val="00E75A9B"/>
    <w:rsid w:val="00E75B41"/>
    <w:rsid w:val="00E75E8A"/>
    <w:rsid w:val="00E766AB"/>
    <w:rsid w:val="00E76828"/>
    <w:rsid w:val="00E769EB"/>
    <w:rsid w:val="00E76F9B"/>
    <w:rsid w:val="00E77CDA"/>
    <w:rsid w:val="00E80CFF"/>
    <w:rsid w:val="00E81FD6"/>
    <w:rsid w:val="00E8215E"/>
    <w:rsid w:val="00E8428E"/>
    <w:rsid w:val="00E845E7"/>
    <w:rsid w:val="00E84BF1"/>
    <w:rsid w:val="00E85077"/>
    <w:rsid w:val="00E85143"/>
    <w:rsid w:val="00E85A47"/>
    <w:rsid w:val="00E85EAE"/>
    <w:rsid w:val="00E862D3"/>
    <w:rsid w:val="00E869FA"/>
    <w:rsid w:val="00E872B7"/>
    <w:rsid w:val="00E87482"/>
    <w:rsid w:val="00E8754E"/>
    <w:rsid w:val="00E87E8E"/>
    <w:rsid w:val="00E90F66"/>
    <w:rsid w:val="00E92D5E"/>
    <w:rsid w:val="00E93444"/>
    <w:rsid w:val="00E93D2C"/>
    <w:rsid w:val="00E94616"/>
    <w:rsid w:val="00E94661"/>
    <w:rsid w:val="00E94D07"/>
    <w:rsid w:val="00E952A2"/>
    <w:rsid w:val="00E9564B"/>
    <w:rsid w:val="00E95E91"/>
    <w:rsid w:val="00E967BC"/>
    <w:rsid w:val="00E96BEA"/>
    <w:rsid w:val="00E977EF"/>
    <w:rsid w:val="00EA0077"/>
    <w:rsid w:val="00EA01B0"/>
    <w:rsid w:val="00EA0505"/>
    <w:rsid w:val="00EA0C02"/>
    <w:rsid w:val="00EA1201"/>
    <w:rsid w:val="00EA12A8"/>
    <w:rsid w:val="00EA1709"/>
    <w:rsid w:val="00EA2075"/>
    <w:rsid w:val="00EA2856"/>
    <w:rsid w:val="00EA2D5F"/>
    <w:rsid w:val="00EA2D89"/>
    <w:rsid w:val="00EA41F2"/>
    <w:rsid w:val="00EA48C3"/>
    <w:rsid w:val="00EA5370"/>
    <w:rsid w:val="00EA5972"/>
    <w:rsid w:val="00EA60BD"/>
    <w:rsid w:val="00EA6A36"/>
    <w:rsid w:val="00EA6E08"/>
    <w:rsid w:val="00EB018D"/>
    <w:rsid w:val="00EB0F49"/>
    <w:rsid w:val="00EB194B"/>
    <w:rsid w:val="00EB307D"/>
    <w:rsid w:val="00EB330C"/>
    <w:rsid w:val="00EB3806"/>
    <w:rsid w:val="00EB50A4"/>
    <w:rsid w:val="00EB5227"/>
    <w:rsid w:val="00EB55B2"/>
    <w:rsid w:val="00EB6176"/>
    <w:rsid w:val="00EB620D"/>
    <w:rsid w:val="00EB6527"/>
    <w:rsid w:val="00EB77EA"/>
    <w:rsid w:val="00EB7AFD"/>
    <w:rsid w:val="00EB7E49"/>
    <w:rsid w:val="00EC000B"/>
    <w:rsid w:val="00EC05C5"/>
    <w:rsid w:val="00EC1148"/>
    <w:rsid w:val="00EC1656"/>
    <w:rsid w:val="00EC1920"/>
    <w:rsid w:val="00EC1FFB"/>
    <w:rsid w:val="00EC253A"/>
    <w:rsid w:val="00EC43FE"/>
    <w:rsid w:val="00EC4C85"/>
    <w:rsid w:val="00EC58BD"/>
    <w:rsid w:val="00EC6762"/>
    <w:rsid w:val="00EC72E9"/>
    <w:rsid w:val="00ED0FD5"/>
    <w:rsid w:val="00ED0FD7"/>
    <w:rsid w:val="00ED1B90"/>
    <w:rsid w:val="00ED275B"/>
    <w:rsid w:val="00ED33E4"/>
    <w:rsid w:val="00ED34EC"/>
    <w:rsid w:val="00ED38F8"/>
    <w:rsid w:val="00ED418B"/>
    <w:rsid w:val="00ED5515"/>
    <w:rsid w:val="00ED5F25"/>
    <w:rsid w:val="00ED613A"/>
    <w:rsid w:val="00ED685F"/>
    <w:rsid w:val="00ED6979"/>
    <w:rsid w:val="00ED6B38"/>
    <w:rsid w:val="00ED70F0"/>
    <w:rsid w:val="00EE0885"/>
    <w:rsid w:val="00EE0CCB"/>
    <w:rsid w:val="00EE1C4B"/>
    <w:rsid w:val="00EE2421"/>
    <w:rsid w:val="00EE2BDB"/>
    <w:rsid w:val="00EE40CB"/>
    <w:rsid w:val="00EE6D05"/>
    <w:rsid w:val="00EE6E3B"/>
    <w:rsid w:val="00EE7A0D"/>
    <w:rsid w:val="00EE7E47"/>
    <w:rsid w:val="00EF034E"/>
    <w:rsid w:val="00EF0D63"/>
    <w:rsid w:val="00EF0DF5"/>
    <w:rsid w:val="00EF0F10"/>
    <w:rsid w:val="00EF3B11"/>
    <w:rsid w:val="00EF4660"/>
    <w:rsid w:val="00EF69E6"/>
    <w:rsid w:val="00EF7A14"/>
    <w:rsid w:val="00F0030D"/>
    <w:rsid w:val="00F008E4"/>
    <w:rsid w:val="00F01F46"/>
    <w:rsid w:val="00F02380"/>
    <w:rsid w:val="00F0241D"/>
    <w:rsid w:val="00F02719"/>
    <w:rsid w:val="00F031B3"/>
    <w:rsid w:val="00F03ABF"/>
    <w:rsid w:val="00F0430A"/>
    <w:rsid w:val="00F04B56"/>
    <w:rsid w:val="00F054B8"/>
    <w:rsid w:val="00F056CB"/>
    <w:rsid w:val="00F059D6"/>
    <w:rsid w:val="00F05DF5"/>
    <w:rsid w:val="00F05EBC"/>
    <w:rsid w:val="00F077D7"/>
    <w:rsid w:val="00F0790C"/>
    <w:rsid w:val="00F11253"/>
    <w:rsid w:val="00F11541"/>
    <w:rsid w:val="00F12D81"/>
    <w:rsid w:val="00F13290"/>
    <w:rsid w:val="00F13624"/>
    <w:rsid w:val="00F13D91"/>
    <w:rsid w:val="00F13E91"/>
    <w:rsid w:val="00F1421E"/>
    <w:rsid w:val="00F1474C"/>
    <w:rsid w:val="00F14F7C"/>
    <w:rsid w:val="00F15613"/>
    <w:rsid w:val="00F17264"/>
    <w:rsid w:val="00F17863"/>
    <w:rsid w:val="00F2091D"/>
    <w:rsid w:val="00F21C02"/>
    <w:rsid w:val="00F255FA"/>
    <w:rsid w:val="00F25806"/>
    <w:rsid w:val="00F25AA3"/>
    <w:rsid w:val="00F26254"/>
    <w:rsid w:val="00F27814"/>
    <w:rsid w:val="00F309FA"/>
    <w:rsid w:val="00F30F23"/>
    <w:rsid w:val="00F3149F"/>
    <w:rsid w:val="00F31A1D"/>
    <w:rsid w:val="00F31BFA"/>
    <w:rsid w:val="00F32161"/>
    <w:rsid w:val="00F323F7"/>
    <w:rsid w:val="00F324DE"/>
    <w:rsid w:val="00F325FC"/>
    <w:rsid w:val="00F3268D"/>
    <w:rsid w:val="00F33308"/>
    <w:rsid w:val="00F33AC4"/>
    <w:rsid w:val="00F33C8A"/>
    <w:rsid w:val="00F341FA"/>
    <w:rsid w:val="00F34228"/>
    <w:rsid w:val="00F34673"/>
    <w:rsid w:val="00F37C4F"/>
    <w:rsid w:val="00F41854"/>
    <w:rsid w:val="00F42090"/>
    <w:rsid w:val="00F42A49"/>
    <w:rsid w:val="00F4391F"/>
    <w:rsid w:val="00F442BF"/>
    <w:rsid w:val="00F4432C"/>
    <w:rsid w:val="00F44786"/>
    <w:rsid w:val="00F44901"/>
    <w:rsid w:val="00F4546C"/>
    <w:rsid w:val="00F456C3"/>
    <w:rsid w:val="00F4653F"/>
    <w:rsid w:val="00F46E34"/>
    <w:rsid w:val="00F46E52"/>
    <w:rsid w:val="00F470EC"/>
    <w:rsid w:val="00F47991"/>
    <w:rsid w:val="00F47FBB"/>
    <w:rsid w:val="00F50248"/>
    <w:rsid w:val="00F508B9"/>
    <w:rsid w:val="00F51A4F"/>
    <w:rsid w:val="00F520E9"/>
    <w:rsid w:val="00F526A8"/>
    <w:rsid w:val="00F538F1"/>
    <w:rsid w:val="00F53A84"/>
    <w:rsid w:val="00F543C2"/>
    <w:rsid w:val="00F5493E"/>
    <w:rsid w:val="00F54A93"/>
    <w:rsid w:val="00F54E88"/>
    <w:rsid w:val="00F5505F"/>
    <w:rsid w:val="00F562DA"/>
    <w:rsid w:val="00F56668"/>
    <w:rsid w:val="00F56B95"/>
    <w:rsid w:val="00F56FE4"/>
    <w:rsid w:val="00F60F5F"/>
    <w:rsid w:val="00F62654"/>
    <w:rsid w:val="00F63950"/>
    <w:rsid w:val="00F63DFE"/>
    <w:rsid w:val="00F65064"/>
    <w:rsid w:val="00F65AE7"/>
    <w:rsid w:val="00F65C95"/>
    <w:rsid w:val="00F70036"/>
    <w:rsid w:val="00F709FF"/>
    <w:rsid w:val="00F70F7B"/>
    <w:rsid w:val="00F712B0"/>
    <w:rsid w:val="00F718E4"/>
    <w:rsid w:val="00F73F72"/>
    <w:rsid w:val="00F741B5"/>
    <w:rsid w:val="00F741D9"/>
    <w:rsid w:val="00F74A7E"/>
    <w:rsid w:val="00F74CB2"/>
    <w:rsid w:val="00F75279"/>
    <w:rsid w:val="00F7533C"/>
    <w:rsid w:val="00F757B3"/>
    <w:rsid w:val="00F75AAF"/>
    <w:rsid w:val="00F761C1"/>
    <w:rsid w:val="00F76587"/>
    <w:rsid w:val="00F77289"/>
    <w:rsid w:val="00F801D6"/>
    <w:rsid w:val="00F802B7"/>
    <w:rsid w:val="00F824B3"/>
    <w:rsid w:val="00F825B1"/>
    <w:rsid w:val="00F82FCF"/>
    <w:rsid w:val="00F84102"/>
    <w:rsid w:val="00F846F8"/>
    <w:rsid w:val="00F84803"/>
    <w:rsid w:val="00F84EAA"/>
    <w:rsid w:val="00F8573A"/>
    <w:rsid w:val="00F86B2E"/>
    <w:rsid w:val="00F86F65"/>
    <w:rsid w:val="00F870F8"/>
    <w:rsid w:val="00F876C9"/>
    <w:rsid w:val="00F906C2"/>
    <w:rsid w:val="00F9076B"/>
    <w:rsid w:val="00F90DAD"/>
    <w:rsid w:val="00F91464"/>
    <w:rsid w:val="00F923F6"/>
    <w:rsid w:val="00F926B5"/>
    <w:rsid w:val="00F92D8C"/>
    <w:rsid w:val="00F93495"/>
    <w:rsid w:val="00F95029"/>
    <w:rsid w:val="00F95770"/>
    <w:rsid w:val="00F95A57"/>
    <w:rsid w:val="00F9650A"/>
    <w:rsid w:val="00FA05D5"/>
    <w:rsid w:val="00FA0DAF"/>
    <w:rsid w:val="00FA1C06"/>
    <w:rsid w:val="00FA1C0C"/>
    <w:rsid w:val="00FA1E92"/>
    <w:rsid w:val="00FA1EB5"/>
    <w:rsid w:val="00FA2A99"/>
    <w:rsid w:val="00FA2F55"/>
    <w:rsid w:val="00FA3006"/>
    <w:rsid w:val="00FA397B"/>
    <w:rsid w:val="00FA4391"/>
    <w:rsid w:val="00FA4CF6"/>
    <w:rsid w:val="00FA4E4E"/>
    <w:rsid w:val="00FA6EBC"/>
    <w:rsid w:val="00FA72B1"/>
    <w:rsid w:val="00FA753E"/>
    <w:rsid w:val="00FA7565"/>
    <w:rsid w:val="00FA785E"/>
    <w:rsid w:val="00FB0340"/>
    <w:rsid w:val="00FB095D"/>
    <w:rsid w:val="00FB0B57"/>
    <w:rsid w:val="00FB0B7E"/>
    <w:rsid w:val="00FB0BF8"/>
    <w:rsid w:val="00FB14FE"/>
    <w:rsid w:val="00FB1BF5"/>
    <w:rsid w:val="00FB2534"/>
    <w:rsid w:val="00FB3CCD"/>
    <w:rsid w:val="00FB4315"/>
    <w:rsid w:val="00FB450F"/>
    <w:rsid w:val="00FB4CE7"/>
    <w:rsid w:val="00FB603F"/>
    <w:rsid w:val="00FB610B"/>
    <w:rsid w:val="00FB64A7"/>
    <w:rsid w:val="00FB70EC"/>
    <w:rsid w:val="00FC0306"/>
    <w:rsid w:val="00FC0707"/>
    <w:rsid w:val="00FC13FD"/>
    <w:rsid w:val="00FC15A8"/>
    <w:rsid w:val="00FC28C4"/>
    <w:rsid w:val="00FC295D"/>
    <w:rsid w:val="00FC3111"/>
    <w:rsid w:val="00FC36D4"/>
    <w:rsid w:val="00FC3830"/>
    <w:rsid w:val="00FC4213"/>
    <w:rsid w:val="00FC43C7"/>
    <w:rsid w:val="00FC4553"/>
    <w:rsid w:val="00FC476D"/>
    <w:rsid w:val="00FC4E6F"/>
    <w:rsid w:val="00FC651A"/>
    <w:rsid w:val="00FC6BB3"/>
    <w:rsid w:val="00FC6BC4"/>
    <w:rsid w:val="00FC7378"/>
    <w:rsid w:val="00FC7999"/>
    <w:rsid w:val="00FD00AE"/>
    <w:rsid w:val="00FD10CE"/>
    <w:rsid w:val="00FD1324"/>
    <w:rsid w:val="00FD18BD"/>
    <w:rsid w:val="00FD263F"/>
    <w:rsid w:val="00FD347D"/>
    <w:rsid w:val="00FD359B"/>
    <w:rsid w:val="00FD4A47"/>
    <w:rsid w:val="00FD4EEA"/>
    <w:rsid w:val="00FD76E6"/>
    <w:rsid w:val="00FE0DC3"/>
    <w:rsid w:val="00FE100E"/>
    <w:rsid w:val="00FE1936"/>
    <w:rsid w:val="00FE208D"/>
    <w:rsid w:val="00FE20AC"/>
    <w:rsid w:val="00FE20D8"/>
    <w:rsid w:val="00FE3CE6"/>
    <w:rsid w:val="00FE3FA3"/>
    <w:rsid w:val="00FE4A23"/>
    <w:rsid w:val="00FE5AF6"/>
    <w:rsid w:val="00FE5E8D"/>
    <w:rsid w:val="00FE69B0"/>
    <w:rsid w:val="00FE72FD"/>
    <w:rsid w:val="00FF019F"/>
    <w:rsid w:val="00FF0959"/>
    <w:rsid w:val="00FF18B2"/>
    <w:rsid w:val="00FF220E"/>
    <w:rsid w:val="00FF24C5"/>
    <w:rsid w:val="00FF5127"/>
    <w:rsid w:val="00FF544A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3606A11-D4EC-4A1A-8380-4E7E05A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44A8"/>
    <w:pPr>
      <w:spacing w:before="120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0177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B0657"/>
    <w:pPr>
      <w:numPr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0B8"/>
    <w:pPr>
      <w:numPr>
        <w:ilvl w:val="1"/>
        <w:numId w:val="1"/>
      </w:numPr>
      <w:ind w:hanging="720"/>
      <w:outlineLvl w:val="2"/>
    </w:pPr>
    <w:rPr>
      <w:b/>
    </w:rPr>
  </w:style>
  <w:style w:type="paragraph" w:styleId="Nadpis4">
    <w:name w:val="heading 4"/>
    <w:basedOn w:val="Odstavecseseznamem"/>
    <w:next w:val="Normln"/>
    <w:link w:val="Nadpis4Char"/>
    <w:qFormat/>
    <w:rsid w:val="00EE20B8"/>
    <w:pPr>
      <w:numPr>
        <w:ilvl w:val="2"/>
        <w:numId w:val="1"/>
      </w:numPr>
      <w:spacing w:after="160"/>
      <w:ind w:left="1434" w:hanging="1434"/>
      <w:jc w:val="left"/>
      <w:outlineLvl w:val="3"/>
    </w:pPr>
  </w:style>
  <w:style w:type="paragraph" w:styleId="Nadpis5">
    <w:name w:val="heading 5"/>
    <w:basedOn w:val="Normln"/>
    <w:next w:val="Normln"/>
    <w:link w:val="Nadpis5Char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link w:val="Nadpis6Char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rsid w:val="00FC2455"/>
    <w:pPr>
      <w:keepNext/>
      <w:ind w:firstLine="540"/>
      <w:outlineLvl w:val="6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56EB"/>
    <w:pPr>
      <w:spacing w:before="240" w:after="60"/>
      <w:outlineLvl w:val="7"/>
    </w:pPr>
    <w:rPr>
      <w:rFonts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FC2455"/>
    <w:pPr>
      <w:ind w:firstLine="567"/>
    </w:pPr>
    <w:rPr>
      <w:iCs/>
      <w:lang w:eastAsia="cs-CZ"/>
    </w:rPr>
  </w:style>
  <w:style w:type="paragraph" w:styleId="Zkladntext">
    <w:name w:val="Body Text"/>
    <w:basedOn w:val="Normln"/>
    <w:link w:val="ZkladntextChar"/>
    <w:semiHidden/>
    <w:rsid w:val="00FC2455"/>
    <w:rPr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semiHidden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rsid w:val="00FC2455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C2455"/>
    <w:pPr>
      <w:ind w:firstLine="720"/>
    </w:pPr>
  </w:style>
  <w:style w:type="paragraph" w:styleId="Zkladntext3">
    <w:name w:val="Body Text 3"/>
    <w:basedOn w:val="Normln"/>
    <w:link w:val="Zkladntext3Char"/>
    <w:semiHidden/>
    <w:rsid w:val="00FC2455"/>
    <w:pPr>
      <w:keepNext/>
      <w:keepLines/>
    </w:pPr>
    <w:rPr>
      <w:b/>
      <w:bCs/>
    </w:rPr>
  </w:style>
  <w:style w:type="paragraph" w:styleId="Zkladntext2">
    <w:name w:val="Body Text 2"/>
    <w:basedOn w:val="Normln"/>
    <w:link w:val="Zkladntext2Char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link w:val="ZhlavChar"/>
    <w:uiPriority w:val="99"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uiPriority w:val="35"/>
    <w:qFormat/>
    <w:rsid w:val="00FC2455"/>
    <w:rPr>
      <w:rFonts w:ascii="Arial" w:hAnsi="Arial" w:cs="Arial"/>
      <w:i/>
      <w:iCs/>
      <w:sz w:val="18"/>
    </w:rPr>
  </w:style>
  <w:style w:type="paragraph" w:styleId="Zkladntextodsazen3">
    <w:name w:val="Body Text Indent 3"/>
    <w:basedOn w:val="Normln"/>
    <w:link w:val="Zkladntextodsazen3Char"/>
    <w:semiHidden/>
    <w:rsid w:val="00FC2455"/>
    <w:pPr>
      <w:autoSpaceDE w:val="0"/>
      <w:autoSpaceDN w:val="0"/>
      <w:adjustRightInd w:val="0"/>
      <w:spacing w:line="240" w:lineRule="atLeast"/>
      <w:ind w:left="360" w:hanging="360"/>
    </w:pPr>
  </w:style>
  <w:style w:type="character" w:customStyle="1" w:styleId="ZpatChar">
    <w:name w:val="Zápatí Char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Nad,Nadpis pro KZ,odrážky,List Paragraph_0,List Paragraph_1,List Paragraph_2,Odstavec se seznamem1,Odstavec se seznamem2,můj Nadpis 2,List Paragraph,Odstavec cíl se seznamem,Odstavec_muj,List Paragraph (Czech Tourism),Odstavec_muj1"/>
    <w:basedOn w:val="Normln"/>
    <w:link w:val="OdstavecseseznamemChar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3B7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D73B7"/>
    <w:rPr>
      <w:b/>
      <w:bCs/>
      <w:lang w:val="en-US" w:eastAsia="en-US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,ft"/>
    <w:basedOn w:val="Normln"/>
    <w:link w:val="TextpoznpodarouChar"/>
    <w:uiPriority w:val="99"/>
    <w:unhideWhenUsed/>
    <w:qFormat/>
    <w:rsid w:val="00EA73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qFormat/>
    <w:rsid w:val="00EA73F6"/>
    <w:rPr>
      <w:rFonts w:ascii="Calibri" w:hAnsi="Calibri" w:cs="Calibri"/>
      <w:color w:val="000000"/>
      <w:lang w:eastAsia="en-US"/>
    </w:rPr>
  </w:style>
  <w:style w:type="character" w:styleId="Znakapoznpodarou">
    <w:name w:val="footnote reference"/>
    <w:aliases w:val="Appel note de bas de p,Appel note de bas de page,BVI fnr,Char Car Car Car Car,Footnote Reference Superscript,Footnote reference number,Footnote symbol,Légende,Légende;Char Car Car Car Car,PGI Fußnote Ziffer,Voetnootverwijzing,12 b"/>
    <w:link w:val="BVIfnrCharChar"/>
    <w:uiPriority w:val="99"/>
    <w:unhideWhenUsed/>
    <w:qFormat/>
    <w:rsid w:val="00E73CB0"/>
    <w:rPr>
      <w:vertAlign w:val="superscript"/>
    </w:rPr>
  </w:style>
  <w:style w:type="paragraph" w:styleId="Normlnweb">
    <w:name w:val="Normal (Web)"/>
    <w:basedOn w:val="Normln"/>
    <w:uiPriority w:val="99"/>
    <w:rsid w:val="003D6E7E"/>
  </w:style>
  <w:style w:type="character" w:styleId="Zdraznn">
    <w:name w:val="Emphasis"/>
    <w:aliases w:val="běžný text"/>
    <w:uiPriority w:val="20"/>
    <w:qFormat/>
    <w:rsid w:val="003D6E7E"/>
    <w:rPr>
      <w:i/>
      <w:iCs/>
    </w:rPr>
  </w:style>
  <w:style w:type="paragraph" w:customStyle="1" w:styleId="NormlnKZ">
    <w:name w:val="Normální KZ"/>
    <w:basedOn w:val="Normln"/>
    <w:rsid w:val="00AF495B"/>
    <w:pPr>
      <w:spacing w:after="120"/>
      <w:ind w:firstLine="425"/>
    </w:pPr>
    <w:rPr>
      <w:rFonts w:eastAsia="Calibri"/>
      <w:sz w:val="22"/>
      <w:szCs w:val="22"/>
      <w:lang w:eastAsia="cs-CZ"/>
    </w:rPr>
  </w:style>
  <w:style w:type="character" w:customStyle="1" w:styleId="OdstavecseseznamemChar">
    <w:name w:val="Odstavec se seznamem Char"/>
    <w:aliases w:val="Nad Char,Nadpis pro KZ Char,odrážky Char,List Paragraph_0 Char,List Paragraph_1 Char,List Paragraph_2 Char,Odstavec se seznamem1 Char,Odstavec se seznamem2 Char,můj Nadpis 2 Char,List Paragraph Char,Odstavec_muj Char"/>
    <w:link w:val="Odstavecseseznamem"/>
    <w:uiPriority w:val="34"/>
    <w:qFormat/>
    <w:rsid w:val="00B707FC"/>
    <w:rPr>
      <w:sz w:val="24"/>
      <w:szCs w:val="24"/>
      <w:lang w:eastAsia="en-US"/>
    </w:rPr>
  </w:style>
  <w:style w:type="paragraph" w:customStyle="1" w:styleId="Default">
    <w:name w:val="Default"/>
    <w:rsid w:val="00CD7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AB0657"/>
    <w:rPr>
      <w:rFonts w:ascii="Calibri" w:hAnsi="Calibri" w:cs="Calibri"/>
      <w:b/>
      <w:color w:val="000000"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"/>
    <w:semiHidden/>
    <w:rsid w:val="00AA56EB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AA56EB"/>
    <w:pPr>
      <w:spacing w:after="120"/>
      <w:ind w:firstLine="720"/>
    </w:pPr>
    <w:rPr>
      <w:rFonts w:ascii="Arial" w:hAnsi="Arial" w:cs="Arial"/>
      <w:sz w:val="22"/>
      <w:szCs w:val="22"/>
    </w:rPr>
  </w:style>
  <w:style w:type="character" w:customStyle="1" w:styleId="KP-normlntextChar">
    <w:name w:val="KP-normální text Char"/>
    <w:link w:val="KP-normlntext"/>
    <w:rsid w:val="00AA56EB"/>
    <w:rPr>
      <w:rFonts w:ascii="Arial" w:hAnsi="Arial" w:cs="Arial"/>
      <w:color w:val="000000"/>
      <w:sz w:val="22"/>
      <w:szCs w:val="22"/>
      <w:lang w:eastAsia="en-US"/>
    </w:rPr>
  </w:style>
  <w:style w:type="character" w:styleId="Hypertextovodkaz">
    <w:name w:val="Hyperlink"/>
    <w:uiPriority w:val="99"/>
    <w:rsid w:val="00270B04"/>
    <w:rPr>
      <w:color w:val="0000FF"/>
      <w:u w:val="single"/>
    </w:rPr>
  </w:style>
  <w:style w:type="character" w:styleId="Siln">
    <w:name w:val="Strong"/>
    <w:uiPriority w:val="22"/>
    <w:qFormat/>
    <w:rsid w:val="00FE5478"/>
    <w:rPr>
      <w:b/>
      <w:bCs/>
    </w:rPr>
  </w:style>
  <w:style w:type="paragraph" w:customStyle="1" w:styleId="Pa18">
    <w:name w:val="Pa18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653E37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46EED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BD6545"/>
  </w:style>
  <w:style w:type="paragraph" w:styleId="Revize">
    <w:name w:val="Revision"/>
    <w:hidden/>
    <w:uiPriority w:val="99"/>
    <w:semiHidden/>
    <w:rsid w:val="00740142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D07D2E"/>
    <w:rPr>
      <w:color w:val="000000"/>
      <w:sz w:val="28"/>
    </w:rPr>
  </w:style>
  <w:style w:type="character" w:customStyle="1" w:styleId="A4">
    <w:name w:val="A4"/>
    <w:uiPriority w:val="99"/>
    <w:rsid w:val="00D07D2E"/>
    <w:rPr>
      <w:color w:val="000000"/>
      <w:sz w:val="60"/>
    </w:rPr>
  </w:style>
  <w:style w:type="character" w:customStyle="1" w:styleId="A5">
    <w:name w:val="A5"/>
    <w:uiPriority w:val="99"/>
    <w:rsid w:val="00D07D2E"/>
    <w:rPr>
      <w:b/>
      <w:color w:val="000000"/>
      <w:sz w:val="40"/>
    </w:rPr>
  </w:style>
  <w:style w:type="paragraph" w:customStyle="1" w:styleId="Kontrolnprotokol">
    <w:name w:val="Kontrolní protokol"/>
    <w:basedOn w:val="Normln"/>
    <w:link w:val="KontrolnprotokolChar"/>
    <w:qFormat/>
    <w:rsid w:val="00860C83"/>
    <w:pPr>
      <w:spacing w:before="240"/>
    </w:pPr>
    <w:rPr>
      <w:rFonts w:asciiTheme="minorHAnsi" w:hAnsiTheme="minorHAnsi" w:cstheme="minorHAnsi"/>
      <w:color w:val="auto"/>
    </w:rPr>
  </w:style>
  <w:style w:type="character" w:customStyle="1" w:styleId="KontrolnprotokolChar">
    <w:name w:val="Kontrolní protokol Char"/>
    <w:basedOn w:val="Standardnpsmoodstavce"/>
    <w:link w:val="Kontrolnprotokol"/>
    <w:rsid w:val="00860C83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KPnormlnChar">
    <w:name w:val="KP normální Char"/>
    <w:basedOn w:val="Standardnpsmoodstavce"/>
    <w:link w:val="KPnormln"/>
    <w:locked/>
    <w:rsid w:val="00AC4A4A"/>
    <w:rPr>
      <w:rFonts w:cstheme="minorHAnsi"/>
      <w:color w:val="000000"/>
      <w:sz w:val="24"/>
    </w:rPr>
  </w:style>
  <w:style w:type="paragraph" w:customStyle="1" w:styleId="KPnormln">
    <w:name w:val="KP normální"/>
    <w:basedOn w:val="Normln"/>
    <w:link w:val="KPnormlnChar"/>
    <w:qFormat/>
    <w:rsid w:val="00AC4A4A"/>
    <w:pPr>
      <w:spacing w:after="120"/>
      <w:ind w:firstLine="720"/>
    </w:pPr>
    <w:rPr>
      <w:rFonts w:ascii="Times New Roman" w:hAnsi="Times New Roman" w:cstheme="minorHAnsi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6A5A"/>
    <w:rPr>
      <w:rFonts w:ascii="Calibri" w:hAnsi="Calibri" w:cs="Calibri"/>
      <w:b/>
      <w:bCs/>
      <w:color w:val="000000"/>
      <w:sz w:val="36"/>
      <w:szCs w:val="36"/>
      <w:lang w:eastAsia="en-US"/>
    </w:rPr>
  </w:style>
  <w:style w:type="character" w:customStyle="1" w:styleId="Nadpis3Char">
    <w:name w:val="Nadpis 3 Char"/>
    <w:basedOn w:val="Standardnpsmoodstavce"/>
    <w:link w:val="Nadpis3"/>
    <w:rsid w:val="002B6A5A"/>
    <w:rPr>
      <w:rFonts w:ascii="Calibri" w:hAnsi="Calibri" w:cs="Calibri"/>
      <w:b/>
      <w:color w:val="000000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2B6A5A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2B6A5A"/>
    <w:rPr>
      <w:rFonts w:ascii="Calibri" w:hAnsi="Calibri" w:cs="Calibri"/>
      <w:b/>
      <w:bCs/>
      <w:color w:val="0000FF"/>
      <w:sz w:val="28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rsid w:val="002B6A5A"/>
    <w:rPr>
      <w:rFonts w:ascii="Arial" w:hAnsi="Arial" w:cs="Arial"/>
      <w:b/>
      <w:bCs/>
      <w:color w:val="000000"/>
      <w:sz w:val="28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rsid w:val="002B6A5A"/>
    <w:rPr>
      <w:rFonts w:ascii="Calibri" w:hAnsi="Calibri" w:cs="Calibri"/>
      <w:b/>
      <w:bCs/>
      <w:color w:val="0000FF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B6A5A"/>
    <w:rPr>
      <w:rFonts w:ascii="Calibri" w:hAnsi="Calibri" w:cs="Calibri"/>
      <w:b/>
      <w:bCs/>
      <w:color w:val="000000"/>
      <w:sz w:val="28"/>
      <w:szCs w:val="28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B6A5A"/>
    <w:rPr>
      <w:rFonts w:ascii="Calibri" w:hAnsi="Calibri" w:cs="Calibri"/>
      <w:color w:val="00000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B6A5A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2B6A5A"/>
    <w:rPr>
      <w:rFonts w:ascii="Calibri" w:hAnsi="Calibri" w:cs="Calibri"/>
      <w:b/>
      <w:bCs/>
      <w:color w:val="000000"/>
      <w:sz w:val="24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2B6A5A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B6A5A"/>
    <w:rPr>
      <w:rFonts w:ascii="Calibri" w:hAnsi="Calibri" w:cs="Calibri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80A01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31FC"/>
    <w:rPr>
      <w:color w:val="605E5C"/>
      <w:shd w:val="clear" w:color="auto" w:fill="E1DFDD"/>
    </w:rPr>
  </w:style>
  <w:style w:type="paragraph" w:customStyle="1" w:styleId="BVIfnrCharChar">
    <w:name w:val="BVI fnr Char Char"/>
    <w:aliases w:val="Char1 Char Char,Exposant 3 Point Char Char,Footnote Char Char,Footnote reference number Char Char,Footnote symbol Char Char,Ref Char Char,Times 10 Point Char Char,de nota al pie Char Char"/>
    <w:basedOn w:val="Normln"/>
    <w:link w:val="Znakapoznpodarou"/>
    <w:uiPriority w:val="99"/>
    <w:rsid w:val="002A50F3"/>
    <w:pPr>
      <w:spacing w:before="0" w:after="160" w:line="240" w:lineRule="exact"/>
    </w:pPr>
    <w:rPr>
      <w:rFonts w:ascii="Times New Roman" w:hAnsi="Times New Roman" w:cs="Times New Roman"/>
      <w:color w:val="auto"/>
      <w:sz w:val="20"/>
      <w:szCs w:val="20"/>
      <w:vertAlign w:val="superscript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2A50F7"/>
    <w:pPr>
      <w:spacing w:before="0" w:after="160" w:line="240" w:lineRule="exact"/>
      <w:jc w:val="left"/>
    </w:pPr>
    <w:rPr>
      <w:rFonts w:ascii="Times New Roman Bold" w:hAnsi="Times New Roman Bold" w:cs="Times New Roman"/>
      <w:color w:val="auto"/>
      <w:sz w:val="22"/>
      <w:szCs w:val="26"/>
      <w:lang w:val="sk-SK"/>
    </w:rPr>
  </w:style>
  <w:style w:type="paragraph" w:styleId="Bezmezer">
    <w:name w:val="No Spacing"/>
    <w:uiPriority w:val="1"/>
    <w:qFormat/>
    <w:rsid w:val="00317D5B"/>
    <w:pPr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KPnormal">
    <w:name w:val="KP_normal"/>
    <w:basedOn w:val="Normln"/>
    <w:link w:val="KPnormalChar"/>
    <w:qFormat/>
    <w:rsid w:val="00861417"/>
    <w:pPr>
      <w:spacing w:before="160" w:line="276" w:lineRule="auto"/>
      <w:ind w:firstLine="720"/>
    </w:pPr>
    <w:rPr>
      <w:rFonts w:cs="Times New Roman"/>
      <w:szCs w:val="22"/>
      <w:lang w:eastAsia="cs-CZ"/>
    </w:rPr>
  </w:style>
  <w:style w:type="character" w:customStyle="1" w:styleId="KPnormalChar">
    <w:name w:val="KP_normal Char"/>
    <w:basedOn w:val="Standardnpsmoodstavce"/>
    <w:link w:val="KPnormal"/>
    <w:rsid w:val="00861417"/>
    <w:rPr>
      <w:rFonts w:ascii="Calibri" w:hAnsi="Calibri"/>
      <w:color w:val="000000"/>
      <w:sz w:val="24"/>
      <w:szCs w:val="22"/>
    </w:rPr>
  </w:style>
  <w:style w:type="paragraph" w:customStyle="1" w:styleId="JK1">
    <w:name w:val="JK1"/>
    <w:basedOn w:val="Normln"/>
    <w:rsid w:val="00E94D07"/>
    <w:pPr>
      <w:numPr>
        <w:numId w:val="3"/>
      </w:numPr>
    </w:pPr>
    <w:rPr>
      <w:rFonts w:eastAsiaTheme="minorHAnsi"/>
      <w:lang w:eastAsia="cs-CZ"/>
    </w:rPr>
  </w:style>
  <w:style w:type="paragraph" w:customStyle="1" w:styleId="JK4">
    <w:name w:val="JK4"/>
    <w:basedOn w:val="Normln"/>
    <w:qFormat/>
    <w:rsid w:val="00E94D07"/>
    <w:pPr>
      <w:numPr>
        <w:numId w:val="7"/>
      </w:numPr>
      <w:tabs>
        <w:tab w:val="left" w:pos="482"/>
      </w:tabs>
      <w:spacing w:after="120"/>
      <w:ind w:left="0" w:firstLine="0"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chart" Target="charts/chart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K,%20Kontroln&#237;%20z&#225;v&#283;ry\Graf%20KZ%2023_0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MICHALEK\Plocha\Hodnocen&#237;%20KZ%20p&#345;&#237;loha%201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</a:t>
            </a:r>
            <a:r>
              <a:rPr lang="cs-CZ" b="1"/>
              <a:t>elkem</a:t>
            </a:r>
            <a:br>
              <a:rPr lang="cs-CZ" b="1"/>
            </a:br>
            <a:r>
              <a:rPr lang="cs-CZ" sz="1400" b="1" i="0" u="none" strike="noStrike" baseline="0">
                <a:effectLst/>
              </a:rPr>
              <a:t>18 478 477 804 Kč</a:t>
            </a:r>
            <a:endParaRPr lang="en-US" b="1"/>
          </a:p>
        </c:rich>
      </c:tx>
      <c:layout>
        <c:manualLayout>
          <c:xMode val="edge"/>
          <c:yMode val="edge"/>
          <c:x val="0.3536231072892948"/>
          <c:y val="0.334731867389956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2679658580641879"/>
          <c:y val="8.7594225198420486E-2"/>
          <c:w val="0.49076121361220998"/>
          <c:h val="0.6719321459147883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AF195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AE-4879-B26A-EB4F85B5FA78}"/>
              </c:ext>
            </c:extLst>
          </c:dPt>
          <c:dPt>
            <c:idx val="1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AE-4879-B26A-EB4F85B5FA78}"/>
              </c:ext>
            </c:extLst>
          </c:dPt>
          <c:dPt>
            <c:idx val="2"/>
            <c:bubble3D val="0"/>
            <c:spPr>
              <a:solidFill>
                <a:srgbClr val="2EB3A1">
                  <a:alpha val="84706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4AE-4879-B26A-EB4F85B5FA78}"/>
              </c:ext>
            </c:extLst>
          </c:dPt>
          <c:dPt>
            <c:idx val="3"/>
            <c:bubble3D val="0"/>
            <c:spPr>
              <a:solidFill>
                <a:srgbClr val="FDC3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AE-4879-B26A-EB4F85B5FA78}"/>
              </c:ext>
            </c:extLst>
          </c:dPt>
          <c:dLbls>
            <c:dLbl>
              <c:idx val="0"/>
              <c:layout>
                <c:manualLayout>
                  <c:x val="0.33343729883958079"/>
                  <c:y val="4.244456410972653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1">
                        <a:effectLst/>
                      </a:rPr>
                      <a:t>Opatření M01; </a:t>
                    </a:r>
                    <a:br>
                      <a:rPr lang="en-US" sz="1000">
                        <a:effectLst/>
                      </a:rPr>
                    </a:br>
                    <a:r>
                      <a:rPr lang="en-US" sz="1000">
                        <a:effectLst/>
                      </a:rPr>
                      <a:t>308 175 918 Kč; </a:t>
                    </a:r>
                    <a:br>
                      <a:rPr lang="en-US" sz="1000">
                        <a:effectLst/>
                      </a:rPr>
                    </a:br>
                    <a:r>
                      <a:rPr lang="en-US" sz="1000">
                        <a:effectLst/>
                      </a:rPr>
                      <a:t>2 %</a:t>
                    </a:r>
                  </a:p>
                </c:rich>
              </c:tx>
              <c:numFmt formatCode="General" sourceLinked="0"/>
              <c:spPr>
                <a:xfrm>
                  <a:off x="4469973" y="228599"/>
                  <a:ext cx="1309408" cy="679167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49915"/>
                        <a:gd name="adj2" fmla="val -23870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208506650723586"/>
                      <c:h val="0.185354801736522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4AE-4879-B26A-EB4F85B5FA7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AE-4879-B26A-EB4F85B5FA78}"/>
                </c:ext>
              </c:extLst>
            </c:dLbl>
            <c:dLbl>
              <c:idx val="2"/>
              <c:layout>
                <c:manualLayout>
                  <c:x val="0.2587637328855702"/>
                  <c:y val="-2.5983152903494233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Opatření M04 / operace 4.1.1;</a:t>
                    </a:r>
                    <a:r>
                      <a:rPr lang="en-US" sz="1000" b="0" i="0" u="none" strike="noStrike" baseline="0">
                        <a:effectLst/>
                      </a:rPr>
                      <a:t> </a:t>
                    </a:r>
                    <a:br>
                      <a:rPr lang="en-US" sz="1000" b="0" i="0" u="none" strike="noStrike" baseline="0">
                        <a:effectLst/>
                      </a:rPr>
                    </a:br>
                    <a:r>
                      <a:rPr lang="en-US" sz="1000" b="0" i="0" u="none" strike="noStrike" baseline="0">
                        <a:effectLst/>
                      </a:rPr>
                      <a:t>14 750 590 370 Kč; </a:t>
                    </a:r>
                    <a:br>
                      <a:rPr lang="en-US" sz="1000" b="0" i="0" u="none" strike="noStrike" baseline="0">
                        <a:effectLst/>
                      </a:rPr>
                    </a:br>
                    <a:r>
                      <a:rPr lang="en-US" sz="1000" b="0" i="0" u="none" strike="noStrike" baseline="0">
                        <a:effectLst/>
                      </a:rPr>
                      <a:t>80 %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160897900686479"/>
                      <c:h val="0.185396566206891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4AE-4879-B26A-EB4F85B5FA78}"/>
                </c:ext>
              </c:extLst>
            </c:dLbl>
            <c:dLbl>
              <c:idx val="3"/>
              <c:layout>
                <c:manualLayout>
                  <c:x val="-0.24216880487094661"/>
                  <c:y val="0.233658655370534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1">
                        <a:effectLst/>
                      </a:rPr>
                      <a:t>Opatření M06; </a:t>
                    </a:r>
                    <a:br>
                      <a:rPr lang="en-US" sz="1000">
                        <a:effectLst/>
                      </a:rPr>
                    </a:br>
                    <a:r>
                      <a:rPr lang="en-US" sz="1000">
                        <a:effectLst/>
                      </a:rPr>
                      <a:t>3 419 711 516 Kč; </a:t>
                    </a:r>
                    <a:br>
                      <a:rPr lang="en-US" sz="1000">
                        <a:effectLst/>
                      </a:rPr>
                    </a:br>
                    <a:r>
                      <a:rPr lang="en-US" sz="1000">
                        <a:effectLst/>
                      </a:rPr>
                      <a:t>18 %</a:t>
                    </a:r>
                  </a:p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defRPr>
                    </a:pPr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000" b="0" i="0" u="none" strike="noStrike" kern="1200" baseline="0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225331688143182"/>
                      <c:h val="0.185396566206891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4AE-4879-B26A-EB4F85B5FA7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'verze 1'!$D$25:$D$28</c:f>
              <c:strCache>
                <c:ptCount val="4"/>
                <c:pt idx="0">
                  <c:v>Opatření M01</c:v>
                </c:pt>
                <c:pt idx="1">
                  <c:v>Opatření M02</c:v>
                </c:pt>
                <c:pt idx="2">
                  <c:v>Opatření M04 / operace 4.1.1</c:v>
                </c:pt>
                <c:pt idx="3">
                  <c:v>Opatření M06</c:v>
                </c:pt>
              </c:strCache>
            </c:strRef>
          </c:cat>
          <c:val>
            <c:numRef>
              <c:f>'verze 1'!$E$25:$E$28</c:f>
              <c:numCache>
                <c:formatCode>_("Kč"* #,##0_);_("Kč"* \(#,##0\);_("Kč"* "-"_);_(@_)</c:formatCode>
                <c:ptCount val="4"/>
                <c:pt idx="0">
                  <c:v>308175918</c:v>
                </c:pt>
                <c:pt idx="1">
                  <c:v>0</c:v>
                </c:pt>
                <c:pt idx="2">
                  <c:v>14750590370</c:v>
                </c:pt>
                <c:pt idx="3">
                  <c:v>3419711516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4AE-4879-B26A-EB4F85B5F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68"/>
      </c:doughnut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20714012525494088"/>
          <c:y val="0.87656024053822801"/>
          <c:w val="0.55503019482599025"/>
          <c:h val="5.57584026300220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800" b="1">
                <a:solidFill>
                  <a:schemeClr val="tx1"/>
                </a:solidFill>
              </a:rPr>
              <a:t>25</a:t>
            </a:r>
            <a:r>
              <a:rPr lang="cs-CZ" sz="1800" b="1" baseline="0">
                <a:solidFill>
                  <a:schemeClr val="tx1"/>
                </a:solidFill>
              </a:rPr>
              <a:t> % </a:t>
            </a:r>
            <a:endParaRPr lang="cs-CZ" sz="1200" b="1" baseline="0">
              <a:solidFill>
                <a:schemeClr val="tx1"/>
              </a:solidFill>
            </a:endParaRP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cs-CZ" sz="1200" b="1" baseline="0">
                <a:solidFill>
                  <a:schemeClr val="tx1"/>
                </a:solidFill>
              </a:rPr>
              <a:t>kontrolovaných</a:t>
            </a: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cs-CZ" sz="1200" b="1" baseline="0">
                <a:solidFill>
                  <a:schemeClr val="tx1"/>
                </a:solidFill>
              </a:rPr>
              <a:t>projektů </a:t>
            </a: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cs-CZ" sz="1200" b="1" baseline="0">
                <a:solidFill>
                  <a:schemeClr val="tx1"/>
                </a:solidFill>
              </a:rPr>
              <a:t>bylo účelných</a:t>
            </a:r>
          </a:p>
        </c:rich>
      </c:tx>
      <c:layout>
        <c:manualLayout>
          <c:xMode val="edge"/>
          <c:yMode val="edge"/>
          <c:x val="0.40838992411016495"/>
          <c:y val="0.293944390934950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5106031994869421"/>
          <c:y val="0"/>
          <c:w val="0.49984686037729298"/>
          <c:h val="1"/>
        </c:manualLayout>
      </c:layout>
      <c:doughnutChart>
        <c:varyColors val="1"/>
        <c:ser>
          <c:idx val="0"/>
          <c:order val="0"/>
          <c:spPr>
            <a:ln w="6350"/>
          </c:spPr>
          <c:dPt>
            <c:idx val="0"/>
            <c:bubble3D val="0"/>
            <c:spPr>
              <a:solidFill>
                <a:srgbClr val="2EB3A1"/>
              </a:solidFill>
              <a:ln w="63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1F-42A6-BD3F-825A30E0329D}"/>
              </c:ext>
            </c:extLst>
          </c:dPt>
          <c:dPt>
            <c:idx val="1"/>
            <c:bubble3D val="0"/>
            <c:spPr>
              <a:solidFill>
                <a:srgbClr val="FDC300"/>
              </a:solidFill>
              <a:ln w="63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1F-42A6-BD3F-825A30E0329D}"/>
              </c:ext>
            </c:extLst>
          </c:dPt>
          <c:dPt>
            <c:idx val="2"/>
            <c:bubble3D val="0"/>
            <c:spPr>
              <a:solidFill>
                <a:srgbClr val="AF1953"/>
              </a:solidFill>
              <a:ln w="63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1F-42A6-BD3F-825A30E0329D}"/>
              </c:ext>
            </c:extLst>
          </c:dPt>
          <c:dLbls>
            <c:dLbl>
              <c:idx val="0"/>
              <c:layout>
                <c:manualLayout>
                  <c:x val="0.18061844979167824"/>
                  <c:y val="-3.325766711593483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</a:rPr>
                      <a:t>Projekt byl účelný </a:t>
                    </a:r>
                    <a:b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</a:rPr>
                    </a:br>
                    <a:r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</a:rPr>
                      <a:t>5</a:t>
                    </a:r>
                    <a:endParaRPr lang="en-US" sz="1000" b="1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0" i="0" u="none" strike="noStrike" kern="1200" baseline="0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031697960831816"/>
                      <c:h val="0.257861956444633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51F-42A6-BD3F-825A30E0329D}"/>
                </c:ext>
              </c:extLst>
            </c:dLbl>
            <c:dLbl>
              <c:idx val="1"/>
              <c:layout>
                <c:manualLayout>
                  <c:x val="0.40237223483633866"/>
                  <c:y val="-0.1020420472901614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</a:rPr>
                      <a:t>Projekt byl účelný </a:t>
                    </a:r>
                    <a:b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</a:rPr>
                    </a:b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</a:rPr>
                      <a:t>s výhradou</a:t>
                    </a:r>
                    <a:endParaRPr lang="en-US" sz="1000" baseline="0">
                      <a:solidFill>
                        <a:sysClr val="windowText" lastClr="000000"/>
                      </a:solidFill>
                    </a:endParaRPr>
                  </a:p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defRPr>
                    </a:pPr>
                    <a:fld id="{E9A3D9E3-986D-4217-8149-01B8E102DAB4}" type="VALUE">
                      <a:rPr lang="en-US" sz="1000" b="1">
                        <a:solidFill>
                          <a:sysClr val="windowText" lastClr="000000"/>
                        </a:solidFill>
                      </a:rPr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defRPr>
                      </a:pPr>
                      <a:t>[HODNOTA]</a:t>
                    </a:fld>
                    <a:endParaRPr lang="cs-CZ"/>
                  </a:p>
                </c:rich>
              </c:tx>
              <c:spPr>
                <a:xfrm>
                  <a:off x="4171831" y="2043406"/>
                  <a:ext cx="1244614" cy="382925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0" i="0" u="none" strike="noStrike" kern="1200" baseline="0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94449"/>
                        <a:gd name="adj2" fmla="val -27998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172200502909159"/>
                      <c:h val="0.305910004492681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51F-42A6-BD3F-825A30E0329D}"/>
                </c:ext>
              </c:extLst>
            </c:dLbl>
            <c:dLbl>
              <c:idx val="2"/>
              <c:layout>
                <c:manualLayout>
                  <c:x val="-0.25565619766986136"/>
                  <c:y val="6.694456737166057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>
                        <a:solidFill>
                          <a:sysClr val="windowText" lastClr="000000"/>
                        </a:solidFill>
                      </a:rPr>
                      <a:t>Projekt byl účelný pouze omezeně</a:t>
                    </a:r>
                    <a:endParaRPr lang="en-US" sz="1000" baseline="0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 sz="1100"/>
                    </a:pPr>
                    <a:fld id="{54FF01A2-67CD-4E24-910D-15F88632201A}" type="VALUE">
                      <a:rPr lang="en-US" sz="1000" b="1">
                        <a:solidFill>
                          <a:sysClr val="windowText" lastClr="000000"/>
                        </a:solidFill>
                      </a:rPr>
                      <a:pPr>
                        <a:defRPr sz="1100"/>
                      </a:pPr>
                      <a:t>[HODNOTA]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6241671714112658"/>
                      <c:h val="0.3419460405287176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51F-42A6-BD3F-825A30E032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List1!$L$25:$M$27</c:f>
              <c:strCache>
                <c:ptCount val="3"/>
                <c:pt idx="0">
                  <c:v>účelné</c:v>
                </c:pt>
                <c:pt idx="1">
                  <c:v>účelné s výhradou</c:v>
                </c:pt>
                <c:pt idx="2">
                  <c:v>účelné pouze omezeně</c:v>
                </c:pt>
              </c:strCache>
            </c:strRef>
          </c:cat>
          <c:val>
            <c:numRef>
              <c:f>List1!$N$25:$N$27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1F-42A6-BD3F-825A30E03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66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6E85A5-5ACA-4A7B-A81D-3E099A9A737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77A551C-3788-4B91-B3E3-CF0072EA1E76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 b="1"/>
            <a:t>Opatření M01</a:t>
          </a:r>
        </a:p>
      </dgm:t>
    </dgm:pt>
    <dgm:pt modelId="{A679C0CF-C07F-43D0-891D-A54B740CEA36}" type="parTrans" cxnId="{55319C49-3B5A-4E60-9E57-B7E7A6F04346}">
      <dgm:prSet/>
      <dgm:spPr/>
      <dgm:t>
        <a:bodyPr/>
        <a:lstStyle/>
        <a:p>
          <a:endParaRPr lang="cs-CZ"/>
        </a:p>
      </dgm:t>
    </dgm:pt>
    <dgm:pt modelId="{26D5570D-3DAC-45A1-AB53-F115C912C21E}" type="sibTrans" cxnId="{55319C49-3B5A-4E60-9E57-B7E7A6F04346}">
      <dgm:prSet/>
      <dgm:spPr/>
      <dgm:t>
        <a:bodyPr/>
        <a:lstStyle/>
        <a:p>
          <a:endParaRPr lang="cs-CZ"/>
        </a:p>
      </dgm:t>
    </dgm:pt>
    <dgm:pt modelId="{F878BBF5-04BD-418F-9BB8-77AD9B805D40}">
      <dgm:prSet phldrT="[Text]" custT="1"/>
      <dgm:spPr>
        <a:solidFill>
          <a:srgbClr val="E2F1EE">
            <a:alpha val="89804"/>
          </a:srgbClr>
        </a:solidFill>
        <a:ln>
          <a:noFill/>
        </a:ln>
      </dgm:spPr>
      <dgm:t>
        <a:bodyPr/>
        <a:lstStyle/>
        <a:p>
          <a:pPr indent="-108000"/>
          <a:r>
            <a:rPr lang="cs-CZ" sz="1000" b="1"/>
            <a:t>operace 1.1.1 – </a:t>
          </a:r>
          <a:r>
            <a:rPr lang="cs-CZ" sz="1000" b="1" i="1"/>
            <a:t>Vzdělávací akce</a:t>
          </a:r>
        </a:p>
      </dgm:t>
    </dgm:pt>
    <dgm:pt modelId="{79C3C208-BB4D-4BB8-B52D-3E788C487A07}" type="parTrans" cxnId="{27134600-891B-4186-9EE7-D1BE30A77B39}">
      <dgm:prSet/>
      <dgm:spPr/>
      <dgm:t>
        <a:bodyPr/>
        <a:lstStyle/>
        <a:p>
          <a:endParaRPr lang="cs-CZ"/>
        </a:p>
      </dgm:t>
    </dgm:pt>
    <dgm:pt modelId="{38BE6482-6E8D-49C2-B788-BACA5523A612}" type="sibTrans" cxnId="{27134600-891B-4186-9EE7-D1BE30A77B39}">
      <dgm:prSet/>
      <dgm:spPr/>
      <dgm:t>
        <a:bodyPr/>
        <a:lstStyle/>
        <a:p>
          <a:endParaRPr lang="cs-CZ"/>
        </a:p>
      </dgm:t>
    </dgm:pt>
    <dgm:pt modelId="{E646EC89-6243-47B1-B524-08B1B85BD108}">
      <dgm:prSet phldrT="[Text]" custT="1"/>
      <dgm:spPr>
        <a:solidFill>
          <a:srgbClr val="E2F1EE">
            <a:alpha val="89804"/>
          </a:srgbClr>
        </a:solidFill>
        <a:ln>
          <a:noFill/>
        </a:ln>
      </dgm:spPr>
      <dgm:t>
        <a:bodyPr/>
        <a:lstStyle/>
        <a:p>
          <a:pPr indent="-108000"/>
          <a:r>
            <a:rPr lang="cs-CZ" sz="1000" b="1"/>
            <a:t>operace 1.2.1 – </a:t>
          </a:r>
          <a:r>
            <a:rPr lang="cs-CZ" sz="1000" b="1" i="1"/>
            <a:t>Informační akce</a:t>
          </a:r>
        </a:p>
      </dgm:t>
    </dgm:pt>
    <dgm:pt modelId="{9D8081ED-B5C6-43D3-8A79-1FDE4CEFFC61}" type="parTrans" cxnId="{195E8A7D-4CCB-419E-B11E-BC445EAF24AD}">
      <dgm:prSet/>
      <dgm:spPr/>
      <dgm:t>
        <a:bodyPr/>
        <a:lstStyle/>
        <a:p>
          <a:endParaRPr lang="cs-CZ"/>
        </a:p>
      </dgm:t>
    </dgm:pt>
    <dgm:pt modelId="{D4DFF040-F364-4087-9489-D5AF219E1694}" type="sibTrans" cxnId="{195E8A7D-4CCB-419E-B11E-BC445EAF24AD}">
      <dgm:prSet/>
      <dgm:spPr/>
      <dgm:t>
        <a:bodyPr/>
        <a:lstStyle/>
        <a:p>
          <a:endParaRPr lang="cs-CZ"/>
        </a:p>
      </dgm:t>
    </dgm:pt>
    <dgm:pt modelId="{3FB08906-5C3F-4865-9048-3186A8CD768E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 b="1"/>
            <a:t>Opatření M02</a:t>
          </a:r>
        </a:p>
      </dgm:t>
    </dgm:pt>
    <dgm:pt modelId="{D99380D0-5495-4599-BA07-098E1ABB5CD8}" type="parTrans" cxnId="{C9960ECE-4C5A-423E-B7A5-A37F75040CC3}">
      <dgm:prSet/>
      <dgm:spPr/>
      <dgm:t>
        <a:bodyPr/>
        <a:lstStyle/>
        <a:p>
          <a:endParaRPr lang="cs-CZ"/>
        </a:p>
      </dgm:t>
    </dgm:pt>
    <dgm:pt modelId="{6AA3D1E6-BFD5-4A75-80A7-3332AA90F915}" type="sibTrans" cxnId="{C9960ECE-4C5A-423E-B7A5-A37F75040CC3}">
      <dgm:prSet/>
      <dgm:spPr/>
      <dgm:t>
        <a:bodyPr/>
        <a:lstStyle/>
        <a:p>
          <a:endParaRPr lang="cs-CZ"/>
        </a:p>
      </dgm:t>
    </dgm:pt>
    <dgm:pt modelId="{B91F958C-76E0-4BCA-AD31-20E27E6EF7E3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 b="1"/>
            <a:t>Opatření M04</a:t>
          </a:r>
        </a:p>
      </dgm:t>
    </dgm:pt>
    <dgm:pt modelId="{3A03C6E7-3445-42E5-8853-7B31D82BD146}" type="parTrans" cxnId="{0AB23C5F-5102-4703-9E4D-22DDE4B6526E}">
      <dgm:prSet/>
      <dgm:spPr/>
      <dgm:t>
        <a:bodyPr/>
        <a:lstStyle/>
        <a:p>
          <a:endParaRPr lang="cs-CZ"/>
        </a:p>
      </dgm:t>
    </dgm:pt>
    <dgm:pt modelId="{23C53030-2D67-4C06-8F55-3BA7D92D64E0}" type="sibTrans" cxnId="{0AB23C5F-5102-4703-9E4D-22DDE4B6526E}">
      <dgm:prSet/>
      <dgm:spPr/>
      <dgm:t>
        <a:bodyPr/>
        <a:lstStyle/>
        <a:p>
          <a:endParaRPr lang="cs-CZ"/>
        </a:p>
      </dgm:t>
    </dgm:pt>
    <dgm:pt modelId="{F8FE6FAA-64B6-46DC-A847-398C63C4C902}">
      <dgm:prSet phldrT="[Text]" custT="1"/>
      <dgm:spPr>
        <a:solidFill>
          <a:srgbClr val="E2F1EE">
            <a:alpha val="90000"/>
          </a:srgbClr>
        </a:solidFill>
        <a:ln>
          <a:noFill/>
        </a:ln>
      </dgm:spPr>
      <dgm:t>
        <a:bodyPr/>
        <a:lstStyle/>
        <a:p>
          <a:pPr indent="-108000"/>
          <a:r>
            <a:rPr lang="cs-CZ" sz="1000" b="1"/>
            <a:t>operace 4.1.1 – </a:t>
          </a:r>
          <a:r>
            <a:rPr lang="cs-CZ" sz="1000" b="1" i="1"/>
            <a:t>Investice do zemědělských podniků</a:t>
          </a:r>
        </a:p>
      </dgm:t>
    </dgm:pt>
    <dgm:pt modelId="{F98E22D9-ACF2-473B-82E2-3F39CA13AF6E}" type="parTrans" cxnId="{D7DF04C1-197D-478B-8358-216E91813860}">
      <dgm:prSet/>
      <dgm:spPr/>
      <dgm:t>
        <a:bodyPr/>
        <a:lstStyle/>
        <a:p>
          <a:endParaRPr lang="cs-CZ"/>
        </a:p>
      </dgm:t>
    </dgm:pt>
    <dgm:pt modelId="{C37906B7-58E9-42A9-B614-AEA604D9F40B}" type="sibTrans" cxnId="{D7DF04C1-197D-478B-8358-216E91813860}">
      <dgm:prSet/>
      <dgm:spPr/>
      <dgm:t>
        <a:bodyPr/>
        <a:lstStyle/>
        <a:p>
          <a:endParaRPr lang="cs-CZ"/>
        </a:p>
      </dgm:t>
    </dgm:pt>
    <dgm:pt modelId="{9CC529AE-6AB8-4A5D-AF77-4100BD79F8C4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 b="1"/>
            <a:t>Opatření M06</a:t>
          </a:r>
        </a:p>
      </dgm:t>
    </dgm:pt>
    <dgm:pt modelId="{74C550F5-7369-4630-8371-9CC6D0C5F88F}" type="parTrans" cxnId="{B071F7C7-7768-4F89-BA5A-522F6EB74FB9}">
      <dgm:prSet/>
      <dgm:spPr/>
      <dgm:t>
        <a:bodyPr/>
        <a:lstStyle/>
        <a:p>
          <a:endParaRPr lang="cs-CZ"/>
        </a:p>
      </dgm:t>
    </dgm:pt>
    <dgm:pt modelId="{54FC4187-B2BD-4565-AC1F-730A302C46D1}" type="sibTrans" cxnId="{B071F7C7-7768-4F89-BA5A-522F6EB74FB9}">
      <dgm:prSet/>
      <dgm:spPr/>
      <dgm:t>
        <a:bodyPr/>
        <a:lstStyle/>
        <a:p>
          <a:endParaRPr lang="cs-CZ"/>
        </a:p>
      </dgm:t>
    </dgm:pt>
    <dgm:pt modelId="{397A592A-3A6E-46CF-9868-973C5620D4B0}">
      <dgm:prSet phldrT="[Text]" custT="1"/>
      <dgm:spPr>
        <a:solidFill>
          <a:srgbClr val="E2F1EE">
            <a:alpha val="90000"/>
          </a:srgbClr>
        </a:solidFill>
        <a:ln>
          <a:noFill/>
        </a:ln>
      </dgm:spPr>
      <dgm:t>
        <a:bodyPr/>
        <a:lstStyle/>
        <a:p>
          <a:pPr indent="-108000"/>
          <a:r>
            <a:rPr lang="cs-CZ" sz="1000" b="1"/>
            <a:t>operace 6.1.1 – </a:t>
          </a:r>
          <a:r>
            <a:rPr lang="cs-CZ" sz="1000" b="1" i="1"/>
            <a:t>Zahájení činnosti mladých zemědělců</a:t>
          </a:r>
        </a:p>
      </dgm:t>
    </dgm:pt>
    <dgm:pt modelId="{8460331C-3893-436D-87E1-6A9E114F1C26}" type="parTrans" cxnId="{88F3F27D-97D1-4E7E-B176-16B6AEB8FA29}">
      <dgm:prSet/>
      <dgm:spPr/>
      <dgm:t>
        <a:bodyPr/>
        <a:lstStyle/>
        <a:p>
          <a:endParaRPr lang="cs-CZ"/>
        </a:p>
      </dgm:t>
    </dgm:pt>
    <dgm:pt modelId="{D7641A31-909D-4CFA-A5D9-903317103D09}" type="sibTrans" cxnId="{88F3F27D-97D1-4E7E-B176-16B6AEB8FA29}">
      <dgm:prSet/>
      <dgm:spPr/>
      <dgm:t>
        <a:bodyPr/>
        <a:lstStyle/>
        <a:p>
          <a:endParaRPr lang="cs-CZ"/>
        </a:p>
      </dgm:t>
    </dgm:pt>
    <dgm:pt modelId="{B942790F-3F7C-457A-A558-C0B150CA929F}">
      <dgm:prSet phldrT="[Text]" custT="1"/>
      <dgm:spPr>
        <a:solidFill>
          <a:srgbClr val="E2F1EE">
            <a:alpha val="90000"/>
          </a:srgbClr>
        </a:solidFill>
        <a:ln>
          <a:noFill/>
        </a:ln>
      </dgm:spPr>
      <dgm:t>
        <a:bodyPr/>
        <a:lstStyle/>
        <a:p>
          <a:pPr indent="-108000"/>
          <a:r>
            <a:rPr lang="cs-CZ" sz="1000" b="1"/>
            <a:t>operace 6.4.1 – </a:t>
          </a:r>
          <a:r>
            <a:rPr lang="cs-CZ" sz="1000" b="1" i="1"/>
            <a:t>Investice do nezemědělských činností</a:t>
          </a:r>
        </a:p>
      </dgm:t>
    </dgm:pt>
    <dgm:pt modelId="{2D5AD502-CEB1-4B53-9DBC-6DA338C4F1A7}" type="parTrans" cxnId="{30E81561-E648-4A3C-BF67-060A57416370}">
      <dgm:prSet/>
      <dgm:spPr/>
      <dgm:t>
        <a:bodyPr/>
        <a:lstStyle/>
        <a:p>
          <a:endParaRPr lang="cs-CZ"/>
        </a:p>
      </dgm:t>
    </dgm:pt>
    <dgm:pt modelId="{2CCC8EFE-339B-49BD-80C9-E56B37A02CB0}" type="sibTrans" cxnId="{30E81561-E648-4A3C-BF67-060A57416370}">
      <dgm:prSet/>
      <dgm:spPr/>
      <dgm:t>
        <a:bodyPr/>
        <a:lstStyle/>
        <a:p>
          <a:endParaRPr lang="cs-CZ"/>
        </a:p>
      </dgm:t>
    </dgm:pt>
    <dgm:pt modelId="{476CDB47-96C3-484E-9C9A-7B1D9C9D3ACB}">
      <dgm:prSet phldrT="[Text]" custT="1"/>
      <dgm:spPr>
        <a:solidFill>
          <a:srgbClr val="E2F1EE">
            <a:alpha val="90000"/>
          </a:srgbClr>
        </a:solidFill>
        <a:ln>
          <a:noFill/>
        </a:ln>
      </dgm:spPr>
      <dgm:t>
        <a:bodyPr/>
        <a:lstStyle/>
        <a:p>
          <a:pPr indent="-108000"/>
          <a:r>
            <a:rPr lang="cs-CZ" sz="1000" b="1"/>
            <a:t>operace 6.4.2 – </a:t>
          </a:r>
          <a:r>
            <a:rPr lang="cs-CZ" sz="1000" b="1" i="1"/>
            <a:t>Podpora agroturistiky</a:t>
          </a:r>
        </a:p>
      </dgm:t>
    </dgm:pt>
    <dgm:pt modelId="{0D4282FC-2FF0-43BE-ABE2-E3AF45A1C268}" type="parTrans" cxnId="{F211839B-57B0-4E94-91EA-78B7B44D9EBD}">
      <dgm:prSet/>
      <dgm:spPr/>
      <dgm:t>
        <a:bodyPr/>
        <a:lstStyle/>
        <a:p>
          <a:endParaRPr lang="cs-CZ"/>
        </a:p>
      </dgm:t>
    </dgm:pt>
    <dgm:pt modelId="{DD2742C3-24A0-4F11-9C2B-2F83AB76F20C}" type="sibTrans" cxnId="{F211839B-57B0-4E94-91EA-78B7B44D9EBD}">
      <dgm:prSet/>
      <dgm:spPr/>
      <dgm:t>
        <a:bodyPr/>
        <a:lstStyle/>
        <a:p>
          <a:endParaRPr lang="cs-CZ"/>
        </a:p>
      </dgm:t>
    </dgm:pt>
    <dgm:pt modelId="{6F6D3C4A-F7F0-41E1-8527-828B5A154FA9}">
      <dgm:prSet phldrT="[Text]" custT="1"/>
      <dgm:spPr>
        <a:solidFill>
          <a:srgbClr val="E2F1EE">
            <a:alpha val="90000"/>
          </a:srgbClr>
        </a:solidFill>
        <a:ln>
          <a:noFill/>
        </a:ln>
      </dgm:spPr>
      <dgm:t>
        <a:bodyPr/>
        <a:lstStyle/>
        <a:p>
          <a:pPr indent="-108000"/>
          <a:r>
            <a:rPr lang="cs-CZ" sz="1000" b="1"/>
            <a:t>operace 6.4.3 – </a:t>
          </a:r>
          <a:r>
            <a:rPr lang="cs-CZ" sz="1000" b="1" i="1" spc="-10" baseline="0"/>
            <a:t>Investice na podporu energie z obnovitelných zdrojů</a:t>
          </a:r>
        </a:p>
      </dgm:t>
    </dgm:pt>
    <dgm:pt modelId="{504694DA-31BD-4061-AF67-F6768F9A35CE}" type="parTrans" cxnId="{AA22F3AF-94F5-450D-A381-C5F5819AD9CB}">
      <dgm:prSet/>
      <dgm:spPr/>
      <dgm:t>
        <a:bodyPr/>
        <a:lstStyle/>
        <a:p>
          <a:endParaRPr lang="cs-CZ"/>
        </a:p>
      </dgm:t>
    </dgm:pt>
    <dgm:pt modelId="{514CFDB0-7A90-41A3-B9FB-15FADE71DC05}" type="sibTrans" cxnId="{AA22F3AF-94F5-450D-A381-C5F5819AD9CB}">
      <dgm:prSet/>
      <dgm:spPr/>
      <dgm:t>
        <a:bodyPr/>
        <a:lstStyle/>
        <a:p>
          <a:endParaRPr lang="cs-CZ"/>
        </a:p>
      </dgm:t>
    </dgm:pt>
    <dgm:pt modelId="{ED261422-6AF4-46AB-A1BB-2F878E1FFEBC}" type="pres">
      <dgm:prSet presAssocID="{A56E85A5-5ACA-4A7B-A81D-3E099A9A7377}" presName="Name0" presStyleCnt="0">
        <dgm:presLayoutVars>
          <dgm:dir/>
          <dgm:animLvl val="lvl"/>
          <dgm:resizeHandles val="exact"/>
        </dgm:presLayoutVars>
      </dgm:prSet>
      <dgm:spPr/>
    </dgm:pt>
    <dgm:pt modelId="{CD4867F9-D225-46A9-809C-49FBD6B4E88B}" type="pres">
      <dgm:prSet presAssocID="{677A551C-3788-4B91-B3E3-CF0072EA1E76}" presName="linNode" presStyleCnt="0"/>
      <dgm:spPr/>
    </dgm:pt>
    <dgm:pt modelId="{1A4028F1-44F9-46D5-9E9C-F034E884FDE7}" type="pres">
      <dgm:prSet presAssocID="{677A551C-3788-4B91-B3E3-CF0072EA1E76}" presName="parentText" presStyleLbl="node1" presStyleIdx="0" presStyleCnt="4" custScaleX="69880" custLinFactNeighborX="61" custLinFactNeighborY="-64">
        <dgm:presLayoutVars>
          <dgm:chMax val="1"/>
          <dgm:bulletEnabled val="1"/>
        </dgm:presLayoutVars>
      </dgm:prSet>
      <dgm:spPr/>
    </dgm:pt>
    <dgm:pt modelId="{8C864550-60DC-418D-8B57-27A855C0C698}" type="pres">
      <dgm:prSet presAssocID="{677A551C-3788-4B91-B3E3-CF0072EA1E76}" presName="descendantText" presStyleLbl="alignAccFollowNode1" presStyleIdx="0" presStyleCnt="3" custScaleX="107292" custLinFactNeighborX="2325">
        <dgm:presLayoutVars>
          <dgm:bulletEnabled val="1"/>
        </dgm:presLayoutVars>
      </dgm:prSet>
      <dgm:spPr/>
    </dgm:pt>
    <dgm:pt modelId="{78182AF6-40A1-4B49-AF1E-BC9AAF85943B}" type="pres">
      <dgm:prSet presAssocID="{26D5570D-3DAC-45A1-AB53-F115C912C21E}" presName="sp" presStyleCnt="0"/>
      <dgm:spPr/>
    </dgm:pt>
    <dgm:pt modelId="{BEF10586-97C3-4330-84F4-F9507741B788}" type="pres">
      <dgm:prSet presAssocID="{3FB08906-5C3F-4865-9048-3186A8CD768E}" presName="linNode" presStyleCnt="0"/>
      <dgm:spPr/>
    </dgm:pt>
    <dgm:pt modelId="{E07E7DA2-7D0A-4E67-B2F5-56572FE78E0C}" type="pres">
      <dgm:prSet presAssocID="{3FB08906-5C3F-4865-9048-3186A8CD768E}" presName="parentText" presStyleLbl="node1" presStyleIdx="1" presStyleCnt="4" custScaleX="69796">
        <dgm:presLayoutVars>
          <dgm:chMax val="1"/>
          <dgm:bulletEnabled val="1"/>
        </dgm:presLayoutVars>
      </dgm:prSet>
      <dgm:spPr/>
    </dgm:pt>
    <dgm:pt modelId="{E58677C7-7A9F-4CF7-B6FE-AED75B34E5FD}" type="pres">
      <dgm:prSet presAssocID="{6AA3D1E6-BFD5-4A75-80A7-3332AA90F915}" presName="sp" presStyleCnt="0"/>
      <dgm:spPr/>
    </dgm:pt>
    <dgm:pt modelId="{2A5AF367-F2C9-4C85-A003-B528902C48FF}" type="pres">
      <dgm:prSet presAssocID="{B91F958C-76E0-4BCA-AD31-20E27E6EF7E3}" presName="linNode" presStyleCnt="0"/>
      <dgm:spPr/>
    </dgm:pt>
    <dgm:pt modelId="{8382D974-2D72-4168-B782-1ABEC23CCAA5}" type="pres">
      <dgm:prSet presAssocID="{B91F958C-76E0-4BCA-AD31-20E27E6EF7E3}" presName="parentText" presStyleLbl="node1" presStyleIdx="2" presStyleCnt="4" custScaleX="69880">
        <dgm:presLayoutVars>
          <dgm:chMax val="1"/>
          <dgm:bulletEnabled val="1"/>
        </dgm:presLayoutVars>
      </dgm:prSet>
      <dgm:spPr/>
    </dgm:pt>
    <dgm:pt modelId="{A4174924-23F4-479B-B265-BE5C49DC227D}" type="pres">
      <dgm:prSet presAssocID="{B91F958C-76E0-4BCA-AD31-20E27E6EF7E3}" presName="descendantText" presStyleLbl="alignAccFollowNode1" presStyleIdx="1" presStyleCnt="3" custScaleX="107440" custLinFactNeighborX="2483" custLinFactNeighborY="-2314">
        <dgm:presLayoutVars>
          <dgm:bulletEnabled val="1"/>
        </dgm:presLayoutVars>
      </dgm:prSet>
      <dgm:spPr/>
    </dgm:pt>
    <dgm:pt modelId="{F66188E1-521F-41FB-B0F7-8133F7F82364}" type="pres">
      <dgm:prSet presAssocID="{23C53030-2D67-4C06-8F55-3BA7D92D64E0}" presName="sp" presStyleCnt="0"/>
      <dgm:spPr/>
    </dgm:pt>
    <dgm:pt modelId="{A92A9B8C-63E3-4504-9EB4-54975F92E7F3}" type="pres">
      <dgm:prSet presAssocID="{9CC529AE-6AB8-4A5D-AF77-4100BD79F8C4}" presName="linNode" presStyleCnt="0"/>
      <dgm:spPr/>
    </dgm:pt>
    <dgm:pt modelId="{3D656EA2-0711-4F50-8102-2C34F405AD94}" type="pres">
      <dgm:prSet presAssocID="{9CC529AE-6AB8-4A5D-AF77-4100BD79F8C4}" presName="parentText" presStyleLbl="node1" presStyleIdx="3" presStyleCnt="4" custScaleX="69948">
        <dgm:presLayoutVars>
          <dgm:chMax val="1"/>
          <dgm:bulletEnabled val="1"/>
        </dgm:presLayoutVars>
      </dgm:prSet>
      <dgm:spPr/>
    </dgm:pt>
    <dgm:pt modelId="{49D69038-6455-4488-A20F-4651840A744F}" type="pres">
      <dgm:prSet presAssocID="{9CC529AE-6AB8-4A5D-AF77-4100BD79F8C4}" presName="descendantText" presStyleLbl="alignAccFollowNode1" presStyleIdx="2" presStyleCnt="3" custScaleX="107604" custScaleY="183316" custLinFactNeighborX="2496" custLinFactNeighborY="7122">
        <dgm:presLayoutVars>
          <dgm:bulletEnabled val="1"/>
        </dgm:presLayoutVars>
      </dgm:prSet>
      <dgm:spPr/>
    </dgm:pt>
  </dgm:ptLst>
  <dgm:cxnLst>
    <dgm:cxn modelId="{27134600-891B-4186-9EE7-D1BE30A77B39}" srcId="{677A551C-3788-4B91-B3E3-CF0072EA1E76}" destId="{F878BBF5-04BD-418F-9BB8-77AD9B805D40}" srcOrd="0" destOrd="0" parTransId="{79C3C208-BB4D-4BB8-B52D-3E788C487A07}" sibTransId="{38BE6482-6E8D-49C2-B788-BACA5523A612}"/>
    <dgm:cxn modelId="{46556D04-0D93-4A49-8539-BB1DDFEC245A}" type="presOf" srcId="{6F6D3C4A-F7F0-41E1-8527-828B5A154FA9}" destId="{49D69038-6455-4488-A20F-4651840A744F}" srcOrd="0" destOrd="3" presId="urn:microsoft.com/office/officeart/2005/8/layout/vList5"/>
    <dgm:cxn modelId="{2BCAF70B-D79A-4838-867D-86DD1A5FF18C}" type="presOf" srcId="{E646EC89-6243-47B1-B524-08B1B85BD108}" destId="{8C864550-60DC-418D-8B57-27A855C0C698}" srcOrd="0" destOrd="1" presId="urn:microsoft.com/office/officeart/2005/8/layout/vList5"/>
    <dgm:cxn modelId="{E3AA3C28-546A-4F86-A0AB-6A93AEFDFB1B}" type="presOf" srcId="{397A592A-3A6E-46CF-9868-973C5620D4B0}" destId="{49D69038-6455-4488-A20F-4651840A744F}" srcOrd="0" destOrd="0" presId="urn:microsoft.com/office/officeart/2005/8/layout/vList5"/>
    <dgm:cxn modelId="{A9680837-5934-4EB1-9060-FCDFF020C802}" type="presOf" srcId="{476CDB47-96C3-484E-9C9A-7B1D9C9D3ACB}" destId="{49D69038-6455-4488-A20F-4651840A744F}" srcOrd="0" destOrd="2" presId="urn:microsoft.com/office/officeart/2005/8/layout/vList5"/>
    <dgm:cxn modelId="{0AB23C5F-5102-4703-9E4D-22DDE4B6526E}" srcId="{A56E85A5-5ACA-4A7B-A81D-3E099A9A7377}" destId="{B91F958C-76E0-4BCA-AD31-20E27E6EF7E3}" srcOrd="2" destOrd="0" parTransId="{3A03C6E7-3445-42E5-8853-7B31D82BD146}" sibTransId="{23C53030-2D67-4C06-8F55-3BA7D92D64E0}"/>
    <dgm:cxn modelId="{30E81561-E648-4A3C-BF67-060A57416370}" srcId="{9CC529AE-6AB8-4A5D-AF77-4100BD79F8C4}" destId="{B942790F-3F7C-457A-A558-C0B150CA929F}" srcOrd="1" destOrd="0" parTransId="{2D5AD502-CEB1-4B53-9DBC-6DA338C4F1A7}" sibTransId="{2CCC8EFE-339B-49BD-80C9-E56B37A02CB0}"/>
    <dgm:cxn modelId="{55319C49-3B5A-4E60-9E57-B7E7A6F04346}" srcId="{A56E85A5-5ACA-4A7B-A81D-3E099A9A7377}" destId="{677A551C-3788-4B91-B3E3-CF0072EA1E76}" srcOrd="0" destOrd="0" parTransId="{A679C0CF-C07F-43D0-891D-A54B740CEA36}" sibTransId="{26D5570D-3DAC-45A1-AB53-F115C912C21E}"/>
    <dgm:cxn modelId="{46B8C950-536B-4CD7-996E-5635CA90F9C9}" type="presOf" srcId="{F8FE6FAA-64B6-46DC-A847-398C63C4C902}" destId="{A4174924-23F4-479B-B265-BE5C49DC227D}" srcOrd="0" destOrd="0" presId="urn:microsoft.com/office/officeart/2005/8/layout/vList5"/>
    <dgm:cxn modelId="{40383E78-C3F0-4664-AEC5-6598188198F1}" type="presOf" srcId="{B942790F-3F7C-457A-A558-C0B150CA929F}" destId="{49D69038-6455-4488-A20F-4651840A744F}" srcOrd="0" destOrd="1" presId="urn:microsoft.com/office/officeart/2005/8/layout/vList5"/>
    <dgm:cxn modelId="{195E8A7D-4CCB-419E-B11E-BC445EAF24AD}" srcId="{677A551C-3788-4B91-B3E3-CF0072EA1E76}" destId="{E646EC89-6243-47B1-B524-08B1B85BD108}" srcOrd="1" destOrd="0" parTransId="{9D8081ED-B5C6-43D3-8A79-1FDE4CEFFC61}" sibTransId="{D4DFF040-F364-4087-9489-D5AF219E1694}"/>
    <dgm:cxn modelId="{88F3F27D-97D1-4E7E-B176-16B6AEB8FA29}" srcId="{9CC529AE-6AB8-4A5D-AF77-4100BD79F8C4}" destId="{397A592A-3A6E-46CF-9868-973C5620D4B0}" srcOrd="0" destOrd="0" parTransId="{8460331C-3893-436D-87E1-6A9E114F1C26}" sibTransId="{D7641A31-909D-4CFA-A5D9-903317103D09}"/>
    <dgm:cxn modelId="{E9DE0689-DD29-4CA8-97BB-392D012A59E3}" type="presOf" srcId="{9CC529AE-6AB8-4A5D-AF77-4100BD79F8C4}" destId="{3D656EA2-0711-4F50-8102-2C34F405AD94}" srcOrd="0" destOrd="0" presId="urn:microsoft.com/office/officeart/2005/8/layout/vList5"/>
    <dgm:cxn modelId="{FFD00696-B2FC-433A-8B82-18F2430A6568}" type="presOf" srcId="{A56E85A5-5ACA-4A7B-A81D-3E099A9A7377}" destId="{ED261422-6AF4-46AB-A1BB-2F878E1FFEBC}" srcOrd="0" destOrd="0" presId="urn:microsoft.com/office/officeart/2005/8/layout/vList5"/>
    <dgm:cxn modelId="{2E2FCD97-21F2-4D10-BFD6-4558B443FCC2}" type="presOf" srcId="{F878BBF5-04BD-418F-9BB8-77AD9B805D40}" destId="{8C864550-60DC-418D-8B57-27A855C0C698}" srcOrd="0" destOrd="0" presId="urn:microsoft.com/office/officeart/2005/8/layout/vList5"/>
    <dgm:cxn modelId="{8DAD1398-3329-45C7-8A1E-DC3778DC8F10}" type="presOf" srcId="{B91F958C-76E0-4BCA-AD31-20E27E6EF7E3}" destId="{8382D974-2D72-4168-B782-1ABEC23CCAA5}" srcOrd="0" destOrd="0" presId="urn:microsoft.com/office/officeart/2005/8/layout/vList5"/>
    <dgm:cxn modelId="{5F1DE599-F747-4BBF-B0DC-6797C58E9AE4}" type="presOf" srcId="{677A551C-3788-4B91-B3E3-CF0072EA1E76}" destId="{1A4028F1-44F9-46D5-9E9C-F034E884FDE7}" srcOrd="0" destOrd="0" presId="urn:microsoft.com/office/officeart/2005/8/layout/vList5"/>
    <dgm:cxn modelId="{F211839B-57B0-4E94-91EA-78B7B44D9EBD}" srcId="{9CC529AE-6AB8-4A5D-AF77-4100BD79F8C4}" destId="{476CDB47-96C3-484E-9C9A-7B1D9C9D3ACB}" srcOrd="2" destOrd="0" parTransId="{0D4282FC-2FF0-43BE-ABE2-E3AF45A1C268}" sibTransId="{DD2742C3-24A0-4F11-9C2B-2F83AB76F20C}"/>
    <dgm:cxn modelId="{B65B73AE-7101-47E7-A0D4-14D36F11088D}" type="presOf" srcId="{3FB08906-5C3F-4865-9048-3186A8CD768E}" destId="{E07E7DA2-7D0A-4E67-B2F5-56572FE78E0C}" srcOrd="0" destOrd="0" presId="urn:microsoft.com/office/officeart/2005/8/layout/vList5"/>
    <dgm:cxn modelId="{AA22F3AF-94F5-450D-A381-C5F5819AD9CB}" srcId="{9CC529AE-6AB8-4A5D-AF77-4100BD79F8C4}" destId="{6F6D3C4A-F7F0-41E1-8527-828B5A154FA9}" srcOrd="3" destOrd="0" parTransId="{504694DA-31BD-4061-AF67-F6768F9A35CE}" sibTransId="{514CFDB0-7A90-41A3-B9FB-15FADE71DC05}"/>
    <dgm:cxn modelId="{D7DF04C1-197D-478B-8358-216E91813860}" srcId="{B91F958C-76E0-4BCA-AD31-20E27E6EF7E3}" destId="{F8FE6FAA-64B6-46DC-A847-398C63C4C902}" srcOrd="0" destOrd="0" parTransId="{F98E22D9-ACF2-473B-82E2-3F39CA13AF6E}" sibTransId="{C37906B7-58E9-42A9-B614-AEA604D9F40B}"/>
    <dgm:cxn modelId="{B071F7C7-7768-4F89-BA5A-522F6EB74FB9}" srcId="{A56E85A5-5ACA-4A7B-A81D-3E099A9A7377}" destId="{9CC529AE-6AB8-4A5D-AF77-4100BD79F8C4}" srcOrd="3" destOrd="0" parTransId="{74C550F5-7369-4630-8371-9CC6D0C5F88F}" sibTransId="{54FC4187-B2BD-4565-AC1F-730A302C46D1}"/>
    <dgm:cxn modelId="{C9960ECE-4C5A-423E-B7A5-A37F75040CC3}" srcId="{A56E85A5-5ACA-4A7B-A81D-3E099A9A7377}" destId="{3FB08906-5C3F-4865-9048-3186A8CD768E}" srcOrd="1" destOrd="0" parTransId="{D99380D0-5495-4599-BA07-098E1ABB5CD8}" sibTransId="{6AA3D1E6-BFD5-4A75-80A7-3332AA90F915}"/>
    <dgm:cxn modelId="{941DCEC0-3F7E-40D3-BD75-0789D979AD32}" type="presParOf" srcId="{ED261422-6AF4-46AB-A1BB-2F878E1FFEBC}" destId="{CD4867F9-D225-46A9-809C-49FBD6B4E88B}" srcOrd="0" destOrd="0" presId="urn:microsoft.com/office/officeart/2005/8/layout/vList5"/>
    <dgm:cxn modelId="{3124331B-9122-4A0C-823B-9B51472C4ED7}" type="presParOf" srcId="{CD4867F9-D225-46A9-809C-49FBD6B4E88B}" destId="{1A4028F1-44F9-46D5-9E9C-F034E884FDE7}" srcOrd="0" destOrd="0" presId="urn:microsoft.com/office/officeart/2005/8/layout/vList5"/>
    <dgm:cxn modelId="{F0601198-9F32-43E0-A9D4-962433398213}" type="presParOf" srcId="{CD4867F9-D225-46A9-809C-49FBD6B4E88B}" destId="{8C864550-60DC-418D-8B57-27A855C0C698}" srcOrd="1" destOrd="0" presId="urn:microsoft.com/office/officeart/2005/8/layout/vList5"/>
    <dgm:cxn modelId="{4371E172-A0F0-4E65-ABE1-4E2EBEF66773}" type="presParOf" srcId="{ED261422-6AF4-46AB-A1BB-2F878E1FFEBC}" destId="{78182AF6-40A1-4B49-AF1E-BC9AAF85943B}" srcOrd="1" destOrd="0" presId="urn:microsoft.com/office/officeart/2005/8/layout/vList5"/>
    <dgm:cxn modelId="{144B19CE-48A1-458B-82FB-813E72BB78DA}" type="presParOf" srcId="{ED261422-6AF4-46AB-A1BB-2F878E1FFEBC}" destId="{BEF10586-97C3-4330-84F4-F9507741B788}" srcOrd="2" destOrd="0" presId="urn:microsoft.com/office/officeart/2005/8/layout/vList5"/>
    <dgm:cxn modelId="{0B827E94-016D-48F2-89E7-4C49C3151D70}" type="presParOf" srcId="{BEF10586-97C3-4330-84F4-F9507741B788}" destId="{E07E7DA2-7D0A-4E67-B2F5-56572FE78E0C}" srcOrd="0" destOrd="0" presId="urn:microsoft.com/office/officeart/2005/8/layout/vList5"/>
    <dgm:cxn modelId="{E20A79C4-31E8-4AB9-A7CB-250D6B765464}" type="presParOf" srcId="{ED261422-6AF4-46AB-A1BB-2F878E1FFEBC}" destId="{E58677C7-7A9F-4CF7-B6FE-AED75B34E5FD}" srcOrd="3" destOrd="0" presId="urn:microsoft.com/office/officeart/2005/8/layout/vList5"/>
    <dgm:cxn modelId="{07734384-BADC-4061-8B06-D536544B33D6}" type="presParOf" srcId="{ED261422-6AF4-46AB-A1BB-2F878E1FFEBC}" destId="{2A5AF367-F2C9-4C85-A003-B528902C48FF}" srcOrd="4" destOrd="0" presId="urn:microsoft.com/office/officeart/2005/8/layout/vList5"/>
    <dgm:cxn modelId="{0D0420E5-B45A-4018-8B72-ABBC020080CB}" type="presParOf" srcId="{2A5AF367-F2C9-4C85-A003-B528902C48FF}" destId="{8382D974-2D72-4168-B782-1ABEC23CCAA5}" srcOrd="0" destOrd="0" presId="urn:microsoft.com/office/officeart/2005/8/layout/vList5"/>
    <dgm:cxn modelId="{DE1D2E5F-6B89-4617-9596-BC1F8D582570}" type="presParOf" srcId="{2A5AF367-F2C9-4C85-A003-B528902C48FF}" destId="{A4174924-23F4-479B-B265-BE5C49DC227D}" srcOrd="1" destOrd="0" presId="urn:microsoft.com/office/officeart/2005/8/layout/vList5"/>
    <dgm:cxn modelId="{19816F6F-3FE9-49BF-9D25-4A3C410E01E0}" type="presParOf" srcId="{ED261422-6AF4-46AB-A1BB-2F878E1FFEBC}" destId="{F66188E1-521F-41FB-B0F7-8133F7F82364}" srcOrd="5" destOrd="0" presId="urn:microsoft.com/office/officeart/2005/8/layout/vList5"/>
    <dgm:cxn modelId="{D0AC57CD-51A7-4050-B88B-0F530F98409F}" type="presParOf" srcId="{ED261422-6AF4-46AB-A1BB-2F878E1FFEBC}" destId="{A92A9B8C-63E3-4504-9EB4-54975F92E7F3}" srcOrd="6" destOrd="0" presId="urn:microsoft.com/office/officeart/2005/8/layout/vList5"/>
    <dgm:cxn modelId="{FC1E5054-4BBD-4190-AA53-267E72331DF6}" type="presParOf" srcId="{A92A9B8C-63E3-4504-9EB4-54975F92E7F3}" destId="{3D656EA2-0711-4F50-8102-2C34F405AD94}" srcOrd="0" destOrd="0" presId="urn:microsoft.com/office/officeart/2005/8/layout/vList5"/>
    <dgm:cxn modelId="{D309A056-0D80-4580-875E-746776E6FD6F}" type="presParOf" srcId="{A92A9B8C-63E3-4504-9EB4-54975F92E7F3}" destId="{49D69038-6455-4488-A20F-4651840A744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864550-60DC-418D-8B57-27A855C0C698}">
      <dsp:nvSpPr>
        <dsp:cNvPr id="0" name=""/>
        <dsp:cNvSpPr/>
      </dsp:nvSpPr>
      <dsp:spPr>
        <a:xfrm rot="5400000">
          <a:off x="3648396" y="-1831301"/>
          <a:ext cx="411542" cy="4177692"/>
        </a:xfrm>
        <a:prstGeom prst="round2SameRect">
          <a:avLst/>
        </a:prstGeom>
        <a:solidFill>
          <a:srgbClr val="E2F1EE">
            <a:alpha val="89804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108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1" kern="1200"/>
            <a:t>operace 1.1.1 – </a:t>
          </a:r>
          <a:r>
            <a:rPr lang="cs-CZ" sz="1000" b="1" i="1" kern="1200"/>
            <a:t>Vzdělávací akce</a:t>
          </a:r>
        </a:p>
        <a:p>
          <a:pPr marL="57150" lvl="1" indent="-108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1" kern="1200"/>
            <a:t>operace 1.2.1 – </a:t>
          </a:r>
          <a:r>
            <a:rPr lang="cs-CZ" sz="1000" b="1" i="1" kern="1200"/>
            <a:t>Informační akce</a:t>
          </a:r>
        </a:p>
      </dsp:txBody>
      <dsp:txXfrm rot="-5400000">
        <a:off x="1765321" y="71864"/>
        <a:ext cx="4157602" cy="371362"/>
      </dsp:txXfrm>
    </dsp:sp>
    <dsp:sp modelId="{1A4028F1-44F9-46D5-9E9C-F034E884FDE7}">
      <dsp:nvSpPr>
        <dsp:cNvPr id="0" name=""/>
        <dsp:cNvSpPr/>
      </dsp:nvSpPr>
      <dsp:spPr>
        <a:xfrm>
          <a:off x="186233" y="1"/>
          <a:ext cx="1530539" cy="514428"/>
        </a:xfrm>
        <a:prstGeom prst="roundRect">
          <a:avLst/>
        </a:prstGeom>
        <a:solidFill>
          <a:srgbClr val="2EB3A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Opatření M01</a:t>
          </a:r>
        </a:p>
      </dsp:txBody>
      <dsp:txXfrm>
        <a:off x="211345" y="25113"/>
        <a:ext cx="1480315" cy="464204"/>
      </dsp:txXfrm>
    </dsp:sp>
    <dsp:sp modelId="{E07E7DA2-7D0A-4E67-B2F5-56572FE78E0C}">
      <dsp:nvSpPr>
        <dsp:cNvPr id="0" name=""/>
        <dsp:cNvSpPr/>
      </dsp:nvSpPr>
      <dsp:spPr>
        <a:xfrm>
          <a:off x="183858" y="540480"/>
          <a:ext cx="1528699" cy="514428"/>
        </a:xfrm>
        <a:prstGeom prst="roundRect">
          <a:avLst/>
        </a:prstGeom>
        <a:solidFill>
          <a:srgbClr val="2EB3A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Opatření M02</a:t>
          </a:r>
        </a:p>
      </dsp:txBody>
      <dsp:txXfrm>
        <a:off x="208970" y="565592"/>
        <a:ext cx="1478475" cy="464204"/>
      </dsp:txXfrm>
    </dsp:sp>
    <dsp:sp modelId="{A4174924-23F4-479B-B265-BE5C49DC227D}">
      <dsp:nvSpPr>
        <dsp:cNvPr id="0" name=""/>
        <dsp:cNvSpPr/>
      </dsp:nvSpPr>
      <dsp:spPr>
        <a:xfrm rot="5400000">
          <a:off x="3654738" y="-763406"/>
          <a:ext cx="411542" cy="4183455"/>
        </a:xfrm>
        <a:prstGeom prst="round2SameRect">
          <a:avLst/>
        </a:prstGeom>
        <a:solidFill>
          <a:srgbClr val="E2F1EE">
            <a:alpha val="90000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108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1" kern="1200"/>
            <a:t>operace 4.1.1 – </a:t>
          </a:r>
          <a:r>
            <a:rPr lang="cs-CZ" sz="1000" b="1" i="1" kern="1200"/>
            <a:t>Investice do zemědělských podniků</a:t>
          </a:r>
        </a:p>
      </dsp:txBody>
      <dsp:txXfrm rot="-5400000">
        <a:off x="1768782" y="1142640"/>
        <a:ext cx="4163365" cy="371362"/>
      </dsp:txXfrm>
    </dsp:sp>
    <dsp:sp modelId="{8382D974-2D72-4168-B782-1ABEC23CCAA5}">
      <dsp:nvSpPr>
        <dsp:cNvPr id="0" name=""/>
        <dsp:cNvSpPr/>
      </dsp:nvSpPr>
      <dsp:spPr>
        <a:xfrm>
          <a:off x="183858" y="1080630"/>
          <a:ext cx="1530539" cy="514428"/>
        </a:xfrm>
        <a:prstGeom prst="roundRect">
          <a:avLst/>
        </a:prstGeom>
        <a:solidFill>
          <a:srgbClr val="2EB3A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Opatření M04</a:t>
          </a:r>
        </a:p>
      </dsp:txBody>
      <dsp:txXfrm>
        <a:off x="208970" y="1105742"/>
        <a:ext cx="1480315" cy="464204"/>
      </dsp:txXfrm>
    </dsp:sp>
    <dsp:sp modelId="{49D69038-6455-4488-A20F-4651840A744F}">
      <dsp:nvSpPr>
        <dsp:cNvPr id="0" name=""/>
        <dsp:cNvSpPr/>
      </dsp:nvSpPr>
      <dsp:spPr>
        <a:xfrm rot="5400000">
          <a:off x="3484669" y="-94551"/>
          <a:ext cx="754423" cy="4185749"/>
        </a:xfrm>
        <a:prstGeom prst="round2SameRect">
          <a:avLst/>
        </a:prstGeom>
        <a:solidFill>
          <a:srgbClr val="E2F1EE">
            <a:alpha val="90000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108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1" kern="1200"/>
            <a:t>operace 6.1.1 – </a:t>
          </a:r>
          <a:r>
            <a:rPr lang="cs-CZ" sz="1000" b="1" i="1" kern="1200"/>
            <a:t>Zahájení činnosti mladých zemědělců</a:t>
          </a:r>
        </a:p>
        <a:p>
          <a:pPr marL="57150" lvl="1" indent="-108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1" kern="1200"/>
            <a:t>operace 6.4.1 – </a:t>
          </a:r>
          <a:r>
            <a:rPr lang="cs-CZ" sz="1000" b="1" i="1" kern="1200"/>
            <a:t>Investice do nezemědělských činností</a:t>
          </a:r>
        </a:p>
        <a:p>
          <a:pPr marL="57150" lvl="1" indent="-108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1" kern="1200"/>
            <a:t>operace 6.4.2 – </a:t>
          </a:r>
          <a:r>
            <a:rPr lang="cs-CZ" sz="1000" b="1" i="1" kern="1200"/>
            <a:t>Podpora agroturistiky</a:t>
          </a:r>
        </a:p>
        <a:p>
          <a:pPr marL="57150" lvl="1" indent="-108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1" kern="1200"/>
            <a:t>operace 6.4.3 – </a:t>
          </a:r>
          <a:r>
            <a:rPr lang="cs-CZ" sz="1000" b="1" i="1" kern="1200" spc="-10" baseline="0"/>
            <a:t>Investice na podporu energie z obnovitelných zdrojů</a:t>
          </a:r>
        </a:p>
      </dsp:txBody>
      <dsp:txXfrm rot="-5400000">
        <a:off x="1769006" y="1657940"/>
        <a:ext cx="4148921" cy="680767"/>
      </dsp:txXfrm>
    </dsp:sp>
    <dsp:sp modelId="{3D656EA2-0711-4F50-8102-2C34F405AD94}">
      <dsp:nvSpPr>
        <dsp:cNvPr id="0" name=""/>
        <dsp:cNvSpPr/>
      </dsp:nvSpPr>
      <dsp:spPr>
        <a:xfrm>
          <a:off x="183858" y="1740778"/>
          <a:ext cx="1530532" cy="514428"/>
        </a:xfrm>
        <a:prstGeom prst="roundRect">
          <a:avLst/>
        </a:prstGeom>
        <a:solidFill>
          <a:srgbClr val="2EB3A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Opatření M06</a:t>
          </a:r>
        </a:p>
      </dsp:txBody>
      <dsp:txXfrm>
        <a:off x="208970" y="1765890"/>
        <a:ext cx="1480308" cy="464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FE85-42A8-4CC7-92BB-0B4EE8D8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EEBC8-6C84-4482-819F-9B61FE15D75C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E10A873-C3D1-4307-8137-7D2B140F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12150</Words>
  <Characters>70473</Characters>
  <Application>Microsoft Office Word</Application>
  <DocSecurity>4</DocSecurity>
  <Lines>587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23/06 - Peněžní prostředky státu a Evropské unie vynakládané na opatření Programu rozvoje venkova na období 2014-2020</vt:lpstr>
    </vt:vector>
  </TitlesOfParts>
  <Company>NKU</Company>
  <LinksUpToDate>false</LinksUpToDate>
  <CharactersWithSpaces>82459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23/06 - Peněžní prostředky státu a Evropské unie vynakládané na opatření Programu rozvoje venkova na období 2014–2020</dc:title>
  <dc:subject>Kontrolní závěr z kontrolní akce NKÚ č. 23/06 - Peněžní prostředky státu a Evropské unie vynakládané na opatření Programu rozvoje venkova na období 2014–2020;</dc:subject>
  <dc:creator>Nejvyšší kontrolní úřad</dc:creator>
  <cp:keywords>kontrolní závěr; PRV; program rozvoje venkova</cp:keywords>
  <cp:lastModifiedBy>KOKRDA Daniel</cp:lastModifiedBy>
  <cp:revision>2</cp:revision>
  <cp:lastPrinted>2024-01-24T08:06:00Z</cp:lastPrinted>
  <dcterms:created xsi:type="dcterms:W3CDTF">2024-03-11T10:52:00Z</dcterms:created>
  <dcterms:modified xsi:type="dcterms:W3CDTF">2024-03-11T10:52:00Z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17/26-NKU30/311/18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ContentType">
    <vt:lpwstr>Dokument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19.4.2018</vt:lpwstr>
  </property>
  <property fmtid="{D5CDD505-2E9C-101B-9397-08002B2CF9AE}" pid="12" name="DisplayName_SpisovyUzel_PoziceZodpo_Pisemnost">
    <vt:lpwstr>Členové Úřadu</vt:lpwstr>
  </property>
  <property fmtid="{D5CDD505-2E9C-101B-9397-08002B2CF9AE}" pid="13" name="DisplayName_UserPoriz_Pisemnost">
    <vt:lpwstr>Bc. Jana Pokorná</vt:lpwstr>
  </property>
  <property fmtid="{D5CDD505-2E9C-101B-9397-08002B2CF9AE}" pid="14" name="EC_Pisemnost">
    <vt:lpwstr>18-5057/NKU</vt:lpwstr>
  </property>
  <property fmtid="{D5CDD505-2E9C-101B-9397-08002B2CF9AE}" pid="15" name="Key_BarCode_Pisemnost">
    <vt:lpwstr>*B000311673*</vt:lpwstr>
  </property>
  <property fmtid="{D5CDD505-2E9C-101B-9397-08002B2CF9AE}" pid="16" name="KRukam">
    <vt:lpwstr>{KRukam}</vt:lpwstr>
  </property>
  <property fmtid="{D5CDD505-2E9C-101B-9397-08002B2CF9AE}" pid="17" name="NameAddress_Contact_SpisovyUzel_PoziceZodpo_Pisemnost">
    <vt:lpwstr>ADRESÁT SU...</vt:lpwstr>
  </property>
  <property fmtid="{D5CDD505-2E9C-101B-9397-08002B2CF9AE}" pid="18" name="Odkaz">
    <vt:lpwstr>ODKAZ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PocetListuDokumentu_Pisemnost">
    <vt:lpwstr>1</vt:lpwstr>
  </property>
  <property fmtid="{D5CDD505-2E9C-101B-9397-08002B2CF9AE}" pid="21" name="PocetListu_Pisemnost">
    <vt:lpwstr>1</vt:lpwstr>
  </property>
  <property fmtid="{D5CDD505-2E9C-101B-9397-08002B2CF9AE}" pid="22" name="PocetPriloh_Pisemnost">
    <vt:lpwstr>0</vt:lpwstr>
  </property>
  <property fmtid="{D5CDD505-2E9C-101B-9397-08002B2CF9AE}" pid="23" name="Podpis">
    <vt:lpwstr/>
  </property>
  <property fmtid="{D5CDD505-2E9C-101B-9397-08002B2CF9AE}" pid="24" name="PostalAddress_Contact_SpisovyUzel_PoziceZodpo_Pisemnost">
    <vt:lpwstr>ADRESA SU...</vt:lpwstr>
  </property>
  <property fmtid="{D5CDD505-2E9C-101B-9397-08002B2CF9AE}" pid="25" name="RC">
    <vt:lpwstr/>
  </property>
  <property fmtid="{D5CDD505-2E9C-101B-9397-08002B2CF9AE}" pid="26" name="SkartacniZnakLhuta_PisemnostZnak">
    <vt:lpwstr>?/?</vt:lpwstr>
  </property>
  <property fmtid="{D5CDD505-2E9C-101B-9397-08002B2CF9AE}" pid="27" name="SmlouvaCislo">
    <vt:lpwstr>ČÍSLO SMLOUVY</vt:lpwstr>
  </property>
  <property fmtid="{D5CDD505-2E9C-101B-9397-08002B2CF9AE}" pid="28" name="SZ_Spis_Pisemnost">
    <vt:lpwstr>17/26</vt:lpwstr>
  </property>
  <property fmtid="{D5CDD505-2E9C-101B-9397-08002B2CF9AE}" pid="29" name="TEST">
    <vt:lpwstr>testovací pole</vt:lpwstr>
  </property>
  <property fmtid="{D5CDD505-2E9C-101B-9397-08002B2CF9AE}" pid="30" name="TypPrilohy_Pisemnost">
    <vt:lpwstr>TYP PŘÍLOHY</vt:lpwstr>
  </property>
  <property fmtid="{D5CDD505-2E9C-101B-9397-08002B2CF9AE}" pid="31" name="UserName_PisemnostTypZpristupneniInformaciZOSZ_Pisemnost">
    <vt:lpwstr>ZOSZ_UserName</vt:lpwstr>
  </property>
  <property fmtid="{D5CDD505-2E9C-101B-9397-08002B2CF9AE}" pid="32" name="Vec_Pisemnost">
    <vt:lpwstr>Návrh kontrolního závěru 17/26 do připomínek</vt:lpwstr>
  </property>
  <property fmtid="{D5CDD505-2E9C-101B-9397-08002B2CF9AE}" pid="33" name="Zkratka_SpisovyUzel_PoziceZodpo_Pisemnost">
    <vt:lpwstr>30</vt:lpwstr>
  </property>
</Properties>
</file>