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D7F90" w14:textId="77777777" w:rsidR="00393DDB" w:rsidRPr="00A91A09" w:rsidRDefault="00393DDB" w:rsidP="00955A9E">
      <w:pPr>
        <w:spacing w:after="0" w:line="240" w:lineRule="auto"/>
        <w:jc w:val="center"/>
        <w:rPr>
          <w:rFonts w:cstheme="minorHAnsi"/>
          <w:sz w:val="24"/>
          <w:szCs w:val="24"/>
          <w:lang w:val="en-GB"/>
        </w:rPr>
      </w:pPr>
      <w:r w:rsidRPr="00A91A09">
        <w:rPr>
          <w:rFonts w:cstheme="minorHAnsi"/>
          <w:noProof/>
          <w:sz w:val="24"/>
          <w:lang w:val="cs-CZ" w:eastAsia="cs-CZ"/>
        </w:rPr>
        <w:drawing>
          <wp:anchor distT="0" distB="0" distL="114300" distR="114300" simplePos="0" relativeHeight="251657216" behindDoc="0" locked="0" layoutInCell="1" allowOverlap="1" wp14:anchorId="363BBC91" wp14:editId="7338FD91">
            <wp:simplePos x="0" y="0"/>
            <wp:positionH relativeFrom="column">
              <wp:posOffset>2543175</wp:posOffset>
            </wp:positionH>
            <wp:positionV relativeFrom="paragraph">
              <wp:posOffset>0</wp:posOffset>
            </wp:positionV>
            <wp:extent cx="751597" cy="540000"/>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332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1597" cy="540000"/>
                    </a:xfrm>
                    <a:prstGeom prst="rect">
                      <a:avLst/>
                    </a:prstGeom>
                    <a:noFill/>
                  </pic:spPr>
                </pic:pic>
              </a:graphicData>
            </a:graphic>
            <wp14:sizeRelH relativeFrom="page">
              <wp14:pctWidth>0</wp14:pctWidth>
            </wp14:sizeRelH>
            <wp14:sizeRelV relativeFrom="page">
              <wp14:pctHeight>0</wp14:pctHeight>
            </wp14:sizeRelV>
          </wp:anchor>
        </w:drawing>
      </w:r>
    </w:p>
    <w:p w14:paraId="50A3A588" w14:textId="77777777" w:rsidR="00393DDB" w:rsidRPr="00A91A09" w:rsidRDefault="00393DDB" w:rsidP="00955A9E">
      <w:pPr>
        <w:spacing w:after="0" w:line="240" w:lineRule="auto"/>
        <w:jc w:val="center"/>
        <w:rPr>
          <w:rFonts w:cstheme="minorHAnsi"/>
          <w:sz w:val="24"/>
          <w:szCs w:val="24"/>
          <w:lang w:val="en-GB"/>
        </w:rPr>
      </w:pPr>
    </w:p>
    <w:p w14:paraId="311233BD" w14:textId="77777777" w:rsidR="009566F9" w:rsidRPr="00A91A09" w:rsidRDefault="009566F9" w:rsidP="00955A9E">
      <w:pPr>
        <w:spacing w:after="0" w:line="240" w:lineRule="auto"/>
        <w:jc w:val="center"/>
        <w:rPr>
          <w:rFonts w:cstheme="minorHAnsi"/>
          <w:sz w:val="24"/>
          <w:szCs w:val="24"/>
          <w:lang w:val="en-GB"/>
        </w:rPr>
      </w:pPr>
    </w:p>
    <w:p w14:paraId="2257B1A1" w14:textId="77777777" w:rsidR="00393DDB" w:rsidRPr="00A91A09" w:rsidRDefault="00393DDB" w:rsidP="00955A9E">
      <w:pPr>
        <w:spacing w:after="0" w:line="240" w:lineRule="auto"/>
        <w:jc w:val="center"/>
        <w:outlineLvl w:val="8"/>
        <w:rPr>
          <w:rFonts w:eastAsia="Times New Roman" w:cstheme="minorHAnsi"/>
          <w:b/>
          <w:sz w:val="28"/>
          <w:szCs w:val="28"/>
          <w:lang w:val="en-GB" w:eastAsia="cs-CZ"/>
        </w:rPr>
      </w:pPr>
      <w:r w:rsidRPr="00A91A09">
        <w:rPr>
          <w:rFonts w:cstheme="minorHAnsi"/>
          <w:b/>
          <w:sz w:val="28"/>
          <w:lang w:val="en-GB" w:bidi="en-GB"/>
        </w:rPr>
        <w:t>Audit Conclusion</w:t>
      </w:r>
    </w:p>
    <w:p w14:paraId="19462A68" w14:textId="77777777" w:rsidR="00393DDB" w:rsidRPr="00A91A09" w:rsidRDefault="00393DDB" w:rsidP="00955A9E">
      <w:pPr>
        <w:spacing w:after="0" w:line="240" w:lineRule="auto"/>
        <w:jc w:val="center"/>
        <w:rPr>
          <w:rFonts w:cstheme="minorHAnsi"/>
          <w:sz w:val="24"/>
          <w:szCs w:val="24"/>
          <w:lang w:val="en-GB"/>
        </w:rPr>
      </w:pPr>
    </w:p>
    <w:p w14:paraId="33D5A51C" w14:textId="77777777" w:rsidR="00393DDB" w:rsidRPr="00A91A09" w:rsidRDefault="00393DDB" w:rsidP="00955A9E">
      <w:pPr>
        <w:spacing w:after="0" w:line="240" w:lineRule="auto"/>
        <w:jc w:val="center"/>
        <w:rPr>
          <w:rFonts w:cstheme="minorHAnsi"/>
          <w:b/>
          <w:bCs/>
          <w:sz w:val="28"/>
          <w:szCs w:val="28"/>
          <w:lang w:val="en-GB"/>
        </w:rPr>
      </w:pPr>
      <w:r w:rsidRPr="00A91A09">
        <w:rPr>
          <w:rFonts w:cstheme="minorHAnsi"/>
          <w:b/>
          <w:sz w:val="28"/>
          <w:lang w:val="en-GB" w:bidi="en-GB"/>
        </w:rPr>
        <w:t>17/09</w:t>
      </w:r>
    </w:p>
    <w:p w14:paraId="262BE808" w14:textId="77777777" w:rsidR="00393DDB" w:rsidRPr="00A91A09" w:rsidRDefault="00393DDB" w:rsidP="00955A9E">
      <w:pPr>
        <w:spacing w:after="0" w:line="240" w:lineRule="auto"/>
        <w:jc w:val="center"/>
        <w:rPr>
          <w:rFonts w:cstheme="minorHAnsi"/>
          <w:sz w:val="24"/>
          <w:szCs w:val="24"/>
          <w:lang w:val="en-GB"/>
        </w:rPr>
      </w:pPr>
    </w:p>
    <w:p w14:paraId="7D7151F8" w14:textId="77777777" w:rsidR="00393DDB" w:rsidRPr="00A91A09" w:rsidRDefault="00393DDB" w:rsidP="00955A9E">
      <w:pPr>
        <w:spacing w:after="0" w:line="240" w:lineRule="auto"/>
        <w:jc w:val="center"/>
        <w:rPr>
          <w:rFonts w:eastAsia="Times New Roman" w:cstheme="minorHAnsi"/>
          <w:b/>
          <w:sz w:val="28"/>
          <w:szCs w:val="28"/>
          <w:lang w:val="en-GB" w:eastAsia="cs-CZ"/>
        </w:rPr>
      </w:pPr>
      <w:r w:rsidRPr="00A91A09">
        <w:rPr>
          <w:rFonts w:cstheme="minorHAnsi"/>
          <w:b/>
          <w:sz w:val="28"/>
          <w:lang w:val="en-GB" w:bidi="en-GB"/>
        </w:rPr>
        <w:t>Construction activities performed for the repair, modernisation and development of a network of class II and class III roads in the territory of selected regions, co-financed by the European Union and national resources</w:t>
      </w:r>
    </w:p>
    <w:p w14:paraId="7F6299D7" w14:textId="77777777" w:rsidR="00973A99" w:rsidRPr="00A91A09" w:rsidRDefault="00973A99" w:rsidP="00955A9E">
      <w:pPr>
        <w:spacing w:after="0" w:line="240" w:lineRule="auto"/>
        <w:jc w:val="both"/>
        <w:rPr>
          <w:rFonts w:eastAsia="Times New Roman" w:cstheme="minorHAnsi"/>
          <w:sz w:val="24"/>
          <w:szCs w:val="24"/>
          <w:lang w:val="en-GB" w:eastAsia="cs-CZ"/>
        </w:rPr>
      </w:pPr>
    </w:p>
    <w:p w14:paraId="04B4CBF7" w14:textId="77777777" w:rsidR="00393DDB" w:rsidRPr="00A91A09" w:rsidRDefault="00393DDB" w:rsidP="00955A9E">
      <w:pPr>
        <w:spacing w:after="0" w:line="240" w:lineRule="auto"/>
        <w:jc w:val="both"/>
        <w:rPr>
          <w:rFonts w:cstheme="minorHAnsi"/>
          <w:sz w:val="24"/>
          <w:szCs w:val="24"/>
          <w:lang w:val="en-GB"/>
        </w:rPr>
      </w:pPr>
    </w:p>
    <w:p w14:paraId="270163C7" w14:textId="6895E169" w:rsidR="00D86736" w:rsidRPr="00A91A09" w:rsidRDefault="00393DDB" w:rsidP="00955A9E">
      <w:pPr>
        <w:spacing w:after="0" w:line="240" w:lineRule="auto"/>
        <w:jc w:val="both"/>
        <w:rPr>
          <w:rFonts w:eastAsia="Times New Roman" w:cstheme="minorHAnsi"/>
          <w:sz w:val="24"/>
          <w:szCs w:val="24"/>
          <w:lang w:val="en-GB"/>
        </w:rPr>
      </w:pPr>
      <w:r w:rsidRPr="00A91A09">
        <w:rPr>
          <w:rFonts w:cstheme="minorHAnsi"/>
          <w:sz w:val="24"/>
          <w:lang w:val="en-GB" w:bidi="en-GB"/>
        </w:rPr>
        <w:t xml:space="preserve">The audit was included in the audit </w:t>
      </w:r>
      <w:r w:rsidR="00C24515">
        <w:rPr>
          <w:rFonts w:cstheme="minorHAnsi"/>
          <w:sz w:val="24"/>
          <w:lang w:val="en-GB" w:bidi="en-GB"/>
        </w:rPr>
        <w:t>plan</w:t>
      </w:r>
      <w:r w:rsidRPr="00A91A09">
        <w:rPr>
          <w:rFonts w:cstheme="minorHAnsi"/>
          <w:sz w:val="24"/>
          <w:lang w:val="en-GB" w:bidi="en-GB"/>
        </w:rPr>
        <w:t xml:space="preserve"> of the Supreme Audit Office (hereinafter the “SAO”) for 2017 under number 17/09. The audit was headed and the Audit Conclusion drawn up by the SAO member Ing. Jan Málek.</w:t>
      </w:r>
    </w:p>
    <w:p w14:paraId="7B5D80BD" w14:textId="77777777" w:rsidR="00D86736" w:rsidRPr="00A91A09" w:rsidRDefault="00D86736" w:rsidP="00955A9E">
      <w:pPr>
        <w:spacing w:after="0" w:line="240" w:lineRule="auto"/>
        <w:jc w:val="both"/>
        <w:rPr>
          <w:rFonts w:eastAsia="Times New Roman" w:cstheme="minorHAnsi"/>
          <w:sz w:val="24"/>
          <w:szCs w:val="24"/>
          <w:lang w:val="en-GB"/>
        </w:rPr>
      </w:pPr>
    </w:p>
    <w:p w14:paraId="4D20BC62" w14:textId="3BAD544F" w:rsidR="00393DDB" w:rsidRPr="00A91A09" w:rsidRDefault="00393DDB" w:rsidP="00955A9E">
      <w:pPr>
        <w:spacing w:after="0" w:line="240" w:lineRule="auto"/>
        <w:jc w:val="both"/>
        <w:rPr>
          <w:rFonts w:eastAsia="Times New Roman" w:cstheme="minorHAnsi"/>
          <w:sz w:val="24"/>
          <w:szCs w:val="24"/>
          <w:lang w:val="en-GB"/>
        </w:rPr>
      </w:pPr>
      <w:r w:rsidRPr="00A91A09">
        <w:rPr>
          <w:rFonts w:cstheme="minorHAnsi"/>
          <w:sz w:val="24"/>
          <w:lang w:val="en-GB" w:bidi="en-GB"/>
        </w:rPr>
        <w:t xml:space="preserve">The </w:t>
      </w:r>
      <w:r w:rsidR="001E7A9A">
        <w:rPr>
          <w:rFonts w:cstheme="minorHAnsi"/>
          <w:sz w:val="24"/>
          <w:lang w:val="en-GB" w:bidi="en-GB"/>
        </w:rPr>
        <w:t>purpose of</w:t>
      </w:r>
      <w:r w:rsidRPr="00A91A09">
        <w:rPr>
          <w:rFonts w:cstheme="minorHAnsi"/>
          <w:sz w:val="24"/>
          <w:lang w:val="en-GB" w:bidi="en-GB"/>
        </w:rPr>
        <w:t xml:space="preserve"> the audit was to </w:t>
      </w:r>
      <w:r w:rsidR="001E7A9A">
        <w:rPr>
          <w:rFonts w:cstheme="minorHAnsi"/>
          <w:sz w:val="24"/>
          <w:lang w:val="en-GB" w:bidi="en-GB"/>
        </w:rPr>
        <w:t>verify</w:t>
      </w:r>
      <w:r w:rsidRPr="00A91A09">
        <w:rPr>
          <w:rFonts w:cstheme="minorHAnsi"/>
          <w:sz w:val="24"/>
          <w:lang w:val="en-GB" w:bidi="en-GB"/>
        </w:rPr>
        <w:t xml:space="preserve"> whether the repairs, modernisation and development of class II and class III roads were executed economically, efficiently and effectively, and whether the rules and conditions for the use of the EU funds and national resources were observed.</w:t>
      </w:r>
    </w:p>
    <w:p w14:paraId="7BE7E0D4" w14:textId="77777777" w:rsidR="00D86736" w:rsidRPr="00A91A09" w:rsidRDefault="00D86736" w:rsidP="00955A9E">
      <w:pPr>
        <w:spacing w:after="0" w:line="240" w:lineRule="auto"/>
        <w:jc w:val="both"/>
        <w:rPr>
          <w:rFonts w:eastAsia="Times New Roman" w:cstheme="minorHAnsi"/>
          <w:sz w:val="24"/>
          <w:szCs w:val="24"/>
          <w:lang w:val="en-GB"/>
        </w:rPr>
      </w:pPr>
    </w:p>
    <w:p w14:paraId="09A90E12" w14:textId="3730641A" w:rsidR="00393DDB" w:rsidRPr="00A91A09" w:rsidRDefault="00393DDB" w:rsidP="00955A9E">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Subject to audit was the period from 2014 until 2016; for factual contexts, also the preceding and subsequent periods were included. The audit was conducted with the </w:t>
      </w:r>
      <w:r w:rsidR="00C566C3">
        <w:rPr>
          <w:rFonts w:cstheme="minorHAnsi"/>
          <w:sz w:val="24"/>
          <w:lang w:val="en-GB" w:bidi="en-GB"/>
        </w:rPr>
        <w:t>auditees</w:t>
      </w:r>
      <w:r w:rsidRPr="00A91A09">
        <w:rPr>
          <w:rFonts w:cstheme="minorHAnsi"/>
          <w:sz w:val="24"/>
          <w:lang w:val="en-GB" w:bidi="en-GB"/>
        </w:rPr>
        <w:t xml:space="preserve"> between February 2017 and August 2017.</w:t>
      </w:r>
    </w:p>
    <w:p w14:paraId="358D6F21" w14:textId="77777777" w:rsidR="00393DDB" w:rsidRPr="00A91A09" w:rsidRDefault="00393DDB" w:rsidP="00955A9E">
      <w:pPr>
        <w:spacing w:after="0" w:line="240" w:lineRule="auto"/>
        <w:jc w:val="both"/>
        <w:rPr>
          <w:rFonts w:eastAsia="Times New Roman" w:cstheme="minorHAnsi"/>
          <w:sz w:val="24"/>
          <w:szCs w:val="24"/>
          <w:lang w:val="en-GB" w:eastAsia="cs-CZ"/>
        </w:rPr>
      </w:pPr>
    </w:p>
    <w:p w14:paraId="0DED0D5F" w14:textId="17C9C427" w:rsidR="00393DDB" w:rsidRPr="00A91A09" w:rsidRDefault="00C566C3" w:rsidP="00955A9E">
      <w:pPr>
        <w:spacing w:after="0" w:line="240" w:lineRule="auto"/>
        <w:jc w:val="both"/>
        <w:rPr>
          <w:rFonts w:eastAsia="Times New Roman" w:cstheme="minorHAnsi"/>
          <w:b/>
          <w:sz w:val="24"/>
          <w:szCs w:val="24"/>
          <w:lang w:val="en-GB"/>
        </w:rPr>
      </w:pPr>
      <w:r>
        <w:rPr>
          <w:rFonts w:cstheme="minorHAnsi"/>
          <w:b/>
          <w:sz w:val="24"/>
          <w:lang w:val="en-GB" w:bidi="en-GB"/>
        </w:rPr>
        <w:t>Auditees</w:t>
      </w:r>
      <w:r w:rsidR="00393DDB" w:rsidRPr="00A91A09">
        <w:rPr>
          <w:rFonts w:cstheme="minorHAnsi"/>
          <w:b/>
          <w:sz w:val="24"/>
          <w:lang w:val="en-GB" w:bidi="en-GB"/>
        </w:rPr>
        <w:t>:</w:t>
      </w:r>
    </w:p>
    <w:p w14:paraId="5A26BAD2" w14:textId="4690DBBB" w:rsidR="00393DDB" w:rsidRPr="00A91A09" w:rsidRDefault="00393DDB" w:rsidP="00955A9E">
      <w:pPr>
        <w:spacing w:after="0" w:line="240" w:lineRule="auto"/>
        <w:jc w:val="both"/>
        <w:rPr>
          <w:rFonts w:eastAsia="Times New Roman" w:cstheme="minorHAnsi"/>
          <w:sz w:val="24"/>
          <w:szCs w:val="24"/>
          <w:lang w:val="en-GB" w:eastAsia="cs-CZ"/>
        </w:rPr>
      </w:pPr>
      <w:r w:rsidRPr="00A91A09">
        <w:rPr>
          <w:rFonts w:cstheme="minorHAnsi"/>
          <w:sz w:val="24"/>
          <w:lang w:val="en-GB" w:bidi="en-GB"/>
        </w:rPr>
        <w:t>State Fund for Transport Infrastr</w:t>
      </w:r>
      <w:r w:rsidR="00BB0EF8">
        <w:rPr>
          <w:rFonts w:cstheme="minorHAnsi"/>
          <w:sz w:val="24"/>
          <w:lang w:val="en-GB" w:bidi="en-GB"/>
        </w:rPr>
        <w:t>ucture, Prague (hereinafter “</w:t>
      </w:r>
      <w:r w:rsidR="004D23C2">
        <w:rPr>
          <w:rFonts w:cstheme="minorHAnsi"/>
          <w:sz w:val="24"/>
          <w:lang w:val="en-GB" w:bidi="en-GB"/>
        </w:rPr>
        <w:t>SFDI</w:t>
      </w:r>
      <w:r w:rsidRPr="00A91A09">
        <w:rPr>
          <w:rFonts w:cstheme="minorHAnsi"/>
          <w:sz w:val="24"/>
          <w:lang w:val="en-GB" w:bidi="en-GB"/>
        </w:rPr>
        <w:t>”); Regional Council of the Southwest Cohesion Region, České Budějovice (hereinafter “RCSW”); South Bohemian Region, České Budějovice (hereinafter “SBR”); Liberec Region, Liberec (hereinafter “LR”); Moravian-Silesian Region, Ostrava (hereinafter “MSR”); Pardubice Region, Pardubice (hereinafter “PR”); Road Management of the Moravian-Silesian Region, public-benefit corporation, Ostrava (hereinafter “RMMSR”); Road Management and Maintenance of the Pardubice Region, public-benefit corporation, Pardubice (hereinafter “RMMPR”); Road Management and Maintenance of the Pilsen Region, public-benefit corporation (hereinafter “RMMPilR”).</w:t>
      </w:r>
    </w:p>
    <w:p w14:paraId="1AD9E4CE" w14:textId="77777777" w:rsidR="00393DDB" w:rsidRPr="00A91A09" w:rsidRDefault="00393DDB" w:rsidP="00955A9E">
      <w:pPr>
        <w:spacing w:after="0" w:line="240" w:lineRule="auto"/>
        <w:jc w:val="both"/>
        <w:rPr>
          <w:rFonts w:eastAsia="Times New Roman" w:cstheme="minorHAnsi"/>
          <w:sz w:val="24"/>
          <w:szCs w:val="24"/>
          <w:lang w:val="en-GB"/>
        </w:rPr>
      </w:pPr>
    </w:p>
    <w:p w14:paraId="342B767F" w14:textId="75829CEF" w:rsidR="00393DDB" w:rsidRPr="00A91A09" w:rsidRDefault="00393DDB" w:rsidP="00955A9E">
      <w:pPr>
        <w:spacing w:after="0" w:line="240" w:lineRule="auto"/>
        <w:jc w:val="both"/>
        <w:rPr>
          <w:rFonts w:eastAsia="Times New Roman" w:cstheme="minorHAnsi"/>
          <w:sz w:val="24"/>
          <w:szCs w:val="24"/>
          <w:lang w:val="en-GB"/>
        </w:rPr>
      </w:pPr>
      <w:r w:rsidRPr="00A91A09">
        <w:rPr>
          <w:rFonts w:cstheme="minorHAnsi"/>
          <w:sz w:val="24"/>
          <w:lang w:val="en-GB" w:bidi="en-GB"/>
        </w:rPr>
        <w:t xml:space="preserve">The objections to the audit protocol submitted by the </w:t>
      </w:r>
      <w:r w:rsidR="00C566C3">
        <w:rPr>
          <w:rFonts w:cstheme="minorHAnsi"/>
          <w:sz w:val="24"/>
          <w:lang w:val="en-GB" w:bidi="en-GB"/>
        </w:rPr>
        <w:t>auditees</w:t>
      </w:r>
      <w:r w:rsidRPr="00A91A09">
        <w:rPr>
          <w:rFonts w:cstheme="minorHAnsi"/>
          <w:sz w:val="24"/>
          <w:lang w:val="en-GB" w:bidi="en-GB"/>
        </w:rPr>
        <w:t xml:space="preserve"> – the </w:t>
      </w:r>
      <w:r w:rsidR="004D23C2">
        <w:rPr>
          <w:rFonts w:cstheme="minorHAnsi"/>
          <w:sz w:val="24"/>
          <w:lang w:val="en-GB" w:bidi="en-GB"/>
        </w:rPr>
        <w:t>SFDI</w:t>
      </w:r>
      <w:r w:rsidRPr="00A91A09">
        <w:rPr>
          <w:rFonts w:cstheme="minorHAnsi"/>
          <w:sz w:val="24"/>
          <w:lang w:val="en-GB" w:bidi="en-GB"/>
        </w:rPr>
        <w:t xml:space="preserve"> and the RCSW – were dealt with by the heads of the groups of auditors by a decision on objections. The </w:t>
      </w:r>
      <w:r w:rsidR="00C566C3">
        <w:rPr>
          <w:rFonts w:cstheme="minorHAnsi"/>
          <w:sz w:val="24"/>
          <w:lang w:val="en-GB" w:bidi="en-GB"/>
        </w:rPr>
        <w:t>auditees</w:t>
      </w:r>
      <w:r w:rsidRPr="00A91A09">
        <w:rPr>
          <w:rFonts w:cstheme="minorHAnsi"/>
          <w:sz w:val="24"/>
          <w:lang w:val="en-GB" w:bidi="en-GB"/>
        </w:rPr>
        <w:t xml:space="preserve"> did not lodge any appeal against the decision on objections.</w:t>
      </w:r>
    </w:p>
    <w:p w14:paraId="1F4866F7" w14:textId="77777777" w:rsidR="00393DDB" w:rsidRPr="00A91A09" w:rsidRDefault="00393DDB" w:rsidP="00955A9E">
      <w:pPr>
        <w:spacing w:after="0" w:line="240" w:lineRule="auto"/>
        <w:ind w:right="68"/>
        <w:jc w:val="both"/>
        <w:rPr>
          <w:rFonts w:cstheme="minorHAnsi"/>
          <w:sz w:val="24"/>
          <w:szCs w:val="24"/>
          <w:lang w:val="en-GB"/>
        </w:rPr>
      </w:pPr>
    </w:p>
    <w:p w14:paraId="37A2D4B8" w14:textId="77777777" w:rsidR="00393DDB" w:rsidRPr="00A91A09" w:rsidRDefault="00393DDB" w:rsidP="00955A9E">
      <w:pPr>
        <w:spacing w:after="120" w:line="240" w:lineRule="auto"/>
        <w:ind w:right="70"/>
        <w:jc w:val="both"/>
        <w:rPr>
          <w:rFonts w:cstheme="minorHAnsi"/>
          <w:sz w:val="24"/>
          <w:szCs w:val="24"/>
          <w:lang w:val="en-GB"/>
        </w:rPr>
      </w:pPr>
      <w:r w:rsidRPr="00A91A09">
        <w:rPr>
          <w:rFonts w:cstheme="minorHAnsi"/>
          <w:sz w:val="24"/>
          <w:lang w:val="en-GB" w:bidi="en-GB"/>
        </w:rPr>
        <w:t xml:space="preserve">The </w:t>
      </w:r>
      <w:r w:rsidRPr="00A91A09">
        <w:rPr>
          <w:rFonts w:cstheme="minorHAnsi"/>
          <w:b/>
          <w:i/>
          <w:sz w:val="24"/>
          <w:lang w:val="en-GB" w:bidi="en-GB"/>
        </w:rPr>
        <w:t>Board of the SAO</w:t>
      </w:r>
      <w:r w:rsidRPr="00A91A09">
        <w:rPr>
          <w:rFonts w:cstheme="minorHAnsi"/>
          <w:sz w:val="24"/>
          <w:lang w:val="en-GB" w:bidi="en-GB"/>
        </w:rPr>
        <w:t xml:space="preserve"> at its II. meeting held on 19 February 2018 </w:t>
      </w:r>
    </w:p>
    <w:p w14:paraId="7CC75927" w14:textId="77777777" w:rsidR="00393DDB" w:rsidRPr="00A91A09" w:rsidRDefault="00393DDB" w:rsidP="00955A9E">
      <w:pPr>
        <w:spacing w:after="120" w:line="240" w:lineRule="auto"/>
        <w:ind w:right="68"/>
        <w:jc w:val="both"/>
        <w:rPr>
          <w:rFonts w:cstheme="minorHAnsi"/>
          <w:sz w:val="24"/>
          <w:szCs w:val="24"/>
          <w:lang w:val="en-GB"/>
        </w:rPr>
      </w:pPr>
      <w:r w:rsidRPr="00A91A09">
        <w:rPr>
          <w:rFonts w:cstheme="minorHAnsi"/>
          <w:b/>
          <w:i/>
          <w:sz w:val="24"/>
          <w:lang w:val="en-GB" w:bidi="en-GB"/>
        </w:rPr>
        <w:t>approved</w:t>
      </w:r>
      <w:r w:rsidRPr="00A91A09">
        <w:rPr>
          <w:rFonts w:cstheme="minorHAnsi"/>
          <w:sz w:val="24"/>
          <w:lang w:val="en-GB" w:bidi="en-GB"/>
        </w:rPr>
        <w:t xml:space="preserve"> by Resolution No. 9/II/2018 </w:t>
      </w:r>
    </w:p>
    <w:p w14:paraId="06B423DC" w14:textId="77777777" w:rsidR="00D86736" w:rsidRPr="00A91A09" w:rsidRDefault="00393DDB" w:rsidP="00955A9E">
      <w:pPr>
        <w:spacing w:after="120" w:line="240" w:lineRule="auto"/>
        <w:ind w:right="70"/>
        <w:jc w:val="both"/>
        <w:rPr>
          <w:rFonts w:cstheme="minorHAnsi"/>
          <w:sz w:val="24"/>
          <w:szCs w:val="24"/>
          <w:lang w:val="en-GB"/>
        </w:rPr>
      </w:pPr>
      <w:r w:rsidRPr="00A91A09">
        <w:rPr>
          <w:rFonts w:cstheme="minorHAnsi"/>
          <w:sz w:val="24"/>
          <w:lang w:val="en-GB" w:bidi="en-GB"/>
        </w:rPr>
        <w:t xml:space="preserve">the </w:t>
      </w:r>
      <w:r w:rsidRPr="00A91A09">
        <w:rPr>
          <w:rFonts w:cstheme="minorHAnsi"/>
          <w:b/>
          <w:i/>
          <w:sz w:val="24"/>
          <w:lang w:val="en-GB" w:bidi="en-GB"/>
        </w:rPr>
        <w:t>audit conclusion</w:t>
      </w:r>
      <w:r w:rsidRPr="00A91A09">
        <w:rPr>
          <w:rFonts w:cstheme="minorHAnsi"/>
          <w:sz w:val="24"/>
          <w:lang w:val="en-GB" w:bidi="en-GB"/>
        </w:rPr>
        <w:t xml:space="preserve"> in the following wording:</w:t>
      </w:r>
      <w:r w:rsidR="00D86736" w:rsidRPr="00A91A09">
        <w:rPr>
          <w:rFonts w:cstheme="minorHAnsi"/>
          <w:sz w:val="24"/>
          <w:lang w:val="en-GB" w:bidi="en-GB"/>
        </w:rPr>
        <w:br w:type="page"/>
      </w:r>
    </w:p>
    <w:p w14:paraId="47D0579C" w14:textId="77777777" w:rsidR="00393DDB" w:rsidRPr="00A91A09" w:rsidRDefault="00955A9E" w:rsidP="00393DDB">
      <w:pPr>
        <w:jc w:val="center"/>
        <w:rPr>
          <w:rFonts w:cstheme="minorHAnsi"/>
          <w:b/>
          <w:sz w:val="28"/>
          <w:szCs w:val="28"/>
          <w:lang w:val="en-GB"/>
        </w:rPr>
      </w:pPr>
      <w:r w:rsidRPr="00A91A09">
        <w:rPr>
          <w:rFonts w:cstheme="minorHAnsi"/>
          <w:b/>
          <w:sz w:val="28"/>
          <w:lang w:val="en-GB" w:bidi="en-GB"/>
        </w:rPr>
        <w:lastRenderedPageBreak/>
        <w:t>I. Introduction</w:t>
      </w:r>
    </w:p>
    <w:p w14:paraId="1EBDC75A" w14:textId="77777777" w:rsidR="00393DDB" w:rsidRPr="00A91A09" w:rsidRDefault="00393DDB" w:rsidP="00D86736">
      <w:pPr>
        <w:spacing w:after="0" w:line="240" w:lineRule="auto"/>
        <w:jc w:val="both"/>
        <w:rPr>
          <w:rFonts w:eastAsia="Times New Roman" w:cstheme="minorHAnsi"/>
          <w:sz w:val="24"/>
          <w:szCs w:val="24"/>
          <w:lang w:val="en-GB" w:eastAsia="cs-CZ"/>
        </w:rPr>
      </w:pPr>
    </w:p>
    <w:p w14:paraId="71958CB4" w14:textId="6531DC1D" w:rsidR="00393DDB" w:rsidRPr="00A91A09" w:rsidRDefault="00393DDB" w:rsidP="00D86736">
      <w:pPr>
        <w:spacing w:after="0" w:line="240" w:lineRule="auto"/>
        <w:jc w:val="both"/>
        <w:rPr>
          <w:rFonts w:eastAsia="Times New Roman" w:cstheme="minorHAnsi"/>
          <w:bCs/>
          <w:sz w:val="24"/>
          <w:szCs w:val="24"/>
          <w:lang w:val="en-GB" w:eastAsia="cs-CZ"/>
        </w:rPr>
      </w:pPr>
      <w:r w:rsidRPr="00A91A09">
        <w:rPr>
          <w:rFonts w:cstheme="minorHAnsi"/>
          <w:sz w:val="24"/>
          <w:lang w:val="en-GB" w:bidi="en-GB"/>
        </w:rPr>
        <w:t>The SAO audited the provision, drawing and use of the European Union (hereinafter the “EU”) funds and state funding for construction activities undertaken to repair, modernise and develop a network of class II and class III roads in the territory of selected regions (hereinafter the “regional roads”).</w:t>
      </w:r>
    </w:p>
    <w:p w14:paraId="1143BA66" w14:textId="77777777" w:rsidR="00393DDB" w:rsidRPr="00A91A09" w:rsidRDefault="00393DDB" w:rsidP="00D86736">
      <w:pPr>
        <w:spacing w:after="0" w:line="240" w:lineRule="auto"/>
        <w:jc w:val="both"/>
        <w:rPr>
          <w:rFonts w:eastAsia="Times New Roman" w:cstheme="minorHAnsi"/>
          <w:sz w:val="24"/>
          <w:szCs w:val="24"/>
          <w:lang w:val="en-GB" w:eastAsia="cs-CZ"/>
        </w:rPr>
      </w:pPr>
    </w:p>
    <w:p w14:paraId="6E5288D5" w14:textId="666CAF62" w:rsidR="00393DDB" w:rsidRPr="00A91A09" w:rsidRDefault="004D23C2" w:rsidP="00D86736">
      <w:pPr>
        <w:spacing w:after="0" w:line="240" w:lineRule="auto"/>
        <w:jc w:val="both"/>
        <w:rPr>
          <w:rFonts w:eastAsia="Times New Roman" w:cstheme="minorHAnsi"/>
          <w:b/>
          <w:sz w:val="24"/>
          <w:szCs w:val="24"/>
          <w:lang w:val="en-GB" w:eastAsia="cs-CZ"/>
        </w:rPr>
      </w:pPr>
      <w:r>
        <w:rPr>
          <w:rFonts w:cstheme="minorHAnsi"/>
          <w:b/>
          <w:sz w:val="24"/>
          <w:lang w:val="en-GB" w:bidi="en-GB"/>
        </w:rPr>
        <w:t>SFDI</w:t>
      </w:r>
    </w:p>
    <w:p w14:paraId="6F5852E8" w14:textId="77777777" w:rsidR="00D86736" w:rsidRPr="00A91A09" w:rsidRDefault="00D86736" w:rsidP="00D86736">
      <w:pPr>
        <w:spacing w:after="0" w:line="240" w:lineRule="auto"/>
        <w:jc w:val="both"/>
        <w:rPr>
          <w:rFonts w:eastAsia="Times New Roman" w:cstheme="minorHAnsi"/>
          <w:bCs/>
          <w:sz w:val="24"/>
          <w:szCs w:val="24"/>
          <w:lang w:val="en-GB" w:eastAsia="cs-CZ"/>
        </w:rPr>
      </w:pPr>
    </w:p>
    <w:p w14:paraId="2A716E1E" w14:textId="3A7775FC" w:rsidR="00393DDB" w:rsidRPr="00A91A09" w:rsidRDefault="00393DDB" w:rsidP="00D86736">
      <w:pPr>
        <w:spacing w:after="0" w:line="240" w:lineRule="auto"/>
        <w:jc w:val="both"/>
        <w:rPr>
          <w:rFonts w:eastAsia="Times New Roman" w:cstheme="minorHAnsi"/>
          <w:bCs/>
          <w:sz w:val="24"/>
          <w:szCs w:val="24"/>
          <w:lang w:val="en-GB" w:eastAsia="cs-CZ"/>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was established by Act No. 104/2000 Coll.</w:t>
      </w:r>
      <w:r w:rsidR="00B35C52" w:rsidRPr="00A91A09">
        <w:rPr>
          <w:rStyle w:val="Znakapoznpodarou"/>
          <w:rFonts w:cstheme="minorHAnsi"/>
          <w:sz w:val="24"/>
          <w:lang w:val="en-GB" w:bidi="en-GB"/>
        </w:rPr>
        <w:footnoteReference w:id="1"/>
      </w:r>
      <w:r w:rsidRPr="00A91A09">
        <w:rPr>
          <w:rFonts w:cstheme="minorHAnsi"/>
          <w:sz w:val="24"/>
          <w:lang w:val="en-GB" w:bidi="en-GB"/>
        </w:rPr>
        <w:t xml:space="preserve"> with effect from 1 July 2000. The </w:t>
      </w:r>
      <w:r w:rsidR="004D23C2">
        <w:rPr>
          <w:rFonts w:cstheme="minorHAnsi"/>
          <w:sz w:val="24"/>
          <w:lang w:val="en-GB" w:bidi="en-GB"/>
        </w:rPr>
        <w:t>SFDI</w:t>
      </w:r>
      <w:r w:rsidRPr="00A91A09">
        <w:rPr>
          <w:rFonts w:cstheme="minorHAnsi"/>
          <w:sz w:val="24"/>
          <w:lang w:val="en-GB" w:bidi="en-GB"/>
        </w:rPr>
        <w:t xml:space="preserve"> is an accounting and legal entity under the authority of the Ministry of Transport. The purpose of the </w:t>
      </w:r>
      <w:r w:rsidR="004D23C2">
        <w:rPr>
          <w:rFonts w:cstheme="minorHAnsi"/>
          <w:sz w:val="24"/>
          <w:lang w:val="en-GB" w:bidi="en-GB"/>
        </w:rPr>
        <w:t>SFDI</w:t>
      </w:r>
      <w:r w:rsidRPr="00A91A09">
        <w:rPr>
          <w:rFonts w:cstheme="minorHAnsi"/>
          <w:sz w:val="24"/>
          <w:lang w:val="en-GB" w:bidi="en-GB"/>
        </w:rPr>
        <w:t xml:space="preserve"> is to finance the construction, modernisation, repair and maintenance of roads and motorways, national and regional railways, major inland waterways and airport equipment to the extent specified by law. The </w:t>
      </w:r>
      <w:r w:rsidR="004D23C2">
        <w:rPr>
          <w:rFonts w:cstheme="minorHAnsi"/>
          <w:sz w:val="24"/>
          <w:lang w:val="en-GB" w:bidi="en-GB"/>
        </w:rPr>
        <w:t>SFDI</w:t>
      </w:r>
      <w:r w:rsidRPr="00A91A09">
        <w:rPr>
          <w:rFonts w:cstheme="minorHAnsi"/>
          <w:sz w:val="24"/>
          <w:lang w:val="en-GB" w:bidi="en-GB"/>
        </w:rPr>
        <w:t xml:space="preserve"> concludes agreements with the beneficiaries of the funds and is responsible for ensuring an effective use of the funds according to the approved </w:t>
      </w:r>
      <w:r w:rsidR="004D23C2">
        <w:rPr>
          <w:rFonts w:cstheme="minorHAnsi"/>
          <w:sz w:val="24"/>
          <w:lang w:val="en-GB" w:bidi="en-GB"/>
        </w:rPr>
        <w:t>SFDI</w:t>
      </w:r>
      <w:r w:rsidRPr="00A91A09">
        <w:rPr>
          <w:rFonts w:cstheme="minorHAnsi"/>
          <w:sz w:val="24"/>
          <w:lang w:val="en-GB" w:bidi="en-GB"/>
        </w:rPr>
        <w:t xml:space="preserve"> budget. It is authorised to audit the use of the funds by the beneficiaries and take the necessary measures to ensure the expected effectiveness.</w:t>
      </w:r>
    </w:p>
    <w:p w14:paraId="5C9A34A9" w14:textId="77777777" w:rsidR="00D86736" w:rsidRPr="00A91A09" w:rsidRDefault="00D86736" w:rsidP="00D86736">
      <w:pPr>
        <w:spacing w:after="0" w:line="240" w:lineRule="auto"/>
        <w:jc w:val="both"/>
        <w:rPr>
          <w:rFonts w:eastAsia="Times New Roman" w:cstheme="minorHAnsi"/>
          <w:bCs/>
          <w:sz w:val="24"/>
          <w:szCs w:val="24"/>
          <w:lang w:val="en-GB" w:eastAsia="cs-CZ"/>
        </w:rPr>
      </w:pPr>
    </w:p>
    <w:p w14:paraId="22E32757" w14:textId="1DB382FC" w:rsidR="00393DDB" w:rsidRPr="00A91A09" w:rsidRDefault="00393DDB" w:rsidP="00D86736">
      <w:pPr>
        <w:spacing w:after="0" w:line="240" w:lineRule="auto"/>
        <w:jc w:val="both"/>
        <w:rPr>
          <w:rFonts w:eastAsia="Times New Roman" w:cstheme="minorHAnsi"/>
          <w:sz w:val="24"/>
          <w:szCs w:val="24"/>
          <w:lang w:val="en-GB" w:eastAsia="cs-CZ"/>
        </w:rPr>
      </w:pPr>
      <w:r w:rsidRPr="00A91A09">
        <w:rPr>
          <w:rFonts w:cstheme="minorHAnsi"/>
          <w:sz w:val="24"/>
          <w:lang w:val="en-GB" w:bidi="en-GB"/>
        </w:rPr>
        <w:t>Pursuant to Act No. 132/2000 Coll.</w:t>
      </w:r>
      <w:r w:rsidRPr="00A91A09">
        <w:rPr>
          <w:rFonts w:cstheme="minorHAnsi"/>
          <w:sz w:val="24"/>
          <w:vertAlign w:val="superscript"/>
          <w:lang w:val="en-GB" w:bidi="en-GB"/>
        </w:rPr>
        <w:footnoteReference w:id="2"/>
      </w:r>
      <w:r w:rsidRPr="00A91A09">
        <w:rPr>
          <w:rFonts w:cstheme="minorHAnsi"/>
          <w:sz w:val="24"/>
          <w:lang w:val="en-GB" w:bidi="en-GB"/>
        </w:rPr>
        <w:t>, class II and class III roads have been owned by the regions in whose territories these roads are located since 2001. These roads remain part of the road system within the meaning of Act No. 13/1997 Coll.</w:t>
      </w:r>
      <w:r w:rsidRPr="00A91A09">
        <w:rPr>
          <w:rFonts w:cstheme="minorHAnsi"/>
          <w:sz w:val="24"/>
          <w:vertAlign w:val="superscript"/>
          <w:lang w:val="en-GB" w:bidi="en-GB"/>
        </w:rPr>
        <w:footnoteReference w:id="3"/>
      </w:r>
      <w:r w:rsidRPr="00A91A09">
        <w:rPr>
          <w:rFonts w:cstheme="minorHAnsi"/>
          <w:sz w:val="24"/>
          <w:lang w:val="en-GB" w:bidi="en-GB"/>
        </w:rPr>
        <w:t xml:space="preserve"> and their public character, which is also decisive for their funding system, is still preserved. For this reason, these roads are also the object of </w:t>
      </w:r>
      <w:r w:rsidR="004D23C2">
        <w:rPr>
          <w:rFonts w:cstheme="minorHAnsi"/>
          <w:sz w:val="24"/>
          <w:lang w:val="en-GB" w:bidi="en-GB"/>
        </w:rPr>
        <w:t>SFDI</w:t>
      </w:r>
      <w:r w:rsidRPr="00A91A09">
        <w:rPr>
          <w:rFonts w:cstheme="minorHAnsi"/>
          <w:sz w:val="24"/>
          <w:lang w:val="en-GB" w:bidi="en-GB"/>
        </w:rPr>
        <w:t xml:space="preserve"> financing, as is apparent from the purpose for which the </w:t>
      </w:r>
      <w:r w:rsidR="004D23C2">
        <w:rPr>
          <w:rFonts w:cstheme="minorHAnsi"/>
          <w:sz w:val="24"/>
          <w:lang w:val="en-GB" w:bidi="en-GB"/>
        </w:rPr>
        <w:t>SFDI</w:t>
      </w:r>
      <w:r w:rsidRPr="00A91A09">
        <w:rPr>
          <w:rFonts w:cstheme="minorHAnsi"/>
          <w:sz w:val="24"/>
          <w:lang w:val="en-GB" w:bidi="en-GB"/>
        </w:rPr>
        <w:t xml:space="preserve"> was established.</w:t>
      </w:r>
    </w:p>
    <w:p w14:paraId="7F68F650" w14:textId="77777777" w:rsidR="00D86736" w:rsidRPr="00A91A09" w:rsidRDefault="00D86736" w:rsidP="00D86736">
      <w:pPr>
        <w:spacing w:after="0" w:line="240" w:lineRule="auto"/>
        <w:jc w:val="both"/>
        <w:rPr>
          <w:rFonts w:eastAsia="Times New Roman" w:cstheme="minorHAnsi"/>
          <w:sz w:val="24"/>
          <w:szCs w:val="24"/>
          <w:lang w:val="en-GB" w:eastAsia="cs-CZ"/>
        </w:rPr>
      </w:pPr>
    </w:p>
    <w:p w14:paraId="78BE66BA" w14:textId="50EC855E" w:rsidR="00393DDB" w:rsidRPr="00A91A09" w:rsidRDefault="00393DDB" w:rsidP="00D86736">
      <w:pPr>
        <w:spacing w:after="0" w:line="240" w:lineRule="auto"/>
        <w:jc w:val="both"/>
        <w:rPr>
          <w:rFonts w:eastAsia="Times New Roman" w:cstheme="minorHAnsi"/>
          <w:bCs/>
          <w:sz w:val="24"/>
          <w:szCs w:val="24"/>
          <w:lang w:val="en-GB" w:eastAsia="cs-CZ"/>
        </w:rPr>
      </w:pPr>
      <w:r w:rsidRPr="00A91A09">
        <w:rPr>
          <w:rFonts w:cstheme="minorHAnsi"/>
          <w:sz w:val="24"/>
          <w:lang w:val="en-GB" w:bidi="en-GB"/>
        </w:rPr>
        <w:t xml:space="preserve">From 2015, the </w:t>
      </w:r>
      <w:r w:rsidR="004D23C2">
        <w:rPr>
          <w:rFonts w:cstheme="minorHAnsi"/>
          <w:sz w:val="24"/>
          <w:lang w:val="en-GB" w:bidi="en-GB"/>
        </w:rPr>
        <w:t>SFDI</w:t>
      </w:r>
      <w:r w:rsidRPr="00A91A09">
        <w:rPr>
          <w:rFonts w:cstheme="minorHAnsi"/>
          <w:sz w:val="24"/>
          <w:lang w:val="en-GB" w:bidi="en-GB"/>
        </w:rPr>
        <w:t xml:space="preserve"> provided part of the available funding from its budget to finance repairs, reconstruction and modernisation of regional roads. To this end, it reserved for the years 2015 and 2016 a part of its budget totalling CZK 7.4 billion.</w:t>
      </w:r>
    </w:p>
    <w:p w14:paraId="3B77DD97" w14:textId="77777777" w:rsidR="00393DDB" w:rsidRPr="00A91A09" w:rsidRDefault="00393DDB" w:rsidP="00D86736">
      <w:pPr>
        <w:spacing w:after="0" w:line="240" w:lineRule="auto"/>
        <w:jc w:val="both"/>
        <w:rPr>
          <w:rFonts w:eastAsia="Times New Roman" w:cstheme="minorHAnsi"/>
          <w:bCs/>
          <w:sz w:val="24"/>
          <w:szCs w:val="24"/>
          <w:lang w:val="en-GB" w:eastAsia="cs-CZ"/>
        </w:rPr>
      </w:pPr>
    </w:p>
    <w:p w14:paraId="007CB29D" w14:textId="704CAEF7" w:rsidR="00393DDB" w:rsidRPr="00A91A09" w:rsidRDefault="00393DDB" w:rsidP="00D86736">
      <w:pPr>
        <w:spacing w:after="0" w:line="240" w:lineRule="auto"/>
        <w:jc w:val="both"/>
        <w:rPr>
          <w:rFonts w:eastAsia="Times New Roman" w:cstheme="minorHAnsi"/>
          <w:b/>
          <w:sz w:val="24"/>
          <w:szCs w:val="24"/>
          <w:lang w:val="en-GB" w:eastAsia="cs-CZ"/>
        </w:rPr>
      </w:pPr>
      <w:r w:rsidRPr="00A91A09">
        <w:rPr>
          <w:rFonts w:cstheme="minorHAnsi"/>
          <w:b/>
          <w:sz w:val="24"/>
          <w:lang w:val="en-GB" w:bidi="en-GB"/>
        </w:rPr>
        <w:t>Regional Operational Programmes</w:t>
      </w:r>
    </w:p>
    <w:p w14:paraId="4ADCF2D2" w14:textId="77777777" w:rsidR="00D86736" w:rsidRPr="00A91A09" w:rsidRDefault="00D86736" w:rsidP="00D86736">
      <w:pPr>
        <w:spacing w:after="0" w:line="240" w:lineRule="auto"/>
        <w:jc w:val="both"/>
        <w:rPr>
          <w:rFonts w:cstheme="minorHAnsi"/>
          <w:sz w:val="24"/>
          <w:szCs w:val="24"/>
          <w:lang w:val="en-GB"/>
        </w:rPr>
      </w:pPr>
    </w:p>
    <w:p w14:paraId="195C4E90" w14:textId="364B1480" w:rsidR="00393DDB" w:rsidRPr="00A91A09" w:rsidRDefault="00393DDB" w:rsidP="00D86736">
      <w:pPr>
        <w:spacing w:after="0" w:line="240" w:lineRule="auto"/>
        <w:jc w:val="both"/>
        <w:rPr>
          <w:rFonts w:cstheme="minorHAnsi"/>
          <w:sz w:val="24"/>
          <w:szCs w:val="24"/>
          <w:lang w:val="en-GB"/>
        </w:rPr>
      </w:pPr>
      <w:r w:rsidRPr="00A91A09">
        <w:rPr>
          <w:rFonts w:cstheme="minorHAnsi"/>
          <w:sz w:val="24"/>
          <w:lang w:val="en-GB" w:bidi="en-GB"/>
        </w:rPr>
        <w:t>In the Czech Republic, there were a total of 7 Regional Operational Programmes (hereinafter “ROP”), which in the 2007-2013 programming period served to support the economic and social development. The ROP were approved by the European Commission. The Programmes used subsidies from the European Regional Development Fund to aid projects implemented in the territory of the Cohesion Regions.</w:t>
      </w:r>
    </w:p>
    <w:p w14:paraId="053EBB50" w14:textId="77777777" w:rsidR="00D86736" w:rsidRPr="00A91A09" w:rsidRDefault="00D86736" w:rsidP="00D86736">
      <w:pPr>
        <w:spacing w:after="0" w:line="240" w:lineRule="auto"/>
        <w:jc w:val="both"/>
        <w:rPr>
          <w:rFonts w:cstheme="minorHAnsi"/>
          <w:sz w:val="24"/>
          <w:szCs w:val="24"/>
          <w:u w:val="single"/>
          <w:lang w:val="en-GB"/>
        </w:rPr>
      </w:pPr>
    </w:p>
    <w:p w14:paraId="52A4AD19" w14:textId="77777777" w:rsidR="00393DDB" w:rsidRPr="00A91A09" w:rsidRDefault="00393DDB" w:rsidP="00D86736">
      <w:pPr>
        <w:spacing w:after="0" w:line="240" w:lineRule="auto"/>
        <w:jc w:val="both"/>
        <w:rPr>
          <w:rFonts w:cstheme="minorHAnsi"/>
          <w:sz w:val="24"/>
          <w:szCs w:val="24"/>
          <w:lang w:val="en-GB"/>
        </w:rPr>
      </w:pPr>
      <w:r w:rsidRPr="00A91A09">
        <w:rPr>
          <w:rFonts w:cstheme="minorHAnsi"/>
          <w:sz w:val="24"/>
          <w:lang w:val="en-GB" w:bidi="en-GB"/>
        </w:rPr>
        <w:t xml:space="preserve">The ROP included </w:t>
      </w:r>
      <w:r w:rsidRPr="00A91A09">
        <w:rPr>
          <w:rFonts w:cstheme="minorHAnsi"/>
          <w:b/>
          <w:sz w:val="24"/>
          <w:lang w:val="en-GB" w:bidi="en-GB"/>
        </w:rPr>
        <w:t>priority axes</w:t>
      </w:r>
      <w:r w:rsidRPr="00A91A09">
        <w:rPr>
          <w:rFonts w:cstheme="minorHAnsi"/>
          <w:sz w:val="24"/>
          <w:lang w:val="en-GB" w:bidi="en-GB"/>
        </w:rPr>
        <w:t xml:space="preserve"> dividing the Operational Programme into logical units. These logical units were further concretised through the so-called </w:t>
      </w:r>
      <w:r w:rsidRPr="00A91A09">
        <w:rPr>
          <w:rFonts w:cstheme="minorHAnsi"/>
          <w:b/>
          <w:sz w:val="24"/>
          <w:lang w:val="en-GB" w:bidi="en-GB"/>
        </w:rPr>
        <w:t xml:space="preserve">areas of support. </w:t>
      </w:r>
      <w:r w:rsidRPr="00A91A09">
        <w:rPr>
          <w:rFonts w:cstheme="minorHAnsi"/>
          <w:sz w:val="24"/>
          <w:lang w:val="en-GB" w:bidi="en-GB"/>
        </w:rPr>
        <w:t>The areas of support defined what types of projects could be approved within the priority axis.</w:t>
      </w:r>
    </w:p>
    <w:p w14:paraId="12918B66" w14:textId="77777777" w:rsidR="00D86736" w:rsidRPr="00A91A09" w:rsidRDefault="00D86736" w:rsidP="00D86736">
      <w:pPr>
        <w:spacing w:after="0" w:line="240" w:lineRule="auto"/>
        <w:jc w:val="both"/>
        <w:rPr>
          <w:rFonts w:cstheme="minorHAnsi"/>
          <w:sz w:val="24"/>
          <w:szCs w:val="24"/>
          <w:lang w:val="en-GB"/>
        </w:rPr>
      </w:pPr>
    </w:p>
    <w:p w14:paraId="749D906F" w14:textId="548B096C" w:rsidR="00393DDB" w:rsidRPr="00A91A09" w:rsidRDefault="00393DDB" w:rsidP="00D86736">
      <w:pPr>
        <w:spacing w:after="0" w:line="240" w:lineRule="auto"/>
        <w:jc w:val="both"/>
        <w:rPr>
          <w:rFonts w:cstheme="minorHAnsi"/>
          <w:sz w:val="24"/>
          <w:szCs w:val="24"/>
          <w:lang w:val="en-GB"/>
        </w:rPr>
      </w:pPr>
      <w:r w:rsidRPr="00A91A09">
        <w:rPr>
          <w:rFonts w:cstheme="minorHAnsi"/>
          <w:sz w:val="24"/>
          <w:lang w:val="en-GB" w:bidi="en-GB"/>
        </w:rPr>
        <w:lastRenderedPageBreak/>
        <w:t>The Regional Council of the Cohesion Region (also referred to as the “RC”) is, within the meaning of Section 16 of Act No. 248/2000 Coll.</w:t>
      </w:r>
      <w:r w:rsidR="008A60CF" w:rsidRPr="00A91A09">
        <w:rPr>
          <w:rStyle w:val="Znakapoznpodarou"/>
          <w:rFonts w:cstheme="minorHAnsi"/>
          <w:sz w:val="24"/>
          <w:lang w:val="en-GB" w:bidi="en-GB"/>
        </w:rPr>
        <w:footnoteReference w:id="4"/>
      </w:r>
      <w:r w:rsidRPr="00A91A09">
        <w:rPr>
          <w:rFonts w:cstheme="minorHAnsi"/>
          <w:sz w:val="24"/>
          <w:lang w:val="en-GB" w:bidi="en-GB"/>
        </w:rPr>
        <w:t>, the managing authority for the ROP and is an accounting entity. The management of the RC is determined by Act No. 250/2000 Coll.</w:t>
      </w:r>
      <w:r w:rsidR="008A60CF" w:rsidRPr="00A91A09">
        <w:rPr>
          <w:rStyle w:val="Znakapoznpodarou"/>
          <w:rFonts w:cstheme="minorHAnsi"/>
          <w:sz w:val="24"/>
          <w:lang w:val="en-GB" w:bidi="en-GB"/>
        </w:rPr>
        <w:footnoteReference w:id="5"/>
      </w:r>
      <w:r w:rsidRPr="00A91A09">
        <w:rPr>
          <w:rFonts w:cstheme="minorHAnsi"/>
          <w:sz w:val="24"/>
          <w:lang w:val="en-GB" w:bidi="en-GB"/>
        </w:rPr>
        <w:t xml:space="preserve"> The governing body of the Regional Council is the President of the RC. The executive body of the RC is the Regional Council Authority, which provides for tasks related to the ROP Managing Authority.</w:t>
      </w:r>
    </w:p>
    <w:p w14:paraId="5BBADDFF" w14:textId="77777777" w:rsidR="007765FC" w:rsidRPr="00A91A09" w:rsidRDefault="007765FC" w:rsidP="00D86736">
      <w:pPr>
        <w:spacing w:after="0" w:line="240" w:lineRule="auto"/>
        <w:jc w:val="both"/>
        <w:rPr>
          <w:rFonts w:cstheme="minorHAnsi"/>
          <w:sz w:val="24"/>
          <w:szCs w:val="24"/>
          <w:lang w:val="en-GB"/>
        </w:rPr>
      </w:pPr>
    </w:p>
    <w:p w14:paraId="2AE35A3A" w14:textId="77777777" w:rsidR="00393DDB" w:rsidRPr="00A91A09" w:rsidRDefault="00393DDB" w:rsidP="00D86736">
      <w:pPr>
        <w:spacing w:after="0" w:line="240" w:lineRule="auto"/>
        <w:jc w:val="both"/>
        <w:rPr>
          <w:rFonts w:cstheme="minorHAnsi"/>
          <w:sz w:val="24"/>
          <w:szCs w:val="24"/>
          <w:lang w:val="en-GB"/>
        </w:rPr>
      </w:pPr>
      <w:r w:rsidRPr="00A91A09">
        <w:rPr>
          <w:rFonts w:cstheme="minorHAnsi"/>
          <w:sz w:val="24"/>
          <w:lang w:val="en-GB" w:bidi="en-GB"/>
        </w:rPr>
        <w:t>The Regional Council of the Southwest Cohesion Region announced the last call for projects under the area under review in May 2014, with the projects having to be physically implemented by 30 July 2015 at the latest. EU funding through the ROP had been completed. The RCSW then carried out only monitoring in connection with ensuring the sustainability of the projects.</w:t>
      </w:r>
    </w:p>
    <w:p w14:paraId="6F092DB2" w14:textId="77777777" w:rsidR="00D86736" w:rsidRPr="00A91A09" w:rsidRDefault="00D86736" w:rsidP="00D86736">
      <w:pPr>
        <w:spacing w:after="0" w:line="240" w:lineRule="auto"/>
        <w:jc w:val="both"/>
        <w:rPr>
          <w:rFonts w:cstheme="minorHAnsi"/>
          <w:sz w:val="24"/>
          <w:szCs w:val="24"/>
          <w:lang w:val="en-GB"/>
        </w:rPr>
      </w:pPr>
    </w:p>
    <w:p w14:paraId="4E2B0292" w14:textId="77777777" w:rsidR="00393DDB" w:rsidRPr="00A91A09" w:rsidRDefault="00393DDB" w:rsidP="00D86736">
      <w:pPr>
        <w:spacing w:after="0" w:line="240" w:lineRule="auto"/>
        <w:jc w:val="both"/>
        <w:rPr>
          <w:rFonts w:eastAsia="Times New Roman" w:cstheme="minorHAnsi"/>
          <w:b/>
          <w:sz w:val="24"/>
          <w:szCs w:val="24"/>
          <w:lang w:val="en-GB" w:eastAsia="cs-CZ"/>
        </w:rPr>
      </w:pPr>
      <w:r w:rsidRPr="00A91A09">
        <w:rPr>
          <w:rFonts w:cstheme="minorHAnsi"/>
          <w:b/>
          <w:sz w:val="24"/>
          <w:lang w:val="en-GB" w:bidi="en-GB"/>
        </w:rPr>
        <w:t>Beneficiaries of subsidies</w:t>
      </w:r>
    </w:p>
    <w:p w14:paraId="630E6D15" w14:textId="77777777" w:rsidR="00D86736" w:rsidRPr="00A91A09" w:rsidRDefault="00D86736" w:rsidP="00D86736">
      <w:pPr>
        <w:spacing w:after="0" w:line="240" w:lineRule="auto"/>
        <w:jc w:val="both"/>
        <w:rPr>
          <w:rFonts w:cstheme="minorHAnsi"/>
          <w:sz w:val="24"/>
          <w:szCs w:val="24"/>
          <w:lang w:val="en-GB"/>
        </w:rPr>
      </w:pPr>
    </w:p>
    <w:p w14:paraId="3B7BBADC" w14:textId="77777777" w:rsidR="00393DDB" w:rsidRPr="00A91A09" w:rsidRDefault="00393DDB" w:rsidP="00D86736">
      <w:pPr>
        <w:spacing w:after="0" w:line="240" w:lineRule="auto"/>
        <w:jc w:val="both"/>
        <w:rPr>
          <w:rFonts w:cstheme="minorHAnsi"/>
          <w:sz w:val="24"/>
          <w:szCs w:val="24"/>
          <w:lang w:val="en-GB"/>
        </w:rPr>
      </w:pPr>
      <w:r w:rsidRPr="00A91A09">
        <w:rPr>
          <w:rFonts w:cstheme="minorHAnsi"/>
          <w:sz w:val="24"/>
          <w:lang w:val="en-GB" w:bidi="en-GB"/>
        </w:rPr>
        <w:t>Beneficiaries of the subsidies were either regions or their public-benefit corporations, set up to manage and maintain regional roads.</w:t>
      </w:r>
    </w:p>
    <w:p w14:paraId="14BC69E8" w14:textId="77777777" w:rsidR="00D86736" w:rsidRPr="00A91A09" w:rsidRDefault="00D86736" w:rsidP="00D86736">
      <w:pPr>
        <w:spacing w:after="0" w:line="240" w:lineRule="auto"/>
        <w:jc w:val="both"/>
        <w:rPr>
          <w:rFonts w:cstheme="minorHAnsi"/>
          <w:sz w:val="24"/>
          <w:szCs w:val="24"/>
          <w:lang w:val="en-GB"/>
        </w:rPr>
      </w:pPr>
    </w:p>
    <w:p w14:paraId="1B37B6E9" w14:textId="77777777" w:rsidR="00393DDB" w:rsidRPr="00A91A09" w:rsidRDefault="00393DDB" w:rsidP="00D86736">
      <w:pPr>
        <w:spacing w:after="0" w:line="240" w:lineRule="auto"/>
        <w:jc w:val="both"/>
        <w:rPr>
          <w:rFonts w:cstheme="minorHAnsi"/>
          <w:sz w:val="24"/>
          <w:szCs w:val="24"/>
          <w:lang w:val="en-GB"/>
        </w:rPr>
      </w:pPr>
      <w:r w:rsidRPr="00A91A09">
        <w:rPr>
          <w:rFonts w:cstheme="minorHAnsi"/>
          <w:sz w:val="24"/>
          <w:lang w:val="en-GB" w:bidi="en-GB"/>
        </w:rPr>
        <w:t>In particular, the audit examined whether the repairs, modernisation and development of the class II and class III roads had been efficient, effective and economic (hereinafter “3E”). At the same time, compliance with legislation related to the audited issue was verified.</w:t>
      </w:r>
    </w:p>
    <w:p w14:paraId="4370C304" w14:textId="77777777" w:rsidR="00D86736" w:rsidRPr="00A91A09" w:rsidRDefault="00D86736" w:rsidP="00D86736">
      <w:pPr>
        <w:spacing w:after="0" w:line="240" w:lineRule="auto"/>
        <w:jc w:val="both"/>
        <w:rPr>
          <w:rFonts w:cstheme="minorHAnsi"/>
          <w:sz w:val="24"/>
          <w:szCs w:val="24"/>
          <w:lang w:val="en-GB"/>
        </w:rPr>
      </w:pPr>
    </w:p>
    <w:p w14:paraId="57F63709" w14:textId="58C21FE8" w:rsidR="00393DDB" w:rsidRPr="00A91A09" w:rsidRDefault="00393DDB" w:rsidP="00D86736">
      <w:pPr>
        <w:spacing w:after="0" w:line="240" w:lineRule="auto"/>
        <w:jc w:val="both"/>
        <w:rPr>
          <w:rFonts w:cstheme="minorHAnsi"/>
          <w:sz w:val="24"/>
          <w:szCs w:val="24"/>
          <w:lang w:val="en-GB"/>
        </w:rPr>
      </w:pPr>
      <w:r w:rsidRPr="00A91A09">
        <w:rPr>
          <w:rFonts w:cstheme="minorHAnsi"/>
          <w:sz w:val="24"/>
          <w:lang w:val="en-GB" w:bidi="en-GB"/>
        </w:rPr>
        <w:t xml:space="preserve">The SAO audited two fund providers – the </w:t>
      </w:r>
      <w:r w:rsidR="004D23C2">
        <w:rPr>
          <w:rFonts w:cstheme="minorHAnsi"/>
          <w:sz w:val="24"/>
          <w:lang w:val="en-GB" w:bidi="en-GB"/>
        </w:rPr>
        <w:t>SFDI</w:t>
      </w:r>
      <w:r w:rsidRPr="00A91A09">
        <w:rPr>
          <w:rFonts w:cstheme="minorHAnsi"/>
          <w:sz w:val="24"/>
          <w:lang w:val="en-GB" w:bidi="en-GB"/>
        </w:rPr>
        <w:t xml:space="preserve"> and the RCSW – and 7 beneficiaries, examining 39 projects in the total financial volume of CZK 741,323,197.</w:t>
      </w:r>
    </w:p>
    <w:p w14:paraId="1BAA3228" w14:textId="77777777" w:rsidR="00D86736" w:rsidRPr="00A91A09" w:rsidRDefault="00D86736" w:rsidP="00D86736">
      <w:pPr>
        <w:spacing w:after="0" w:line="240" w:lineRule="auto"/>
        <w:jc w:val="both"/>
        <w:rPr>
          <w:rFonts w:cstheme="minorHAnsi"/>
          <w:bCs/>
          <w:iCs/>
          <w:sz w:val="24"/>
          <w:szCs w:val="24"/>
          <w:lang w:val="en-GB"/>
        </w:rPr>
      </w:pPr>
    </w:p>
    <w:p w14:paraId="6B52F2DC" w14:textId="77777777" w:rsidR="00D337BC" w:rsidRPr="00A91A09" w:rsidRDefault="00D337BC" w:rsidP="00D86736">
      <w:pPr>
        <w:spacing w:after="0" w:line="240" w:lineRule="auto"/>
        <w:jc w:val="both"/>
        <w:rPr>
          <w:rFonts w:cstheme="minorHAnsi"/>
          <w:bCs/>
          <w:iCs/>
          <w:sz w:val="24"/>
          <w:szCs w:val="24"/>
          <w:lang w:val="en-GB"/>
        </w:rPr>
      </w:pPr>
      <w:r w:rsidRPr="00A91A09">
        <w:rPr>
          <w:rFonts w:cstheme="minorHAnsi"/>
          <w:sz w:val="24"/>
          <w:lang w:val="en-GB" w:bidi="en-GB"/>
        </w:rPr>
        <w:t>The audit of the SAO also revealed the share of financial resources of some regions in the financing of repairs, modernisation and development of class II and class III roads but it could not verify this information because the SAO’s competence does not allow for the verification of the financial management of the regions.</w:t>
      </w:r>
    </w:p>
    <w:p w14:paraId="683BC2F4" w14:textId="77777777" w:rsidR="00D337BC" w:rsidRPr="00A91A09" w:rsidRDefault="00D337BC" w:rsidP="00D86736">
      <w:pPr>
        <w:spacing w:after="0" w:line="240" w:lineRule="auto"/>
        <w:jc w:val="both"/>
        <w:rPr>
          <w:rFonts w:eastAsia="Times New Roman" w:cstheme="minorHAnsi"/>
          <w:sz w:val="24"/>
          <w:szCs w:val="24"/>
          <w:lang w:val="en-GB" w:eastAsia="cs-CZ"/>
        </w:rPr>
      </w:pPr>
    </w:p>
    <w:p w14:paraId="57B2ED2C" w14:textId="77777777" w:rsidR="00393DDB" w:rsidRPr="00A91A09" w:rsidRDefault="00393DDB" w:rsidP="00D86736">
      <w:pPr>
        <w:spacing w:after="0" w:line="240" w:lineRule="auto"/>
        <w:jc w:val="both"/>
        <w:rPr>
          <w:rFonts w:eastAsia="Times New Roman" w:cstheme="minorHAnsi"/>
          <w:b/>
          <w:sz w:val="24"/>
          <w:szCs w:val="24"/>
          <w:lang w:val="en-GB" w:eastAsia="cs-CZ"/>
        </w:rPr>
      </w:pPr>
      <w:r w:rsidRPr="00A91A09">
        <w:rPr>
          <w:rFonts w:cstheme="minorHAnsi"/>
          <w:b/>
          <w:sz w:val="24"/>
          <w:lang w:val="en-GB" w:bidi="en-GB"/>
        </w:rPr>
        <w:t xml:space="preserve">Comparison of some parameters from similar audits </w:t>
      </w:r>
    </w:p>
    <w:p w14:paraId="0641855C" w14:textId="77777777" w:rsidR="00D86736" w:rsidRPr="00A91A09" w:rsidRDefault="00D86736" w:rsidP="00D86736">
      <w:pPr>
        <w:spacing w:after="0" w:line="240" w:lineRule="auto"/>
        <w:jc w:val="both"/>
        <w:rPr>
          <w:rFonts w:eastAsia="Times New Roman" w:cstheme="minorHAnsi"/>
          <w:sz w:val="24"/>
          <w:szCs w:val="24"/>
          <w:lang w:val="en-GB" w:eastAsia="cs-CZ"/>
        </w:rPr>
      </w:pPr>
    </w:p>
    <w:p w14:paraId="1AA5BBC4" w14:textId="0131B1C3" w:rsidR="00393DDB" w:rsidRPr="00A91A09" w:rsidRDefault="00393DDB" w:rsidP="00D86736">
      <w:pPr>
        <w:spacing w:after="0" w:line="240" w:lineRule="auto"/>
        <w:jc w:val="both"/>
        <w:rPr>
          <w:rFonts w:eastAsia="Times New Roman" w:cstheme="minorHAnsi"/>
          <w:sz w:val="24"/>
          <w:szCs w:val="24"/>
          <w:lang w:val="en-GB" w:eastAsia="cs-CZ"/>
        </w:rPr>
      </w:pPr>
      <w:r w:rsidRPr="00A91A09">
        <w:rPr>
          <w:rFonts w:cstheme="minorHAnsi"/>
          <w:sz w:val="24"/>
          <w:lang w:val="en-GB" w:bidi="en-GB"/>
        </w:rPr>
        <w:t>The SAO took advantage of the fact that the Supreme Audit Office of the Slovak Republic (also referred to as the “SAO SR”) had carried out an audit in 2014 focused on the processes related to the maintenance, repair and development of networks of class II and class III roads managed by higher territorial self-governing units in Slovakia (hereinafter “HTU”). The audit results were published in the Summary Report</w:t>
      </w:r>
      <w:r w:rsidRPr="00A91A09">
        <w:rPr>
          <w:rFonts w:cstheme="minorHAnsi"/>
          <w:sz w:val="24"/>
          <w:vertAlign w:val="superscript"/>
          <w:lang w:val="en-GB" w:bidi="en-GB"/>
        </w:rPr>
        <w:footnoteReference w:id="6"/>
      </w:r>
      <w:r w:rsidRPr="00A91A09">
        <w:rPr>
          <w:rFonts w:cstheme="minorHAnsi"/>
          <w:sz w:val="24"/>
          <w:lang w:val="en-GB" w:bidi="en-GB"/>
        </w:rPr>
        <w:t xml:space="preserve"> entitled </w:t>
      </w:r>
      <w:r w:rsidRPr="00A91A09">
        <w:rPr>
          <w:rFonts w:cstheme="minorHAnsi"/>
          <w:i/>
          <w:sz w:val="24"/>
          <w:lang w:val="en-GB" w:bidi="en-GB"/>
        </w:rPr>
        <w:t>“Summary report on the outcome of the audit of the economy, efficiency and effectiveness of the funds spent on the construction, repair and maintenance of the roads managed by HTU and the tasks resulting for the HTU therefrom”</w:t>
      </w:r>
      <w:r w:rsidRPr="00A91A09">
        <w:rPr>
          <w:rFonts w:cstheme="minorHAnsi"/>
          <w:sz w:val="24"/>
          <w:lang w:val="en-GB" w:bidi="en-GB"/>
        </w:rPr>
        <w:t xml:space="preserve"> (hereinafter the “Summary Report”), and some of the findings were compared with the results of Audit No. 17/09.</w:t>
      </w:r>
    </w:p>
    <w:p w14:paraId="63212186" w14:textId="77777777" w:rsidR="00D86736" w:rsidRPr="00A91A09" w:rsidRDefault="00D86736" w:rsidP="00D86736">
      <w:pPr>
        <w:spacing w:after="0" w:line="240" w:lineRule="auto"/>
        <w:jc w:val="both"/>
        <w:rPr>
          <w:rFonts w:eastAsia="Times New Roman" w:cstheme="minorHAnsi"/>
          <w:sz w:val="24"/>
          <w:szCs w:val="24"/>
          <w:lang w:val="en-GB" w:eastAsia="cs-CZ"/>
        </w:rPr>
      </w:pPr>
    </w:p>
    <w:p w14:paraId="090FEAEC" w14:textId="6088700C" w:rsidR="00393DDB" w:rsidRPr="00A91A09" w:rsidRDefault="00393DDB" w:rsidP="00D86736">
      <w:pPr>
        <w:spacing w:after="0" w:line="240" w:lineRule="auto"/>
        <w:jc w:val="both"/>
        <w:rPr>
          <w:rFonts w:cstheme="minorHAnsi"/>
          <w:b/>
          <w:sz w:val="24"/>
          <w:szCs w:val="24"/>
          <w:lang w:val="en-GB"/>
        </w:rPr>
      </w:pPr>
      <w:r w:rsidRPr="00A91A09">
        <w:rPr>
          <w:rFonts w:cstheme="minorHAnsi"/>
          <w:b/>
          <w:sz w:val="24"/>
          <w:lang w:val="en-GB" w:bidi="en-GB"/>
        </w:rPr>
        <w:t xml:space="preserve">The comparison showed a different involvement of sources of funds and a different average cost of 1 km of reconstructed class II and class III roads. While the lower threshold </w:t>
      </w:r>
      <w:r w:rsidRPr="00A91A09">
        <w:rPr>
          <w:rFonts w:cstheme="minorHAnsi"/>
          <w:b/>
          <w:sz w:val="24"/>
          <w:lang w:val="en-GB" w:bidi="en-GB"/>
        </w:rPr>
        <w:lastRenderedPageBreak/>
        <w:t>of the price range of the offered prices per 1 km is comparable in both cases, the upper threshold was more than double for Czech beneficiaries.</w:t>
      </w:r>
    </w:p>
    <w:p w14:paraId="42B42006" w14:textId="77777777" w:rsidR="00D86736" w:rsidRPr="00A91A09" w:rsidRDefault="00D86736" w:rsidP="00D86736">
      <w:pPr>
        <w:spacing w:after="0" w:line="240" w:lineRule="auto"/>
        <w:jc w:val="both"/>
        <w:rPr>
          <w:rFonts w:cstheme="minorHAnsi"/>
          <w:bCs/>
          <w:iCs/>
          <w:sz w:val="24"/>
          <w:szCs w:val="24"/>
          <w:lang w:val="en-GB"/>
        </w:rPr>
      </w:pPr>
    </w:p>
    <w:p w14:paraId="133D5A2D" w14:textId="77777777" w:rsidR="00D86736" w:rsidRPr="00A91A09" w:rsidRDefault="00393DDB" w:rsidP="00D86736">
      <w:pPr>
        <w:spacing w:after="0" w:line="240" w:lineRule="auto"/>
        <w:jc w:val="both"/>
        <w:rPr>
          <w:rFonts w:cstheme="minorHAnsi"/>
          <w:bCs/>
          <w:iCs/>
          <w:sz w:val="24"/>
          <w:szCs w:val="24"/>
          <w:lang w:val="en-GB"/>
        </w:rPr>
      </w:pPr>
      <w:r w:rsidRPr="00A91A09">
        <w:rPr>
          <w:rFonts w:cstheme="minorHAnsi"/>
          <w:sz w:val="24"/>
          <w:lang w:val="en-GB" w:bidi="en-GB"/>
        </w:rPr>
        <w:t>The main source of funding for the maintenance, repair and development of networks of class II and class III roads in the Slovak Republic is the tax revenue from motor vehicles, which is the income of individual regions. The use of these funds is subject to audit by the SAO SR.</w:t>
      </w:r>
    </w:p>
    <w:p w14:paraId="33B93B94" w14:textId="77777777" w:rsidR="00D86736" w:rsidRPr="00A91A09" w:rsidRDefault="00D86736" w:rsidP="00D86736">
      <w:pPr>
        <w:spacing w:after="0" w:line="240" w:lineRule="auto"/>
        <w:jc w:val="both"/>
        <w:rPr>
          <w:rFonts w:cstheme="minorHAnsi"/>
          <w:bCs/>
          <w:iCs/>
          <w:sz w:val="24"/>
          <w:szCs w:val="24"/>
          <w:lang w:val="en-GB"/>
        </w:rPr>
      </w:pPr>
    </w:p>
    <w:p w14:paraId="642F5E53" w14:textId="77777777" w:rsidR="00393DDB" w:rsidRPr="00A91A09" w:rsidRDefault="00393DDB" w:rsidP="00D86736">
      <w:pPr>
        <w:spacing w:after="0" w:line="240" w:lineRule="auto"/>
        <w:jc w:val="both"/>
        <w:rPr>
          <w:rFonts w:eastAsia="Times New Roman" w:cstheme="minorHAnsi"/>
          <w:sz w:val="24"/>
          <w:szCs w:val="24"/>
          <w:lang w:val="en-GB" w:eastAsia="cs-CZ"/>
        </w:rPr>
      </w:pPr>
      <w:r w:rsidRPr="00A91A09">
        <w:rPr>
          <w:rFonts w:cstheme="minorHAnsi"/>
          <w:sz w:val="24"/>
          <w:lang w:val="en-GB" w:bidi="en-GB"/>
        </w:rPr>
        <w:t>More detailed information on the results of the audit of the SAO SR and their partial comparison with the results of Audit No. 17/09 are given in Annex 1.</w:t>
      </w:r>
    </w:p>
    <w:p w14:paraId="084293E3" w14:textId="77777777" w:rsidR="00421AF7" w:rsidRPr="00A91A09" w:rsidRDefault="00421AF7" w:rsidP="00D86736">
      <w:pPr>
        <w:spacing w:after="0" w:line="240" w:lineRule="auto"/>
        <w:rPr>
          <w:rFonts w:cstheme="minorHAnsi"/>
          <w:sz w:val="24"/>
          <w:szCs w:val="24"/>
          <w:lang w:val="en-GB"/>
        </w:rPr>
      </w:pPr>
    </w:p>
    <w:p w14:paraId="7D3016FF" w14:textId="77777777" w:rsidR="00D86736" w:rsidRPr="00A91A09" w:rsidRDefault="00D86736" w:rsidP="00610162">
      <w:pPr>
        <w:spacing w:after="0" w:line="240" w:lineRule="auto"/>
        <w:rPr>
          <w:rFonts w:cstheme="minorHAnsi"/>
          <w:sz w:val="24"/>
          <w:szCs w:val="24"/>
          <w:lang w:val="en-GB"/>
        </w:rPr>
      </w:pPr>
    </w:p>
    <w:p w14:paraId="38EF22EF" w14:textId="77777777" w:rsidR="00610162" w:rsidRPr="00A91A09" w:rsidRDefault="00610162" w:rsidP="00610162">
      <w:pPr>
        <w:spacing w:after="0" w:line="240" w:lineRule="auto"/>
        <w:ind w:left="567" w:hanging="567"/>
        <w:rPr>
          <w:rFonts w:cstheme="minorHAnsi"/>
          <w:sz w:val="20"/>
          <w:szCs w:val="28"/>
          <w:lang w:val="en-GB"/>
        </w:rPr>
      </w:pPr>
      <w:r w:rsidRPr="00A91A09">
        <w:rPr>
          <w:rFonts w:cstheme="minorHAnsi"/>
          <w:b/>
          <w:sz w:val="20"/>
          <w:lang w:val="en-GB" w:bidi="en-GB"/>
        </w:rPr>
        <w:t>Note:</w:t>
      </w:r>
      <w:r w:rsidRPr="00A91A09">
        <w:rPr>
          <w:rFonts w:cstheme="minorHAnsi"/>
          <w:b/>
          <w:sz w:val="20"/>
          <w:lang w:val="en-GB" w:bidi="en-GB"/>
        </w:rPr>
        <w:tab/>
      </w:r>
      <w:r w:rsidRPr="00A91A09">
        <w:rPr>
          <w:rFonts w:cstheme="minorHAnsi"/>
          <w:sz w:val="20"/>
          <w:lang w:val="en-GB" w:bidi="en-GB"/>
        </w:rPr>
        <w:t>The legal regulations contained in this Audit Conclusion are applied in the version effective for the period under review.</w:t>
      </w:r>
    </w:p>
    <w:p w14:paraId="491BECB0" w14:textId="77777777" w:rsidR="00610162" w:rsidRPr="00A91A09" w:rsidRDefault="00610162" w:rsidP="00610162">
      <w:pPr>
        <w:spacing w:after="0" w:line="240" w:lineRule="auto"/>
        <w:rPr>
          <w:rFonts w:cstheme="minorHAnsi"/>
          <w:sz w:val="24"/>
          <w:szCs w:val="24"/>
          <w:lang w:val="en-GB"/>
        </w:rPr>
      </w:pPr>
    </w:p>
    <w:p w14:paraId="4F53E8D0" w14:textId="77777777" w:rsidR="00610162" w:rsidRPr="00A91A09" w:rsidRDefault="00610162" w:rsidP="00610162">
      <w:pPr>
        <w:spacing w:after="0" w:line="240" w:lineRule="auto"/>
        <w:rPr>
          <w:rFonts w:cstheme="minorHAnsi"/>
          <w:sz w:val="24"/>
          <w:szCs w:val="24"/>
          <w:lang w:val="en-GB"/>
        </w:rPr>
      </w:pPr>
    </w:p>
    <w:p w14:paraId="61175B56" w14:textId="77777777" w:rsidR="00B95AC4" w:rsidRPr="00A91A09" w:rsidRDefault="00B95AC4" w:rsidP="00B95AC4">
      <w:pPr>
        <w:spacing w:after="0" w:line="240" w:lineRule="auto"/>
        <w:jc w:val="center"/>
        <w:rPr>
          <w:rFonts w:cstheme="minorHAnsi"/>
          <w:b/>
          <w:sz w:val="28"/>
          <w:szCs w:val="28"/>
          <w:lang w:val="en-GB"/>
        </w:rPr>
      </w:pPr>
      <w:r w:rsidRPr="00A91A09">
        <w:rPr>
          <w:rFonts w:cstheme="minorHAnsi"/>
          <w:b/>
          <w:sz w:val="28"/>
          <w:lang w:val="en-GB" w:bidi="en-GB"/>
        </w:rPr>
        <w:t>II. Summary and evaluation of facts found during the audit</w:t>
      </w:r>
    </w:p>
    <w:p w14:paraId="5817E209" w14:textId="77777777" w:rsidR="00B95AC4" w:rsidRPr="00A91A09" w:rsidRDefault="00B95AC4" w:rsidP="00B95AC4">
      <w:pPr>
        <w:spacing w:after="0" w:line="240" w:lineRule="auto"/>
        <w:rPr>
          <w:rFonts w:cstheme="minorHAnsi"/>
          <w:sz w:val="24"/>
          <w:szCs w:val="24"/>
          <w:lang w:val="en-GB"/>
        </w:rPr>
      </w:pPr>
    </w:p>
    <w:p w14:paraId="27474D69" w14:textId="2F1F33EF" w:rsidR="00FE38AD" w:rsidRPr="00A91A09" w:rsidRDefault="009B113F" w:rsidP="00F12A91">
      <w:pPr>
        <w:pStyle w:val="Bezmezer"/>
        <w:jc w:val="both"/>
        <w:rPr>
          <w:rFonts w:cstheme="minorHAnsi"/>
          <w:sz w:val="24"/>
          <w:szCs w:val="24"/>
          <w:lang w:val="en-GB"/>
        </w:rPr>
      </w:pPr>
      <w:r w:rsidRPr="00A91A09">
        <w:rPr>
          <w:rFonts w:cstheme="minorHAnsi"/>
          <w:sz w:val="24"/>
          <w:lang w:val="en-GB" w:bidi="en-GB"/>
        </w:rPr>
        <w:t xml:space="preserve">The financing of repairs, modernisation and development of class II and class III roads under the </w:t>
      </w:r>
      <w:r w:rsidR="004D23C2">
        <w:rPr>
          <w:rFonts w:cstheme="minorHAnsi"/>
          <w:sz w:val="24"/>
          <w:lang w:val="en-GB" w:bidi="en-GB"/>
        </w:rPr>
        <w:t>SFDI</w:t>
      </w:r>
      <w:r w:rsidRPr="00A91A09">
        <w:rPr>
          <w:rFonts w:cstheme="minorHAnsi"/>
          <w:sz w:val="24"/>
          <w:lang w:val="en-GB" w:bidi="en-GB"/>
        </w:rPr>
        <w:t xml:space="preserve">, unlike the EU funding method, was a non-systemic solution initially designed for one year. </w:t>
      </w:r>
    </w:p>
    <w:p w14:paraId="75717C53" w14:textId="77777777" w:rsidR="00FE38AD" w:rsidRPr="00A91A09" w:rsidRDefault="00FE38AD" w:rsidP="00F12A91">
      <w:pPr>
        <w:pStyle w:val="Bezmezer"/>
        <w:jc w:val="both"/>
        <w:rPr>
          <w:rFonts w:cstheme="minorHAnsi"/>
          <w:sz w:val="24"/>
          <w:szCs w:val="24"/>
          <w:lang w:val="en-GB"/>
        </w:rPr>
      </w:pPr>
    </w:p>
    <w:p w14:paraId="1DBB6B6C" w14:textId="77777777" w:rsidR="005472FA" w:rsidRPr="00A91A09" w:rsidRDefault="00AC006D" w:rsidP="00F12A91">
      <w:pPr>
        <w:pStyle w:val="Bezmezer"/>
        <w:jc w:val="both"/>
        <w:rPr>
          <w:rFonts w:cstheme="minorHAnsi"/>
          <w:sz w:val="24"/>
          <w:szCs w:val="24"/>
          <w:lang w:val="en-GB"/>
        </w:rPr>
      </w:pPr>
      <w:r w:rsidRPr="00A91A09">
        <w:rPr>
          <w:rFonts w:cstheme="minorHAnsi"/>
          <w:sz w:val="24"/>
          <w:lang w:val="en-GB" w:bidi="en-GB"/>
        </w:rPr>
        <w:t>The audit did not prove that the funds in the audited sample had been spent ineffectively. In some cases, however, the projects lacked objectively measurable and verifiable goals. Beneficiaries of the subsidies in most cases complied with the rules and conditions for the use of the EU and national funds.</w:t>
      </w:r>
    </w:p>
    <w:p w14:paraId="3A14DE09" w14:textId="77777777" w:rsidR="005472FA" w:rsidRPr="00A91A09" w:rsidRDefault="005472FA" w:rsidP="00B95AC4">
      <w:pPr>
        <w:pStyle w:val="Bezmezer"/>
        <w:jc w:val="both"/>
        <w:rPr>
          <w:rFonts w:cstheme="minorHAnsi"/>
          <w:sz w:val="24"/>
          <w:szCs w:val="24"/>
          <w:lang w:val="en-GB"/>
        </w:rPr>
      </w:pPr>
    </w:p>
    <w:p w14:paraId="4D96C3E7" w14:textId="57C722B4" w:rsidR="00B95AC4" w:rsidRPr="00A91A09" w:rsidRDefault="00B95AC4" w:rsidP="00B95239">
      <w:pPr>
        <w:pStyle w:val="Bezmezer"/>
        <w:jc w:val="both"/>
        <w:rPr>
          <w:rFonts w:cstheme="minorHAnsi"/>
          <w:sz w:val="24"/>
          <w:szCs w:val="24"/>
          <w:lang w:val="en-GB"/>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did not set specific measurable objectives as part of the financing of repairs, modernisation and development of class II and class III roads, only defined the purpose of the financing, which was the repair, reconstruction and modernisation of these roads. The </w:t>
      </w:r>
      <w:r w:rsidR="004D23C2">
        <w:rPr>
          <w:rFonts w:cstheme="minorHAnsi"/>
          <w:sz w:val="24"/>
          <w:lang w:val="en-GB" w:bidi="en-GB"/>
        </w:rPr>
        <w:t>SFDI</w:t>
      </w:r>
      <w:r w:rsidRPr="00A91A09">
        <w:rPr>
          <w:rFonts w:cstheme="minorHAnsi"/>
          <w:sz w:val="24"/>
          <w:lang w:val="en-GB" w:bidi="en-GB"/>
        </w:rPr>
        <w:t xml:space="preserve"> did not evaluate the overall contribution of the funding, the scope of class II and class III roads quality improvement or the effectiveness of the implemented actions.</w:t>
      </w:r>
    </w:p>
    <w:p w14:paraId="2BE65D72" w14:textId="77777777" w:rsidR="00B95AC4" w:rsidRPr="00A91A09" w:rsidRDefault="00B95AC4" w:rsidP="00B95AC4">
      <w:pPr>
        <w:spacing w:after="0" w:line="240" w:lineRule="auto"/>
        <w:jc w:val="both"/>
        <w:rPr>
          <w:rFonts w:cstheme="minorHAnsi"/>
          <w:sz w:val="24"/>
          <w:szCs w:val="24"/>
          <w:lang w:val="en-GB"/>
        </w:rPr>
      </w:pPr>
    </w:p>
    <w:p w14:paraId="3F9BA0CD" w14:textId="2095F7F5" w:rsidR="00FE38AD" w:rsidRPr="00A91A09" w:rsidRDefault="00B95AC4" w:rsidP="00AC006D">
      <w:pPr>
        <w:spacing w:after="0" w:line="240" w:lineRule="auto"/>
        <w:jc w:val="both"/>
        <w:rPr>
          <w:rFonts w:cstheme="minorHAnsi"/>
          <w:sz w:val="24"/>
          <w:szCs w:val="24"/>
          <w:lang w:val="en-GB"/>
        </w:rPr>
      </w:pPr>
      <w:r w:rsidRPr="00A91A09">
        <w:rPr>
          <w:rFonts w:cstheme="minorHAnsi"/>
          <w:sz w:val="24"/>
          <w:lang w:val="en-GB" w:bidi="en-GB"/>
        </w:rPr>
        <w:t xml:space="preserve">Beneficiaries of the subsidies did not systematically evaluate the unit costs for the repairs, modernisation and development of class II and class III roads. The </w:t>
      </w:r>
      <w:r w:rsidR="00C566C3">
        <w:rPr>
          <w:rFonts w:cstheme="minorHAnsi"/>
          <w:sz w:val="24"/>
          <w:lang w:val="en-GB" w:bidi="en-GB"/>
        </w:rPr>
        <w:t>auditees</w:t>
      </w:r>
      <w:r w:rsidRPr="00A91A09">
        <w:rPr>
          <w:rFonts w:cstheme="minorHAnsi"/>
          <w:sz w:val="24"/>
          <w:lang w:val="en-GB" w:bidi="en-GB"/>
        </w:rPr>
        <w:t xml:space="preserve"> had not created a reliable and effective tool for assessing the expected values of public contracts. Determining the expected values of public contracts was left to the external providers of project documentation, and the </w:t>
      </w:r>
      <w:r w:rsidR="00C566C3">
        <w:rPr>
          <w:rFonts w:cstheme="minorHAnsi"/>
          <w:sz w:val="24"/>
          <w:lang w:val="en-GB" w:bidi="en-GB"/>
        </w:rPr>
        <w:t>auditees</w:t>
      </w:r>
      <w:r w:rsidRPr="00A91A09">
        <w:rPr>
          <w:rFonts w:cstheme="minorHAnsi"/>
          <w:sz w:val="24"/>
          <w:lang w:val="en-GB" w:bidi="en-GB"/>
        </w:rPr>
        <w:t xml:space="preserve"> did not verify how realistically the expected value of the contract had been determined. </w:t>
      </w:r>
    </w:p>
    <w:p w14:paraId="5074AFC3" w14:textId="77777777" w:rsidR="00FE38AD" w:rsidRPr="00A91A09" w:rsidRDefault="00FE38AD" w:rsidP="00AC006D">
      <w:pPr>
        <w:spacing w:after="0" w:line="240" w:lineRule="auto"/>
        <w:jc w:val="both"/>
        <w:rPr>
          <w:rFonts w:cstheme="minorHAnsi"/>
          <w:sz w:val="24"/>
          <w:szCs w:val="24"/>
          <w:lang w:val="en-GB"/>
        </w:rPr>
      </w:pPr>
    </w:p>
    <w:p w14:paraId="2787BD22" w14:textId="64219C5A" w:rsidR="00AC006D" w:rsidRPr="00A91A09" w:rsidRDefault="00AC006D" w:rsidP="00AC006D">
      <w:pPr>
        <w:spacing w:after="0" w:line="240" w:lineRule="auto"/>
        <w:jc w:val="both"/>
        <w:rPr>
          <w:rFonts w:cstheme="minorHAnsi"/>
          <w:sz w:val="24"/>
          <w:szCs w:val="24"/>
          <w:lang w:val="en-GB"/>
        </w:rPr>
      </w:pPr>
      <w:r w:rsidRPr="00A91A09">
        <w:rPr>
          <w:rFonts w:cstheme="minorHAnsi"/>
          <w:sz w:val="24"/>
          <w:lang w:val="en-GB" w:bidi="en-GB"/>
        </w:rPr>
        <w:t>Cases of a large decline in bid prices over the projected public contract values do not necessarily mean an economical use of funds, but may also point to an incorrectly stated amount of the expected value of the public contract.</w:t>
      </w:r>
    </w:p>
    <w:p w14:paraId="1D6F8D68" w14:textId="77777777" w:rsidR="00B95AC4" w:rsidRPr="00A91A09" w:rsidRDefault="00B95AC4" w:rsidP="00B95AC4">
      <w:pPr>
        <w:spacing w:after="0" w:line="240" w:lineRule="auto"/>
        <w:jc w:val="both"/>
        <w:rPr>
          <w:rFonts w:cstheme="minorHAnsi"/>
          <w:sz w:val="24"/>
          <w:szCs w:val="24"/>
          <w:lang w:val="en-GB"/>
        </w:rPr>
      </w:pPr>
    </w:p>
    <w:p w14:paraId="5F5EECC0" w14:textId="77777777" w:rsidR="00B92A08" w:rsidRPr="00A91A09" w:rsidRDefault="00B92A08" w:rsidP="00D86736">
      <w:pPr>
        <w:spacing w:after="0" w:line="240" w:lineRule="auto"/>
        <w:jc w:val="center"/>
        <w:rPr>
          <w:rFonts w:cstheme="minorHAnsi"/>
          <w:b/>
          <w:sz w:val="24"/>
          <w:lang w:val="en-GB" w:bidi="en-GB"/>
        </w:rPr>
      </w:pPr>
    </w:p>
    <w:p w14:paraId="34095A37" w14:textId="77777777" w:rsidR="00B92A08" w:rsidRPr="00A91A09" w:rsidRDefault="00B92A08" w:rsidP="00D86736">
      <w:pPr>
        <w:spacing w:after="0" w:line="240" w:lineRule="auto"/>
        <w:jc w:val="center"/>
        <w:rPr>
          <w:rFonts w:cstheme="minorHAnsi"/>
          <w:b/>
          <w:sz w:val="24"/>
          <w:lang w:val="en-GB" w:bidi="en-GB"/>
        </w:rPr>
      </w:pPr>
    </w:p>
    <w:p w14:paraId="78323B30" w14:textId="77777777" w:rsidR="00B92A08" w:rsidRPr="00A91A09" w:rsidRDefault="00B92A08" w:rsidP="00D86736">
      <w:pPr>
        <w:spacing w:after="0" w:line="240" w:lineRule="auto"/>
        <w:jc w:val="center"/>
        <w:rPr>
          <w:rFonts w:cstheme="minorHAnsi"/>
          <w:b/>
          <w:sz w:val="24"/>
          <w:lang w:val="en-GB" w:bidi="en-GB"/>
        </w:rPr>
      </w:pPr>
    </w:p>
    <w:p w14:paraId="5B909044" w14:textId="65D6B031" w:rsidR="00B95AC4" w:rsidRPr="00A91A09" w:rsidRDefault="00B95AC4" w:rsidP="00D86736">
      <w:pPr>
        <w:spacing w:after="0" w:line="240" w:lineRule="auto"/>
        <w:jc w:val="center"/>
        <w:rPr>
          <w:rFonts w:cstheme="minorHAnsi"/>
          <w:b/>
          <w:sz w:val="24"/>
          <w:szCs w:val="24"/>
          <w:lang w:val="en-GB"/>
        </w:rPr>
      </w:pPr>
      <w:r w:rsidRPr="00A91A09">
        <w:rPr>
          <w:rFonts w:cstheme="minorHAnsi"/>
          <w:b/>
          <w:sz w:val="24"/>
          <w:lang w:val="en-GB" w:bidi="en-GB"/>
        </w:rPr>
        <w:lastRenderedPageBreak/>
        <w:t>Identified risks</w:t>
      </w:r>
    </w:p>
    <w:p w14:paraId="53FB7777" w14:textId="77777777" w:rsidR="00B95AC4" w:rsidRPr="00A91A09" w:rsidRDefault="00B95AC4" w:rsidP="00D86736">
      <w:pPr>
        <w:spacing w:after="0" w:line="240" w:lineRule="auto"/>
        <w:rPr>
          <w:rFonts w:cstheme="minorHAnsi"/>
          <w:b/>
          <w:sz w:val="24"/>
          <w:szCs w:val="24"/>
          <w:lang w:val="en-GB"/>
        </w:rPr>
      </w:pPr>
    </w:p>
    <w:p w14:paraId="7122E63F" w14:textId="02312180" w:rsidR="00B95AC4" w:rsidRPr="00A91A09" w:rsidRDefault="00FC2EC8" w:rsidP="00D86736">
      <w:pPr>
        <w:pStyle w:val="Odstavecseseznamem"/>
        <w:numPr>
          <w:ilvl w:val="0"/>
          <w:numId w:val="22"/>
        </w:numPr>
        <w:tabs>
          <w:tab w:val="left" w:pos="284"/>
        </w:tabs>
        <w:ind w:left="0" w:firstLine="0"/>
        <w:jc w:val="both"/>
        <w:rPr>
          <w:rFonts w:asciiTheme="minorHAnsi" w:hAnsiTheme="minorHAnsi" w:cstheme="minorHAnsi"/>
          <w:b/>
          <w:lang w:val="en-GB"/>
        </w:rPr>
      </w:pPr>
      <w:r w:rsidRPr="00A91A09">
        <w:rPr>
          <w:rFonts w:asciiTheme="minorHAnsi" w:hAnsiTheme="minorHAnsi" w:cstheme="minorHAnsi"/>
          <w:b/>
          <w:lang w:val="en-GB" w:bidi="en-GB"/>
        </w:rPr>
        <w:t>Financing of repairs, modernisation and development of class II and class III roads may continue in a non-systemic way in the years to come, as the state’s funding in this area has not yet been fully assessed and defined.</w:t>
      </w:r>
    </w:p>
    <w:p w14:paraId="62E7ECCE" w14:textId="77777777" w:rsidR="00B95AC4" w:rsidRPr="00A91A09" w:rsidRDefault="00B95AC4" w:rsidP="00D86736">
      <w:pPr>
        <w:spacing w:after="0" w:line="240" w:lineRule="auto"/>
        <w:jc w:val="both"/>
        <w:rPr>
          <w:rFonts w:cstheme="minorHAnsi"/>
          <w:b/>
          <w:sz w:val="24"/>
          <w:szCs w:val="24"/>
          <w:lang w:val="en-GB"/>
        </w:rPr>
      </w:pPr>
    </w:p>
    <w:p w14:paraId="767486A8" w14:textId="3A159627" w:rsidR="00397591" w:rsidRPr="00A91A09" w:rsidRDefault="00B95AC4" w:rsidP="00D86736">
      <w:pPr>
        <w:pStyle w:val="Odstavecseseznamem"/>
        <w:numPr>
          <w:ilvl w:val="0"/>
          <w:numId w:val="22"/>
        </w:numPr>
        <w:tabs>
          <w:tab w:val="left" w:pos="284"/>
        </w:tabs>
        <w:ind w:left="0" w:firstLine="0"/>
        <w:jc w:val="both"/>
        <w:rPr>
          <w:rFonts w:asciiTheme="minorHAnsi" w:hAnsiTheme="minorHAnsi" w:cstheme="minorHAnsi"/>
          <w:b/>
          <w:lang w:val="en-GB"/>
        </w:rPr>
      </w:pPr>
      <w:r w:rsidRPr="00A91A09">
        <w:rPr>
          <w:rFonts w:asciiTheme="minorHAnsi" w:hAnsiTheme="minorHAnsi" w:cstheme="minorHAnsi"/>
          <w:b/>
          <w:lang w:val="en-GB" w:bidi="en-GB"/>
        </w:rPr>
        <w:t>Lack of funds after the end of the 2014-2020 programming period may create additional pressure on non-systemic solutions.</w:t>
      </w:r>
    </w:p>
    <w:p w14:paraId="692E176E" w14:textId="4ECB25C7" w:rsidR="00B92A08" w:rsidRPr="00A91A09" w:rsidRDefault="00B92A08" w:rsidP="00B92A08">
      <w:pPr>
        <w:tabs>
          <w:tab w:val="left" w:pos="284"/>
        </w:tabs>
        <w:jc w:val="both"/>
        <w:rPr>
          <w:rFonts w:cstheme="minorHAnsi"/>
          <w:b/>
          <w:lang w:val="en-GB"/>
        </w:rPr>
      </w:pPr>
    </w:p>
    <w:p w14:paraId="7FC29B75" w14:textId="77777777" w:rsidR="00393DDB" w:rsidRPr="00A91A09" w:rsidRDefault="00393DDB" w:rsidP="00393DDB">
      <w:pPr>
        <w:spacing w:after="0" w:line="240" w:lineRule="auto"/>
        <w:jc w:val="center"/>
        <w:rPr>
          <w:rFonts w:eastAsia="Times New Roman" w:cstheme="minorHAnsi"/>
          <w:b/>
          <w:sz w:val="28"/>
          <w:szCs w:val="28"/>
          <w:lang w:val="en-GB" w:eastAsia="cs-CZ"/>
        </w:rPr>
      </w:pPr>
      <w:r w:rsidRPr="00A91A09">
        <w:rPr>
          <w:rFonts w:cstheme="minorHAnsi"/>
          <w:b/>
          <w:sz w:val="28"/>
          <w:lang w:val="en-GB" w:bidi="en-GB"/>
        </w:rPr>
        <w:t>III. Details of the findings</w:t>
      </w:r>
    </w:p>
    <w:p w14:paraId="67D2C725" w14:textId="77777777" w:rsidR="00393DDB" w:rsidRPr="00A91A09" w:rsidRDefault="00393DDB" w:rsidP="00D86736">
      <w:pPr>
        <w:spacing w:after="0" w:line="240" w:lineRule="auto"/>
        <w:jc w:val="both"/>
        <w:rPr>
          <w:rFonts w:eastAsia="Times New Roman" w:cstheme="minorHAnsi"/>
          <w:sz w:val="24"/>
          <w:szCs w:val="24"/>
          <w:lang w:val="en-GB" w:eastAsia="cs-CZ"/>
        </w:rPr>
      </w:pPr>
    </w:p>
    <w:p w14:paraId="1C2EC929" w14:textId="77777777" w:rsidR="00393DDB" w:rsidRPr="00A91A09" w:rsidRDefault="00393DDB" w:rsidP="00D86736">
      <w:pPr>
        <w:spacing w:after="0" w:line="240" w:lineRule="auto"/>
        <w:rPr>
          <w:rFonts w:eastAsia="Times New Roman" w:cstheme="minorHAnsi"/>
          <w:b/>
          <w:sz w:val="24"/>
          <w:szCs w:val="24"/>
          <w:lang w:val="en-GB"/>
        </w:rPr>
      </w:pPr>
      <w:r w:rsidRPr="00A91A09">
        <w:rPr>
          <w:rFonts w:cstheme="minorHAnsi"/>
          <w:b/>
          <w:sz w:val="24"/>
          <w:lang w:val="en-GB" w:bidi="en-GB"/>
        </w:rPr>
        <w:t>1. Evaluation of the procedure of subsidy providers</w:t>
      </w:r>
    </w:p>
    <w:p w14:paraId="49E7E0E4" w14:textId="77777777" w:rsidR="00D86736" w:rsidRPr="00A91A09" w:rsidRDefault="00D86736" w:rsidP="00D86736">
      <w:pPr>
        <w:spacing w:after="0" w:line="240" w:lineRule="auto"/>
        <w:rPr>
          <w:rFonts w:eastAsia="Times New Roman" w:cstheme="minorHAnsi"/>
          <w:b/>
          <w:sz w:val="24"/>
          <w:szCs w:val="24"/>
          <w:lang w:val="en-GB"/>
        </w:rPr>
      </w:pPr>
    </w:p>
    <w:p w14:paraId="5FAB711B" w14:textId="30614CF4" w:rsidR="00393DDB" w:rsidRPr="00A91A09" w:rsidRDefault="00393DDB" w:rsidP="00D86736">
      <w:pPr>
        <w:spacing w:after="0" w:line="240" w:lineRule="auto"/>
        <w:rPr>
          <w:rFonts w:eastAsia="Times New Roman" w:cstheme="minorHAnsi"/>
          <w:b/>
          <w:sz w:val="24"/>
          <w:szCs w:val="24"/>
          <w:lang w:val="en-GB"/>
        </w:rPr>
      </w:pPr>
      <w:r w:rsidRPr="00A91A09">
        <w:rPr>
          <w:rFonts w:cstheme="minorHAnsi"/>
          <w:b/>
          <w:sz w:val="24"/>
          <w:lang w:val="en-GB" w:bidi="en-GB"/>
        </w:rPr>
        <w:t xml:space="preserve">1.1 </w:t>
      </w:r>
      <w:r w:rsidR="004D23C2">
        <w:rPr>
          <w:rFonts w:cstheme="minorHAnsi"/>
          <w:b/>
          <w:sz w:val="24"/>
          <w:lang w:val="en-GB" w:bidi="en-GB"/>
        </w:rPr>
        <w:t>SFDI</w:t>
      </w:r>
    </w:p>
    <w:p w14:paraId="4F1EF053" w14:textId="77777777" w:rsidR="00D86736" w:rsidRPr="00A91A09" w:rsidRDefault="00D86736" w:rsidP="00D86736">
      <w:pPr>
        <w:spacing w:after="0" w:line="240" w:lineRule="auto"/>
        <w:rPr>
          <w:rFonts w:cstheme="minorHAnsi"/>
          <w:b/>
          <w:sz w:val="24"/>
          <w:szCs w:val="24"/>
          <w:lang w:val="en-GB"/>
        </w:rPr>
      </w:pPr>
    </w:p>
    <w:p w14:paraId="70F67FFC" w14:textId="203C44D2" w:rsidR="00393DDB" w:rsidRPr="00A91A09" w:rsidRDefault="00393DDB" w:rsidP="00D86736">
      <w:pPr>
        <w:spacing w:after="0" w:line="240" w:lineRule="auto"/>
        <w:rPr>
          <w:rFonts w:cstheme="minorHAnsi"/>
          <w:b/>
          <w:sz w:val="24"/>
          <w:szCs w:val="24"/>
          <w:lang w:val="en-GB"/>
        </w:rPr>
      </w:pPr>
      <w:r w:rsidRPr="00A91A09">
        <w:rPr>
          <w:rFonts w:cstheme="minorHAnsi"/>
          <w:b/>
          <w:sz w:val="24"/>
          <w:lang w:val="en-GB" w:bidi="en-GB"/>
        </w:rPr>
        <w:t>1.1a Funding decisions, justifications, background</w:t>
      </w:r>
    </w:p>
    <w:p w14:paraId="3B98CC9A" w14:textId="77777777" w:rsidR="00D86736" w:rsidRPr="00A91A09" w:rsidRDefault="00D86736" w:rsidP="00D86736">
      <w:pPr>
        <w:spacing w:after="0" w:line="240" w:lineRule="auto"/>
        <w:jc w:val="both"/>
        <w:rPr>
          <w:rFonts w:eastAsia="Times New Roman" w:cstheme="minorHAnsi"/>
          <w:sz w:val="24"/>
          <w:szCs w:val="24"/>
          <w:lang w:val="en-GB"/>
        </w:rPr>
      </w:pPr>
    </w:p>
    <w:p w14:paraId="6FEDF2B4" w14:textId="5552A53F" w:rsidR="002B6DF3" w:rsidRPr="00A91A09" w:rsidRDefault="002B6DF3" w:rsidP="00D86736">
      <w:pPr>
        <w:spacing w:after="0" w:line="240" w:lineRule="auto"/>
        <w:jc w:val="both"/>
        <w:rPr>
          <w:rFonts w:eastAsia="Times New Roman" w:cstheme="minorHAnsi"/>
          <w:sz w:val="24"/>
          <w:szCs w:val="24"/>
          <w:lang w:val="en-GB"/>
        </w:rPr>
      </w:pPr>
      <w:r w:rsidRPr="00A91A09">
        <w:rPr>
          <w:rFonts w:cstheme="minorHAnsi"/>
          <w:sz w:val="24"/>
          <w:lang w:val="en-GB" w:bidi="en-GB"/>
        </w:rPr>
        <w:t xml:space="preserve">From 2015, the </w:t>
      </w:r>
      <w:r w:rsidR="004D23C2">
        <w:rPr>
          <w:rFonts w:cstheme="minorHAnsi"/>
          <w:sz w:val="24"/>
          <w:lang w:val="en-GB" w:bidi="en-GB"/>
        </w:rPr>
        <w:t>SFDI</w:t>
      </w:r>
      <w:r w:rsidRPr="00A91A09">
        <w:rPr>
          <w:rFonts w:cstheme="minorHAnsi"/>
          <w:sz w:val="24"/>
          <w:lang w:val="en-GB" w:bidi="en-GB"/>
        </w:rPr>
        <w:t xml:space="preserve"> provided part of the available funding from its budget to finance repairs, reconstruction and modernisation of regional roads. Beneficiaries of the funds were regions or authorities for road management and maintenance set up by the regions (hereinafter “RMM”), or authorities for road management (hereinafter “RM”). From the assessed variants of allocation of funds to the individual regions, the variant according to the length of class II and class III roads in the region was chosen.</w:t>
      </w:r>
    </w:p>
    <w:p w14:paraId="1684DD87" w14:textId="77777777" w:rsidR="00D86736" w:rsidRPr="00A91A09" w:rsidRDefault="00D86736" w:rsidP="00D86736">
      <w:pPr>
        <w:spacing w:after="0" w:line="240" w:lineRule="auto"/>
        <w:jc w:val="both"/>
        <w:rPr>
          <w:rFonts w:eastAsia="Times New Roman" w:cstheme="minorHAnsi"/>
          <w:sz w:val="24"/>
          <w:szCs w:val="24"/>
          <w:lang w:val="en-GB"/>
        </w:rPr>
      </w:pPr>
    </w:p>
    <w:p w14:paraId="02333A85" w14:textId="7DF684C0" w:rsidR="002B6DF3" w:rsidRPr="00A91A09" w:rsidRDefault="002B6DF3" w:rsidP="00D86736">
      <w:pPr>
        <w:spacing w:after="0" w:line="240" w:lineRule="auto"/>
        <w:jc w:val="both"/>
        <w:rPr>
          <w:rFonts w:cstheme="minorHAnsi"/>
          <w:sz w:val="24"/>
          <w:szCs w:val="24"/>
          <w:lang w:val="en-GB"/>
        </w:rPr>
      </w:pPr>
      <w:r w:rsidRPr="00A91A09">
        <w:rPr>
          <w:rFonts w:cstheme="minorHAnsi"/>
          <w:sz w:val="24"/>
          <w:lang w:val="en-GB" w:bidi="en-GB"/>
        </w:rPr>
        <w:t xml:space="preserve">The CDP CR decided on the funding of regional roads from the </w:t>
      </w:r>
      <w:r w:rsidR="004D23C2">
        <w:rPr>
          <w:rFonts w:cstheme="minorHAnsi"/>
          <w:sz w:val="24"/>
          <w:lang w:val="en-GB" w:bidi="en-GB"/>
        </w:rPr>
        <w:t>SFDI</w:t>
      </w:r>
      <w:r w:rsidRPr="00A91A09">
        <w:rPr>
          <w:rFonts w:cstheme="minorHAnsi"/>
          <w:sz w:val="24"/>
          <w:lang w:val="en-GB" w:bidi="en-GB"/>
        </w:rPr>
        <w:t xml:space="preserve"> budget in the years 2015-2017. The </w:t>
      </w:r>
      <w:r w:rsidR="004D23C2">
        <w:rPr>
          <w:rFonts w:cstheme="minorHAnsi"/>
          <w:sz w:val="24"/>
          <w:lang w:val="en-GB" w:bidi="en-GB"/>
        </w:rPr>
        <w:t>SFDI</w:t>
      </w:r>
      <w:r w:rsidRPr="00A91A09">
        <w:rPr>
          <w:rFonts w:cstheme="minorHAnsi"/>
          <w:sz w:val="24"/>
          <w:lang w:val="en-GB" w:bidi="en-GB"/>
        </w:rPr>
        <w:t xml:space="preserve"> Committee allocated an amount according to the balance of available funds in the </w:t>
      </w:r>
      <w:r w:rsidR="004D23C2">
        <w:rPr>
          <w:rFonts w:cstheme="minorHAnsi"/>
          <w:sz w:val="24"/>
          <w:lang w:val="en-GB" w:bidi="en-GB"/>
        </w:rPr>
        <w:t>SFDI</w:t>
      </w:r>
      <w:r w:rsidRPr="00A91A09">
        <w:rPr>
          <w:rFonts w:cstheme="minorHAnsi"/>
          <w:sz w:val="24"/>
          <w:lang w:val="en-GB" w:bidi="en-GB"/>
        </w:rPr>
        <w:t xml:space="preserve"> budget approved by the CDP CR. From its budget, the </w:t>
      </w:r>
      <w:r w:rsidR="004D23C2">
        <w:rPr>
          <w:rFonts w:cstheme="minorHAnsi"/>
          <w:sz w:val="24"/>
          <w:lang w:val="en-GB" w:bidi="en-GB"/>
        </w:rPr>
        <w:t>SFDI</w:t>
      </w:r>
      <w:r w:rsidRPr="00A91A09">
        <w:rPr>
          <w:rFonts w:cstheme="minorHAnsi"/>
          <w:sz w:val="24"/>
          <w:lang w:val="en-GB" w:bidi="en-GB"/>
        </w:rPr>
        <w:t xml:space="preserve"> approved an allocation of CZK 4.4 billion in 2015 and CZK 3 billion in 2016 for the financing of regional roads. For the year 2017, an allocation of CZK 2.4 billion was approved on the condition of settlement of the </w:t>
      </w:r>
      <w:r w:rsidR="004D23C2">
        <w:rPr>
          <w:rFonts w:cstheme="minorHAnsi"/>
          <w:sz w:val="24"/>
          <w:lang w:val="en-GB" w:bidi="en-GB"/>
        </w:rPr>
        <w:t>SFDI</w:t>
      </w:r>
      <w:r w:rsidRPr="00A91A09">
        <w:rPr>
          <w:rFonts w:cstheme="minorHAnsi"/>
          <w:sz w:val="24"/>
          <w:lang w:val="en-GB" w:bidi="en-GB"/>
        </w:rPr>
        <w:t xml:space="preserve"> receivables in the amount required to cover this budget measure. In 2018, according to the </w:t>
      </w:r>
      <w:r w:rsidR="004D23C2">
        <w:rPr>
          <w:rFonts w:cstheme="minorHAnsi"/>
          <w:sz w:val="24"/>
          <w:lang w:val="en-GB" w:bidi="en-GB"/>
        </w:rPr>
        <w:t>SFDI</w:t>
      </w:r>
      <w:r w:rsidRPr="00A91A09">
        <w:rPr>
          <w:rFonts w:cstheme="minorHAnsi"/>
          <w:sz w:val="24"/>
          <w:lang w:val="en-GB" w:bidi="en-GB"/>
        </w:rPr>
        <w:t>, with regard to the defined expenditure frameworks, the financing of regional roads is not foreseen.</w:t>
      </w:r>
    </w:p>
    <w:p w14:paraId="0258B5D2" w14:textId="77777777" w:rsidR="00D86736" w:rsidRPr="00A91A09" w:rsidRDefault="00D86736" w:rsidP="00D86736">
      <w:pPr>
        <w:spacing w:after="0" w:line="240" w:lineRule="auto"/>
        <w:jc w:val="both"/>
        <w:rPr>
          <w:rFonts w:cstheme="minorHAnsi"/>
          <w:sz w:val="24"/>
          <w:szCs w:val="24"/>
          <w:lang w:val="en-GB"/>
        </w:rPr>
      </w:pPr>
    </w:p>
    <w:p w14:paraId="2043E0EE" w14:textId="0E0DDDDB" w:rsidR="00393DDB" w:rsidRPr="00A91A09" w:rsidRDefault="00393DDB" w:rsidP="00D86736">
      <w:pPr>
        <w:spacing w:after="0" w:line="240" w:lineRule="auto"/>
        <w:jc w:val="both"/>
        <w:rPr>
          <w:rFonts w:eastAsia="Times New Roman" w:cstheme="minorHAnsi"/>
          <w:sz w:val="24"/>
          <w:szCs w:val="24"/>
          <w:lang w:val="en-GB"/>
        </w:rPr>
      </w:pPr>
      <w:r w:rsidRPr="00A91A09">
        <w:rPr>
          <w:rFonts w:cstheme="minorHAnsi"/>
          <w:sz w:val="24"/>
          <w:lang w:val="en-GB" w:bidi="en-GB"/>
        </w:rPr>
        <w:t xml:space="preserve">An overview of allocated funds to the individual regions from the </w:t>
      </w:r>
      <w:r w:rsidR="004D23C2">
        <w:rPr>
          <w:rFonts w:cstheme="minorHAnsi"/>
          <w:sz w:val="24"/>
          <w:lang w:val="en-GB" w:bidi="en-GB"/>
        </w:rPr>
        <w:t>SFDI</w:t>
      </w:r>
      <w:r w:rsidRPr="00A91A09">
        <w:rPr>
          <w:rFonts w:cstheme="minorHAnsi"/>
          <w:sz w:val="24"/>
          <w:lang w:val="en-GB" w:bidi="en-GB"/>
        </w:rPr>
        <w:t xml:space="preserve"> budget and their drawing in 2015 and 2016 is given in Table 1:</w:t>
      </w:r>
    </w:p>
    <w:p w14:paraId="6718D84E" w14:textId="77777777" w:rsidR="009C44B0" w:rsidRPr="00A91A09" w:rsidRDefault="009C44B0" w:rsidP="00D86736">
      <w:pPr>
        <w:spacing w:after="0" w:line="240" w:lineRule="auto"/>
        <w:jc w:val="both"/>
        <w:rPr>
          <w:rFonts w:eastAsia="Times New Roman" w:cstheme="minorHAnsi"/>
          <w:sz w:val="24"/>
          <w:szCs w:val="24"/>
          <w:lang w:val="en-GB"/>
        </w:rPr>
      </w:pPr>
    </w:p>
    <w:p w14:paraId="5F35F66A" w14:textId="77777777" w:rsidR="00136A70" w:rsidRDefault="00136A70">
      <w:pPr>
        <w:rPr>
          <w:rFonts w:cstheme="minorHAnsi"/>
          <w:b/>
          <w:sz w:val="24"/>
          <w:lang w:val="en-GB" w:bidi="en-GB"/>
        </w:rPr>
      </w:pPr>
      <w:r>
        <w:rPr>
          <w:rFonts w:cstheme="minorHAnsi"/>
          <w:b/>
          <w:sz w:val="24"/>
          <w:lang w:val="en-GB" w:bidi="en-GB"/>
        </w:rPr>
        <w:br w:type="page"/>
      </w:r>
    </w:p>
    <w:p w14:paraId="3F2F1655" w14:textId="58C645A3" w:rsidR="00393DDB" w:rsidRPr="00A91A09" w:rsidRDefault="00393DDB" w:rsidP="00BE62A0">
      <w:pPr>
        <w:tabs>
          <w:tab w:val="right" w:pos="9356"/>
        </w:tabs>
        <w:autoSpaceDE w:val="0"/>
        <w:autoSpaceDN w:val="0"/>
        <w:adjustRightInd w:val="0"/>
        <w:spacing w:after="120" w:line="240" w:lineRule="auto"/>
        <w:ind w:left="1077" w:hanging="1077"/>
        <w:jc w:val="both"/>
        <w:rPr>
          <w:rFonts w:cstheme="minorHAnsi"/>
          <w:b/>
          <w:sz w:val="24"/>
          <w:szCs w:val="24"/>
          <w:lang w:val="en-GB"/>
        </w:rPr>
      </w:pPr>
      <w:r w:rsidRPr="00A91A09">
        <w:rPr>
          <w:rFonts w:cstheme="minorHAnsi"/>
          <w:b/>
          <w:sz w:val="24"/>
          <w:lang w:val="en-GB" w:bidi="en-GB"/>
        </w:rPr>
        <w:lastRenderedPageBreak/>
        <w:t xml:space="preserve">Table </w:t>
      </w:r>
      <w:r w:rsidR="00BE62A0" w:rsidRPr="00A91A09">
        <w:rPr>
          <w:rFonts w:cstheme="minorHAnsi"/>
          <w:b/>
          <w:sz w:val="24"/>
          <w:lang w:val="en-GB" w:bidi="en-GB"/>
        </w:rPr>
        <w:t>1</w:t>
      </w:r>
      <w:r w:rsidR="00BE62A0">
        <w:rPr>
          <w:rFonts w:cstheme="minorHAnsi"/>
          <w:b/>
          <w:sz w:val="24"/>
          <w:lang w:val="en-GB" w:bidi="en-GB"/>
        </w:rPr>
        <w:t xml:space="preserve"> </w:t>
      </w:r>
      <w:r w:rsidRPr="00A91A09">
        <w:rPr>
          <w:rFonts w:cstheme="minorHAnsi"/>
          <w:b/>
          <w:sz w:val="24"/>
          <w:lang w:val="en-GB" w:bidi="en-GB"/>
        </w:rPr>
        <w:t xml:space="preserve">– </w:t>
      </w:r>
      <w:r w:rsidR="00BE62A0">
        <w:rPr>
          <w:rFonts w:cstheme="minorHAnsi"/>
          <w:b/>
          <w:sz w:val="24"/>
          <w:lang w:val="en-GB" w:bidi="en-GB"/>
        </w:rPr>
        <w:t xml:space="preserve"> </w:t>
      </w:r>
      <w:r w:rsidRPr="00A91A09">
        <w:rPr>
          <w:rFonts w:cstheme="minorHAnsi"/>
          <w:b/>
          <w:sz w:val="24"/>
          <w:lang w:val="en-GB" w:bidi="en-GB"/>
        </w:rPr>
        <w:t xml:space="preserve">Overview of funding from the </w:t>
      </w:r>
      <w:r w:rsidR="004D23C2">
        <w:rPr>
          <w:rFonts w:cstheme="minorHAnsi"/>
          <w:b/>
          <w:sz w:val="24"/>
          <w:lang w:val="en-GB" w:bidi="en-GB"/>
        </w:rPr>
        <w:t>SFDI</w:t>
      </w:r>
      <w:r w:rsidRPr="00A91A09">
        <w:rPr>
          <w:rFonts w:cstheme="minorHAnsi"/>
          <w:b/>
          <w:sz w:val="24"/>
          <w:lang w:val="en-GB" w:bidi="en-GB"/>
        </w:rPr>
        <w:t xml:space="preserve"> budget for class II and class III roads owned by regions and its drawing in 2015 and 2016</w:t>
      </w:r>
      <w:r w:rsidR="0036404D" w:rsidRPr="00A91A09">
        <w:rPr>
          <w:rFonts w:cstheme="minorHAnsi"/>
          <w:b/>
          <w:sz w:val="24"/>
          <w:lang w:val="en-GB" w:bidi="en-GB"/>
        </w:rPr>
        <w:t xml:space="preserve"> </w:t>
      </w:r>
      <w:r w:rsidRPr="00A91A09">
        <w:rPr>
          <w:rFonts w:cstheme="minorHAnsi"/>
          <w:b/>
          <w:sz w:val="24"/>
          <w:lang w:val="en-GB" w:bidi="en-GB"/>
        </w:rPr>
        <w:t>(in CZK)</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668"/>
        <w:gridCol w:w="1668"/>
        <w:gridCol w:w="1668"/>
        <w:gridCol w:w="1668"/>
      </w:tblGrid>
      <w:tr w:rsidR="00393DDB" w:rsidRPr="00A91A09" w14:paraId="2AB77EB3" w14:textId="77777777" w:rsidTr="00725652">
        <w:trPr>
          <w:trHeight w:val="227"/>
        </w:trPr>
        <w:tc>
          <w:tcPr>
            <w:tcW w:w="1106" w:type="pct"/>
            <w:vMerge w:val="restart"/>
            <w:shd w:val="clear" w:color="auto" w:fill="E5F1FF"/>
            <w:noWrap/>
            <w:vAlign w:val="center"/>
            <w:hideMark/>
          </w:tcPr>
          <w:p w14:paraId="0C78873C" w14:textId="77777777" w:rsidR="00393DDB" w:rsidRPr="00A91A09" w:rsidRDefault="00393DDB" w:rsidP="00D86736">
            <w:pPr>
              <w:autoSpaceDE w:val="0"/>
              <w:autoSpaceDN w:val="0"/>
              <w:adjustRightInd w:val="0"/>
              <w:spacing w:after="0" w:line="240" w:lineRule="auto"/>
              <w:jc w:val="center"/>
              <w:rPr>
                <w:rFonts w:cstheme="minorHAnsi"/>
                <w:b/>
                <w:bCs/>
                <w:sz w:val="20"/>
                <w:szCs w:val="20"/>
                <w:lang w:val="en-GB"/>
              </w:rPr>
            </w:pPr>
            <w:r w:rsidRPr="00A91A09">
              <w:rPr>
                <w:rFonts w:cstheme="minorHAnsi"/>
                <w:b/>
                <w:sz w:val="20"/>
                <w:lang w:val="en-GB" w:bidi="en-GB"/>
              </w:rPr>
              <w:t>Regions of the Czech Republic</w:t>
            </w:r>
          </w:p>
        </w:tc>
        <w:tc>
          <w:tcPr>
            <w:tcW w:w="1947" w:type="pct"/>
            <w:gridSpan w:val="2"/>
            <w:shd w:val="clear" w:color="auto" w:fill="E5F1FF"/>
            <w:vAlign w:val="center"/>
          </w:tcPr>
          <w:p w14:paraId="06E8BFCC" w14:textId="77777777" w:rsidR="00393DDB" w:rsidRPr="00A91A09" w:rsidRDefault="00393DDB" w:rsidP="00D86736">
            <w:pPr>
              <w:autoSpaceDE w:val="0"/>
              <w:autoSpaceDN w:val="0"/>
              <w:adjustRightInd w:val="0"/>
              <w:spacing w:after="0" w:line="240" w:lineRule="auto"/>
              <w:ind w:right="57"/>
              <w:jc w:val="center"/>
              <w:rPr>
                <w:rFonts w:cstheme="minorHAnsi"/>
                <w:b/>
                <w:strike/>
                <w:sz w:val="20"/>
                <w:szCs w:val="20"/>
                <w:highlight w:val="yellow"/>
                <w:lang w:val="en-GB"/>
              </w:rPr>
            </w:pPr>
            <w:r w:rsidRPr="00A91A09">
              <w:rPr>
                <w:rFonts w:cstheme="minorHAnsi"/>
                <w:b/>
                <w:sz w:val="20"/>
                <w:lang w:val="en-GB" w:bidi="en-GB"/>
              </w:rPr>
              <w:t>Funds 2015</w:t>
            </w:r>
          </w:p>
        </w:tc>
        <w:tc>
          <w:tcPr>
            <w:tcW w:w="1948" w:type="pct"/>
            <w:gridSpan w:val="2"/>
            <w:shd w:val="clear" w:color="auto" w:fill="E5F1FF"/>
            <w:vAlign w:val="center"/>
          </w:tcPr>
          <w:p w14:paraId="2A12B506" w14:textId="77777777" w:rsidR="00393DDB" w:rsidRPr="00A91A09" w:rsidRDefault="00393DDB" w:rsidP="00D86736">
            <w:pPr>
              <w:autoSpaceDE w:val="0"/>
              <w:autoSpaceDN w:val="0"/>
              <w:adjustRightInd w:val="0"/>
              <w:spacing w:after="0" w:line="240" w:lineRule="auto"/>
              <w:ind w:right="57"/>
              <w:jc w:val="center"/>
              <w:rPr>
                <w:rFonts w:cstheme="minorHAnsi"/>
                <w:b/>
                <w:strike/>
                <w:sz w:val="20"/>
                <w:szCs w:val="20"/>
                <w:highlight w:val="yellow"/>
                <w:lang w:val="en-GB"/>
              </w:rPr>
            </w:pPr>
            <w:r w:rsidRPr="00A91A09">
              <w:rPr>
                <w:rFonts w:cstheme="minorHAnsi"/>
                <w:b/>
                <w:sz w:val="20"/>
                <w:lang w:val="en-GB" w:bidi="en-GB"/>
              </w:rPr>
              <w:t>Funds 2016</w:t>
            </w:r>
          </w:p>
        </w:tc>
      </w:tr>
      <w:tr w:rsidR="00393DDB" w:rsidRPr="00A91A09" w14:paraId="0CA86CF3" w14:textId="77777777" w:rsidTr="00725652">
        <w:trPr>
          <w:trHeight w:val="227"/>
        </w:trPr>
        <w:tc>
          <w:tcPr>
            <w:tcW w:w="1106" w:type="pct"/>
            <w:vMerge/>
            <w:shd w:val="clear" w:color="auto" w:fill="E5F1FF"/>
            <w:noWrap/>
            <w:vAlign w:val="center"/>
          </w:tcPr>
          <w:p w14:paraId="5C84527F" w14:textId="77777777" w:rsidR="00393DDB" w:rsidRPr="00A91A09" w:rsidRDefault="00393DDB" w:rsidP="00D86736">
            <w:pPr>
              <w:autoSpaceDE w:val="0"/>
              <w:autoSpaceDN w:val="0"/>
              <w:adjustRightInd w:val="0"/>
              <w:spacing w:after="0" w:line="240" w:lineRule="auto"/>
              <w:jc w:val="center"/>
              <w:rPr>
                <w:rFonts w:cstheme="minorHAnsi"/>
                <w:b/>
                <w:bCs/>
                <w:sz w:val="20"/>
                <w:szCs w:val="20"/>
                <w:lang w:val="en-GB"/>
              </w:rPr>
            </w:pPr>
          </w:p>
        </w:tc>
        <w:tc>
          <w:tcPr>
            <w:tcW w:w="973" w:type="pct"/>
            <w:shd w:val="clear" w:color="auto" w:fill="E5F1FF"/>
            <w:vAlign w:val="center"/>
          </w:tcPr>
          <w:p w14:paraId="5B5DB830" w14:textId="0E501011" w:rsidR="00393DDB" w:rsidRPr="00A91A09" w:rsidRDefault="00725652" w:rsidP="00D86736">
            <w:pPr>
              <w:autoSpaceDE w:val="0"/>
              <w:autoSpaceDN w:val="0"/>
              <w:adjustRightInd w:val="0"/>
              <w:spacing w:after="0" w:line="240" w:lineRule="auto"/>
              <w:ind w:left="-93" w:right="-84"/>
              <w:jc w:val="center"/>
              <w:rPr>
                <w:rFonts w:cstheme="minorHAnsi"/>
                <w:b/>
                <w:strike/>
                <w:sz w:val="20"/>
                <w:szCs w:val="20"/>
                <w:highlight w:val="yellow"/>
                <w:lang w:val="en-GB"/>
              </w:rPr>
            </w:pPr>
            <w:r w:rsidRPr="00A91A09">
              <w:rPr>
                <w:rFonts w:cstheme="minorHAnsi"/>
                <w:b/>
                <w:sz w:val="20"/>
                <w:lang w:val="en-GB" w:bidi="en-GB"/>
              </w:rPr>
              <w:t xml:space="preserve">Allocated </w:t>
            </w:r>
          </w:p>
        </w:tc>
        <w:tc>
          <w:tcPr>
            <w:tcW w:w="974" w:type="pct"/>
            <w:shd w:val="clear" w:color="auto" w:fill="E5F1FF"/>
            <w:vAlign w:val="center"/>
          </w:tcPr>
          <w:p w14:paraId="356FF26A" w14:textId="6EB2D95B" w:rsidR="00393DDB" w:rsidRPr="00A91A09" w:rsidRDefault="00725652" w:rsidP="00D86736">
            <w:pPr>
              <w:autoSpaceDE w:val="0"/>
              <w:autoSpaceDN w:val="0"/>
              <w:adjustRightInd w:val="0"/>
              <w:spacing w:after="0" w:line="240" w:lineRule="auto"/>
              <w:ind w:right="57"/>
              <w:jc w:val="center"/>
              <w:rPr>
                <w:rFonts w:cstheme="minorHAnsi"/>
                <w:b/>
                <w:strike/>
                <w:sz w:val="20"/>
                <w:szCs w:val="20"/>
                <w:highlight w:val="yellow"/>
                <w:lang w:val="en-GB"/>
              </w:rPr>
            </w:pPr>
            <w:r w:rsidRPr="00A91A09">
              <w:rPr>
                <w:rFonts w:cstheme="minorHAnsi"/>
                <w:b/>
                <w:sz w:val="20"/>
                <w:lang w:val="en-GB" w:bidi="en-GB"/>
              </w:rPr>
              <w:t>Drawn</w:t>
            </w:r>
          </w:p>
        </w:tc>
        <w:tc>
          <w:tcPr>
            <w:tcW w:w="974" w:type="pct"/>
            <w:shd w:val="clear" w:color="auto" w:fill="E5F1FF"/>
            <w:vAlign w:val="center"/>
          </w:tcPr>
          <w:p w14:paraId="22B39258" w14:textId="699A10F6" w:rsidR="00393DDB" w:rsidRPr="00A91A09" w:rsidRDefault="00725652" w:rsidP="00D86736">
            <w:pPr>
              <w:autoSpaceDE w:val="0"/>
              <w:autoSpaceDN w:val="0"/>
              <w:adjustRightInd w:val="0"/>
              <w:spacing w:after="0" w:line="240" w:lineRule="auto"/>
              <w:ind w:left="-93" w:right="-163"/>
              <w:jc w:val="center"/>
              <w:rPr>
                <w:rFonts w:cstheme="minorHAnsi"/>
                <w:b/>
                <w:strike/>
                <w:sz w:val="20"/>
                <w:szCs w:val="20"/>
                <w:highlight w:val="yellow"/>
                <w:lang w:val="en-GB"/>
              </w:rPr>
            </w:pPr>
            <w:r w:rsidRPr="00A91A09">
              <w:rPr>
                <w:rFonts w:cstheme="minorHAnsi"/>
                <w:b/>
                <w:sz w:val="20"/>
                <w:lang w:val="en-GB" w:bidi="en-GB"/>
              </w:rPr>
              <w:t xml:space="preserve">Allocated </w:t>
            </w:r>
          </w:p>
        </w:tc>
        <w:tc>
          <w:tcPr>
            <w:tcW w:w="974" w:type="pct"/>
            <w:shd w:val="clear" w:color="auto" w:fill="E5F1FF"/>
            <w:vAlign w:val="center"/>
          </w:tcPr>
          <w:p w14:paraId="5E01F888" w14:textId="54F92A29" w:rsidR="00393DDB" w:rsidRPr="00A91A09" w:rsidRDefault="00725652" w:rsidP="00D86736">
            <w:pPr>
              <w:autoSpaceDE w:val="0"/>
              <w:autoSpaceDN w:val="0"/>
              <w:adjustRightInd w:val="0"/>
              <w:spacing w:after="0" w:line="240" w:lineRule="auto"/>
              <w:ind w:right="57"/>
              <w:jc w:val="center"/>
              <w:rPr>
                <w:rFonts w:cstheme="minorHAnsi"/>
                <w:b/>
                <w:strike/>
                <w:sz w:val="20"/>
                <w:szCs w:val="20"/>
                <w:highlight w:val="yellow"/>
                <w:lang w:val="en-GB"/>
              </w:rPr>
            </w:pPr>
            <w:r w:rsidRPr="00A91A09">
              <w:rPr>
                <w:rFonts w:cstheme="minorHAnsi"/>
                <w:b/>
                <w:sz w:val="20"/>
                <w:lang w:val="en-GB" w:bidi="en-GB"/>
              </w:rPr>
              <w:t>Drawn</w:t>
            </w:r>
          </w:p>
        </w:tc>
      </w:tr>
      <w:tr w:rsidR="00393DDB" w:rsidRPr="00A91A09" w14:paraId="22AB12DF" w14:textId="77777777" w:rsidTr="00725652">
        <w:trPr>
          <w:trHeight w:val="227"/>
        </w:trPr>
        <w:tc>
          <w:tcPr>
            <w:tcW w:w="1106" w:type="pct"/>
            <w:noWrap/>
            <w:vAlign w:val="center"/>
            <w:hideMark/>
          </w:tcPr>
          <w:p w14:paraId="34685D33"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Central Bohemian Region</w:t>
            </w:r>
          </w:p>
        </w:tc>
        <w:tc>
          <w:tcPr>
            <w:tcW w:w="973" w:type="pct"/>
            <w:noWrap/>
            <w:vAlign w:val="center"/>
          </w:tcPr>
          <w:p w14:paraId="22CC4CD7"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778,800,000</w:t>
            </w:r>
          </w:p>
        </w:tc>
        <w:tc>
          <w:tcPr>
            <w:tcW w:w="974" w:type="pct"/>
            <w:noWrap/>
            <w:vAlign w:val="center"/>
          </w:tcPr>
          <w:p w14:paraId="12AC8962"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777,815,324</w:t>
            </w:r>
          </w:p>
        </w:tc>
        <w:tc>
          <w:tcPr>
            <w:tcW w:w="974" w:type="pct"/>
            <w:noWrap/>
            <w:vAlign w:val="center"/>
          </w:tcPr>
          <w:p w14:paraId="001F2DB3"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531,596,000</w:t>
            </w:r>
          </w:p>
          <w:p w14:paraId="4728EF3D" w14:textId="77777777" w:rsidR="00393DDB" w:rsidRPr="00A91A09" w:rsidRDefault="00393DDB" w:rsidP="00831687">
            <w:pPr>
              <w:autoSpaceDE w:val="0"/>
              <w:autoSpaceDN w:val="0"/>
              <w:adjustRightInd w:val="0"/>
              <w:spacing w:after="0" w:line="240" w:lineRule="auto"/>
              <w:ind w:right="170"/>
              <w:jc w:val="right"/>
              <w:rPr>
                <w:rFonts w:cstheme="minorHAnsi"/>
                <w:bCs/>
                <w:sz w:val="20"/>
                <w:szCs w:val="20"/>
                <w:lang w:val="en-GB"/>
              </w:rPr>
            </w:pPr>
            <w:r w:rsidRPr="00A91A09">
              <w:rPr>
                <w:rFonts w:cstheme="minorHAnsi"/>
                <w:sz w:val="20"/>
                <w:lang w:val="en-GB" w:bidi="en-GB"/>
              </w:rPr>
              <w:t>984,675*</w:t>
            </w:r>
          </w:p>
        </w:tc>
        <w:tc>
          <w:tcPr>
            <w:tcW w:w="974" w:type="pct"/>
            <w:noWrap/>
            <w:vAlign w:val="center"/>
          </w:tcPr>
          <w:p w14:paraId="086ECE62"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531,596,000</w:t>
            </w:r>
          </w:p>
          <w:p w14:paraId="1DF03196" w14:textId="77777777" w:rsidR="00393DDB" w:rsidRPr="00A91A09" w:rsidRDefault="00393DDB" w:rsidP="00831687">
            <w:pPr>
              <w:autoSpaceDE w:val="0"/>
              <w:autoSpaceDN w:val="0"/>
              <w:adjustRightInd w:val="0"/>
              <w:spacing w:after="0" w:line="240" w:lineRule="auto"/>
              <w:ind w:right="165"/>
              <w:jc w:val="right"/>
              <w:rPr>
                <w:rFonts w:cstheme="minorHAnsi"/>
                <w:bCs/>
                <w:sz w:val="20"/>
                <w:szCs w:val="20"/>
                <w:lang w:val="en-GB"/>
              </w:rPr>
            </w:pPr>
            <w:r w:rsidRPr="00A91A09">
              <w:rPr>
                <w:rFonts w:cstheme="minorHAnsi"/>
                <w:sz w:val="20"/>
                <w:lang w:val="en-GB" w:bidi="en-GB"/>
              </w:rPr>
              <w:t>984,675*</w:t>
            </w:r>
          </w:p>
        </w:tc>
      </w:tr>
      <w:tr w:rsidR="00393DDB" w:rsidRPr="00A91A09" w14:paraId="5C227BBC" w14:textId="77777777" w:rsidTr="00725652">
        <w:trPr>
          <w:trHeight w:val="227"/>
        </w:trPr>
        <w:tc>
          <w:tcPr>
            <w:tcW w:w="1106" w:type="pct"/>
            <w:shd w:val="clear" w:color="auto" w:fill="auto"/>
            <w:noWrap/>
            <w:vAlign w:val="center"/>
            <w:hideMark/>
          </w:tcPr>
          <w:p w14:paraId="17FFC483"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South Bohemian Region</w:t>
            </w:r>
          </w:p>
        </w:tc>
        <w:tc>
          <w:tcPr>
            <w:tcW w:w="973" w:type="pct"/>
            <w:shd w:val="clear" w:color="auto" w:fill="auto"/>
            <w:noWrap/>
            <w:vAlign w:val="center"/>
          </w:tcPr>
          <w:p w14:paraId="4A22A4B7"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492,360,000</w:t>
            </w:r>
          </w:p>
        </w:tc>
        <w:tc>
          <w:tcPr>
            <w:tcW w:w="974" w:type="pct"/>
            <w:shd w:val="clear" w:color="auto" w:fill="auto"/>
            <w:noWrap/>
            <w:vAlign w:val="center"/>
          </w:tcPr>
          <w:p w14:paraId="2E15D321"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492,360,000</w:t>
            </w:r>
          </w:p>
        </w:tc>
        <w:tc>
          <w:tcPr>
            <w:tcW w:w="974" w:type="pct"/>
            <w:shd w:val="clear" w:color="auto" w:fill="auto"/>
            <w:noWrap/>
            <w:vAlign w:val="center"/>
          </w:tcPr>
          <w:p w14:paraId="165159E1"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335,874,000</w:t>
            </w:r>
          </w:p>
        </w:tc>
        <w:tc>
          <w:tcPr>
            <w:tcW w:w="974" w:type="pct"/>
            <w:shd w:val="clear" w:color="auto" w:fill="auto"/>
            <w:noWrap/>
            <w:vAlign w:val="center"/>
          </w:tcPr>
          <w:p w14:paraId="49F1CBC1"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335,874,000</w:t>
            </w:r>
          </w:p>
        </w:tc>
      </w:tr>
      <w:tr w:rsidR="00393DDB" w:rsidRPr="00A91A09" w14:paraId="101FD8BF" w14:textId="77777777" w:rsidTr="00725652">
        <w:trPr>
          <w:trHeight w:val="227"/>
        </w:trPr>
        <w:tc>
          <w:tcPr>
            <w:tcW w:w="1106" w:type="pct"/>
            <w:shd w:val="clear" w:color="auto" w:fill="auto"/>
            <w:noWrap/>
            <w:vAlign w:val="center"/>
            <w:hideMark/>
          </w:tcPr>
          <w:p w14:paraId="31F1C639"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Pilsen Region</w:t>
            </w:r>
          </w:p>
        </w:tc>
        <w:tc>
          <w:tcPr>
            <w:tcW w:w="973" w:type="pct"/>
            <w:shd w:val="clear" w:color="auto" w:fill="auto"/>
            <w:noWrap/>
            <w:vAlign w:val="center"/>
          </w:tcPr>
          <w:p w14:paraId="234E33E7"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415,800,000</w:t>
            </w:r>
          </w:p>
        </w:tc>
        <w:tc>
          <w:tcPr>
            <w:tcW w:w="974" w:type="pct"/>
            <w:shd w:val="clear" w:color="auto" w:fill="auto"/>
            <w:noWrap/>
            <w:vAlign w:val="center"/>
          </w:tcPr>
          <w:p w14:paraId="0A29EB6E"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393,958,348</w:t>
            </w:r>
          </w:p>
        </w:tc>
        <w:tc>
          <w:tcPr>
            <w:tcW w:w="974" w:type="pct"/>
            <w:shd w:val="clear" w:color="auto" w:fill="auto"/>
            <w:noWrap/>
            <w:vAlign w:val="center"/>
          </w:tcPr>
          <w:p w14:paraId="05398B85"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283,703,000</w:t>
            </w:r>
          </w:p>
          <w:p w14:paraId="0BAA1568" w14:textId="77777777" w:rsidR="00393DDB" w:rsidRPr="00A91A09" w:rsidRDefault="00393DDB" w:rsidP="007765FC">
            <w:pPr>
              <w:autoSpaceDE w:val="0"/>
              <w:autoSpaceDN w:val="0"/>
              <w:adjustRightInd w:val="0"/>
              <w:spacing w:after="0" w:line="240" w:lineRule="auto"/>
              <w:ind w:right="170"/>
              <w:jc w:val="right"/>
              <w:rPr>
                <w:rFonts w:cstheme="minorHAnsi"/>
                <w:bCs/>
                <w:sz w:val="20"/>
                <w:szCs w:val="20"/>
                <w:lang w:val="en-GB"/>
              </w:rPr>
            </w:pPr>
            <w:r w:rsidRPr="00A91A09">
              <w:rPr>
                <w:rFonts w:cstheme="minorHAnsi"/>
                <w:sz w:val="20"/>
                <w:lang w:val="en-GB" w:bidi="en-GB"/>
              </w:rPr>
              <w:t>21,411,327*</w:t>
            </w:r>
          </w:p>
        </w:tc>
        <w:tc>
          <w:tcPr>
            <w:tcW w:w="974" w:type="pct"/>
            <w:shd w:val="clear" w:color="auto" w:fill="auto"/>
            <w:noWrap/>
            <w:vAlign w:val="center"/>
          </w:tcPr>
          <w:p w14:paraId="1703F114"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283,703,000</w:t>
            </w:r>
          </w:p>
          <w:p w14:paraId="0D444BE2" w14:textId="77777777" w:rsidR="00393DDB" w:rsidRPr="00A91A09" w:rsidRDefault="00393DDB" w:rsidP="00831687">
            <w:pPr>
              <w:autoSpaceDE w:val="0"/>
              <w:autoSpaceDN w:val="0"/>
              <w:adjustRightInd w:val="0"/>
              <w:spacing w:after="0" w:line="240" w:lineRule="auto"/>
              <w:ind w:right="165"/>
              <w:jc w:val="right"/>
              <w:rPr>
                <w:rFonts w:cstheme="minorHAnsi"/>
                <w:bCs/>
                <w:sz w:val="20"/>
                <w:szCs w:val="20"/>
                <w:lang w:val="en-GB"/>
              </w:rPr>
            </w:pPr>
            <w:r w:rsidRPr="00A91A09">
              <w:rPr>
                <w:rFonts w:cstheme="minorHAnsi"/>
                <w:sz w:val="20"/>
                <w:lang w:val="en-GB" w:bidi="en-GB"/>
              </w:rPr>
              <w:t>21,411,327*</w:t>
            </w:r>
          </w:p>
        </w:tc>
      </w:tr>
      <w:tr w:rsidR="00393DDB" w:rsidRPr="00A91A09" w14:paraId="3B66E16D" w14:textId="77777777" w:rsidTr="00725652">
        <w:trPr>
          <w:trHeight w:val="227"/>
        </w:trPr>
        <w:tc>
          <w:tcPr>
            <w:tcW w:w="1106" w:type="pct"/>
            <w:shd w:val="clear" w:color="auto" w:fill="auto"/>
            <w:noWrap/>
            <w:vAlign w:val="center"/>
            <w:hideMark/>
          </w:tcPr>
          <w:p w14:paraId="30CAE158"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Karlovy Vary Region</w:t>
            </w:r>
          </w:p>
        </w:tc>
        <w:tc>
          <w:tcPr>
            <w:tcW w:w="973" w:type="pct"/>
            <w:shd w:val="clear" w:color="auto" w:fill="auto"/>
            <w:noWrap/>
            <w:vAlign w:val="center"/>
          </w:tcPr>
          <w:p w14:paraId="7233AB28"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164,560,000</w:t>
            </w:r>
          </w:p>
        </w:tc>
        <w:tc>
          <w:tcPr>
            <w:tcW w:w="974" w:type="pct"/>
            <w:shd w:val="clear" w:color="auto" w:fill="auto"/>
            <w:noWrap/>
            <w:vAlign w:val="center"/>
          </w:tcPr>
          <w:p w14:paraId="433A1498"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164,560,000</w:t>
            </w:r>
          </w:p>
        </w:tc>
        <w:tc>
          <w:tcPr>
            <w:tcW w:w="974" w:type="pct"/>
            <w:shd w:val="clear" w:color="auto" w:fill="auto"/>
            <w:noWrap/>
            <w:vAlign w:val="center"/>
          </w:tcPr>
          <w:p w14:paraId="2634D6D3"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112,188,000</w:t>
            </w:r>
          </w:p>
        </w:tc>
        <w:tc>
          <w:tcPr>
            <w:tcW w:w="974" w:type="pct"/>
            <w:shd w:val="clear" w:color="auto" w:fill="auto"/>
            <w:noWrap/>
            <w:vAlign w:val="center"/>
          </w:tcPr>
          <w:p w14:paraId="54221AB1"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112,188,000</w:t>
            </w:r>
          </w:p>
        </w:tc>
      </w:tr>
      <w:tr w:rsidR="00393DDB" w:rsidRPr="00A91A09" w14:paraId="78243D8C" w14:textId="77777777" w:rsidTr="00725652">
        <w:trPr>
          <w:trHeight w:val="227"/>
        </w:trPr>
        <w:tc>
          <w:tcPr>
            <w:tcW w:w="1106" w:type="pct"/>
            <w:shd w:val="clear" w:color="auto" w:fill="auto"/>
            <w:noWrap/>
            <w:vAlign w:val="center"/>
            <w:hideMark/>
          </w:tcPr>
          <w:p w14:paraId="74E2E65D"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Ústí Region</w:t>
            </w:r>
          </w:p>
        </w:tc>
        <w:tc>
          <w:tcPr>
            <w:tcW w:w="973" w:type="pct"/>
            <w:shd w:val="clear" w:color="auto" w:fill="auto"/>
            <w:noWrap/>
            <w:vAlign w:val="center"/>
          </w:tcPr>
          <w:p w14:paraId="3FAC80D6"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330,000,000</w:t>
            </w:r>
          </w:p>
        </w:tc>
        <w:tc>
          <w:tcPr>
            <w:tcW w:w="974" w:type="pct"/>
            <w:shd w:val="clear" w:color="auto" w:fill="auto"/>
            <w:noWrap/>
            <w:vAlign w:val="center"/>
          </w:tcPr>
          <w:p w14:paraId="57D75FBE"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330,000,000</w:t>
            </w:r>
          </w:p>
        </w:tc>
        <w:tc>
          <w:tcPr>
            <w:tcW w:w="974" w:type="pct"/>
            <w:shd w:val="clear" w:color="auto" w:fill="auto"/>
            <w:noWrap/>
            <w:vAlign w:val="center"/>
          </w:tcPr>
          <w:p w14:paraId="7C80D93B"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225,016,000</w:t>
            </w:r>
          </w:p>
        </w:tc>
        <w:tc>
          <w:tcPr>
            <w:tcW w:w="974" w:type="pct"/>
            <w:shd w:val="clear" w:color="auto" w:fill="auto"/>
            <w:noWrap/>
            <w:vAlign w:val="center"/>
          </w:tcPr>
          <w:p w14:paraId="761AAB22"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225,016,000</w:t>
            </w:r>
          </w:p>
        </w:tc>
      </w:tr>
      <w:tr w:rsidR="00393DDB" w:rsidRPr="00A91A09" w14:paraId="1EC8FBBF" w14:textId="77777777" w:rsidTr="00725652">
        <w:trPr>
          <w:trHeight w:val="227"/>
        </w:trPr>
        <w:tc>
          <w:tcPr>
            <w:tcW w:w="1106" w:type="pct"/>
            <w:shd w:val="clear" w:color="auto" w:fill="auto"/>
            <w:noWrap/>
            <w:vAlign w:val="center"/>
            <w:hideMark/>
          </w:tcPr>
          <w:p w14:paraId="215A09FD"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Liberec Region</w:t>
            </w:r>
          </w:p>
        </w:tc>
        <w:tc>
          <w:tcPr>
            <w:tcW w:w="973" w:type="pct"/>
            <w:shd w:val="clear" w:color="auto" w:fill="auto"/>
            <w:noWrap/>
            <w:vAlign w:val="center"/>
          </w:tcPr>
          <w:p w14:paraId="163DF891"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187,440,000</w:t>
            </w:r>
          </w:p>
        </w:tc>
        <w:tc>
          <w:tcPr>
            <w:tcW w:w="974" w:type="pct"/>
            <w:shd w:val="clear" w:color="auto" w:fill="auto"/>
            <w:noWrap/>
            <w:vAlign w:val="center"/>
          </w:tcPr>
          <w:p w14:paraId="62759B5B"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187,440,000</w:t>
            </w:r>
          </w:p>
        </w:tc>
        <w:tc>
          <w:tcPr>
            <w:tcW w:w="974" w:type="pct"/>
            <w:shd w:val="clear" w:color="auto" w:fill="auto"/>
            <w:noWrap/>
            <w:vAlign w:val="center"/>
          </w:tcPr>
          <w:p w14:paraId="54D5D33D"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127,894,000</w:t>
            </w:r>
          </w:p>
        </w:tc>
        <w:tc>
          <w:tcPr>
            <w:tcW w:w="974" w:type="pct"/>
            <w:shd w:val="clear" w:color="auto" w:fill="auto"/>
            <w:noWrap/>
            <w:vAlign w:val="center"/>
          </w:tcPr>
          <w:p w14:paraId="2A15BB8E"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127,894,000</w:t>
            </w:r>
          </w:p>
        </w:tc>
      </w:tr>
      <w:tr w:rsidR="00393DDB" w:rsidRPr="00A91A09" w14:paraId="3D100869" w14:textId="77777777" w:rsidTr="00725652">
        <w:trPr>
          <w:trHeight w:val="227"/>
        </w:trPr>
        <w:tc>
          <w:tcPr>
            <w:tcW w:w="1106" w:type="pct"/>
            <w:shd w:val="clear" w:color="auto" w:fill="auto"/>
            <w:noWrap/>
            <w:vAlign w:val="center"/>
            <w:hideMark/>
          </w:tcPr>
          <w:p w14:paraId="1F6E9AF7"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Hradec Králové Region</w:t>
            </w:r>
          </w:p>
        </w:tc>
        <w:tc>
          <w:tcPr>
            <w:tcW w:w="973" w:type="pct"/>
            <w:shd w:val="clear" w:color="auto" w:fill="auto"/>
            <w:noWrap/>
            <w:vAlign w:val="center"/>
          </w:tcPr>
          <w:p w14:paraId="713BC1A1"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299,200,000</w:t>
            </w:r>
          </w:p>
        </w:tc>
        <w:tc>
          <w:tcPr>
            <w:tcW w:w="974" w:type="pct"/>
            <w:shd w:val="clear" w:color="auto" w:fill="auto"/>
            <w:noWrap/>
            <w:vAlign w:val="center"/>
          </w:tcPr>
          <w:p w14:paraId="1C803DC5"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294,284,683</w:t>
            </w:r>
          </w:p>
        </w:tc>
        <w:tc>
          <w:tcPr>
            <w:tcW w:w="974" w:type="pct"/>
            <w:shd w:val="clear" w:color="auto" w:fill="auto"/>
            <w:noWrap/>
            <w:vAlign w:val="center"/>
          </w:tcPr>
          <w:p w14:paraId="7ECE60D7"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203,649,000</w:t>
            </w:r>
          </w:p>
        </w:tc>
        <w:tc>
          <w:tcPr>
            <w:tcW w:w="974" w:type="pct"/>
            <w:shd w:val="clear" w:color="auto" w:fill="auto"/>
            <w:noWrap/>
            <w:vAlign w:val="center"/>
          </w:tcPr>
          <w:p w14:paraId="4E6613BD"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203,649,000</w:t>
            </w:r>
          </w:p>
        </w:tc>
      </w:tr>
      <w:tr w:rsidR="00393DDB" w:rsidRPr="00A91A09" w14:paraId="2BBDD8E3" w14:textId="77777777" w:rsidTr="00725652">
        <w:trPr>
          <w:trHeight w:val="227"/>
        </w:trPr>
        <w:tc>
          <w:tcPr>
            <w:tcW w:w="1106" w:type="pct"/>
            <w:shd w:val="clear" w:color="auto" w:fill="auto"/>
            <w:noWrap/>
            <w:vAlign w:val="center"/>
            <w:hideMark/>
          </w:tcPr>
          <w:p w14:paraId="2B1F7A50"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Pardubice Region</w:t>
            </w:r>
          </w:p>
        </w:tc>
        <w:tc>
          <w:tcPr>
            <w:tcW w:w="973" w:type="pct"/>
            <w:shd w:val="clear" w:color="auto" w:fill="auto"/>
            <w:noWrap/>
            <w:vAlign w:val="center"/>
          </w:tcPr>
          <w:p w14:paraId="71A4248E"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282,920,000</w:t>
            </w:r>
          </w:p>
        </w:tc>
        <w:tc>
          <w:tcPr>
            <w:tcW w:w="974" w:type="pct"/>
            <w:shd w:val="clear" w:color="auto" w:fill="auto"/>
            <w:noWrap/>
            <w:vAlign w:val="center"/>
          </w:tcPr>
          <w:p w14:paraId="411B3F17"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282,920,000</w:t>
            </w:r>
          </w:p>
        </w:tc>
        <w:tc>
          <w:tcPr>
            <w:tcW w:w="974" w:type="pct"/>
            <w:shd w:val="clear" w:color="auto" w:fill="auto"/>
            <w:noWrap/>
            <w:vAlign w:val="center"/>
          </w:tcPr>
          <w:p w14:paraId="4D503796"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192,864,000</w:t>
            </w:r>
          </w:p>
        </w:tc>
        <w:tc>
          <w:tcPr>
            <w:tcW w:w="974" w:type="pct"/>
            <w:shd w:val="clear" w:color="auto" w:fill="auto"/>
            <w:noWrap/>
            <w:vAlign w:val="center"/>
          </w:tcPr>
          <w:p w14:paraId="1971545B"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192,864,000</w:t>
            </w:r>
          </w:p>
        </w:tc>
      </w:tr>
      <w:tr w:rsidR="00393DDB" w:rsidRPr="00A91A09" w14:paraId="491A8556" w14:textId="77777777" w:rsidTr="00725652">
        <w:trPr>
          <w:trHeight w:val="227"/>
        </w:trPr>
        <w:tc>
          <w:tcPr>
            <w:tcW w:w="1106" w:type="pct"/>
            <w:shd w:val="clear" w:color="auto" w:fill="auto"/>
            <w:noWrap/>
            <w:vAlign w:val="center"/>
            <w:hideMark/>
          </w:tcPr>
          <w:p w14:paraId="2D364E4A"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Vysočina Region</w:t>
            </w:r>
          </w:p>
        </w:tc>
        <w:tc>
          <w:tcPr>
            <w:tcW w:w="973" w:type="pct"/>
            <w:shd w:val="clear" w:color="auto" w:fill="auto"/>
            <w:noWrap/>
            <w:vAlign w:val="center"/>
          </w:tcPr>
          <w:p w14:paraId="17662DD9"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412,280,000</w:t>
            </w:r>
          </w:p>
        </w:tc>
        <w:tc>
          <w:tcPr>
            <w:tcW w:w="974" w:type="pct"/>
            <w:shd w:val="clear" w:color="auto" w:fill="auto"/>
            <w:noWrap/>
            <w:vAlign w:val="center"/>
          </w:tcPr>
          <w:p w14:paraId="45F9A3D1"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412,280,000</w:t>
            </w:r>
          </w:p>
        </w:tc>
        <w:tc>
          <w:tcPr>
            <w:tcW w:w="974" w:type="pct"/>
            <w:shd w:val="clear" w:color="auto" w:fill="auto"/>
            <w:noWrap/>
            <w:vAlign w:val="center"/>
          </w:tcPr>
          <w:p w14:paraId="150E556E"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281,049,000</w:t>
            </w:r>
          </w:p>
        </w:tc>
        <w:tc>
          <w:tcPr>
            <w:tcW w:w="974" w:type="pct"/>
            <w:shd w:val="clear" w:color="auto" w:fill="auto"/>
            <w:noWrap/>
            <w:vAlign w:val="center"/>
          </w:tcPr>
          <w:p w14:paraId="61F021E5"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281,049,000</w:t>
            </w:r>
          </w:p>
          <w:p w14:paraId="54512C3A" w14:textId="77777777" w:rsidR="00393DDB" w:rsidRPr="00A91A09" w:rsidRDefault="00393DDB" w:rsidP="00831687">
            <w:pPr>
              <w:autoSpaceDE w:val="0"/>
              <w:autoSpaceDN w:val="0"/>
              <w:adjustRightInd w:val="0"/>
              <w:spacing w:after="0" w:line="240" w:lineRule="auto"/>
              <w:ind w:right="57"/>
              <w:jc w:val="right"/>
              <w:rPr>
                <w:rFonts w:cstheme="minorHAnsi"/>
                <w:bCs/>
                <w:sz w:val="20"/>
                <w:szCs w:val="20"/>
                <w:vertAlign w:val="superscript"/>
                <w:lang w:val="en-GB"/>
              </w:rPr>
            </w:pPr>
            <w:r w:rsidRPr="00A91A09">
              <w:rPr>
                <w:rFonts w:cstheme="minorHAnsi"/>
                <w:sz w:val="20"/>
                <w:lang w:val="en-GB" w:bidi="en-GB"/>
              </w:rPr>
              <w:t>-12,071,173**</w:t>
            </w:r>
          </w:p>
        </w:tc>
      </w:tr>
      <w:tr w:rsidR="00393DDB" w:rsidRPr="00A91A09" w14:paraId="75A72BA5" w14:textId="77777777" w:rsidTr="00725652">
        <w:trPr>
          <w:trHeight w:val="227"/>
        </w:trPr>
        <w:tc>
          <w:tcPr>
            <w:tcW w:w="1106" w:type="pct"/>
            <w:shd w:val="clear" w:color="auto" w:fill="auto"/>
            <w:noWrap/>
            <w:vAlign w:val="center"/>
            <w:hideMark/>
          </w:tcPr>
          <w:p w14:paraId="197A0D09"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South Moravian Region</w:t>
            </w:r>
          </w:p>
        </w:tc>
        <w:tc>
          <w:tcPr>
            <w:tcW w:w="973" w:type="pct"/>
            <w:shd w:val="clear" w:color="auto" w:fill="auto"/>
            <w:noWrap/>
            <w:vAlign w:val="center"/>
          </w:tcPr>
          <w:p w14:paraId="7A52CF1C"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349,800,000</w:t>
            </w:r>
          </w:p>
        </w:tc>
        <w:tc>
          <w:tcPr>
            <w:tcW w:w="974" w:type="pct"/>
            <w:shd w:val="clear" w:color="auto" w:fill="auto"/>
            <w:noWrap/>
            <w:vAlign w:val="center"/>
          </w:tcPr>
          <w:p w14:paraId="55E051E4"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349,800,000</w:t>
            </w:r>
          </w:p>
        </w:tc>
        <w:tc>
          <w:tcPr>
            <w:tcW w:w="974" w:type="pct"/>
            <w:shd w:val="clear" w:color="auto" w:fill="auto"/>
            <w:noWrap/>
            <w:vAlign w:val="center"/>
          </w:tcPr>
          <w:p w14:paraId="19B28740"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238,475,000</w:t>
            </w:r>
          </w:p>
        </w:tc>
        <w:tc>
          <w:tcPr>
            <w:tcW w:w="974" w:type="pct"/>
            <w:shd w:val="clear" w:color="auto" w:fill="auto"/>
            <w:noWrap/>
            <w:vAlign w:val="center"/>
          </w:tcPr>
          <w:p w14:paraId="70FB598B"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238,475,000</w:t>
            </w:r>
          </w:p>
        </w:tc>
      </w:tr>
      <w:tr w:rsidR="00393DDB" w:rsidRPr="00A91A09" w14:paraId="18292905" w14:textId="77777777" w:rsidTr="00725652">
        <w:trPr>
          <w:trHeight w:val="227"/>
        </w:trPr>
        <w:tc>
          <w:tcPr>
            <w:tcW w:w="1106" w:type="pct"/>
            <w:shd w:val="clear" w:color="auto" w:fill="auto"/>
            <w:noWrap/>
            <w:vAlign w:val="center"/>
            <w:hideMark/>
          </w:tcPr>
          <w:p w14:paraId="2942466A"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Olomouc Region</w:t>
            </w:r>
          </w:p>
        </w:tc>
        <w:tc>
          <w:tcPr>
            <w:tcW w:w="973" w:type="pct"/>
            <w:shd w:val="clear" w:color="auto" w:fill="auto"/>
            <w:noWrap/>
            <w:vAlign w:val="center"/>
          </w:tcPr>
          <w:p w14:paraId="6E941284"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279,840,000</w:t>
            </w:r>
          </w:p>
        </w:tc>
        <w:tc>
          <w:tcPr>
            <w:tcW w:w="974" w:type="pct"/>
            <w:shd w:val="clear" w:color="auto" w:fill="auto"/>
            <w:noWrap/>
            <w:vAlign w:val="center"/>
          </w:tcPr>
          <w:p w14:paraId="41975321"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279,567,390</w:t>
            </w:r>
          </w:p>
        </w:tc>
        <w:tc>
          <w:tcPr>
            <w:tcW w:w="974" w:type="pct"/>
            <w:shd w:val="clear" w:color="auto" w:fill="auto"/>
            <w:noWrap/>
            <w:vAlign w:val="center"/>
          </w:tcPr>
          <w:p w14:paraId="655CF885"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190,530,000</w:t>
            </w:r>
          </w:p>
        </w:tc>
        <w:tc>
          <w:tcPr>
            <w:tcW w:w="974" w:type="pct"/>
            <w:shd w:val="clear" w:color="auto" w:fill="auto"/>
            <w:noWrap/>
            <w:vAlign w:val="center"/>
          </w:tcPr>
          <w:p w14:paraId="3AB6F6DC"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190,528,326</w:t>
            </w:r>
          </w:p>
        </w:tc>
      </w:tr>
      <w:tr w:rsidR="00393DDB" w:rsidRPr="00A91A09" w14:paraId="70F6E496" w14:textId="77777777" w:rsidTr="00725652">
        <w:trPr>
          <w:trHeight w:val="227"/>
        </w:trPr>
        <w:tc>
          <w:tcPr>
            <w:tcW w:w="1106" w:type="pct"/>
            <w:shd w:val="clear" w:color="auto" w:fill="auto"/>
            <w:noWrap/>
            <w:vAlign w:val="center"/>
            <w:hideMark/>
          </w:tcPr>
          <w:p w14:paraId="7E176926"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Zlín Region</w:t>
            </w:r>
          </w:p>
        </w:tc>
        <w:tc>
          <w:tcPr>
            <w:tcW w:w="973" w:type="pct"/>
            <w:shd w:val="clear" w:color="auto" w:fill="auto"/>
            <w:noWrap/>
            <w:vAlign w:val="center"/>
          </w:tcPr>
          <w:p w14:paraId="6329C9D1"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159,720,000</w:t>
            </w:r>
          </w:p>
        </w:tc>
        <w:tc>
          <w:tcPr>
            <w:tcW w:w="974" w:type="pct"/>
            <w:shd w:val="clear" w:color="auto" w:fill="auto"/>
            <w:noWrap/>
            <w:vAlign w:val="center"/>
          </w:tcPr>
          <w:p w14:paraId="5530503C"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159,720,000</w:t>
            </w:r>
          </w:p>
        </w:tc>
        <w:tc>
          <w:tcPr>
            <w:tcW w:w="974" w:type="pct"/>
            <w:shd w:val="clear" w:color="auto" w:fill="auto"/>
            <w:noWrap/>
            <w:vAlign w:val="center"/>
          </w:tcPr>
          <w:p w14:paraId="3982EA8F"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108,745,000</w:t>
            </w:r>
          </w:p>
        </w:tc>
        <w:tc>
          <w:tcPr>
            <w:tcW w:w="974" w:type="pct"/>
            <w:shd w:val="clear" w:color="auto" w:fill="auto"/>
            <w:noWrap/>
            <w:vAlign w:val="center"/>
          </w:tcPr>
          <w:p w14:paraId="6E6D44D7"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108,745,000</w:t>
            </w:r>
          </w:p>
        </w:tc>
      </w:tr>
      <w:tr w:rsidR="00393DDB" w:rsidRPr="00A91A09" w14:paraId="0E42D36C" w14:textId="77777777" w:rsidTr="00725652">
        <w:trPr>
          <w:trHeight w:val="227"/>
        </w:trPr>
        <w:tc>
          <w:tcPr>
            <w:tcW w:w="1106" w:type="pct"/>
            <w:shd w:val="clear" w:color="auto" w:fill="auto"/>
            <w:noWrap/>
            <w:vAlign w:val="center"/>
            <w:hideMark/>
          </w:tcPr>
          <w:p w14:paraId="4AAC51B1" w14:textId="77777777" w:rsidR="00393DDB" w:rsidRPr="00A91A09" w:rsidRDefault="00393DDB" w:rsidP="007765FC">
            <w:pPr>
              <w:autoSpaceDE w:val="0"/>
              <w:autoSpaceDN w:val="0"/>
              <w:adjustRightInd w:val="0"/>
              <w:spacing w:after="0" w:line="240" w:lineRule="auto"/>
              <w:rPr>
                <w:rFonts w:cstheme="minorHAnsi"/>
                <w:sz w:val="20"/>
                <w:szCs w:val="20"/>
                <w:lang w:val="en-GB"/>
              </w:rPr>
            </w:pPr>
            <w:r w:rsidRPr="00A91A09">
              <w:rPr>
                <w:rFonts w:cstheme="minorHAnsi"/>
                <w:sz w:val="20"/>
                <w:lang w:val="en-GB" w:bidi="en-GB"/>
              </w:rPr>
              <w:t>Moravian-Silesian Region</w:t>
            </w:r>
          </w:p>
        </w:tc>
        <w:tc>
          <w:tcPr>
            <w:tcW w:w="973" w:type="pct"/>
            <w:shd w:val="clear" w:color="auto" w:fill="auto"/>
            <w:noWrap/>
            <w:vAlign w:val="center"/>
          </w:tcPr>
          <w:p w14:paraId="4FC6CF3D"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247,280,000</w:t>
            </w:r>
          </w:p>
        </w:tc>
        <w:tc>
          <w:tcPr>
            <w:tcW w:w="974" w:type="pct"/>
            <w:shd w:val="clear" w:color="auto" w:fill="auto"/>
            <w:noWrap/>
            <w:vAlign w:val="center"/>
          </w:tcPr>
          <w:p w14:paraId="19092C22" w14:textId="77777777" w:rsidR="00393DDB" w:rsidRPr="00A91A09" w:rsidRDefault="00393DDB" w:rsidP="00831687">
            <w:pPr>
              <w:autoSpaceDE w:val="0"/>
              <w:autoSpaceDN w:val="0"/>
              <w:adjustRightInd w:val="0"/>
              <w:spacing w:after="0" w:line="240" w:lineRule="auto"/>
              <w:ind w:right="283"/>
              <w:jc w:val="right"/>
              <w:rPr>
                <w:rFonts w:cstheme="minorHAnsi"/>
                <w:sz w:val="20"/>
                <w:szCs w:val="20"/>
                <w:lang w:val="en-GB"/>
              </w:rPr>
            </w:pPr>
            <w:r w:rsidRPr="00A91A09">
              <w:rPr>
                <w:rFonts w:cstheme="minorHAnsi"/>
                <w:sz w:val="20"/>
                <w:lang w:val="en-GB" w:bidi="en-GB"/>
              </w:rPr>
              <w:t>247,280,000</w:t>
            </w:r>
          </w:p>
        </w:tc>
        <w:tc>
          <w:tcPr>
            <w:tcW w:w="974" w:type="pct"/>
            <w:shd w:val="clear" w:color="auto" w:fill="auto"/>
            <w:noWrap/>
            <w:vAlign w:val="center"/>
          </w:tcPr>
          <w:p w14:paraId="0FEEC715"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168,417,000</w:t>
            </w:r>
          </w:p>
        </w:tc>
        <w:tc>
          <w:tcPr>
            <w:tcW w:w="974" w:type="pct"/>
            <w:shd w:val="clear" w:color="auto" w:fill="auto"/>
            <w:noWrap/>
            <w:vAlign w:val="center"/>
          </w:tcPr>
          <w:p w14:paraId="565822FB" w14:textId="77777777" w:rsidR="00393DDB" w:rsidRPr="00A91A09" w:rsidRDefault="00393DDB" w:rsidP="00831687">
            <w:pPr>
              <w:autoSpaceDE w:val="0"/>
              <w:autoSpaceDN w:val="0"/>
              <w:adjustRightInd w:val="0"/>
              <w:spacing w:after="0" w:line="240" w:lineRule="auto"/>
              <w:ind w:right="283"/>
              <w:jc w:val="right"/>
              <w:rPr>
                <w:rFonts w:cstheme="minorHAnsi"/>
                <w:bCs/>
                <w:sz w:val="20"/>
                <w:szCs w:val="20"/>
                <w:lang w:val="en-GB"/>
              </w:rPr>
            </w:pPr>
            <w:r w:rsidRPr="00A91A09">
              <w:rPr>
                <w:rFonts w:cstheme="minorHAnsi"/>
                <w:sz w:val="20"/>
                <w:lang w:val="en-GB" w:bidi="en-GB"/>
              </w:rPr>
              <w:t>168,417,000</w:t>
            </w:r>
          </w:p>
        </w:tc>
      </w:tr>
      <w:tr w:rsidR="00393DDB" w:rsidRPr="00A91A09" w14:paraId="1CE456C7" w14:textId="77777777" w:rsidTr="00725652">
        <w:trPr>
          <w:trHeight w:val="227"/>
        </w:trPr>
        <w:tc>
          <w:tcPr>
            <w:tcW w:w="1106" w:type="pct"/>
            <w:shd w:val="clear" w:color="auto" w:fill="auto"/>
            <w:noWrap/>
            <w:vAlign w:val="center"/>
            <w:hideMark/>
          </w:tcPr>
          <w:p w14:paraId="34B5A0B7" w14:textId="77777777" w:rsidR="00393DDB" w:rsidRPr="00A91A09" w:rsidRDefault="00393DDB" w:rsidP="007765FC">
            <w:pPr>
              <w:autoSpaceDE w:val="0"/>
              <w:autoSpaceDN w:val="0"/>
              <w:adjustRightInd w:val="0"/>
              <w:spacing w:after="0" w:line="240" w:lineRule="auto"/>
              <w:rPr>
                <w:rFonts w:cstheme="minorHAnsi"/>
                <w:b/>
                <w:sz w:val="20"/>
                <w:szCs w:val="20"/>
                <w:lang w:val="en-GB"/>
              </w:rPr>
            </w:pPr>
            <w:r w:rsidRPr="00A91A09">
              <w:rPr>
                <w:rFonts w:cstheme="minorHAnsi"/>
                <w:b/>
                <w:sz w:val="20"/>
                <w:lang w:val="en-GB" w:bidi="en-GB"/>
              </w:rPr>
              <w:t>Regions total</w:t>
            </w:r>
          </w:p>
        </w:tc>
        <w:tc>
          <w:tcPr>
            <w:tcW w:w="973" w:type="pct"/>
            <w:shd w:val="clear" w:color="auto" w:fill="auto"/>
            <w:noWrap/>
            <w:vAlign w:val="center"/>
          </w:tcPr>
          <w:p w14:paraId="36E35516" w14:textId="77777777" w:rsidR="00393DDB" w:rsidRPr="00A91A09" w:rsidRDefault="00393DDB" w:rsidP="00831687">
            <w:pPr>
              <w:autoSpaceDE w:val="0"/>
              <w:autoSpaceDN w:val="0"/>
              <w:adjustRightInd w:val="0"/>
              <w:spacing w:after="0" w:line="240" w:lineRule="auto"/>
              <w:ind w:right="283"/>
              <w:jc w:val="right"/>
              <w:rPr>
                <w:rFonts w:cstheme="minorHAnsi"/>
                <w:b/>
                <w:sz w:val="20"/>
                <w:szCs w:val="20"/>
                <w:lang w:val="en-GB"/>
              </w:rPr>
            </w:pPr>
            <w:r w:rsidRPr="00A91A09">
              <w:rPr>
                <w:rFonts w:cstheme="minorHAnsi"/>
                <w:b/>
                <w:sz w:val="20"/>
                <w:lang w:val="en-GB" w:bidi="en-GB"/>
              </w:rPr>
              <w:t>4,400,000,000</w:t>
            </w:r>
          </w:p>
        </w:tc>
        <w:tc>
          <w:tcPr>
            <w:tcW w:w="974" w:type="pct"/>
            <w:shd w:val="clear" w:color="auto" w:fill="auto"/>
            <w:noWrap/>
            <w:vAlign w:val="center"/>
          </w:tcPr>
          <w:p w14:paraId="4A440735" w14:textId="77777777" w:rsidR="00393DDB" w:rsidRPr="00A91A09" w:rsidRDefault="00393DDB" w:rsidP="00831687">
            <w:pPr>
              <w:autoSpaceDE w:val="0"/>
              <w:autoSpaceDN w:val="0"/>
              <w:adjustRightInd w:val="0"/>
              <w:spacing w:after="0" w:line="240" w:lineRule="auto"/>
              <w:ind w:right="283"/>
              <w:jc w:val="right"/>
              <w:rPr>
                <w:rFonts w:cstheme="minorHAnsi"/>
                <w:b/>
                <w:sz w:val="20"/>
                <w:szCs w:val="20"/>
                <w:lang w:val="en-GB"/>
              </w:rPr>
            </w:pPr>
            <w:r w:rsidRPr="00A91A09">
              <w:rPr>
                <w:rFonts w:cstheme="minorHAnsi"/>
                <w:b/>
                <w:sz w:val="20"/>
                <w:lang w:val="en-GB" w:bidi="en-GB"/>
              </w:rPr>
              <w:t>4,371,985,746</w:t>
            </w:r>
          </w:p>
        </w:tc>
        <w:tc>
          <w:tcPr>
            <w:tcW w:w="974" w:type="pct"/>
            <w:shd w:val="clear" w:color="auto" w:fill="auto"/>
            <w:noWrap/>
            <w:vAlign w:val="center"/>
          </w:tcPr>
          <w:p w14:paraId="2ED54A68" w14:textId="77777777" w:rsidR="00393DDB" w:rsidRPr="00A91A09" w:rsidRDefault="00393DDB" w:rsidP="00831687">
            <w:pPr>
              <w:autoSpaceDE w:val="0"/>
              <w:autoSpaceDN w:val="0"/>
              <w:adjustRightInd w:val="0"/>
              <w:spacing w:after="0" w:line="240" w:lineRule="auto"/>
              <w:ind w:right="283"/>
              <w:jc w:val="right"/>
              <w:rPr>
                <w:rFonts w:cstheme="minorHAnsi"/>
                <w:b/>
                <w:bCs/>
                <w:sz w:val="20"/>
                <w:szCs w:val="20"/>
                <w:lang w:val="en-GB"/>
              </w:rPr>
            </w:pPr>
            <w:r w:rsidRPr="00A91A09">
              <w:rPr>
                <w:rFonts w:cstheme="minorHAnsi"/>
                <w:b/>
                <w:sz w:val="20"/>
                <w:lang w:val="en-GB" w:bidi="en-GB"/>
              </w:rPr>
              <w:t>3,022,396,002</w:t>
            </w:r>
          </w:p>
        </w:tc>
        <w:tc>
          <w:tcPr>
            <w:tcW w:w="974" w:type="pct"/>
            <w:shd w:val="clear" w:color="auto" w:fill="auto"/>
            <w:noWrap/>
            <w:vAlign w:val="center"/>
          </w:tcPr>
          <w:p w14:paraId="47943C91" w14:textId="77777777" w:rsidR="00393DDB" w:rsidRPr="00A91A09" w:rsidRDefault="00393DDB" w:rsidP="00831687">
            <w:pPr>
              <w:autoSpaceDE w:val="0"/>
              <w:autoSpaceDN w:val="0"/>
              <w:adjustRightInd w:val="0"/>
              <w:spacing w:after="0" w:line="240" w:lineRule="auto"/>
              <w:ind w:right="283"/>
              <w:jc w:val="right"/>
              <w:rPr>
                <w:rFonts w:cstheme="minorHAnsi"/>
                <w:b/>
                <w:bCs/>
                <w:sz w:val="20"/>
                <w:szCs w:val="20"/>
                <w:lang w:val="en-GB"/>
              </w:rPr>
            </w:pPr>
            <w:r w:rsidRPr="00A91A09">
              <w:rPr>
                <w:rFonts w:cstheme="minorHAnsi"/>
                <w:b/>
                <w:sz w:val="20"/>
                <w:lang w:val="en-GB" w:bidi="en-GB"/>
              </w:rPr>
              <w:t>3,010,323,155</w:t>
            </w:r>
          </w:p>
        </w:tc>
      </w:tr>
    </w:tbl>
    <w:p w14:paraId="7EE1CA6F" w14:textId="42866225" w:rsidR="00393DDB" w:rsidRPr="00A91A09" w:rsidRDefault="00393DDB" w:rsidP="00393DDB">
      <w:pPr>
        <w:autoSpaceDE w:val="0"/>
        <w:autoSpaceDN w:val="0"/>
        <w:adjustRightInd w:val="0"/>
        <w:spacing w:before="40" w:after="0" w:line="240" w:lineRule="auto"/>
        <w:ind w:left="567" w:hanging="567"/>
        <w:jc w:val="both"/>
        <w:rPr>
          <w:rFonts w:cstheme="minorHAnsi"/>
          <w:sz w:val="20"/>
          <w:szCs w:val="20"/>
          <w:lang w:val="en-GB"/>
        </w:rPr>
      </w:pPr>
      <w:r w:rsidRPr="00A91A09">
        <w:rPr>
          <w:rFonts w:cstheme="minorHAnsi"/>
          <w:b/>
          <w:sz w:val="20"/>
          <w:lang w:val="en-GB" w:bidi="en-GB"/>
        </w:rPr>
        <w:t>Source:</w:t>
      </w:r>
      <w:r w:rsidRPr="00A91A09">
        <w:rPr>
          <w:rFonts w:cstheme="minorHAnsi"/>
          <w:b/>
          <w:sz w:val="20"/>
          <w:lang w:val="en-GB" w:bidi="en-GB"/>
        </w:rPr>
        <w:tab/>
      </w:r>
      <w:r w:rsidR="004D23C2">
        <w:rPr>
          <w:rFonts w:cstheme="minorHAnsi"/>
          <w:sz w:val="20"/>
          <w:lang w:val="en-GB" w:bidi="en-GB"/>
        </w:rPr>
        <w:t>SFDI</w:t>
      </w:r>
      <w:r w:rsidRPr="00A91A09">
        <w:rPr>
          <w:rFonts w:cstheme="minorHAnsi"/>
          <w:sz w:val="20"/>
          <w:lang w:val="en-GB" w:bidi="en-GB"/>
        </w:rPr>
        <w:t xml:space="preserve"> information.</w:t>
      </w:r>
    </w:p>
    <w:p w14:paraId="372002BB" w14:textId="77777777" w:rsidR="00393DDB" w:rsidRPr="00A91A09" w:rsidRDefault="00393DDB" w:rsidP="00393DDB">
      <w:pPr>
        <w:tabs>
          <w:tab w:val="left" w:pos="284"/>
        </w:tabs>
        <w:autoSpaceDE w:val="0"/>
        <w:autoSpaceDN w:val="0"/>
        <w:adjustRightInd w:val="0"/>
        <w:spacing w:after="0" w:line="240" w:lineRule="auto"/>
        <w:ind w:left="28"/>
        <w:jc w:val="both"/>
        <w:rPr>
          <w:rFonts w:cstheme="minorHAnsi"/>
          <w:bCs/>
          <w:sz w:val="20"/>
          <w:szCs w:val="20"/>
          <w:lang w:val="en-GB"/>
        </w:rPr>
      </w:pPr>
      <w:r w:rsidRPr="00A91A09">
        <w:rPr>
          <w:rFonts w:cstheme="minorHAnsi"/>
          <w:sz w:val="20"/>
          <w:lang w:val="en-GB" w:bidi="en-GB"/>
        </w:rPr>
        <w:t>*</w:t>
      </w:r>
      <w:r w:rsidRPr="00A91A09">
        <w:rPr>
          <w:rFonts w:cstheme="minorHAnsi"/>
          <w:sz w:val="20"/>
          <w:lang w:val="en-GB" w:bidi="en-GB"/>
        </w:rPr>
        <w:tab/>
        <w:t>Transfer of unspent funds from 2015.</w:t>
      </w:r>
    </w:p>
    <w:p w14:paraId="621583E4" w14:textId="77777777" w:rsidR="00393DDB" w:rsidRPr="00A91A09" w:rsidRDefault="00393DDB" w:rsidP="00393DDB">
      <w:pPr>
        <w:tabs>
          <w:tab w:val="left" w:pos="284"/>
        </w:tabs>
        <w:autoSpaceDE w:val="0"/>
        <w:autoSpaceDN w:val="0"/>
        <w:adjustRightInd w:val="0"/>
        <w:spacing w:after="240" w:line="240" w:lineRule="auto"/>
        <w:ind w:left="28"/>
        <w:jc w:val="both"/>
        <w:rPr>
          <w:rFonts w:cstheme="minorHAnsi"/>
          <w:sz w:val="20"/>
          <w:szCs w:val="20"/>
          <w:lang w:val="en-GB"/>
        </w:rPr>
      </w:pPr>
      <w:r w:rsidRPr="00A91A09">
        <w:rPr>
          <w:rFonts w:cstheme="minorHAnsi"/>
          <w:sz w:val="20"/>
          <w:lang w:val="en-GB" w:bidi="en-GB"/>
        </w:rPr>
        <w:t>**</w:t>
      </w:r>
      <w:r w:rsidRPr="00A91A09">
        <w:rPr>
          <w:rFonts w:cstheme="minorHAnsi"/>
          <w:sz w:val="20"/>
          <w:lang w:val="en-GB" w:bidi="en-GB"/>
        </w:rPr>
        <w:tab/>
        <w:t>Return of unspent funds in 2016.</w:t>
      </w:r>
    </w:p>
    <w:p w14:paraId="1BBAAF44" w14:textId="2C27FB2A" w:rsidR="00393DDB" w:rsidRPr="00A91A09" w:rsidRDefault="00393DDB" w:rsidP="007E14F9">
      <w:pPr>
        <w:tabs>
          <w:tab w:val="left" w:pos="3544"/>
        </w:tabs>
        <w:spacing w:after="0" w:line="240" w:lineRule="auto"/>
        <w:jc w:val="both"/>
        <w:rPr>
          <w:rFonts w:eastAsia="Times New Roman" w:cstheme="minorHAnsi"/>
          <w:sz w:val="24"/>
          <w:szCs w:val="24"/>
          <w:lang w:val="en-GB"/>
        </w:rPr>
      </w:pPr>
      <w:r w:rsidRPr="00A91A09">
        <w:rPr>
          <w:rFonts w:cstheme="minorHAnsi"/>
          <w:b/>
          <w:sz w:val="24"/>
          <w:lang w:val="en-GB" w:bidi="en-GB"/>
        </w:rPr>
        <w:t xml:space="preserve">The </w:t>
      </w:r>
      <w:r w:rsidR="004D23C2">
        <w:rPr>
          <w:rFonts w:cstheme="minorHAnsi"/>
          <w:b/>
          <w:sz w:val="24"/>
          <w:lang w:val="en-GB" w:bidi="en-GB"/>
        </w:rPr>
        <w:t>SFDI</w:t>
      </w:r>
      <w:r w:rsidRPr="00A91A09">
        <w:rPr>
          <w:rFonts w:cstheme="minorHAnsi"/>
          <w:b/>
          <w:sz w:val="24"/>
          <w:lang w:val="en-GB" w:bidi="en-GB"/>
        </w:rPr>
        <w:t xml:space="preserve"> did not have and did not ask for information on how much money the regions would need to rebuild class II and class III roads and in what time horizon.</w:t>
      </w:r>
      <w:r w:rsidRPr="00A91A09">
        <w:rPr>
          <w:rFonts w:cstheme="minorHAnsi"/>
          <w:sz w:val="24"/>
          <w:lang w:val="en-GB" w:bidi="en-GB"/>
        </w:rPr>
        <w:t xml:space="preserve"> For the purpose of financing from the </w:t>
      </w:r>
      <w:r w:rsidR="004D23C2">
        <w:rPr>
          <w:rFonts w:cstheme="minorHAnsi"/>
          <w:sz w:val="24"/>
          <w:lang w:val="en-GB" w:bidi="en-GB"/>
        </w:rPr>
        <w:t>SFDI</w:t>
      </w:r>
      <w:r w:rsidRPr="00A91A09">
        <w:rPr>
          <w:rFonts w:cstheme="minorHAnsi"/>
          <w:sz w:val="24"/>
          <w:lang w:val="en-GB" w:bidi="en-GB"/>
        </w:rPr>
        <w:t xml:space="preserve">, the regions provided evidence of specific actions that they wanted to finance in the given year (schedule of actions). The </w:t>
      </w:r>
      <w:r w:rsidR="004D23C2">
        <w:rPr>
          <w:rFonts w:cstheme="minorHAnsi"/>
          <w:sz w:val="24"/>
          <w:lang w:val="en-GB" w:bidi="en-GB"/>
        </w:rPr>
        <w:t>SFDI</w:t>
      </w:r>
      <w:r w:rsidRPr="00A91A09">
        <w:rPr>
          <w:rFonts w:cstheme="minorHAnsi"/>
          <w:sz w:val="24"/>
          <w:lang w:val="en-GB" w:bidi="en-GB"/>
        </w:rPr>
        <w:t xml:space="preserve"> in the Methodological Guideline, i.e. </w:t>
      </w:r>
      <w:r w:rsidRPr="00A91A09">
        <w:rPr>
          <w:rFonts w:cstheme="minorHAnsi"/>
          <w:b/>
          <w:sz w:val="24"/>
          <w:lang w:val="en-GB" w:bidi="en-GB"/>
        </w:rPr>
        <w:t xml:space="preserve">in the rules for financing regional roads from the budget of the </w:t>
      </w:r>
      <w:r w:rsidR="004D23C2">
        <w:rPr>
          <w:rFonts w:cstheme="minorHAnsi"/>
          <w:b/>
          <w:sz w:val="24"/>
          <w:lang w:val="en-GB" w:bidi="en-GB"/>
        </w:rPr>
        <w:t>SFDI</w:t>
      </w:r>
      <w:r w:rsidRPr="00A91A09">
        <w:rPr>
          <w:rFonts w:cstheme="minorHAnsi"/>
          <w:b/>
          <w:sz w:val="24"/>
          <w:lang w:val="en-GB" w:bidi="en-GB"/>
        </w:rPr>
        <w:t xml:space="preserve"> in 2015 and 2016, did not set an objective but set the purpose of financing, which was the provision of funds for repairs, reconstruction and modernisation of these roads.</w:t>
      </w:r>
      <w:r w:rsidRPr="00A91A09">
        <w:rPr>
          <w:rFonts w:cstheme="minorHAnsi"/>
          <w:sz w:val="24"/>
          <w:lang w:val="en-GB" w:bidi="en-GB"/>
        </w:rPr>
        <w:t xml:space="preserve"> The amount of funding for class II and class III roads was decided by the </w:t>
      </w:r>
      <w:r w:rsidR="004D23C2">
        <w:rPr>
          <w:rFonts w:cstheme="minorHAnsi"/>
          <w:sz w:val="24"/>
          <w:lang w:val="en-GB" w:bidi="en-GB"/>
        </w:rPr>
        <w:t>SFDI</w:t>
      </w:r>
      <w:r w:rsidRPr="00A91A09">
        <w:rPr>
          <w:rFonts w:cstheme="minorHAnsi"/>
          <w:sz w:val="24"/>
          <w:lang w:val="en-GB" w:bidi="en-GB"/>
        </w:rPr>
        <w:t xml:space="preserve"> Committee on the basis of the available funds in the </w:t>
      </w:r>
      <w:r w:rsidR="004D23C2">
        <w:rPr>
          <w:rFonts w:cstheme="minorHAnsi"/>
          <w:sz w:val="24"/>
          <w:lang w:val="en-GB" w:bidi="en-GB"/>
        </w:rPr>
        <w:t>SFDI</w:t>
      </w:r>
      <w:r w:rsidRPr="00A91A09">
        <w:rPr>
          <w:rFonts w:cstheme="minorHAnsi"/>
          <w:sz w:val="24"/>
          <w:lang w:val="en-GB" w:bidi="en-GB"/>
        </w:rPr>
        <w:t xml:space="preserve"> reserve. </w:t>
      </w:r>
      <w:r w:rsidRPr="00A91A09">
        <w:rPr>
          <w:rFonts w:cstheme="minorHAnsi"/>
          <w:b/>
          <w:sz w:val="24"/>
          <w:lang w:val="en-GB" w:bidi="en-GB"/>
        </w:rPr>
        <w:t>System financing</w:t>
      </w:r>
      <w:r w:rsidRPr="00A91A09">
        <w:rPr>
          <w:rFonts w:cstheme="minorHAnsi"/>
          <w:sz w:val="24"/>
          <w:lang w:val="en-GB" w:bidi="en-GB"/>
        </w:rPr>
        <w:t xml:space="preserve"> (e.g. in the form of a regular contribution from the </w:t>
      </w:r>
      <w:r w:rsidR="004D23C2">
        <w:rPr>
          <w:rFonts w:cstheme="minorHAnsi"/>
          <w:sz w:val="24"/>
          <w:lang w:val="en-GB" w:bidi="en-GB"/>
        </w:rPr>
        <w:t>SFDI</w:t>
      </w:r>
      <w:r w:rsidRPr="00A91A09">
        <w:rPr>
          <w:rFonts w:cstheme="minorHAnsi"/>
          <w:sz w:val="24"/>
          <w:lang w:val="en-GB" w:bidi="en-GB"/>
        </w:rPr>
        <w:t xml:space="preserve"> budget or through a budget tax assessment) </w:t>
      </w:r>
      <w:r w:rsidRPr="00A91A09">
        <w:rPr>
          <w:rFonts w:cstheme="minorHAnsi"/>
          <w:b/>
          <w:sz w:val="24"/>
          <w:lang w:val="en-GB" w:bidi="en-GB"/>
        </w:rPr>
        <w:t>is currently not being prepared.</w:t>
      </w:r>
    </w:p>
    <w:p w14:paraId="63E27155" w14:textId="77777777" w:rsidR="007E14F9" w:rsidRPr="00A91A09" w:rsidRDefault="007E14F9" w:rsidP="007E14F9">
      <w:pPr>
        <w:tabs>
          <w:tab w:val="left" w:pos="3544"/>
        </w:tabs>
        <w:spacing w:after="0" w:line="240" w:lineRule="auto"/>
        <w:jc w:val="both"/>
        <w:rPr>
          <w:rFonts w:eastAsia="Times New Roman" w:cstheme="minorHAnsi"/>
          <w:sz w:val="24"/>
          <w:szCs w:val="24"/>
          <w:lang w:val="en-GB"/>
        </w:rPr>
      </w:pPr>
    </w:p>
    <w:p w14:paraId="0122BB79" w14:textId="07F0298A"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t>1.1b Setting conditions with respect to 3E</w:t>
      </w:r>
    </w:p>
    <w:p w14:paraId="2C7ED285" w14:textId="77777777" w:rsidR="00D86736" w:rsidRPr="00A91A09" w:rsidRDefault="00D86736" w:rsidP="007E14F9">
      <w:pPr>
        <w:tabs>
          <w:tab w:val="left" w:pos="3544"/>
        </w:tabs>
        <w:spacing w:after="0" w:line="240" w:lineRule="auto"/>
        <w:jc w:val="both"/>
        <w:rPr>
          <w:rFonts w:eastAsia="Times New Roman" w:cstheme="minorHAnsi"/>
          <w:iCs/>
          <w:sz w:val="24"/>
          <w:szCs w:val="24"/>
          <w:lang w:val="en-GB" w:eastAsia="cs-CZ"/>
        </w:rPr>
      </w:pPr>
    </w:p>
    <w:p w14:paraId="185F0FB0" w14:textId="5DEA618E" w:rsidR="00393DDB" w:rsidRPr="00A91A09" w:rsidRDefault="00393DDB" w:rsidP="007E14F9">
      <w:pPr>
        <w:tabs>
          <w:tab w:val="left" w:pos="3544"/>
        </w:tabs>
        <w:spacing w:after="0" w:line="240" w:lineRule="auto"/>
        <w:jc w:val="both"/>
        <w:rPr>
          <w:rFonts w:cstheme="minorHAnsi"/>
          <w:sz w:val="24"/>
          <w:szCs w:val="24"/>
          <w:lang w:val="en-GB" w:eastAsia="cs-CZ"/>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to ensure the fulfilment of the purpose defined in Section 2 of Act No. 104/2000 Coll. and in accordance with the </w:t>
      </w:r>
      <w:r w:rsidR="004D23C2">
        <w:rPr>
          <w:rFonts w:cstheme="minorHAnsi"/>
          <w:sz w:val="24"/>
          <w:lang w:val="en-GB" w:bidi="en-GB"/>
        </w:rPr>
        <w:t>SFDI</w:t>
      </w:r>
      <w:r w:rsidRPr="00A91A09">
        <w:rPr>
          <w:rFonts w:cstheme="minorHAnsi"/>
          <w:sz w:val="24"/>
          <w:lang w:val="en-GB" w:bidi="en-GB"/>
        </w:rPr>
        <w:t xml:space="preserve"> Statutes, issued </w:t>
      </w:r>
      <w:r w:rsidRPr="00A91A09">
        <w:rPr>
          <w:rFonts w:cstheme="minorHAnsi"/>
          <w:i/>
          <w:sz w:val="24"/>
          <w:lang w:val="en-GB" w:bidi="en-GB"/>
        </w:rPr>
        <w:t>Rules for financing programmes, constructions and actions from the budget of the State Fund for Transport Infrastructure</w:t>
      </w:r>
      <w:r w:rsidRPr="00A91A09">
        <w:rPr>
          <w:rFonts w:cstheme="minorHAnsi"/>
          <w:sz w:val="24"/>
          <w:lang w:val="en-GB" w:bidi="en-GB"/>
        </w:rPr>
        <w:t xml:space="preserve"> (hereinafter the “</w:t>
      </w:r>
      <w:r w:rsidR="004D23C2">
        <w:rPr>
          <w:rFonts w:cstheme="minorHAnsi"/>
          <w:sz w:val="24"/>
          <w:lang w:val="en-GB" w:bidi="en-GB"/>
        </w:rPr>
        <w:t>SFDI</w:t>
      </w:r>
      <w:r w:rsidRPr="00A91A09">
        <w:rPr>
          <w:rFonts w:cstheme="minorHAnsi"/>
          <w:sz w:val="24"/>
          <w:lang w:val="en-GB" w:bidi="en-GB"/>
        </w:rPr>
        <w:t xml:space="preserve"> Rules”), in which it set the conditions for the use of the </w:t>
      </w:r>
      <w:r w:rsidR="004D23C2">
        <w:rPr>
          <w:rFonts w:cstheme="minorHAnsi"/>
          <w:sz w:val="24"/>
          <w:lang w:val="en-GB" w:bidi="en-GB"/>
        </w:rPr>
        <w:t>SFDI</w:t>
      </w:r>
      <w:r w:rsidRPr="00A91A09">
        <w:rPr>
          <w:rFonts w:cstheme="minorHAnsi"/>
          <w:sz w:val="24"/>
          <w:lang w:val="en-GB" w:bidi="en-GB"/>
        </w:rPr>
        <w:t xml:space="preserve"> funds for providers and beneficiaries in compliance with 3E.</w:t>
      </w:r>
    </w:p>
    <w:p w14:paraId="11E989FA" w14:textId="77777777" w:rsidR="007E14F9" w:rsidRPr="00A91A09" w:rsidRDefault="007E14F9" w:rsidP="007E14F9">
      <w:pPr>
        <w:tabs>
          <w:tab w:val="left" w:pos="3544"/>
        </w:tabs>
        <w:spacing w:after="0" w:line="240" w:lineRule="auto"/>
        <w:jc w:val="both"/>
        <w:rPr>
          <w:rFonts w:eastAsia="Times New Roman" w:cstheme="minorHAnsi"/>
          <w:sz w:val="24"/>
          <w:szCs w:val="24"/>
          <w:lang w:val="en-GB" w:eastAsia="cs-CZ"/>
        </w:rPr>
      </w:pPr>
    </w:p>
    <w:p w14:paraId="475EEC09" w14:textId="1BD536E2" w:rsidR="00393DDB" w:rsidRPr="00A91A09" w:rsidRDefault="00393DDB" w:rsidP="007E14F9">
      <w:pPr>
        <w:tabs>
          <w:tab w:val="left" w:pos="3544"/>
        </w:tabs>
        <w:spacing w:after="0" w:line="240" w:lineRule="auto"/>
        <w:jc w:val="both"/>
        <w:rPr>
          <w:rFonts w:cstheme="minorHAnsi"/>
          <w:sz w:val="24"/>
          <w:szCs w:val="24"/>
          <w:lang w:val="en-GB" w:eastAsia="cs-CZ"/>
        </w:rPr>
      </w:pPr>
      <w:r w:rsidRPr="00A91A09">
        <w:rPr>
          <w:rFonts w:cstheme="minorHAnsi"/>
          <w:sz w:val="24"/>
          <w:lang w:val="en-GB" w:bidi="en-GB"/>
        </w:rPr>
        <w:t xml:space="preserve">For the years 2015 and 2016, the </w:t>
      </w:r>
      <w:r w:rsidR="004D23C2">
        <w:rPr>
          <w:rFonts w:cstheme="minorHAnsi"/>
          <w:sz w:val="24"/>
          <w:lang w:val="en-GB" w:bidi="en-GB"/>
        </w:rPr>
        <w:t>SFDI</w:t>
      </w:r>
      <w:r w:rsidRPr="00A91A09">
        <w:rPr>
          <w:rFonts w:cstheme="minorHAnsi"/>
          <w:sz w:val="24"/>
          <w:lang w:val="en-GB" w:bidi="en-GB"/>
        </w:rPr>
        <w:t xml:space="preserve"> issued two methodological documents, namely </w:t>
      </w:r>
      <w:r w:rsidRPr="00A91A09">
        <w:rPr>
          <w:rFonts w:cstheme="minorHAnsi"/>
          <w:i/>
          <w:sz w:val="24"/>
          <w:lang w:val="en-GB" w:bidi="en-GB"/>
        </w:rPr>
        <w:t>Methodological Guideline for providing funds from the budget of the State Fund for Transport Infrastructure (hereinafter the “</w:t>
      </w:r>
      <w:r w:rsidR="004D23C2">
        <w:rPr>
          <w:rFonts w:cstheme="minorHAnsi"/>
          <w:i/>
          <w:sz w:val="24"/>
          <w:lang w:val="en-GB" w:bidi="en-GB"/>
        </w:rPr>
        <w:t>SFDI</w:t>
      </w:r>
      <w:r w:rsidRPr="00A91A09">
        <w:rPr>
          <w:rFonts w:cstheme="minorHAnsi"/>
          <w:i/>
          <w:sz w:val="24"/>
          <w:lang w:val="en-GB" w:bidi="en-GB"/>
        </w:rPr>
        <w:t xml:space="preserve">”) for the financing of class II and class III roads owned by the regions in 2015 </w:t>
      </w:r>
      <w:r w:rsidRPr="00A91A09">
        <w:rPr>
          <w:rFonts w:cstheme="minorHAnsi"/>
          <w:sz w:val="24"/>
          <w:lang w:val="en-GB" w:bidi="en-GB"/>
        </w:rPr>
        <w:t xml:space="preserve">and </w:t>
      </w:r>
      <w:r w:rsidRPr="00A91A09">
        <w:rPr>
          <w:rFonts w:cstheme="minorHAnsi"/>
          <w:i/>
          <w:sz w:val="24"/>
          <w:lang w:val="en-GB" w:bidi="en-GB"/>
        </w:rPr>
        <w:t>Rules for the provision of funds from the budget of the State Fund for Transport Infrastructure (hereinafter the “</w:t>
      </w:r>
      <w:r w:rsidR="004D23C2">
        <w:rPr>
          <w:rFonts w:cstheme="minorHAnsi"/>
          <w:i/>
          <w:sz w:val="24"/>
          <w:lang w:val="en-GB" w:bidi="en-GB"/>
        </w:rPr>
        <w:t>SFDI</w:t>
      </w:r>
      <w:r w:rsidRPr="00A91A09">
        <w:rPr>
          <w:rFonts w:cstheme="minorHAnsi"/>
          <w:i/>
          <w:sz w:val="24"/>
          <w:lang w:val="en-GB" w:bidi="en-GB"/>
        </w:rPr>
        <w:t xml:space="preserve">”) for the financing of class </w:t>
      </w:r>
      <w:r w:rsidRPr="00A91A09">
        <w:rPr>
          <w:rFonts w:cstheme="minorHAnsi"/>
          <w:i/>
          <w:sz w:val="24"/>
          <w:lang w:val="en-GB" w:bidi="en-GB"/>
        </w:rPr>
        <w:lastRenderedPageBreak/>
        <w:t>II and class III roads owned by the regions in 2016</w:t>
      </w:r>
      <w:r w:rsidRPr="00A91A09">
        <w:rPr>
          <w:rFonts w:cstheme="minorHAnsi"/>
          <w:sz w:val="24"/>
          <w:lang w:val="en-GB" w:bidi="en-GB"/>
        </w:rPr>
        <w:t xml:space="preserve">, in which the </w:t>
      </w:r>
      <w:r w:rsidR="004D23C2">
        <w:rPr>
          <w:rFonts w:cstheme="minorHAnsi"/>
          <w:sz w:val="24"/>
          <w:lang w:val="en-GB" w:bidi="en-GB"/>
        </w:rPr>
        <w:t>SFDI</w:t>
      </w:r>
      <w:r w:rsidRPr="00A91A09">
        <w:rPr>
          <w:rFonts w:cstheme="minorHAnsi"/>
          <w:sz w:val="24"/>
          <w:lang w:val="en-GB" w:bidi="en-GB"/>
        </w:rPr>
        <w:t xml:space="preserve"> imposed the obligation on beneficiaries to comply with the 3E principles when selecting actions to fund from the </w:t>
      </w:r>
      <w:r w:rsidR="004D23C2">
        <w:rPr>
          <w:rFonts w:cstheme="minorHAnsi"/>
          <w:sz w:val="24"/>
          <w:lang w:val="en-GB" w:bidi="en-GB"/>
        </w:rPr>
        <w:t>SFDI</w:t>
      </w:r>
      <w:r w:rsidRPr="00A91A09">
        <w:rPr>
          <w:rFonts w:cstheme="minorHAnsi"/>
          <w:sz w:val="24"/>
          <w:lang w:val="en-GB" w:bidi="en-GB"/>
        </w:rPr>
        <w:t xml:space="preserve"> budget according to the beneficiary’s internal rules, defining the minimum necessary to demonstrate compliance with 3E principles (e.g. justification of the action selection based on the approved repair concept, diagnostics, definition of variant solutions, economic justification for choosing the final solution with respect to the life cycle of the project). In the rules for 2017, the </w:t>
      </w:r>
      <w:r w:rsidR="004D23C2">
        <w:rPr>
          <w:rFonts w:cstheme="minorHAnsi"/>
          <w:sz w:val="24"/>
          <w:lang w:val="en-GB" w:bidi="en-GB"/>
        </w:rPr>
        <w:t>SFDI</w:t>
      </w:r>
      <w:r w:rsidRPr="00A91A09">
        <w:rPr>
          <w:rFonts w:cstheme="minorHAnsi"/>
          <w:sz w:val="24"/>
          <w:lang w:val="en-GB" w:bidi="en-GB"/>
        </w:rPr>
        <w:t xml:space="preserve"> newly introduced a mandatory selection of actions to finance from the </w:t>
      </w:r>
      <w:r w:rsidR="004D23C2">
        <w:rPr>
          <w:rFonts w:cstheme="minorHAnsi"/>
          <w:sz w:val="24"/>
          <w:lang w:val="en-GB" w:bidi="en-GB"/>
        </w:rPr>
        <w:t>SFDI</w:t>
      </w:r>
      <w:r w:rsidRPr="00A91A09">
        <w:rPr>
          <w:rFonts w:cstheme="minorHAnsi"/>
          <w:sz w:val="24"/>
          <w:lang w:val="en-GB" w:bidi="en-GB"/>
        </w:rPr>
        <w:t xml:space="preserve"> budget according to the results of the “Road Management System”</w:t>
      </w:r>
      <w:r w:rsidRPr="00A91A09">
        <w:rPr>
          <w:rFonts w:cstheme="minorHAnsi"/>
          <w:sz w:val="24"/>
          <w:vertAlign w:val="superscript"/>
          <w:lang w:val="en-GB" w:bidi="en-GB"/>
        </w:rPr>
        <w:footnoteReference w:id="7"/>
      </w:r>
      <w:r w:rsidRPr="00A91A09">
        <w:rPr>
          <w:rFonts w:cstheme="minorHAnsi"/>
          <w:sz w:val="24"/>
          <w:lang w:val="en-GB" w:bidi="en-GB"/>
        </w:rPr>
        <w:t xml:space="preserve"> evaluation, in order to increase the transparency of the selection of actions to finance and to increase the economy and effectiveness of the funding provided from the </w:t>
      </w:r>
      <w:r w:rsidR="004D23C2">
        <w:rPr>
          <w:rFonts w:cstheme="minorHAnsi"/>
          <w:sz w:val="24"/>
          <w:lang w:val="en-GB" w:bidi="en-GB"/>
        </w:rPr>
        <w:t>SFDI</w:t>
      </w:r>
      <w:r w:rsidRPr="00A91A09">
        <w:rPr>
          <w:rFonts w:cstheme="minorHAnsi"/>
          <w:sz w:val="24"/>
          <w:lang w:val="en-GB" w:bidi="en-GB"/>
        </w:rPr>
        <w:t xml:space="preserve"> budget. </w:t>
      </w:r>
    </w:p>
    <w:p w14:paraId="1F91FDE9" w14:textId="77777777" w:rsidR="007E14F9" w:rsidRPr="00A91A09" w:rsidRDefault="007E14F9" w:rsidP="007E14F9">
      <w:pPr>
        <w:tabs>
          <w:tab w:val="left" w:pos="3544"/>
        </w:tabs>
        <w:spacing w:after="0" w:line="240" w:lineRule="auto"/>
        <w:jc w:val="both"/>
        <w:rPr>
          <w:rFonts w:cstheme="minorHAnsi"/>
          <w:sz w:val="24"/>
          <w:szCs w:val="24"/>
          <w:lang w:val="en-GB" w:eastAsia="cs-CZ"/>
        </w:rPr>
      </w:pPr>
    </w:p>
    <w:p w14:paraId="3EC68D57" w14:textId="24085611"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t>1.1c Granting subsidies with respect to 3E</w:t>
      </w:r>
    </w:p>
    <w:p w14:paraId="62291733" w14:textId="77777777" w:rsidR="007E14F9" w:rsidRPr="00A91A09" w:rsidRDefault="007E14F9" w:rsidP="007E14F9">
      <w:pPr>
        <w:tabs>
          <w:tab w:val="left" w:pos="3544"/>
        </w:tabs>
        <w:spacing w:after="0" w:line="240" w:lineRule="auto"/>
        <w:jc w:val="both"/>
        <w:rPr>
          <w:rFonts w:cstheme="minorHAnsi"/>
          <w:sz w:val="24"/>
          <w:szCs w:val="24"/>
          <w:lang w:val="en-GB"/>
        </w:rPr>
      </w:pPr>
    </w:p>
    <w:p w14:paraId="5D6BDC23" w14:textId="5077B2EF" w:rsidR="00393DDB" w:rsidRPr="00A91A09" w:rsidRDefault="00393DDB" w:rsidP="007E14F9">
      <w:pPr>
        <w:tabs>
          <w:tab w:val="left" w:pos="3544"/>
        </w:tabs>
        <w:spacing w:after="0" w:line="240" w:lineRule="auto"/>
        <w:jc w:val="both"/>
        <w:rPr>
          <w:rFonts w:cstheme="minorHAnsi"/>
          <w:sz w:val="24"/>
          <w:szCs w:val="24"/>
          <w:lang w:val="en-GB"/>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provided subsidies to beneficiaries under an agreement to provide funds from the </w:t>
      </w:r>
      <w:r w:rsidR="004D23C2">
        <w:rPr>
          <w:rFonts w:cstheme="minorHAnsi"/>
          <w:sz w:val="24"/>
          <w:lang w:val="en-GB" w:bidi="en-GB"/>
        </w:rPr>
        <w:t>SFDI</w:t>
      </w:r>
      <w:r w:rsidRPr="00A91A09">
        <w:rPr>
          <w:rFonts w:cstheme="minorHAnsi"/>
          <w:sz w:val="24"/>
          <w:lang w:val="en-GB" w:bidi="en-GB"/>
        </w:rPr>
        <w:t xml:space="preserve"> budget for the relevant year (hereinafter the “Agreement”). The basis for the conclusion of the Agreement was the beneficiaries’ applications in the form of a schedule of the actions they expected to implement in the given year with the co-financing from the </w:t>
      </w:r>
      <w:r w:rsidR="004D23C2">
        <w:rPr>
          <w:rFonts w:cstheme="minorHAnsi"/>
          <w:sz w:val="24"/>
          <w:lang w:val="en-GB" w:bidi="en-GB"/>
        </w:rPr>
        <w:t>SFDI</w:t>
      </w:r>
      <w:r w:rsidRPr="00A91A09">
        <w:rPr>
          <w:rFonts w:cstheme="minorHAnsi"/>
          <w:sz w:val="24"/>
          <w:lang w:val="en-GB" w:bidi="en-GB"/>
        </w:rPr>
        <w:t xml:space="preserve"> budget. The schedule of actions was approved by the Central Committee of the Ministry of Transport (hereinafter the “CC MT”). The schedules included, for each action, measurable parameters (the length of the repaired section, amount and type of expected costs and timing of the action) to which the beneficiaries were bound. The schedules also included affidavits of the statutory representatives of the beneficiaries that the 3E principles would be respected when selecting actions to implement.</w:t>
      </w:r>
    </w:p>
    <w:p w14:paraId="0DE9180A" w14:textId="77777777" w:rsidR="007E14F9" w:rsidRPr="00A91A09" w:rsidRDefault="007E14F9" w:rsidP="007E14F9">
      <w:pPr>
        <w:tabs>
          <w:tab w:val="left" w:pos="3544"/>
        </w:tabs>
        <w:autoSpaceDE w:val="0"/>
        <w:autoSpaceDN w:val="0"/>
        <w:adjustRightInd w:val="0"/>
        <w:spacing w:after="0" w:line="240" w:lineRule="auto"/>
        <w:jc w:val="both"/>
        <w:rPr>
          <w:rFonts w:eastAsia="Times New Roman" w:cstheme="minorHAnsi"/>
          <w:sz w:val="24"/>
          <w:szCs w:val="24"/>
          <w:lang w:val="en-GB"/>
        </w:rPr>
      </w:pPr>
    </w:p>
    <w:p w14:paraId="424BEBA2" w14:textId="6254F638" w:rsidR="00393DDB" w:rsidRPr="00A91A09" w:rsidRDefault="00BF76AB" w:rsidP="007E14F9">
      <w:pPr>
        <w:tabs>
          <w:tab w:val="left" w:pos="3544"/>
        </w:tabs>
        <w:autoSpaceDE w:val="0"/>
        <w:autoSpaceDN w:val="0"/>
        <w:adjustRightInd w:val="0"/>
        <w:spacing w:after="0" w:line="240" w:lineRule="auto"/>
        <w:jc w:val="both"/>
        <w:rPr>
          <w:rFonts w:eastAsia="Times New Roman" w:cstheme="minorHAnsi"/>
          <w:sz w:val="24"/>
          <w:szCs w:val="24"/>
          <w:lang w:val="en-GB"/>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in the Agreement, obliged the beneficiary to proceed with the preparation and implementation of the actions in accordance with the </w:t>
      </w:r>
      <w:r w:rsidR="004D23C2">
        <w:rPr>
          <w:rFonts w:cstheme="minorHAnsi"/>
          <w:sz w:val="24"/>
          <w:lang w:val="en-GB" w:bidi="en-GB"/>
        </w:rPr>
        <w:t>SFDI</w:t>
      </w:r>
      <w:r w:rsidRPr="00A91A09">
        <w:rPr>
          <w:rFonts w:cstheme="minorHAnsi"/>
          <w:sz w:val="24"/>
          <w:lang w:val="en-GB" w:bidi="en-GB"/>
        </w:rPr>
        <w:t xml:space="preserve"> Rules and set some additional obligations, including:</w:t>
      </w:r>
    </w:p>
    <w:p w14:paraId="759B81EF" w14:textId="77777777" w:rsidR="00393DDB" w:rsidRPr="00A91A09" w:rsidRDefault="00393DDB" w:rsidP="00E574E9">
      <w:pPr>
        <w:numPr>
          <w:ilvl w:val="0"/>
          <w:numId w:val="27"/>
        </w:numPr>
        <w:tabs>
          <w:tab w:val="left" w:pos="3544"/>
        </w:tabs>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Manage the funds efficiently and economically in accordance with the purpose of their use and with due care and diligence;</w:t>
      </w:r>
    </w:p>
    <w:p w14:paraId="69D4B717" w14:textId="77777777" w:rsidR="00393DDB" w:rsidRPr="00A91A09" w:rsidRDefault="00393DDB" w:rsidP="00E574E9">
      <w:pPr>
        <w:numPr>
          <w:ilvl w:val="0"/>
          <w:numId w:val="27"/>
        </w:numPr>
        <w:tabs>
          <w:tab w:val="left" w:pos="1080"/>
          <w:tab w:val="left" w:pos="3544"/>
        </w:tabs>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 xml:space="preserve">Address at least five qualified contractors in a small-scale public contract and in a simplified below-the-threshold procedure; </w:t>
      </w:r>
    </w:p>
    <w:p w14:paraId="2080E492" w14:textId="13AB4DB8" w:rsidR="00393DDB" w:rsidRPr="00A91A09" w:rsidRDefault="00393DDB" w:rsidP="00E574E9">
      <w:pPr>
        <w:numPr>
          <w:ilvl w:val="0"/>
          <w:numId w:val="27"/>
        </w:numPr>
        <w:tabs>
          <w:tab w:val="left" w:pos="3544"/>
        </w:tabs>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 xml:space="preserve">Publish information on the awarded contract for all public contracts financed or co-financed by the </w:t>
      </w:r>
      <w:r w:rsidR="004D23C2">
        <w:rPr>
          <w:rFonts w:cstheme="minorHAnsi"/>
          <w:sz w:val="24"/>
          <w:lang w:val="en-GB" w:bidi="en-GB"/>
        </w:rPr>
        <w:t>SFDI</w:t>
      </w:r>
      <w:r w:rsidRPr="00A91A09">
        <w:rPr>
          <w:rFonts w:cstheme="minorHAnsi"/>
          <w:sz w:val="24"/>
          <w:lang w:val="en-GB" w:bidi="en-GB"/>
        </w:rPr>
        <w:t>;</w:t>
      </w:r>
    </w:p>
    <w:p w14:paraId="0BCD6825" w14:textId="52905AC4" w:rsidR="00393DDB" w:rsidRPr="00A91A09" w:rsidRDefault="00393DDB" w:rsidP="00E574E9">
      <w:pPr>
        <w:numPr>
          <w:ilvl w:val="0"/>
          <w:numId w:val="27"/>
        </w:numPr>
        <w:tabs>
          <w:tab w:val="left" w:pos="3544"/>
        </w:tabs>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 xml:space="preserve">Contribute to the reimbursement of costs and document the contribution to financing (in case the beneficiary financed the expenditure on class II and class III roads from its own resources in the relevant year, at a minimum corresponding to the average of the own resources expended on class II and class III roads in previous three years, the beneficiary did not have to prove the mandatory contribution with accounting documents and the actions were financed by the </w:t>
      </w:r>
      <w:r w:rsidR="004D23C2">
        <w:rPr>
          <w:rFonts w:cstheme="minorHAnsi"/>
          <w:sz w:val="24"/>
          <w:lang w:val="en-GB" w:bidi="en-GB"/>
        </w:rPr>
        <w:t>SFDI</w:t>
      </w:r>
      <w:r w:rsidRPr="00A91A09">
        <w:rPr>
          <w:rFonts w:cstheme="minorHAnsi"/>
          <w:sz w:val="24"/>
          <w:lang w:val="en-GB" w:bidi="en-GB"/>
        </w:rPr>
        <w:t xml:space="preserve"> up to 100 %).</w:t>
      </w:r>
    </w:p>
    <w:p w14:paraId="62210245" w14:textId="77777777" w:rsidR="007E14F9" w:rsidRPr="00A91A09" w:rsidRDefault="007E14F9" w:rsidP="007E14F9">
      <w:pPr>
        <w:tabs>
          <w:tab w:val="left" w:pos="3544"/>
        </w:tabs>
        <w:spacing w:after="0" w:line="240" w:lineRule="auto"/>
        <w:jc w:val="both"/>
        <w:rPr>
          <w:rFonts w:cstheme="minorHAnsi"/>
          <w:bCs/>
          <w:sz w:val="24"/>
          <w:szCs w:val="24"/>
          <w:lang w:val="en-GB"/>
        </w:rPr>
      </w:pPr>
    </w:p>
    <w:p w14:paraId="2760FF10" w14:textId="5C8FEE18" w:rsidR="00393DDB" w:rsidRPr="00A91A09" w:rsidRDefault="00393DDB" w:rsidP="007E14F9">
      <w:pPr>
        <w:tabs>
          <w:tab w:val="left" w:pos="3544"/>
        </w:tabs>
        <w:spacing w:after="0" w:line="240" w:lineRule="auto"/>
        <w:jc w:val="both"/>
        <w:rPr>
          <w:rFonts w:cstheme="minorHAnsi"/>
          <w:bCs/>
          <w:sz w:val="24"/>
          <w:szCs w:val="24"/>
          <w:lang w:val="en-GB"/>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also set out the rules for the clearing and settlement of funds provided from the </w:t>
      </w:r>
      <w:r w:rsidR="004D23C2">
        <w:rPr>
          <w:rFonts w:cstheme="minorHAnsi"/>
          <w:sz w:val="24"/>
          <w:lang w:val="en-GB" w:bidi="en-GB"/>
        </w:rPr>
        <w:t>SFDI</w:t>
      </w:r>
      <w:r w:rsidRPr="00A91A09">
        <w:rPr>
          <w:rFonts w:cstheme="minorHAnsi"/>
          <w:sz w:val="24"/>
          <w:lang w:val="en-GB" w:bidi="en-GB"/>
        </w:rPr>
        <w:t xml:space="preserve"> budget and for the final evaluation of the action. </w:t>
      </w:r>
    </w:p>
    <w:p w14:paraId="4F25D52A" w14:textId="77777777" w:rsidR="007E14F9" w:rsidRPr="00A91A09" w:rsidRDefault="007E14F9" w:rsidP="007E14F9">
      <w:pPr>
        <w:tabs>
          <w:tab w:val="left" w:pos="3544"/>
        </w:tabs>
        <w:spacing w:after="0" w:line="240" w:lineRule="auto"/>
        <w:jc w:val="both"/>
        <w:rPr>
          <w:rFonts w:cstheme="minorHAnsi"/>
          <w:bCs/>
          <w:sz w:val="24"/>
          <w:szCs w:val="24"/>
          <w:lang w:val="en-GB"/>
        </w:rPr>
      </w:pPr>
    </w:p>
    <w:p w14:paraId="36952BEB" w14:textId="77777777" w:rsidR="00136A70" w:rsidRDefault="00136A70">
      <w:pPr>
        <w:rPr>
          <w:rFonts w:cstheme="minorHAnsi"/>
          <w:b/>
          <w:sz w:val="24"/>
          <w:lang w:val="en-GB" w:bidi="en-GB"/>
        </w:rPr>
      </w:pPr>
      <w:r>
        <w:rPr>
          <w:rFonts w:cstheme="minorHAnsi"/>
          <w:b/>
          <w:sz w:val="24"/>
          <w:lang w:val="en-GB" w:bidi="en-GB"/>
        </w:rPr>
        <w:br w:type="page"/>
      </w:r>
    </w:p>
    <w:p w14:paraId="796F899E" w14:textId="5EDBF00E" w:rsidR="00393DDB" w:rsidRPr="00A91A09" w:rsidRDefault="00393DDB" w:rsidP="007E14F9">
      <w:pPr>
        <w:tabs>
          <w:tab w:val="left" w:pos="3544"/>
        </w:tabs>
        <w:autoSpaceDE w:val="0"/>
        <w:autoSpaceDN w:val="0"/>
        <w:adjustRightInd w:val="0"/>
        <w:spacing w:after="0" w:line="240" w:lineRule="auto"/>
        <w:jc w:val="both"/>
        <w:rPr>
          <w:rFonts w:eastAsia="Times New Roman" w:cstheme="minorHAnsi"/>
          <w:b/>
          <w:sz w:val="24"/>
          <w:szCs w:val="24"/>
          <w:lang w:val="en-GB"/>
        </w:rPr>
      </w:pPr>
      <w:r w:rsidRPr="00A91A09">
        <w:rPr>
          <w:rFonts w:cstheme="minorHAnsi"/>
          <w:b/>
          <w:sz w:val="24"/>
          <w:lang w:val="en-GB" w:bidi="en-GB"/>
        </w:rPr>
        <w:lastRenderedPageBreak/>
        <w:t>The audit revealed the following:</w:t>
      </w:r>
    </w:p>
    <w:p w14:paraId="46FF58AD" w14:textId="6BE162ED" w:rsidR="00393DDB" w:rsidRPr="00A91A09" w:rsidRDefault="00393DDB" w:rsidP="003D75C0">
      <w:pPr>
        <w:numPr>
          <w:ilvl w:val="0"/>
          <w:numId w:val="5"/>
        </w:numPr>
        <w:tabs>
          <w:tab w:val="left" w:pos="3544"/>
        </w:tabs>
        <w:autoSpaceDE w:val="0"/>
        <w:autoSpaceDN w:val="0"/>
        <w:adjustRightInd w:val="0"/>
        <w:spacing w:after="0" w:line="240" w:lineRule="auto"/>
        <w:ind w:left="284" w:hanging="284"/>
        <w:jc w:val="both"/>
        <w:rPr>
          <w:rFonts w:eastAsia="Times New Roman" w:cstheme="minorHAnsi"/>
          <w:b/>
          <w:sz w:val="24"/>
          <w:szCs w:val="24"/>
          <w:lang w:val="en-GB" w:eastAsia="cs-CZ"/>
        </w:rPr>
      </w:pPr>
      <w:r w:rsidRPr="00A91A09">
        <w:rPr>
          <w:rFonts w:cstheme="minorHAnsi"/>
          <w:b/>
          <w:sz w:val="24"/>
          <w:lang w:val="en-GB" w:bidi="en-GB"/>
        </w:rPr>
        <w:t xml:space="preserve">In 2015, the </w:t>
      </w:r>
      <w:r w:rsidR="004D23C2">
        <w:rPr>
          <w:rFonts w:cstheme="minorHAnsi"/>
          <w:b/>
          <w:sz w:val="24"/>
          <w:lang w:val="en-GB" w:bidi="en-GB"/>
        </w:rPr>
        <w:t>SFDI</w:t>
      </w:r>
      <w:r w:rsidRPr="00A91A09">
        <w:rPr>
          <w:rFonts w:cstheme="minorHAnsi"/>
          <w:b/>
          <w:sz w:val="24"/>
          <w:lang w:val="en-GB" w:bidi="en-GB"/>
        </w:rPr>
        <w:t xml:space="preserve"> did not have control mechanisms in the electronic registers of financing regional roads (MMA application), which would prevent beneficiaries from reporting </w:t>
      </w:r>
      <w:r w:rsidR="004D23C2">
        <w:rPr>
          <w:rFonts w:cstheme="minorHAnsi"/>
          <w:b/>
          <w:sz w:val="24"/>
          <w:lang w:val="en-GB" w:bidi="en-GB"/>
        </w:rPr>
        <w:t>SFDI</w:t>
      </w:r>
      <w:r w:rsidRPr="00A91A09">
        <w:rPr>
          <w:rFonts w:cstheme="minorHAnsi"/>
          <w:b/>
          <w:sz w:val="24"/>
          <w:lang w:val="en-GB" w:bidi="en-GB"/>
        </w:rPr>
        <w:t xml:space="preserve"> budget funding to cover the costs of individual actions beyond the costs approved by the CC MT. </w:t>
      </w:r>
    </w:p>
    <w:p w14:paraId="4CF9BC70" w14:textId="7E34498A" w:rsidR="00393DDB" w:rsidRPr="00A91A09" w:rsidRDefault="00393DDB" w:rsidP="003D75C0">
      <w:pPr>
        <w:tabs>
          <w:tab w:val="left" w:pos="3544"/>
        </w:tabs>
        <w:autoSpaceDE w:val="0"/>
        <w:autoSpaceDN w:val="0"/>
        <w:adjustRightInd w:val="0"/>
        <w:spacing w:after="0" w:line="240" w:lineRule="auto"/>
        <w:ind w:left="284"/>
        <w:jc w:val="both"/>
        <w:rPr>
          <w:rFonts w:eastAsia="Times New Roman" w:cstheme="minorHAnsi"/>
          <w:sz w:val="24"/>
          <w:szCs w:val="24"/>
          <w:lang w:val="en-GB" w:eastAsia="cs-CZ"/>
        </w:rPr>
      </w:pPr>
      <w:r w:rsidRPr="00A91A09">
        <w:rPr>
          <w:rFonts w:cstheme="minorHAnsi"/>
          <w:sz w:val="24"/>
          <w:lang w:val="en-GB" w:bidi="en-GB"/>
        </w:rPr>
        <w:t xml:space="preserve">This fact was corrected by the </w:t>
      </w:r>
      <w:r w:rsidR="004D23C2">
        <w:rPr>
          <w:rFonts w:cstheme="minorHAnsi"/>
          <w:sz w:val="24"/>
          <w:lang w:val="en-GB" w:bidi="en-GB"/>
        </w:rPr>
        <w:t>SFDI</w:t>
      </w:r>
      <w:r w:rsidRPr="00A91A09">
        <w:rPr>
          <w:rFonts w:cstheme="minorHAnsi"/>
          <w:sz w:val="24"/>
          <w:lang w:val="en-GB" w:bidi="en-GB"/>
        </w:rPr>
        <w:t xml:space="preserve"> in 2016 when checking the use of funds under the FEA for 2015, when more than one beneficiary were found to be reporting </w:t>
      </w:r>
      <w:r w:rsidR="004D23C2">
        <w:rPr>
          <w:rFonts w:cstheme="minorHAnsi"/>
          <w:sz w:val="24"/>
          <w:lang w:val="en-GB" w:bidi="en-GB"/>
        </w:rPr>
        <w:t>SFDI</w:t>
      </w:r>
      <w:r w:rsidRPr="00A91A09">
        <w:rPr>
          <w:rFonts w:cstheme="minorHAnsi"/>
          <w:sz w:val="24"/>
          <w:lang w:val="en-GB" w:bidi="en-GB"/>
        </w:rPr>
        <w:t xml:space="preserve"> funds in excess of the approved expenditure. Following the </w:t>
      </w:r>
      <w:r w:rsidR="004D23C2">
        <w:rPr>
          <w:rFonts w:cstheme="minorHAnsi"/>
          <w:sz w:val="24"/>
          <w:lang w:val="en-GB" w:bidi="en-GB"/>
        </w:rPr>
        <w:t>SFDI</w:t>
      </w:r>
      <w:r w:rsidRPr="00A91A09">
        <w:rPr>
          <w:rFonts w:cstheme="minorHAnsi"/>
          <w:sz w:val="24"/>
          <w:lang w:val="en-GB" w:bidi="en-GB"/>
        </w:rPr>
        <w:t xml:space="preserve"> call, the beneficiaries refunded these unjustified funds to the </w:t>
      </w:r>
      <w:r w:rsidR="004D23C2">
        <w:rPr>
          <w:rFonts w:cstheme="minorHAnsi"/>
          <w:sz w:val="24"/>
          <w:lang w:val="en-GB" w:bidi="en-GB"/>
        </w:rPr>
        <w:t>SFDI</w:t>
      </w:r>
      <w:r w:rsidRPr="00A91A09">
        <w:rPr>
          <w:rFonts w:cstheme="minorHAnsi"/>
          <w:sz w:val="24"/>
          <w:lang w:val="en-GB" w:bidi="en-GB"/>
        </w:rPr>
        <w:t xml:space="preserve"> account.</w:t>
      </w:r>
    </w:p>
    <w:p w14:paraId="23BEFB7E" w14:textId="66197B7A" w:rsidR="00393DDB" w:rsidRPr="00A91A09" w:rsidRDefault="00393DDB" w:rsidP="003D75C0">
      <w:pPr>
        <w:numPr>
          <w:ilvl w:val="0"/>
          <w:numId w:val="5"/>
        </w:numPr>
        <w:tabs>
          <w:tab w:val="left" w:pos="3544"/>
        </w:tabs>
        <w:spacing w:after="0" w:line="240" w:lineRule="auto"/>
        <w:ind w:left="284" w:hanging="284"/>
        <w:jc w:val="both"/>
        <w:rPr>
          <w:rFonts w:eastAsia="Times New Roman" w:cstheme="minorHAnsi"/>
          <w:b/>
          <w:sz w:val="24"/>
          <w:szCs w:val="24"/>
          <w:lang w:val="en-GB" w:eastAsia="cs-CZ"/>
        </w:rPr>
      </w:pPr>
      <w:r w:rsidRPr="00A91A09">
        <w:rPr>
          <w:rFonts w:cstheme="minorHAnsi"/>
          <w:b/>
          <w:sz w:val="24"/>
          <w:lang w:val="en-GB" w:bidi="en-GB"/>
        </w:rPr>
        <w:t xml:space="preserve">The </w:t>
      </w:r>
      <w:r w:rsidR="004D23C2">
        <w:rPr>
          <w:rFonts w:cstheme="minorHAnsi"/>
          <w:b/>
          <w:sz w:val="24"/>
          <w:lang w:val="en-GB" w:bidi="en-GB"/>
        </w:rPr>
        <w:t>SFDI</w:t>
      </w:r>
      <w:r w:rsidRPr="00A91A09">
        <w:rPr>
          <w:rFonts w:cstheme="minorHAnsi"/>
          <w:b/>
          <w:sz w:val="24"/>
          <w:lang w:val="en-GB" w:bidi="en-GB"/>
        </w:rPr>
        <w:t xml:space="preserve"> set different deadlines for the repayment of advanced funds in the Agreements and methodological guidelines for the clearing and financial settlement of funds provided from the </w:t>
      </w:r>
      <w:r w:rsidR="004D23C2">
        <w:rPr>
          <w:rFonts w:cstheme="minorHAnsi"/>
          <w:b/>
          <w:sz w:val="24"/>
          <w:lang w:val="en-GB" w:bidi="en-GB"/>
        </w:rPr>
        <w:t>SFDI</w:t>
      </w:r>
      <w:r w:rsidRPr="00A91A09">
        <w:rPr>
          <w:rFonts w:cstheme="minorHAnsi"/>
          <w:b/>
          <w:sz w:val="24"/>
          <w:lang w:val="en-GB" w:bidi="en-GB"/>
        </w:rPr>
        <w:t xml:space="preserve"> budget.</w:t>
      </w:r>
    </w:p>
    <w:p w14:paraId="70C2CC57" w14:textId="579471A5" w:rsidR="00393DDB" w:rsidRPr="00A91A09" w:rsidRDefault="00393DDB" w:rsidP="003D75C0">
      <w:pPr>
        <w:numPr>
          <w:ilvl w:val="0"/>
          <w:numId w:val="5"/>
        </w:numPr>
        <w:tabs>
          <w:tab w:val="left" w:pos="3544"/>
        </w:tabs>
        <w:spacing w:after="0" w:line="240" w:lineRule="auto"/>
        <w:ind w:left="284" w:hanging="284"/>
        <w:jc w:val="both"/>
        <w:rPr>
          <w:rFonts w:eastAsia="Times New Roman" w:cstheme="minorHAnsi"/>
          <w:b/>
          <w:sz w:val="24"/>
          <w:szCs w:val="24"/>
          <w:lang w:val="en-GB" w:eastAsia="cs-CZ"/>
        </w:rPr>
      </w:pPr>
      <w:r w:rsidRPr="00A91A09">
        <w:rPr>
          <w:rFonts w:cstheme="minorHAnsi"/>
          <w:b/>
          <w:sz w:val="24"/>
          <w:lang w:val="en-GB" w:bidi="en-GB"/>
        </w:rPr>
        <w:t xml:space="preserve">Settlement for the year 2015 from the beneficiaries of the South Bohemian Region, the RMM of the Pardubice Region and the RM of the Moravian-Silesian Region, and for the year 2016 from the beneficiaries of the South Bohemian Region and the RM of the Moravian-Silesian Region did not contain data in the structure set out in the Methodological Guideline on Clearing and Financial Settlement, especially data on the origination and use of proceeds. The </w:t>
      </w:r>
      <w:r w:rsidR="004D23C2">
        <w:rPr>
          <w:rFonts w:cstheme="minorHAnsi"/>
          <w:b/>
          <w:sz w:val="24"/>
          <w:lang w:val="en-GB" w:bidi="en-GB"/>
        </w:rPr>
        <w:t>SFDI</w:t>
      </w:r>
      <w:r w:rsidRPr="00A91A09">
        <w:rPr>
          <w:rFonts w:cstheme="minorHAnsi"/>
          <w:b/>
          <w:sz w:val="24"/>
          <w:lang w:val="en-GB" w:bidi="en-GB"/>
        </w:rPr>
        <w:t xml:space="preserve"> did not ask those beneficiaries to complete the missing data.</w:t>
      </w:r>
    </w:p>
    <w:p w14:paraId="7C260EF4" w14:textId="77777777" w:rsidR="007E14F9" w:rsidRPr="00A91A09" w:rsidRDefault="007E14F9" w:rsidP="007E14F9">
      <w:pPr>
        <w:tabs>
          <w:tab w:val="left" w:pos="3544"/>
        </w:tabs>
        <w:spacing w:after="0" w:line="240" w:lineRule="auto"/>
        <w:rPr>
          <w:rFonts w:cstheme="minorHAnsi"/>
          <w:sz w:val="24"/>
          <w:szCs w:val="24"/>
          <w:lang w:val="en-GB"/>
        </w:rPr>
      </w:pPr>
    </w:p>
    <w:p w14:paraId="5B188F77" w14:textId="06E8BDD8"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t xml:space="preserve">1.1d </w:t>
      </w:r>
      <w:r w:rsidR="004D23C2">
        <w:rPr>
          <w:rFonts w:cstheme="minorHAnsi"/>
          <w:b/>
          <w:sz w:val="24"/>
          <w:lang w:val="en-GB" w:bidi="en-GB"/>
        </w:rPr>
        <w:t>SFDI</w:t>
      </w:r>
      <w:r w:rsidRPr="00A91A09">
        <w:rPr>
          <w:rFonts w:cstheme="minorHAnsi"/>
          <w:b/>
          <w:sz w:val="24"/>
          <w:lang w:val="en-GB" w:bidi="en-GB"/>
        </w:rPr>
        <w:t xml:space="preserve"> </w:t>
      </w:r>
      <w:r w:rsidR="00413C03">
        <w:rPr>
          <w:rFonts w:cstheme="minorHAnsi"/>
          <w:b/>
          <w:sz w:val="24"/>
          <w:lang w:val="en-GB" w:bidi="en-GB"/>
        </w:rPr>
        <w:t>audits</w:t>
      </w:r>
    </w:p>
    <w:p w14:paraId="5844A690" w14:textId="77777777" w:rsidR="007E14F9" w:rsidRPr="00A91A09" w:rsidRDefault="007E14F9" w:rsidP="007E14F9">
      <w:pPr>
        <w:tabs>
          <w:tab w:val="left" w:pos="3544"/>
        </w:tabs>
        <w:autoSpaceDE w:val="0"/>
        <w:autoSpaceDN w:val="0"/>
        <w:adjustRightInd w:val="0"/>
        <w:spacing w:after="0" w:line="240" w:lineRule="auto"/>
        <w:jc w:val="both"/>
        <w:rPr>
          <w:rFonts w:cstheme="minorHAnsi"/>
          <w:sz w:val="24"/>
          <w:szCs w:val="24"/>
          <w:lang w:val="en-GB"/>
        </w:rPr>
      </w:pPr>
    </w:p>
    <w:p w14:paraId="5CB6D673" w14:textId="30D5FAC7" w:rsidR="00393DDB" w:rsidRPr="00A91A09" w:rsidRDefault="00393DDB" w:rsidP="007E14F9">
      <w:pPr>
        <w:tabs>
          <w:tab w:val="left" w:pos="3544"/>
        </w:tabs>
        <w:autoSpaceDE w:val="0"/>
        <w:autoSpaceDN w:val="0"/>
        <w:adjustRightInd w:val="0"/>
        <w:spacing w:after="0" w:line="240" w:lineRule="auto"/>
        <w:jc w:val="both"/>
        <w:rPr>
          <w:rFonts w:cstheme="minorHAnsi"/>
          <w:sz w:val="24"/>
          <w:szCs w:val="24"/>
          <w:lang w:val="en-GB"/>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is authorised to </w:t>
      </w:r>
      <w:r w:rsidR="00413C03">
        <w:rPr>
          <w:rFonts w:cstheme="minorHAnsi"/>
          <w:sz w:val="24"/>
          <w:lang w:val="en-GB" w:bidi="en-GB"/>
        </w:rPr>
        <w:t>scrutinise</w:t>
      </w:r>
      <w:r w:rsidRPr="00A91A09">
        <w:rPr>
          <w:rFonts w:cstheme="minorHAnsi"/>
          <w:sz w:val="24"/>
          <w:lang w:val="en-GB" w:bidi="en-GB"/>
        </w:rPr>
        <w:t xml:space="preserve"> the use of the </w:t>
      </w:r>
      <w:r w:rsidR="004D23C2">
        <w:rPr>
          <w:rFonts w:cstheme="minorHAnsi"/>
          <w:sz w:val="24"/>
          <w:lang w:val="en-GB" w:bidi="en-GB"/>
        </w:rPr>
        <w:t>SFDI</w:t>
      </w:r>
      <w:r w:rsidRPr="00A91A09">
        <w:rPr>
          <w:rFonts w:cstheme="minorHAnsi"/>
          <w:sz w:val="24"/>
          <w:lang w:val="en-GB" w:bidi="en-GB"/>
        </w:rPr>
        <w:t xml:space="preserve"> funds under the Agreements in the case of the beneficiaries. On the basis of the </w:t>
      </w:r>
      <w:r w:rsidR="004D7D20">
        <w:rPr>
          <w:rFonts w:cstheme="minorHAnsi"/>
          <w:sz w:val="24"/>
          <w:lang w:val="en-GB" w:bidi="en-GB"/>
        </w:rPr>
        <w:t xml:space="preserve">SFDI </w:t>
      </w:r>
      <w:r w:rsidR="00B641AB">
        <w:rPr>
          <w:rFonts w:cstheme="minorHAnsi"/>
          <w:sz w:val="24"/>
          <w:lang w:val="en-GB" w:bidi="en-GB"/>
        </w:rPr>
        <w:t>audit</w:t>
      </w:r>
      <w:r w:rsidRPr="00A91A09">
        <w:rPr>
          <w:rFonts w:cstheme="minorHAnsi"/>
          <w:sz w:val="24"/>
          <w:lang w:val="en-GB" w:bidi="en-GB"/>
        </w:rPr>
        <w:t xml:space="preserve"> plan for 2016, the </w:t>
      </w:r>
      <w:r w:rsidR="004D23C2">
        <w:rPr>
          <w:rFonts w:cstheme="minorHAnsi"/>
          <w:sz w:val="24"/>
          <w:lang w:val="en-GB" w:bidi="en-GB"/>
        </w:rPr>
        <w:t>SFDI</w:t>
      </w:r>
      <w:r w:rsidRPr="00A91A09">
        <w:rPr>
          <w:rFonts w:cstheme="minorHAnsi"/>
          <w:sz w:val="24"/>
          <w:lang w:val="en-GB" w:bidi="en-GB"/>
        </w:rPr>
        <w:t xml:space="preserve"> carried out five </w:t>
      </w:r>
      <w:r w:rsidR="00B641AB">
        <w:rPr>
          <w:rFonts w:cstheme="minorHAnsi"/>
          <w:sz w:val="24"/>
          <w:lang w:val="en-GB" w:bidi="en-GB"/>
        </w:rPr>
        <w:t>audit</w:t>
      </w:r>
      <w:r w:rsidRPr="00A91A09">
        <w:rPr>
          <w:rFonts w:cstheme="minorHAnsi"/>
          <w:sz w:val="24"/>
          <w:lang w:val="en-GB" w:bidi="en-GB"/>
        </w:rPr>
        <w:t xml:space="preserve">s focused on the use of the </w:t>
      </w:r>
      <w:r w:rsidR="004D23C2">
        <w:rPr>
          <w:rFonts w:cstheme="minorHAnsi"/>
          <w:sz w:val="24"/>
          <w:lang w:val="en-GB" w:bidi="en-GB"/>
        </w:rPr>
        <w:t>SFDI</w:t>
      </w:r>
      <w:r w:rsidRPr="00A91A09">
        <w:rPr>
          <w:rFonts w:cstheme="minorHAnsi"/>
          <w:sz w:val="24"/>
          <w:lang w:val="en-GB" w:bidi="en-GB"/>
        </w:rPr>
        <w:t xml:space="preserve"> funds for financing regional roads in 2015. </w:t>
      </w:r>
      <w:r w:rsidR="00B641AB">
        <w:rPr>
          <w:rFonts w:cstheme="minorHAnsi"/>
          <w:sz w:val="24"/>
          <w:lang w:val="en-GB" w:bidi="en-GB"/>
        </w:rPr>
        <w:t>Audit</w:t>
      </w:r>
      <w:r w:rsidRPr="00A91A09">
        <w:rPr>
          <w:rFonts w:cstheme="minorHAnsi"/>
          <w:sz w:val="24"/>
          <w:lang w:val="en-GB" w:bidi="en-GB"/>
        </w:rPr>
        <w:t xml:space="preserve">s on regional roads financing included in the </w:t>
      </w:r>
      <w:r w:rsidR="00B641AB">
        <w:rPr>
          <w:rFonts w:cstheme="minorHAnsi"/>
          <w:sz w:val="24"/>
          <w:lang w:val="en-GB" w:bidi="en-GB"/>
        </w:rPr>
        <w:t>audit</w:t>
      </w:r>
      <w:r w:rsidR="00787803">
        <w:rPr>
          <w:rFonts w:cstheme="minorHAnsi"/>
          <w:sz w:val="24"/>
          <w:lang w:val="en-GB" w:bidi="en-GB"/>
        </w:rPr>
        <w:t xml:space="preserve"> plan</w:t>
      </w:r>
      <w:r w:rsidRPr="00A91A09">
        <w:rPr>
          <w:rFonts w:cstheme="minorHAnsi"/>
          <w:sz w:val="24"/>
          <w:lang w:val="en-GB" w:bidi="en-GB"/>
        </w:rPr>
        <w:t xml:space="preserve"> for 2017 (two </w:t>
      </w:r>
      <w:r w:rsidR="00B641AB">
        <w:rPr>
          <w:rFonts w:cstheme="minorHAnsi"/>
          <w:sz w:val="24"/>
          <w:lang w:val="en-GB" w:bidi="en-GB"/>
        </w:rPr>
        <w:t>audit</w:t>
      </w:r>
      <w:r w:rsidRPr="00A91A09">
        <w:rPr>
          <w:rFonts w:cstheme="minorHAnsi"/>
          <w:sz w:val="24"/>
          <w:lang w:val="en-GB" w:bidi="en-GB"/>
        </w:rPr>
        <w:t>s) had not been completed as of the date of the SAO audit.</w:t>
      </w:r>
    </w:p>
    <w:p w14:paraId="6D4DE872" w14:textId="77777777" w:rsidR="007E14F9" w:rsidRPr="00A91A09" w:rsidRDefault="007E14F9" w:rsidP="007E14F9">
      <w:pPr>
        <w:tabs>
          <w:tab w:val="left" w:pos="3544"/>
        </w:tabs>
        <w:spacing w:after="0" w:line="240" w:lineRule="auto"/>
        <w:jc w:val="both"/>
        <w:rPr>
          <w:rFonts w:cstheme="minorHAnsi"/>
          <w:sz w:val="24"/>
          <w:szCs w:val="24"/>
          <w:lang w:val="en-GB"/>
        </w:rPr>
      </w:pPr>
    </w:p>
    <w:p w14:paraId="60DB421E" w14:textId="056ACB89" w:rsidR="00393DDB" w:rsidRPr="00A91A09" w:rsidRDefault="00393DDB" w:rsidP="007E14F9">
      <w:pPr>
        <w:tabs>
          <w:tab w:val="left" w:pos="3544"/>
        </w:tabs>
        <w:spacing w:after="0" w:line="240" w:lineRule="auto"/>
        <w:jc w:val="both"/>
        <w:rPr>
          <w:rFonts w:cstheme="minorHAnsi"/>
          <w:sz w:val="24"/>
          <w:szCs w:val="24"/>
          <w:lang w:val="en-GB"/>
        </w:rPr>
      </w:pPr>
      <w:r w:rsidRPr="00A91A09">
        <w:rPr>
          <w:rFonts w:cstheme="minorHAnsi"/>
          <w:sz w:val="24"/>
          <w:lang w:val="en-GB" w:bidi="en-GB"/>
        </w:rPr>
        <w:t xml:space="preserve">Within the five </w:t>
      </w:r>
      <w:r w:rsidR="00B641AB">
        <w:rPr>
          <w:rFonts w:cstheme="minorHAnsi"/>
          <w:sz w:val="24"/>
          <w:lang w:val="en-GB" w:bidi="en-GB"/>
        </w:rPr>
        <w:t>audit</w:t>
      </w:r>
      <w:r w:rsidRPr="00A91A09">
        <w:rPr>
          <w:rFonts w:cstheme="minorHAnsi"/>
          <w:sz w:val="24"/>
          <w:lang w:val="en-GB" w:bidi="en-GB"/>
        </w:rPr>
        <w:t xml:space="preserve">s (for five beneficiaries) carried out in 2016, the </w:t>
      </w:r>
      <w:r w:rsidR="004D23C2">
        <w:rPr>
          <w:rFonts w:cstheme="minorHAnsi"/>
          <w:sz w:val="24"/>
          <w:lang w:val="en-GB" w:bidi="en-GB"/>
        </w:rPr>
        <w:t>SFDI</w:t>
      </w:r>
      <w:r w:rsidRPr="00A91A09">
        <w:rPr>
          <w:rFonts w:cstheme="minorHAnsi"/>
          <w:sz w:val="24"/>
          <w:lang w:val="en-GB" w:bidi="en-GB"/>
        </w:rPr>
        <w:t xml:space="preserve"> reviewed a total of 21 actions worth a total of CZK 200,573,821.95, i.e. 4.59 % of the total amount of funds drawn by beneficiaries to finance regional roads in 2015.</w:t>
      </w:r>
    </w:p>
    <w:p w14:paraId="56845788" w14:textId="77777777" w:rsidR="007E14F9" w:rsidRPr="00A91A09" w:rsidRDefault="007E14F9" w:rsidP="007E14F9">
      <w:pPr>
        <w:tabs>
          <w:tab w:val="left" w:pos="3544"/>
        </w:tabs>
        <w:spacing w:after="0" w:line="240" w:lineRule="auto"/>
        <w:jc w:val="both"/>
        <w:rPr>
          <w:rFonts w:cstheme="minorHAnsi"/>
          <w:sz w:val="24"/>
          <w:szCs w:val="24"/>
          <w:lang w:val="en-GB"/>
        </w:rPr>
      </w:pPr>
    </w:p>
    <w:p w14:paraId="2E1EE60E" w14:textId="6A36274B" w:rsidR="00393DDB" w:rsidRPr="00A91A09" w:rsidRDefault="00393DDB" w:rsidP="007E14F9">
      <w:pPr>
        <w:tabs>
          <w:tab w:val="left" w:pos="3544"/>
        </w:tabs>
        <w:autoSpaceDE w:val="0"/>
        <w:autoSpaceDN w:val="0"/>
        <w:adjustRightInd w:val="0"/>
        <w:spacing w:after="0" w:line="240" w:lineRule="auto"/>
        <w:jc w:val="both"/>
        <w:rPr>
          <w:rFonts w:cstheme="minorHAnsi"/>
          <w:bCs/>
          <w:sz w:val="24"/>
          <w:szCs w:val="24"/>
          <w:lang w:val="en-GB"/>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w:t>
      </w:r>
      <w:r w:rsidR="00413C03">
        <w:rPr>
          <w:rFonts w:cstheme="minorHAnsi"/>
          <w:sz w:val="24"/>
          <w:lang w:val="en-GB" w:bidi="en-GB"/>
        </w:rPr>
        <w:t>audit</w:t>
      </w:r>
      <w:r w:rsidRPr="00A91A09">
        <w:rPr>
          <w:rFonts w:cstheme="minorHAnsi"/>
          <w:sz w:val="24"/>
          <w:lang w:val="en-GB" w:bidi="en-GB"/>
        </w:rPr>
        <w:t xml:space="preserve">s reviewed the economic and efficient use of funds in accordance with the purpose set out in the Agreement, and whether the procedures for preparing and implementing actions and the use of funds were carried out by the beneficiary in accordance with the Agreement, the </w:t>
      </w:r>
      <w:r w:rsidR="004D23C2">
        <w:rPr>
          <w:rFonts w:cstheme="minorHAnsi"/>
          <w:sz w:val="24"/>
          <w:lang w:val="en-GB" w:bidi="en-GB"/>
        </w:rPr>
        <w:t>SFDI</w:t>
      </w:r>
      <w:r w:rsidRPr="00A91A09">
        <w:rPr>
          <w:rFonts w:cstheme="minorHAnsi"/>
          <w:sz w:val="24"/>
          <w:lang w:val="en-GB" w:bidi="en-GB"/>
        </w:rPr>
        <w:t xml:space="preserve"> methodological guidelines and legal regulations. Of the five beneficiaries </w:t>
      </w:r>
      <w:r w:rsidR="003551A9">
        <w:rPr>
          <w:rFonts w:cstheme="minorHAnsi"/>
          <w:sz w:val="24"/>
          <w:lang w:val="en-GB" w:bidi="en-GB"/>
        </w:rPr>
        <w:t>reviewed</w:t>
      </w:r>
      <w:r w:rsidRPr="00A91A09">
        <w:rPr>
          <w:rFonts w:cstheme="minorHAnsi"/>
          <w:sz w:val="24"/>
          <w:lang w:val="en-GB" w:bidi="en-GB"/>
        </w:rPr>
        <w:t xml:space="preserve">, shortcomings were found in the case of two beneficiaries. For one of them (RM of the Moravian-Silesian Region), the </w:t>
      </w:r>
      <w:r w:rsidR="004D23C2">
        <w:rPr>
          <w:rFonts w:cstheme="minorHAnsi"/>
          <w:sz w:val="24"/>
          <w:lang w:val="en-GB" w:bidi="en-GB"/>
        </w:rPr>
        <w:t>SFDI</w:t>
      </w:r>
      <w:r w:rsidRPr="00A91A09">
        <w:rPr>
          <w:rFonts w:cstheme="minorHAnsi"/>
          <w:sz w:val="24"/>
          <w:lang w:val="en-GB" w:bidi="en-GB"/>
        </w:rPr>
        <w:t xml:space="preserve"> submitted a request to the Office for the Protection of Competition (hereinafter the “OPC”) to investigate a potential violation of the Public Procurement Act; however, the OPC did not find any reasons to initiate an administrative procedure. The second beneficiary was then ordered to refund the unjustifiably drawn funds totalling CZK 163,460.71 to the </w:t>
      </w:r>
      <w:r w:rsidR="004D23C2">
        <w:rPr>
          <w:rFonts w:cstheme="minorHAnsi"/>
          <w:sz w:val="24"/>
          <w:lang w:val="en-GB" w:bidi="en-GB"/>
        </w:rPr>
        <w:t>SFDI</w:t>
      </w:r>
      <w:r w:rsidRPr="00A91A09">
        <w:rPr>
          <w:rFonts w:cstheme="minorHAnsi"/>
          <w:sz w:val="24"/>
          <w:lang w:val="en-GB" w:bidi="en-GB"/>
        </w:rPr>
        <w:t xml:space="preserve"> account and to remedy the deficiencies identified.</w:t>
      </w:r>
    </w:p>
    <w:p w14:paraId="726C8545" w14:textId="77777777" w:rsidR="007E14F9" w:rsidRPr="00A91A09" w:rsidRDefault="007E14F9" w:rsidP="007E14F9">
      <w:pPr>
        <w:tabs>
          <w:tab w:val="left" w:pos="3544"/>
        </w:tabs>
        <w:autoSpaceDE w:val="0"/>
        <w:autoSpaceDN w:val="0"/>
        <w:adjustRightInd w:val="0"/>
        <w:spacing w:after="0" w:line="240" w:lineRule="auto"/>
        <w:jc w:val="both"/>
        <w:rPr>
          <w:rFonts w:cstheme="minorHAnsi"/>
          <w:bCs/>
          <w:sz w:val="24"/>
          <w:szCs w:val="24"/>
          <w:lang w:val="en-GB"/>
        </w:rPr>
      </w:pPr>
    </w:p>
    <w:p w14:paraId="48418E45" w14:textId="23BB9AC5" w:rsidR="00393DDB" w:rsidRPr="00A91A09" w:rsidRDefault="00393DDB" w:rsidP="007E14F9">
      <w:pPr>
        <w:tabs>
          <w:tab w:val="left" w:pos="3544"/>
        </w:tabs>
        <w:spacing w:after="0" w:line="240" w:lineRule="auto"/>
        <w:jc w:val="both"/>
        <w:rPr>
          <w:rFonts w:cstheme="minorHAnsi"/>
          <w:sz w:val="24"/>
          <w:szCs w:val="24"/>
          <w:lang w:val="en-GB"/>
        </w:rPr>
      </w:pPr>
      <w:r w:rsidRPr="00A91A09">
        <w:rPr>
          <w:rFonts w:cstheme="minorHAnsi"/>
          <w:sz w:val="24"/>
          <w:lang w:val="en-GB" w:bidi="en-GB"/>
        </w:rPr>
        <w:t xml:space="preserve">On a sample of actions, the </w:t>
      </w:r>
      <w:r w:rsidR="004D23C2">
        <w:rPr>
          <w:rFonts w:cstheme="minorHAnsi"/>
          <w:sz w:val="24"/>
          <w:lang w:val="en-GB" w:bidi="en-GB"/>
        </w:rPr>
        <w:t>SFDI</w:t>
      </w:r>
      <w:r w:rsidRPr="00A91A09">
        <w:rPr>
          <w:rFonts w:cstheme="minorHAnsi"/>
          <w:sz w:val="24"/>
          <w:lang w:val="en-GB" w:bidi="en-GB"/>
        </w:rPr>
        <w:t xml:space="preserve"> also verified the rationale for the selection of the </w:t>
      </w:r>
      <w:r w:rsidR="004D23C2">
        <w:rPr>
          <w:rFonts w:cstheme="minorHAnsi"/>
          <w:sz w:val="24"/>
          <w:lang w:val="en-GB" w:bidi="en-GB"/>
        </w:rPr>
        <w:t>SFDI</w:t>
      </w:r>
      <w:r w:rsidRPr="00A91A09">
        <w:rPr>
          <w:rFonts w:cstheme="minorHAnsi"/>
          <w:sz w:val="24"/>
          <w:lang w:val="en-GB" w:bidi="en-GB"/>
        </w:rPr>
        <w:t xml:space="preserve"> funding actions, in particular compliance with 3E, the correctness of the procurement procedures and compliance with the beneficiary’s procedures under the beneficiary’s </w:t>
      </w:r>
      <w:r w:rsidRPr="00A91A09">
        <w:rPr>
          <w:rFonts w:cstheme="minorHAnsi"/>
          <w:sz w:val="24"/>
          <w:lang w:val="en-GB" w:bidi="en-GB"/>
        </w:rPr>
        <w:lastRenderedPageBreak/>
        <w:t xml:space="preserve">internal guidelines. One of the results of the </w:t>
      </w:r>
      <w:r w:rsidR="004D23C2">
        <w:rPr>
          <w:rFonts w:cstheme="minorHAnsi"/>
          <w:sz w:val="24"/>
          <w:lang w:val="en-GB" w:bidi="en-GB"/>
        </w:rPr>
        <w:t>SFDI</w:t>
      </w:r>
      <w:r w:rsidRPr="00A91A09">
        <w:rPr>
          <w:rFonts w:cstheme="minorHAnsi"/>
          <w:sz w:val="24"/>
          <w:lang w:val="en-GB" w:bidi="en-GB"/>
        </w:rPr>
        <w:t xml:space="preserve"> </w:t>
      </w:r>
      <w:r w:rsidR="00B641AB">
        <w:rPr>
          <w:rFonts w:cstheme="minorHAnsi"/>
          <w:sz w:val="24"/>
          <w:lang w:val="en-GB" w:bidi="en-GB"/>
        </w:rPr>
        <w:t>audits</w:t>
      </w:r>
      <w:r w:rsidRPr="00A91A09">
        <w:rPr>
          <w:rFonts w:cstheme="minorHAnsi"/>
          <w:sz w:val="24"/>
          <w:lang w:val="en-GB" w:bidi="en-GB"/>
        </w:rPr>
        <w:t xml:space="preserve"> was that, starting in 2017, beneficiaries were required to base their selection of </w:t>
      </w:r>
      <w:r w:rsidR="004D23C2">
        <w:rPr>
          <w:rFonts w:cstheme="minorHAnsi"/>
          <w:sz w:val="24"/>
          <w:lang w:val="en-GB" w:bidi="en-GB"/>
        </w:rPr>
        <w:t>SFDI</w:t>
      </w:r>
      <w:r w:rsidRPr="00A91A09">
        <w:rPr>
          <w:rFonts w:cstheme="minorHAnsi"/>
          <w:sz w:val="24"/>
          <w:lang w:val="en-GB" w:bidi="en-GB"/>
        </w:rPr>
        <w:t>-co-funded actions on the outputs of the Road Management System to increase the proof of adherence to 3E.</w:t>
      </w:r>
    </w:p>
    <w:p w14:paraId="15FBBD9E" w14:textId="77777777" w:rsidR="007E14F9" w:rsidRPr="00A91A09" w:rsidRDefault="007E14F9" w:rsidP="007E14F9">
      <w:pPr>
        <w:tabs>
          <w:tab w:val="left" w:pos="3544"/>
        </w:tabs>
        <w:spacing w:after="0" w:line="240" w:lineRule="auto"/>
        <w:jc w:val="both"/>
        <w:rPr>
          <w:rFonts w:cstheme="minorHAnsi"/>
          <w:sz w:val="24"/>
          <w:szCs w:val="24"/>
          <w:lang w:val="en-GB"/>
        </w:rPr>
      </w:pPr>
    </w:p>
    <w:p w14:paraId="75A613FD" w14:textId="462BB4BE"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t>1.1e Assessment of the expected benefits</w:t>
      </w:r>
    </w:p>
    <w:p w14:paraId="7F59B696" w14:textId="77777777" w:rsidR="007E14F9" w:rsidRPr="00A91A09" w:rsidRDefault="007E14F9" w:rsidP="007E14F9">
      <w:pPr>
        <w:tabs>
          <w:tab w:val="left" w:pos="3544"/>
        </w:tabs>
        <w:spacing w:after="0" w:line="240" w:lineRule="auto"/>
        <w:jc w:val="both"/>
        <w:rPr>
          <w:rFonts w:eastAsia="Times New Roman" w:cstheme="minorHAnsi"/>
          <w:bCs/>
          <w:sz w:val="24"/>
          <w:szCs w:val="24"/>
          <w:lang w:val="en-GB" w:eastAsia="cs-CZ"/>
        </w:rPr>
      </w:pPr>
    </w:p>
    <w:p w14:paraId="2FBE8511" w14:textId="1AADF22C" w:rsidR="00393DDB" w:rsidRPr="00A91A09" w:rsidRDefault="00393DDB" w:rsidP="007E14F9">
      <w:pPr>
        <w:tabs>
          <w:tab w:val="left" w:pos="3544"/>
        </w:tabs>
        <w:spacing w:after="0" w:line="240" w:lineRule="auto"/>
        <w:jc w:val="both"/>
        <w:rPr>
          <w:rFonts w:eastAsia="Times New Roman" w:cstheme="minorHAnsi"/>
          <w:bCs/>
          <w:sz w:val="24"/>
          <w:szCs w:val="24"/>
          <w:lang w:val="en-GB" w:eastAsia="cs-CZ"/>
        </w:rPr>
      </w:pPr>
      <w:r w:rsidRPr="00A91A09">
        <w:rPr>
          <w:rFonts w:cstheme="minorHAnsi"/>
          <w:sz w:val="24"/>
          <w:lang w:val="en-GB" w:bidi="en-GB"/>
        </w:rPr>
        <w:t xml:space="preserve">The </w:t>
      </w:r>
      <w:r w:rsidR="004D23C2">
        <w:rPr>
          <w:rFonts w:cstheme="minorHAnsi"/>
          <w:sz w:val="24"/>
          <w:lang w:val="en-GB" w:bidi="en-GB"/>
        </w:rPr>
        <w:t>SFDI</w:t>
      </w:r>
      <w:r w:rsidRPr="00A91A09">
        <w:rPr>
          <w:rFonts w:cstheme="minorHAnsi"/>
          <w:sz w:val="24"/>
          <w:lang w:val="en-GB" w:bidi="en-GB"/>
        </w:rPr>
        <w:t xml:space="preserve"> carried out an evaluation of the individual actions within the FEA, and the 3E assessment was limited to the way the beneficiaries selected the actions. </w:t>
      </w:r>
      <w:r w:rsidRPr="00A91A09">
        <w:rPr>
          <w:rFonts w:cstheme="minorHAnsi"/>
          <w:b/>
          <w:sz w:val="24"/>
          <w:lang w:val="en-GB" w:bidi="en-GB"/>
        </w:rPr>
        <w:t xml:space="preserve">The overall benefits of actions implemented in the framework of financing regional roads were not evaluated by the </w:t>
      </w:r>
      <w:r w:rsidR="004D23C2">
        <w:rPr>
          <w:rFonts w:cstheme="minorHAnsi"/>
          <w:b/>
          <w:sz w:val="24"/>
          <w:lang w:val="en-GB" w:bidi="en-GB"/>
        </w:rPr>
        <w:t>SFDI</w:t>
      </w:r>
      <w:r w:rsidRPr="00A91A09">
        <w:rPr>
          <w:rFonts w:cstheme="minorHAnsi"/>
          <w:sz w:val="24"/>
          <w:lang w:val="en-GB" w:bidi="en-GB"/>
        </w:rPr>
        <w:t xml:space="preserve"> (e.g. percentage of reconstructed roads, connections to other infrastructure, extent of quality improvement of class II and class III roads, comparison of costs of the repaired sections of roads etc.).</w:t>
      </w:r>
    </w:p>
    <w:p w14:paraId="3B03984B" w14:textId="77777777" w:rsidR="007E14F9" w:rsidRPr="00A91A09" w:rsidRDefault="007E14F9" w:rsidP="007E14F9">
      <w:pPr>
        <w:tabs>
          <w:tab w:val="left" w:pos="3544"/>
        </w:tabs>
        <w:spacing w:after="0" w:line="240" w:lineRule="auto"/>
        <w:jc w:val="both"/>
        <w:rPr>
          <w:rFonts w:eastAsia="Times New Roman" w:cstheme="minorHAnsi"/>
          <w:bCs/>
          <w:sz w:val="24"/>
          <w:szCs w:val="24"/>
          <w:lang w:val="en-GB" w:eastAsia="cs-CZ"/>
        </w:rPr>
      </w:pPr>
    </w:p>
    <w:p w14:paraId="13F65B27" w14:textId="77777777" w:rsidR="00393DDB" w:rsidRPr="00A91A09" w:rsidRDefault="00393DDB" w:rsidP="007E14F9">
      <w:pPr>
        <w:tabs>
          <w:tab w:val="left" w:pos="3544"/>
        </w:tabs>
        <w:spacing w:after="0" w:line="240" w:lineRule="auto"/>
        <w:rPr>
          <w:rFonts w:eastAsia="Times New Roman" w:cstheme="minorHAnsi"/>
          <w:b/>
          <w:sz w:val="24"/>
          <w:szCs w:val="24"/>
          <w:lang w:val="en-GB"/>
        </w:rPr>
      </w:pPr>
      <w:r w:rsidRPr="00A91A09">
        <w:rPr>
          <w:rFonts w:cstheme="minorHAnsi"/>
          <w:b/>
          <w:sz w:val="24"/>
          <w:lang w:val="en-GB" w:bidi="en-GB"/>
        </w:rPr>
        <w:t>1.2 RCSW</w:t>
      </w:r>
    </w:p>
    <w:p w14:paraId="6D139BD7" w14:textId="77777777" w:rsidR="007E14F9" w:rsidRPr="00A91A09" w:rsidRDefault="007E14F9" w:rsidP="007E14F9">
      <w:pPr>
        <w:tabs>
          <w:tab w:val="left" w:pos="3544"/>
        </w:tabs>
        <w:spacing w:after="0" w:line="240" w:lineRule="auto"/>
        <w:rPr>
          <w:rFonts w:eastAsia="Times New Roman" w:cstheme="minorHAnsi"/>
          <w:sz w:val="24"/>
          <w:szCs w:val="24"/>
          <w:lang w:val="en-GB"/>
        </w:rPr>
      </w:pPr>
    </w:p>
    <w:p w14:paraId="244E7B8C" w14:textId="42832ACE"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t>1.2a Assessment of projects</w:t>
      </w:r>
    </w:p>
    <w:p w14:paraId="71E667D3" w14:textId="77777777" w:rsidR="007E14F9" w:rsidRPr="00A91A09" w:rsidRDefault="007E14F9" w:rsidP="007E14F9">
      <w:pPr>
        <w:tabs>
          <w:tab w:val="left" w:pos="3544"/>
        </w:tabs>
        <w:spacing w:after="0" w:line="240" w:lineRule="auto"/>
        <w:jc w:val="both"/>
        <w:rPr>
          <w:rFonts w:cstheme="minorHAnsi"/>
          <w:bCs/>
          <w:sz w:val="24"/>
          <w:szCs w:val="24"/>
          <w:lang w:val="en-GB"/>
        </w:rPr>
      </w:pPr>
    </w:p>
    <w:p w14:paraId="2F29EBCF" w14:textId="1D261AA3" w:rsidR="00393DDB" w:rsidRPr="00A91A09" w:rsidRDefault="00393DDB" w:rsidP="007E14F9">
      <w:pPr>
        <w:tabs>
          <w:tab w:val="left" w:pos="3544"/>
        </w:tabs>
        <w:spacing w:after="0" w:line="240" w:lineRule="auto"/>
        <w:jc w:val="both"/>
        <w:rPr>
          <w:rFonts w:cstheme="minorHAnsi"/>
          <w:bCs/>
          <w:sz w:val="24"/>
          <w:szCs w:val="24"/>
          <w:lang w:val="en-GB"/>
        </w:rPr>
      </w:pPr>
      <w:r w:rsidRPr="00A91A09">
        <w:rPr>
          <w:rFonts w:cstheme="minorHAnsi"/>
          <w:sz w:val="24"/>
          <w:lang w:val="en-GB" w:bidi="en-GB"/>
        </w:rPr>
        <w:t xml:space="preserve">The RCSW carried out the assessment and evaluation of projects in three stages. </w:t>
      </w:r>
      <w:r w:rsidRPr="00A91A09">
        <w:rPr>
          <w:rFonts w:cstheme="minorHAnsi"/>
          <w:b/>
          <w:sz w:val="24"/>
          <w:lang w:val="en-GB" w:bidi="en-GB"/>
        </w:rPr>
        <w:t>In the first stage</w:t>
      </w:r>
      <w:r w:rsidRPr="00A91A09">
        <w:rPr>
          <w:rFonts w:cstheme="minorHAnsi"/>
          <w:sz w:val="24"/>
          <w:lang w:val="en-GB" w:bidi="en-GB"/>
        </w:rPr>
        <w:t xml:space="preserve">, the RCSW evaluated the formalities of the project in which it assessed whether the application for aid fulfilled all the requirements set by the methodology. The RCSW further assessed the eligibility of the project, assessing in particular whether the project complied with the ROP NUTS II Southwest conditions, Czech and EU legislation and other conditions set by the methodology. </w:t>
      </w:r>
      <w:r w:rsidRPr="00A91A09">
        <w:rPr>
          <w:rFonts w:cstheme="minorHAnsi"/>
          <w:b/>
          <w:sz w:val="24"/>
          <w:lang w:val="en-GB" w:bidi="en-GB"/>
        </w:rPr>
        <w:t xml:space="preserve">The SAO verified that the </w:t>
      </w:r>
      <w:r w:rsidR="004D7D20">
        <w:rPr>
          <w:rFonts w:cstheme="minorHAnsi"/>
          <w:b/>
          <w:sz w:val="24"/>
          <w:lang w:val="en-GB" w:bidi="en-GB"/>
        </w:rPr>
        <w:t xml:space="preserve">assessed </w:t>
      </w:r>
      <w:r w:rsidRPr="00A91A09">
        <w:rPr>
          <w:rFonts w:cstheme="minorHAnsi"/>
          <w:b/>
          <w:sz w:val="24"/>
          <w:lang w:val="en-GB" w:bidi="en-GB"/>
        </w:rPr>
        <w:t>projects had contained all the required formalities and had in all cases met the eligibility criteria</w:t>
      </w:r>
      <w:r w:rsidRPr="00A91A09">
        <w:rPr>
          <w:rFonts w:cstheme="minorHAnsi"/>
          <w:sz w:val="24"/>
          <w:lang w:val="en-GB" w:bidi="en-GB"/>
        </w:rPr>
        <w:t>.</w:t>
      </w:r>
    </w:p>
    <w:p w14:paraId="76483C3D" w14:textId="77777777" w:rsidR="007E14F9" w:rsidRPr="00A91A09" w:rsidRDefault="007E14F9" w:rsidP="007E14F9">
      <w:pPr>
        <w:tabs>
          <w:tab w:val="left" w:pos="3544"/>
        </w:tabs>
        <w:spacing w:after="0" w:line="240" w:lineRule="auto"/>
        <w:jc w:val="both"/>
        <w:rPr>
          <w:rFonts w:cstheme="minorHAnsi"/>
          <w:bCs/>
          <w:sz w:val="24"/>
          <w:szCs w:val="24"/>
          <w:lang w:val="en-GB"/>
        </w:rPr>
      </w:pPr>
    </w:p>
    <w:p w14:paraId="4C3BDA68" w14:textId="141E24EE" w:rsidR="007C099E" w:rsidRPr="00A91A09" w:rsidRDefault="00393DDB" w:rsidP="007E14F9">
      <w:pPr>
        <w:tabs>
          <w:tab w:val="left" w:pos="3544"/>
        </w:tabs>
        <w:spacing w:after="0" w:line="240" w:lineRule="auto"/>
        <w:jc w:val="both"/>
        <w:rPr>
          <w:rFonts w:cstheme="minorHAnsi"/>
          <w:bCs/>
          <w:sz w:val="24"/>
          <w:szCs w:val="24"/>
          <w:lang w:val="en-GB"/>
        </w:rPr>
      </w:pPr>
      <w:r w:rsidRPr="00A91A09">
        <w:rPr>
          <w:rFonts w:cstheme="minorHAnsi"/>
          <w:b/>
          <w:sz w:val="24"/>
          <w:lang w:val="en-GB" w:bidi="en-GB"/>
        </w:rPr>
        <w:t>In the second stage</w:t>
      </w:r>
      <w:r w:rsidRPr="00A91A09">
        <w:rPr>
          <w:rFonts w:cstheme="minorHAnsi"/>
          <w:sz w:val="24"/>
          <w:lang w:val="en-GB" w:bidi="en-GB"/>
        </w:rPr>
        <w:t xml:space="preserve">, the RCSW carried out factual evaluations of the projects. The factual evaluation was based on four categories of criteria. The RCSW examined the essential aspects of the projects, such as: </w:t>
      </w:r>
    </w:p>
    <w:p w14:paraId="2F36B780" w14:textId="77777777" w:rsidR="00B2286A" w:rsidRPr="00A91A09" w:rsidRDefault="00393DDB" w:rsidP="00E574E9">
      <w:pPr>
        <w:pStyle w:val="Odstavecseseznamem"/>
        <w:numPr>
          <w:ilvl w:val="0"/>
          <w:numId w:val="26"/>
        </w:numPr>
        <w:tabs>
          <w:tab w:val="left" w:pos="3544"/>
        </w:tabs>
        <w:ind w:left="284" w:hanging="284"/>
        <w:jc w:val="both"/>
        <w:rPr>
          <w:rFonts w:asciiTheme="minorHAnsi" w:hAnsiTheme="minorHAnsi" w:cstheme="minorHAnsi"/>
          <w:bCs/>
          <w:lang w:val="en-GB"/>
        </w:rPr>
      </w:pPr>
      <w:r w:rsidRPr="00A91A09">
        <w:rPr>
          <w:rFonts w:asciiTheme="minorHAnsi" w:hAnsiTheme="minorHAnsi" w:cstheme="minorHAnsi"/>
          <w:lang w:val="en-GB" w:bidi="en-GB"/>
        </w:rPr>
        <w:t xml:space="preserve">Submitter – the applicant’s financial health, competencies and experience, formal project preparation, </w:t>
      </w:r>
    </w:p>
    <w:p w14:paraId="612A7CAB" w14:textId="77777777" w:rsidR="007C099E" w:rsidRPr="00A91A09" w:rsidRDefault="00393DDB" w:rsidP="00E574E9">
      <w:pPr>
        <w:pStyle w:val="Odstavecseseznamem"/>
        <w:numPr>
          <w:ilvl w:val="0"/>
          <w:numId w:val="26"/>
        </w:numPr>
        <w:tabs>
          <w:tab w:val="left" w:pos="3544"/>
        </w:tabs>
        <w:ind w:left="284" w:hanging="284"/>
        <w:jc w:val="both"/>
        <w:rPr>
          <w:rFonts w:asciiTheme="minorHAnsi" w:hAnsiTheme="minorHAnsi" w:cstheme="minorHAnsi"/>
          <w:bCs/>
          <w:lang w:val="en-GB"/>
        </w:rPr>
      </w:pPr>
      <w:r w:rsidRPr="00A91A09">
        <w:rPr>
          <w:rFonts w:asciiTheme="minorHAnsi" w:hAnsiTheme="minorHAnsi" w:cstheme="minorHAnsi"/>
          <w:lang w:val="en-GB" w:bidi="en-GB"/>
        </w:rPr>
        <w:t xml:space="preserve">Project quality – the feasibility of the project, the material and technical descriptions of the project, sustainability and risk management, </w:t>
      </w:r>
    </w:p>
    <w:p w14:paraId="35FD9DCA" w14:textId="70B85105" w:rsidR="007C099E" w:rsidRPr="00A91A09" w:rsidRDefault="00393DDB" w:rsidP="00E574E9">
      <w:pPr>
        <w:pStyle w:val="Odstavecseseznamem"/>
        <w:numPr>
          <w:ilvl w:val="0"/>
          <w:numId w:val="26"/>
        </w:numPr>
        <w:tabs>
          <w:tab w:val="left" w:pos="3544"/>
        </w:tabs>
        <w:ind w:left="284" w:hanging="284"/>
        <w:jc w:val="both"/>
        <w:rPr>
          <w:rFonts w:asciiTheme="minorHAnsi" w:hAnsiTheme="minorHAnsi" w:cstheme="minorHAnsi"/>
          <w:bCs/>
          <w:lang w:val="en-GB"/>
        </w:rPr>
      </w:pPr>
      <w:r w:rsidRPr="00A91A09">
        <w:rPr>
          <w:rFonts w:asciiTheme="minorHAnsi" w:hAnsiTheme="minorHAnsi" w:cstheme="minorHAnsi"/>
          <w:lang w:val="en-GB" w:bidi="en-GB"/>
        </w:rPr>
        <w:t xml:space="preserve">Importance of the project – the evaluation of the fulfilment of the obligatory indicators of the programme, compliance of the project with the development documents, the specifics of the territory, project outcomes, </w:t>
      </w:r>
    </w:p>
    <w:p w14:paraId="5D9B16E9" w14:textId="77777777" w:rsidR="007C099E" w:rsidRPr="00A91A09" w:rsidRDefault="00393DDB" w:rsidP="00E574E9">
      <w:pPr>
        <w:pStyle w:val="Odstavecseseznamem"/>
        <w:numPr>
          <w:ilvl w:val="0"/>
          <w:numId w:val="26"/>
        </w:numPr>
        <w:tabs>
          <w:tab w:val="left" w:pos="3544"/>
        </w:tabs>
        <w:ind w:left="284" w:hanging="284"/>
        <w:jc w:val="both"/>
        <w:rPr>
          <w:rFonts w:asciiTheme="minorHAnsi" w:hAnsiTheme="minorHAnsi" w:cstheme="minorHAnsi"/>
          <w:bCs/>
          <w:lang w:val="en-GB"/>
        </w:rPr>
      </w:pPr>
      <w:r w:rsidRPr="00A91A09">
        <w:rPr>
          <w:rFonts w:asciiTheme="minorHAnsi" w:hAnsiTheme="minorHAnsi" w:cstheme="minorHAnsi"/>
          <w:lang w:val="en-GB" w:bidi="en-GB"/>
        </w:rPr>
        <w:t xml:space="preserve">Horizontal criteria – sustainable development, equal opportunities. </w:t>
      </w:r>
    </w:p>
    <w:p w14:paraId="21CAE241" w14:textId="77777777" w:rsidR="007E14F9" w:rsidRPr="00A91A09" w:rsidRDefault="007E14F9" w:rsidP="007E14F9">
      <w:pPr>
        <w:tabs>
          <w:tab w:val="left" w:pos="3544"/>
        </w:tabs>
        <w:spacing w:after="0" w:line="240" w:lineRule="auto"/>
        <w:jc w:val="both"/>
        <w:rPr>
          <w:rFonts w:cstheme="minorHAnsi"/>
          <w:bCs/>
          <w:sz w:val="24"/>
          <w:szCs w:val="24"/>
          <w:lang w:val="en-GB"/>
        </w:rPr>
      </w:pPr>
    </w:p>
    <w:p w14:paraId="7F56A9E2" w14:textId="77777777" w:rsidR="00393DDB" w:rsidRPr="00A91A09" w:rsidRDefault="00393DDB" w:rsidP="007E14F9">
      <w:pPr>
        <w:tabs>
          <w:tab w:val="left" w:pos="3544"/>
        </w:tabs>
        <w:spacing w:after="0" w:line="240" w:lineRule="auto"/>
        <w:jc w:val="both"/>
        <w:rPr>
          <w:rFonts w:cstheme="minorHAnsi"/>
          <w:bCs/>
          <w:sz w:val="24"/>
          <w:szCs w:val="24"/>
          <w:lang w:val="en-GB"/>
        </w:rPr>
      </w:pPr>
      <w:r w:rsidRPr="00A91A09">
        <w:rPr>
          <w:rFonts w:cstheme="minorHAnsi"/>
          <w:sz w:val="24"/>
          <w:lang w:val="en-GB" w:bidi="en-GB"/>
        </w:rPr>
        <w:t>The factual assessment of the projects was carried out by two independent evaluators according to the pre-approved selection criteria.</w:t>
      </w:r>
    </w:p>
    <w:p w14:paraId="3AC02DE0" w14:textId="77777777" w:rsidR="007E14F9" w:rsidRPr="00A91A09" w:rsidRDefault="007E14F9" w:rsidP="007E14F9">
      <w:pPr>
        <w:tabs>
          <w:tab w:val="left" w:pos="3544"/>
        </w:tabs>
        <w:spacing w:after="0" w:line="240" w:lineRule="auto"/>
        <w:jc w:val="both"/>
        <w:rPr>
          <w:rFonts w:cstheme="minorHAnsi"/>
          <w:bCs/>
          <w:sz w:val="24"/>
          <w:szCs w:val="24"/>
          <w:lang w:val="en-GB"/>
        </w:rPr>
      </w:pPr>
    </w:p>
    <w:p w14:paraId="79ACBE11" w14:textId="34E92CCC" w:rsidR="00B2286A"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b/>
          <w:sz w:val="24"/>
          <w:lang w:val="en-GB" w:bidi="en-GB"/>
        </w:rPr>
        <w:t>The SAO did not identify any deficiencies in verifying the justification and material accuracy in allocating points within the individual project evaluation criteria. The audit of the SAO verified that the selection of projects to be funded had been carried out by the RCSW Committee according to the list submitted and according to the set point evaluation of the individual projects.</w:t>
      </w:r>
    </w:p>
    <w:p w14:paraId="73048E41"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10D24C07" w14:textId="43EA4987" w:rsidR="00B2286A" w:rsidRPr="00A91A09" w:rsidRDefault="00393DDB" w:rsidP="007E14F9">
      <w:pPr>
        <w:tabs>
          <w:tab w:val="left" w:pos="3544"/>
        </w:tabs>
        <w:spacing w:after="0" w:line="240" w:lineRule="auto"/>
        <w:jc w:val="both"/>
        <w:rPr>
          <w:rFonts w:cstheme="minorHAnsi"/>
          <w:bCs/>
          <w:sz w:val="24"/>
          <w:szCs w:val="24"/>
          <w:lang w:val="en-GB"/>
        </w:rPr>
      </w:pPr>
      <w:r w:rsidRPr="00A91A09">
        <w:rPr>
          <w:rFonts w:cstheme="minorHAnsi"/>
          <w:b/>
          <w:sz w:val="24"/>
          <w:lang w:val="en-GB" w:bidi="en-GB"/>
        </w:rPr>
        <w:lastRenderedPageBreak/>
        <w:t>The third stage</w:t>
      </w:r>
      <w:r w:rsidRPr="00A91A09">
        <w:rPr>
          <w:rFonts w:cstheme="minorHAnsi"/>
          <w:sz w:val="24"/>
          <w:lang w:val="en-GB" w:bidi="en-GB"/>
        </w:rPr>
        <w:t xml:space="preserve"> of the evaluation was a risk analysis of the projects. In terms of the risk assessment criteria, the RCSW monitored mainly the tenders, the project risk, the type and experience of the applicant. In the event of an unfavourable outcome of the risk analysis, the RCSW carried out physical checks, or the projects were subject to increased control. All the </w:t>
      </w:r>
      <w:r w:rsidR="003551A9">
        <w:rPr>
          <w:rFonts w:cstheme="minorHAnsi"/>
          <w:sz w:val="24"/>
          <w:lang w:val="en-GB" w:bidi="en-GB"/>
        </w:rPr>
        <w:t xml:space="preserve">reviewed </w:t>
      </w:r>
      <w:r w:rsidRPr="00A91A09">
        <w:rPr>
          <w:rFonts w:cstheme="minorHAnsi"/>
          <w:sz w:val="24"/>
          <w:lang w:val="en-GB" w:bidi="en-GB"/>
        </w:rPr>
        <w:t xml:space="preserve">projects were recommended for funding after the risk analysis. </w:t>
      </w:r>
    </w:p>
    <w:p w14:paraId="6EBB581F" w14:textId="77777777" w:rsidR="007E14F9" w:rsidRPr="00A91A09" w:rsidRDefault="007E14F9" w:rsidP="007E14F9">
      <w:pPr>
        <w:tabs>
          <w:tab w:val="left" w:pos="3544"/>
        </w:tabs>
        <w:spacing w:after="0" w:line="240" w:lineRule="auto"/>
        <w:jc w:val="both"/>
        <w:rPr>
          <w:rFonts w:cstheme="minorHAnsi"/>
          <w:bCs/>
          <w:sz w:val="24"/>
          <w:szCs w:val="24"/>
          <w:lang w:val="en-GB"/>
        </w:rPr>
      </w:pPr>
    </w:p>
    <w:p w14:paraId="24308437" w14:textId="77777777" w:rsidR="00393DDB"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b/>
          <w:sz w:val="24"/>
          <w:lang w:val="en-GB" w:bidi="en-GB"/>
        </w:rPr>
        <w:t>The SAO did not identify any deficiencies in carrying out risk analyses. In the process of assessing and approving projects, the SAO did not identify any deficiencies.</w:t>
      </w:r>
    </w:p>
    <w:p w14:paraId="744CFBA2"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485E64E5" w14:textId="113F6D28"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t>1.2b Contracting subsidies with respect to 3E</w:t>
      </w:r>
    </w:p>
    <w:p w14:paraId="68518685"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1AA29AA6" w14:textId="5493711E" w:rsidR="00393DDB"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sz w:val="24"/>
          <w:lang w:val="en-GB" w:bidi="en-GB"/>
        </w:rPr>
        <w:t>The RCSW concluded agreements on the terms of subsidies with subsidy beneficiaries that contained detailed rules for providing and drawing funds. The agreement set the main project objective, the binding budget of the project, the time</w:t>
      </w:r>
      <w:r w:rsidR="00C24515">
        <w:rPr>
          <w:rFonts w:cstheme="minorHAnsi"/>
          <w:sz w:val="24"/>
          <w:lang w:val="en-GB" w:bidi="en-GB"/>
        </w:rPr>
        <w:t>line</w:t>
      </w:r>
      <w:r w:rsidRPr="00A91A09">
        <w:rPr>
          <w:rFonts w:cstheme="minorHAnsi"/>
          <w:sz w:val="24"/>
          <w:lang w:val="en-GB" w:bidi="en-GB"/>
        </w:rPr>
        <w:t xml:space="preserve"> and the monitoring indicator. The agreement stipulated that the subsidy would be granted to the beneficiary on the basis of the actual, justified, and properly proved eligible expenditure. In the Agreement, the RCSW bound the beneficiary to comply with the rules for public procurement by reference to Act No. 137/2006 Coll.</w:t>
      </w:r>
      <w:r w:rsidR="00162FB4" w:rsidRPr="00A91A09">
        <w:rPr>
          <w:rStyle w:val="Znakapoznpodarou"/>
          <w:rFonts w:cstheme="minorHAnsi"/>
          <w:sz w:val="24"/>
          <w:lang w:val="en-GB" w:bidi="en-GB"/>
        </w:rPr>
        <w:footnoteReference w:id="8"/>
      </w:r>
      <w:r w:rsidRPr="00A91A09">
        <w:rPr>
          <w:rFonts w:cstheme="minorHAnsi"/>
          <w:sz w:val="24"/>
          <w:lang w:val="en-GB" w:bidi="en-GB"/>
        </w:rPr>
        <w:t xml:space="preserve"> (hereinafter the “Public Procurement Act”), or to the public procurement guidelines included in the methodology. The Agreement also laid down additional conditions regarding the accounting rules, ensuring sustainability, terms of payment and asset insurance. The Agreement provided for a corresponding penalty arrangement in the case of a breach of the contractual terms or the occurrence of an irregularity.</w:t>
      </w:r>
    </w:p>
    <w:p w14:paraId="6B138F38"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686A4B08" w14:textId="77777777" w:rsidR="00393DDB"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b/>
          <w:sz w:val="24"/>
          <w:lang w:val="en-GB" w:bidi="en-GB"/>
        </w:rPr>
        <w:t>The SAO assessed that the Agreement on the Terms of the Subsidy had contained detailed rules and had imposed conditions on the beneficiary to ensure the economic, efficient and effective use of funds.</w:t>
      </w:r>
    </w:p>
    <w:p w14:paraId="50CD5D21"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717A920D" w14:textId="13FB6AF0"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t xml:space="preserve">1.2c RCSW </w:t>
      </w:r>
      <w:r w:rsidR="00413C03">
        <w:rPr>
          <w:rFonts w:cstheme="minorHAnsi"/>
          <w:b/>
          <w:sz w:val="24"/>
          <w:lang w:val="en-GB" w:bidi="en-GB"/>
        </w:rPr>
        <w:t>audits</w:t>
      </w:r>
    </w:p>
    <w:p w14:paraId="0641FF7A"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2CF29D73" w14:textId="02BE0EF7" w:rsidR="00393DDB"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sz w:val="24"/>
          <w:lang w:val="en-GB" w:bidi="en-GB"/>
        </w:rPr>
        <w:t xml:space="preserve">The RCSW carried out several </w:t>
      </w:r>
      <w:r w:rsidR="00413C03">
        <w:rPr>
          <w:rFonts w:cstheme="minorHAnsi"/>
          <w:sz w:val="24"/>
          <w:lang w:val="en-GB" w:bidi="en-GB"/>
        </w:rPr>
        <w:t>audit</w:t>
      </w:r>
      <w:r w:rsidRPr="00A91A09">
        <w:rPr>
          <w:rFonts w:cstheme="minorHAnsi"/>
          <w:sz w:val="24"/>
          <w:lang w:val="en-GB" w:bidi="en-GB"/>
        </w:rPr>
        <w:t xml:space="preserve">s at the individual stages of project implementation. These included an administrative </w:t>
      </w:r>
      <w:r w:rsidR="00C2438C">
        <w:rPr>
          <w:rFonts w:cstheme="minorHAnsi"/>
          <w:sz w:val="24"/>
          <w:lang w:val="en-GB" w:bidi="en-GB"/>
        </w:rPr>
        <w:t xml:space="preserve">check </w:t>
      </w:r>
      <w:r w:rsidRPr="00A91A09">
        <w:rPr>
          <w:rFonts w:cstheme="minorHAnsi"/>
          <w:sz w:val="24"/>
          <w:lang w:val="en-GB" w:bidi="en-GB"/>
        </w:rPr>
        <w:t xml:space="preserve">of the aid application, the administrative check of the documents submitted under the final monitoring report, a detailed </w:t>
      </w:r>
      <w:r w:rsidR="00413C03">
        <w:rPr>
          <w:rFonts w:cstheme="minorHAnsi"/>
          <w:sz w:val="24"/>
          <w:lang w:val="en-GB" w:bidi="en-GB"/>
        </w:rPr>
        <w:t>audit</w:t>
      </w:r>
      <w:r w:rsidRPr="00A91A09">
        <w:rPr>
          <w:rFonts w:cstheme="minorHAnsi"/>
          <w:sz w:val="24"/>
          <w:lang w:val="en-GB" w:bidi="en-GB"/>
        </w:rPr>
        <w:t xml:space="preserve"> of the procurement procedure, physical on-site inspection, a detailed management </w:t>
      </w:r>
      <w:r w:rsidR="00413C03">
        <w:rPr>
          <w:rFonts w:cstheme="minorHAnsi"/>
          <w:sz w:val="24"/>
          <w:lang w:val="en-GB" w:bidi="en-GB"/>
        </w:rPr>
        <w:t>audit</w:t>
      </w:r>
      <w:r w:rsidRPr="00A91A09">
        <w:rPr>
          <w:rFonts w:cstheme="minorHAnsi"/>
          <w:sz w:val="24"/>
          <w:lang w:val="en-GB" w:bidi="en-GB"/>
        </w:rPr>
        <w:t xml:space="preserve"> under Article 13 of Commission Regulation (EC) 1828/2006 of 8 December 2006, and an administrative check of the monitoring report on the sustainability of the project. The RCSW carried out a project cost </w:t>
      </w:r>
      <w:r w:rsidR="003C123D">
        <w:rPr>
          <w:rFonts w:cstheme="minorHAnsi"/>
          <w:sz w:val="24"/>
          <w:lang w:val="en-GB" w:bidi="en-GB"/>
        </w:rPr>
        <w:t>review</w:t>
      </w:r>
      <w:r w:rsidRPr="00A91A09">
        <w:rPr>
          <w:rFonts w:cstheme="minorHAnsi"/>
          <w:sz w:val="24"/>
          <w:lang w:val="en-GB" w:bidi="en-GB"/>
        </w:rPr>
        <w:t xml:space="preserve"> on a sample to compare several items of the project budget with the items specified by ÚRS. The RCSW also carried out a comparison of the construction budget of the project with the subsidy application and the construction budget of the construction documentation. </w:t>
      </w:r>
    </w:p>
    <w:p w14:paraId="728F0C1B"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74D06503" w14:textId="6D26FAE5" w:rsidR="00393DDB"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b/>
          <w:sz w:val="24"/>
          <w:lang w:val="en-GB" w:bidi="en-GB"/>
        </w:rPr>
        <w:t xml:space="preserve">The SAO found that the RCSW had carried out </w:t>
      </w:r>
      <w:r w:rsidR="00413C03">
        <w:rPr>
          <w:rFonts w:cstheme="minorHAnsi"/>
          <w:b/>
          <w:sz w:val="24"/>
          <w:lang w:val="en-GB" w:bidi="en-GB"/>
        </w:rPr>
        <w:t>audit</w:t>
      </w:r>
      <w:r w:rsidRPr="00A91A09">
        <w:rPr>
          <w:rFonts w:cstheme="minorHAnsi"/>
          <w:b/>
          <w:sz w:val="24"/>
          <w:lang w:val="en-GB" w:bidi="en-GB"/>
        </w:rPr>
        <w:t xml:space="preserve">s in accordance with rules laid down by the EU, national regulations and internal regulations. The </w:t>
      </w:r>
      <w:r w:rsidR="00413C03">
        <w:rPr>
          <w:rFonts w:cstheme="minorHAnsi"/>
          <w:b/>
          <w:sz w:val="24"/>
          <w:lang w:val="en-GB" w:bidi="en-GB"/>
        </w:rPr>
        <w:t>audit</w:t>
      </w:r>
      <w:r w:rsidRPr="00A91A09">
        <w:rPr>
          <w:rFonts w:cstheme="minorHAnsi"/>
          <w:b/>
          <w:sz w:val="24"/>
          <w:lang w:val="en-GB" w:bidi="en-GB"/>
        </w:rPr>
        <w:t>s carried out had created a prerequisite for economic and efficient use of aid.</w:t>
      </w:r>
    </w:p>
    <w:p w14:paraId="79C01202"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4AECEAB2" w14:textId="77777777" w:rsidR="00136A70" w:rsidRDefault="00136A70">
      <w:pPr>
        <w:rPr>
          <w:rFonts w:cstheme="minorHAnsi"/>
          <w:b/>
          <w:sz w:val="24"/>
          <w:lang w:val="en-GB" w:bidi="en-GB"/>
        </w:rPr>
      </w:pPr>
      <w:r>
        <w:rPr>
          <w:rFonts w:cstheme="minorHAnsi"/>
          <w:b/>
          <w:sz w:val="24"/>
          <w:lang w:val="en-GB" w:bidi="en-GB"/>
        </w:rPr>
        <w:br w:type="page"/>
      </w:r>
    </w:p>
    <w:p w14:paraId="587FC28C" w14:textId="53A3B894"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lastRenderedPageBreak/>
        <w:t>1.2d Procedure in the event of irregularities detected</w:t>
      </w:r>
    </w:p>
    <w:p w14:paraId="38575D63"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0AA6615B" w14:textId="3168F537" w:rsidR="00393DDB"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sz w:val="24"/>
          <w:lang w:val="en-GB" w:bidi="en-GB"/>
        </w:rPr>
        <w:t xml:space="preserve">The irregularity issue was regulated by the RCSW within the meaning of Commission Decision C (2013) No 9527 of 19 December 2013 on the setting out and approval of the guidelines for determining financial corrections to be made by the Commission to expenditure financed by the Union under shared management, for non-compliance with the rules on public procurement, and its own methodology. These were documents defining the amount of corrections in the case of a fault of the beneficiary prior to the payment of the subsidy and the amount of the levy/remission of the levy in the event of a breach of the budgetary discipline by the beneficiary (fault after the payment of the subsidy) applied by the ROP SW. </w:t>
      </w:r>
    </w:p>
    <w:p w14:paraId="2BF190FD"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6D5404D6" w14:textId="03BB2225" w:rsidR="00393DDB"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b/>
          <w:sz w:val="24"/>
          <w:lang w:val="en-GB" w:bidi="en-GB"/>
        </w:rPr>
        <w:t xml:space="preserve">The SAO found that the RCSW had carried out </w:t>
      </w:r>
      <w:r w:rsidR="00413C03">
        <w:rPr>
          <w:rFonts w:cstheme="minorHAnsi"/>
          <w:b/>
          <w:sz w:val="24"/>
          <w:lang w:val="en-GB" w:bidi="en-GB"/>
        </w:rPr>
        <w:t>audits</w:t>
      </w:r>
      <w:r w:rsidRPr="00A91A09">
        <w:rPr>
          <w:rFonts w:cstheme="minorHAnsi"/>
          <w:b/>
          <w:sz w:val="24"/>
          <w:lang w:val="en-GB" w:bidi="en-GB"/>
        </w:rPr>
        <w:t xml:space="preserve"> in accordance with the ROP rules. </w:t>
      </w:r>
      <w:r w:rsidRPr="00A91A09">
        <w:rPr>
          <w:rFonts w:cstheme="minorHAnsi"/>
          <w:sz w:val="24"/>
          <w:lang w:val="en-GB" w:bidi="en-GB"/>
        </w:rPr>
        <w:t xml:space="preserve">These </w:t>
      </w:r>
      <w:r w:rsidR="00413C03">
        <w:rPr>
          <w:rFonts w:cstheme="minorHAnsi"/>
          <w:sz w:val="24"/>
          <w:lang w:val="en-GB" w:bidi="en-GB"/>
        </w:rPr>
        <w:t>audits</w:t>
      </w:r>
      <w:r w:rsidRPr="00A91A09">
        <w:rPr>
          <w:rFonts w:cstheme="minorHAnsi"/>
          <w:sz w:val="24"/>
          <w:lang w:val="en-GB" w:bidi="en-GB"/>
        </w:rPr>
        <w:t xml:space="preserve"> revealed some minor failures that did not require the use of corrective measures. In the case of deficiencies in the notification of project changes by the beneficiary, it was found that these changes had been either insignificant or substantially minor, and there was no need to determine a financial correction for such deficiencies. Most often, there were changes in the dates of project implementation or changes in the project budget. </w:t>
      </w:r>
      <w:r w:rsidRPr="00A91A09">
        <w:rPr>
          <w:rFonts w:cstheme="minorHAnsi"/>
          <w:b/>
          <w:sz w:val="24"/>
          <w:lang w:val="en-GB" w:bidi="en-GB"/>
        </w:rPr>
        <w:t>In the process of detecting irregularities and fixing corrections, the SAO did not identify any deficiencies.</w:t>
      </w:r>
    </w:p>
    <w:p w14:paraId="4B4A7828"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02F07E76" w14:textId="0058FB96" w:rsidR="00393DDB" w:rsidRPr="00A91A09" w:rsidRDefault="00393DDB" w:rsidP="007E14F9">
      <w:pPr>
        <w:tabs>
          <w:tab w:val="left" w:pos="3544"/>
        </w:tabs>
        <w:spacing w:after="0" w:line="240" w:lineRule="auto"/>
        <w:rPr>
          <w:rFonts w:cstheme="minorHAnsi"/>
          <w:b/>
          <w:sz w:val="24"/>
          <w:szCs w:val="24"/>
          <w:lang w:val="en-GB"/>
        </w:rPr>
      </w:pPr>
      <w:r w:rsidRPr="00A91A09">
        <w:rPr>
          <w:rFonts w:cstheme="minorHAnsi"/>
          <w:b/>
          <w:sz w:val="24"/>
          <w:lang w:val="en-GB" w:bidi="en-GB"/>
        </w:rPr>
        <w:t>1.2e Measures to remedy deficiencies identified by Audit No. 09/26</w:t>
      </w:r>
    </w:p>
    <w:p w14:paraId="5F3025DE"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5529ADE9" w14:textId="0EC2CBE3" w:rsidR="001B0B37"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sz w:val="24"/>
          <w:lang w:val="en-GB" w:bidi="en-GB"/>
        </w:rPr>
        <w:t>The correction of the deficiencies identified under Audit No. 09/26</w:t>
      </w:r>
      <w:r w:rsidR="00730706" w:rsidRPr="00A91A09">
        <w:rPr>
          <w:rStyle w:val="Znakapoznpodarou"/>
          <w:rFonts w:cstheme="minorHAnsi"/>
          <w:sz w:val="24"/>
          <w:lang w:val="en-GB" w:bidi="en-GB"/>
        </w:rPr>
        <w:footnoteReference w:id="9"/>
      </w:r>
      <w:r w:rsidRPr="00A91A09">
        <w:rPr>
          <w:rFonts w:cstheme="minorHAnsi"/>
          <w:sz w:val="24"/>
          <w:lang w:val="en-GB" w:bidi="en-GB"/>
        </w:rPr>
        <w:t xml:space="preserve"> was subject to </w:t>
      </w:r>
      <w:r w:rsidR="006F577C">
        <w:rPr>
          <w:rFonts w:cstheme="minorHAnsi"/>
          <w:sz w:val="24"/>
          <w:lang w:val="en-GB" w:bidi="en-GB"/>
        </w:rPr>
        <w:t>audit</w:t>
      </w:r>
      <w:r w:rsidRPr="00A91A09">
        <w:rPr>
          <w:rFonts w:cstheme="minorHAnsi"/>
          <w:sz w:val="24"/>
          <w:lang w:val="en-GB" w:bidi="en-GB"/>
        </w:rPr>
        <w:t xml:space="preserve">. The most serious were the findings in the area of providing clear and detailed information to beneficiaries, substantive evaluation of projects (evaluation by two independent evaluators), setting the monitoring indicators and </w:t>
      </w:r>
      <w:r w:rsidR="006F577C">
        <w:rPr>
          <w:rFonts w:cstheme="minorHAnsi"/>
          <w:sz w:val="24"/>
          <w:lang w:val="en-GB" w:bidi="en-GB"/>
        </w:rPr>
        <w:t>in the audit area</w:t>
      </w:r>
      <w:r w:rsidRPr="00A91A09">
        <w:rPr>
          <w:rFonts w:cstheme="minorHAnsi"/>
          <w:sz w:val="24"/>
          <w:lang w:val="en-GB" w:bidi="en-GB"/>
        </w:rPr>
        <w:t xml:space="preserve">. For the RCSW, the SAO also examined the shortcomings identified in the previous audit for other RC. </w:t>
      </w:r>
    </w:p>
    <w:p w14:paraId="3B01A294" w14:textId="77777777" w:rsidR="004500FC" w:rsidRPr="00A91A09" w:rsidRDefault="004500FC" w:rsidP="007E14F9">
      <w:pPr>
        <w:tabs>
          <w:tab w:val="left" w:pos="3544"/>
        </w:tabs>
        <w:spacing w:after="0" w:line="240" w:lineRule="auto"/>
        <w:jc w:val="both"/>
        <w:rPr>
          <w:rFonts w:cstheme="minorHAnsi"/>
          <w:bCs/>
          <w:iCs/>
          <w:sz w:val="24"/>
          <w:szCs w:val="24"/>
          <w:lang w:val="en-GB"/>
        </w:rPr>
      </w:pPr>
    </w:p>
    <w:p w14:paraId="48C6E6ED" w14:textId="40DE055D" w:rsidR="00393DDB" w:rsidRPr="00A91A09" w:rsidRDefault="00393DDB" w:rsidP="007E14F9">
      <w:pPr>
        <w:tabs>
          <w:tab w:val="left" w:pos="3544"/>
        </w:tabs>
        <w:spacing w:after="0" w:line="240" w:lineRule="auto"/>
        <w:jc w:val="both"/>
        <w:rPr>
          <w:rFonts w:cstheme="minorHAnsi"/>
          <w:bCs/>
          <w:iCs/>
          <w:sz w:val="24"/>
          <w:szCs w:val="24"/>
          <w:lang w:val="en-GB"/>
        </w:rPr>
      </w:pPr>
      <w:r w:rsidRPr="00A91A09">
        <w:rPr>
          <w:rFonts w:cstheme="minorHAnsi"/>
          <w:b/>
          <w:sz w:val="24"/>
          <w:lang w:val="en-GB" w:bidi="en-GB"/>
        </w:rPr>
        <w:t xml:space="preserve">The SAO found that the RCSW had provided clear and detailed information to the beneficiaries through methodological documents and through communication. The factual evaluations of the projects were carried out in accordance with the ROP rules, which had been approved by the European Commission. </w:t>
      </w:r>
      <w:r w:rsidRPr="00A91A09">
        <w:rPr>
          <w:rFonts w:cstheme="minorHAnsi"/>
          <w:sz w:val="24"/>
          <w:lang w:val="en-GB" w:bidi="en-GB"/>
        </w:rPr>
        <w:t xml:space="preserve">The evaluation was carried out by two independent evaluators. The project monitoring indicator – </w:t>
      </w:r>
      <w:r w:rsidRPr="00A91A09">
        <w:rPr>
          <w:rFonts w:cstheme="minorHAnsi"/>
          <w:i/>
          <w:sz w:val="24"/>
          <w:lang w:val="en-GB" w:bidi="en-GB"/>
        </w:rPr>
        <w:t xml:space="preserve">length of the reconstructed class II and class III roads </w:t>
      </w:r>
      <w:r w:rsidRPr="00A91A09">
        <w:rPr>
          <w:rFonts w:cstheme="minorHAnsi"/>
          <w:sz w:val="24"/>
          <w:lang w:val="en-GB" w:bidi="en-GB"/>
        </w:rPr>
        <w:t xml:space="preserve">– was measurable and determined in accordance with the ROP rules. The SAO did not find any failure with regard to the RCSW </w:t>
      </w:r>
      <w:r w:rsidR="00B641AB">
        <w:rPr>
          <w:rFonts w:cstheme="minorHAnsi"/>
          <w:sz w:val="24"/>
          <w:lang w:val="en-GB" w:bidi="en-GB"/>
        </w:rPr>
        <w:t>audit</w:t>
      </w:r>
      <w:r w:rsidRPr="00A91A09">
        <w:rPr>
          <w:rFonts w:cstheme="minorHAnsi"/>
          <w:sz w:val="24"/>
          <w:lang w:val="en-GB" w:bidi="en-GB"/>
        </w:rPr>
        <w:t>s in the area of public procurement and material implementation of the project.</w:t>
      </w:r>
    </w:p>
    <w:p w14:paraId="1195DFCD" w14:textId="77777777" w:rsidR="007E14F9" w:rsidRPr="00A91A09" w:rsidRDefault="007E14F9" w:rsidP="007E14F9">
      <w:pPr>
        <w:tabs>
          <w:tab w:val="left" w:pos="3544"/>
        </w:tabs>
        <w:spacing w:after="0" w:line="240" w:lineRule="auto"/>
        <w:jc w:val="both"/>
        <w:rPr>
          <w:rFonts w:cstheme="minorHAnsi"/>
          <w:bCs/>
          <w:iCs/>
          <w:sz w:val="24"/>
          <w:szCs w:val="24"/>
          <w:lang w:val="en-GB"/>
        </w:rPr>
      </w:pPr>
    </w:p>
    <w:p w14:paraId="3DB77CD0" w14:textId="77777777" w:rsidR="00393DDB" w:rsidRPr="00A91A09" w:rsidRDefault="00393DDB" w:rsidP="008A3DAA">
      <w:pPr>
        <w:keepNext/>
        <w:keepLines/>
        <w:tabs>
          <w:tab w:val="left" w:pos="3544"/>
        </w:tabs>
        <w:spacing w:after="0" w:line="240" w:lineRule="auto"/>
        <w:rPr>
          <w:rFonts w:eastAsia="Times New Roman" w:cstheme="minorHAnsi"/>
          <w:b/>
          <w:sz w:val="24"/>
          <w:szCs w:val="24"/>
          <w:lang w:val="en-GB"/>
        </w:rPr>
      </w:pPr>
      <w:r w:rsidRPr="00A91A09">
        <w:rPr>
          <w:rFonts w:cstheme="minorHAnsi"/>
          <w:b/>
          <w:sz w:val="24"/>
          <w:lang w:val="en-GB" w:bidi="en-GB"/>
        </w:rPr>
        <w:t>2. Evaluation of the procedures of subsidy beneficiaries</w:t>
      </w:r>
    </w:p>
    <w:p w14:paraId="433BFA06" w14:textId="77777777" w:rsidR="007E14F9" w:rsidRPr="00A91A09" w:rsidRDefault="007E14F9" w:rsidP="008A3DAA">
      <w:pPr>
        <w:keepNext/>
        <w:keepLines/>
        <w:tabs>
          <w:tab w:val="left" w:pos="3544"/>
        </w:tabs>
        <w:spacing w:after="0" w:line="240" w:lineRule="auto"/>
        <w:jc w:val="both"/>
        <w:rPr>
          <w:rFonts w:cstheme="minorHAnsi"/>
          <w:sz w:val="24"/>
          <w:szCs w:val="24"/>
          <w:lang w:val="en-GB"/>
        </w:rPr>
      </w:pPr>
    </w:p>
    <w:p w14:paraId="6EF39670" w14:textId="6A52B58C" w:rsidR="00393DDB" w:rsidRPr="00A91A09" w:rsidRDefault="00393DDB" w:rsidP="008A3DAA">
      <w:pPr>
        <w:keepNext/>
        <w:keepLines/>
        <w:tabs>
          <w:tab w:val="left" w:pos="3544"/>
        </w:tabs>
        <w:spacing w:after="0" w:line="240" w:lineRule="auto"/>
        <w:jc w:val="both"/>
        <w:rPr>
          <w:rFonts w:cstheme="minorHAnsi"/>
          <w:sz w:val="24"/>
          <w:szCs w:val="24"/>
          <w:lang w:val="en-GB"/>
        </w:rPr>
      </w:pPr>
      <w:r w:rsidRPr="00A91A09">
        <w:rPr>
          <w:rFonts w:cstheme="minorHAnsi"/>
          <w:sz w:val="24"/>
          <w:lang w:val="en-GB" w:bidi="en-GB"/>
        </w:rPr>
        <w:t xml:space="preserve">The audit of the SAO reviewed a total of 39 projects financed or co-financed by the EU and </w:t>
      </w:r>
      <w:r w:rsidR="004D23C2">
        <w:rPr>
          <w:rFonts w:cstheme="minorHAnsi"/>
          <w:sz w:val="24"/>
          <w:lang w:val="en-GB" w:bidi="en-GB"/>
        </w:rPr>
        <w:t>SFDI</w:t>
      </w:r>
      <w:r w:rsidRPr="00A91A09">
        <w:rPr>
          <w:rFonts w:cstheme="minorHAnsi"/>
          <w:sz w:val="24"/>
          <w:lang w:val="en-GB" w:bidi="en-GB"/>
        </w:rPr>
        <w:t xml:space="preserve"> sources. The number of projects audited and their financial volumes, according to the individual subsidy providers, divided by the individual </w:t>
      </w:r>
      <w:r w:rsidR="00C566C3">
        <w:rPr>
          <w:rFonts w:cstheme="minorHAnsi"/>
          <w:sz w:val="24"/>
          <w:lang w:val="en-GB" w:bidi="en-GB"/>
        </w:rPr>
        <w:t>auditees</w:t>
      </w:r>
      <w:r w:rsidRPr="00A91A09">
        <w:rPr>
          <w:rFonts w:cstheme="minorHAnsi"/>
          <w:sz w:val="24"/>
          <w:lang w:val="en-GB" w:bidi="en-GB"/>
        </w:rPr>
        <w:t>, is shown in Table 2.</w:t>
      </w:r>
    </w:p>
    <w:p w14:paraId="11DF33DC" w14:textId="77777777" w:rsidR="007E14F9" w:rsidRPr="00A91A09" w:rsidRDefault="007E14F9" w:rsidP="007E14F9">
      <w:pPr>
        <w:tabs>
          <w:tab w:val="left" w:pos="3544"/>
        </w:tabs>
        <w:spacing w:after="0" w:line="240" w:lineRule="auto"/>
        <w:jc w:val="both"/>
        <w:rPr>
          <w:rFonts w:cstheme="minorHAnsi"/>
          <w:sz w:val="24"/>
          <w:szCs w:val="24"/>
          <w:lang w:val="en-GB"/>
        </w:rPr>
      </w:pPr>
    </w:p>
    <w:p w14:paraId="3AD54B6D" w14:textId="2EECFDC5" w:rsidR="00393DDB" w:rsidRPr="00A91A09" w:rsidRDefault="00393DDB" w:rsidP="00BE62A0">
      <w:pPr>
        <w:keepNext/>
        <w:spacing w:after="120" w:line="240" w:lineRule="auto"/>
        <w:ind w:left="1418" w:hanging="1418"/>
        <w:jc w:val="both"/>
        <w:rPr>
          <w:rFonts w:cstheme="minorHAnsi"/>
          <w:b/>
          <w:spacing w:val="-4"/>
          <w:sz w:val="24"/>
          <w:szCs w:val="24"/>
          <w:lang w:val="en-GB"/>
        </w:rPr>
      </w:pPr>
      <w:r w:rsidRPr="00A91A09">
        <w:rPr>
          <w:rFonts w:cstheme="minorHAnsi"/>
          <w:b/>
          <w:spacing w:val="-4"/>
          <w:sz w:val="24"/>
          <w:lang w:val="en-GB" w:bidi="en-GB"/>
        </w:rPr>
        <w:lastRenderedPageBreak/>
        <w:t>Table 2</w:t>
      </w:r>
      <w:r w:rsidR="00BE62A0">
        <w:rPr>
          <w:rFonts w:cstheme="minorHAnsi"/>
          <w:b/>
          <w:spacing w:val="-4"/>
          <w:sz w:val="24"/>
          <w:lang w:val="en-GB" w:bidi="en-GB"/>
        </w:rPr>
        <w:t xml:space="preserve"> </w:t>
      </w:r>
      <w:r w:rsidRPr="00A91A09">
        <w:rPr>
          <w:rFonts w:cstheme="minorHAnsi"/>
          <w:b/>
          <w:spacing w:val="-4"/>
          <w:sz w:val="24"/>
          <w:lang w:val="en-GB" w:bidi="en-GB"/>
        </w:rPr>
        <w:t>–</w:t>
      </w:r>
      <w:r w:rsidR="00BE62A0">
        <w:rPr>
          <w:rFonts w:cstheme="minorHAnsi"/>
          <w:b/>
          <w:spacing w:val="-4"/>
          <w:sz w:val="24"/>
          <w:lang w:val="en-GB" w:bidi="en-GB"/>
        </w:rPr>
        <w:t xml:space="preserve"> </w:t>
      </w:r>
      <w:r w:rsidRPr="00A91A09">
        <w:rPr>
          <w:rFonts w:cstheme="minorHAnsi"/>
          <w:b/>
          <w:spacing w:val="-4"/>
          <w:sz w:val="24"/>
          <w:lang w:val="en-GB" w:bidi="en-GB"/>
        </w:rPr>
        <w:t>Number of projects selected for audit and audited volume of funds</w:t>
      </w:r>
    </w:p>
    <w:tbl>
      <w:tblPr>
        <w:tblStyle w:val="Mkatabulky"/>
        <w:tblW w:w="9067" w:type="dxa"/>
        <w:tblLook w:val="04A0" w:firstRow="1" w:lastRow="0" w:firstColumn="1" w:lastColumn="0" w:noHBand="0" w:noVBand="1"/>
      </w:tblPr>
      <w:tblGrid>
        <w:gridCol w:w="3681"/>
        <w:gridCol w:w="1063"/>
        <w:gridCol w:w="1063"/>
        <w:gridCol w:w="1630"/>
        <w:gridCol w:w="1630"/>
      </w:tblGrid>
      <w:tr w:rsidR="00393DDB" w:rsidRPr="00A91A09" w14:paraId="25427B38" w14:textId="77777777" w:rsidTr="00675B8E">
        <w:trPr>
          <w:trHeight w:val="227"/>
        </w:trPr>
        <w:tc>
          <w:tcPr>
            <w:tcW w:w="3681" w:type="dxa"/>
            <w:vMerge w:val="restart"/>
            <w:shd w:val="clear" w:color="auto" w:fill="E5F1FF"/>
            <w:vAlign w:val="center"/>
          </w:tcPr>
          <w:p w14:paraId="23BB5989" w14:textId="0A41FC69" w:rsidR="00393DDB" w:rsidRPr="00A91A09" w:rsidRDefault="00330B6F" w:rsidP="00725652">
            <w:pPr>
              <w:keepNext/>
              <w:jc w:val="center"/>
              <w:rPr>
                <w:rFonts w:cstheme="minorHAnsi"/>
                <w:b/>
                <w:sz w:val="20"/>
                <w:szCs w:val="20"/>
                <w:lang w:val="en-GB"/>
              </w:rPr>
            </w:pPr>
            <w:r>
              <w:rPr>
                <w:rFonts w:cstheme="minorHAnsi"/>
                <w:b/>
                <w:sz w:val="20"/>
                <w:lang w:val="en-GB" w:bidi="en-GB"/>
              </w:rPr>
              <w:t>Auditee</w:t>
            </w:r>
          </w:p>
        </w:tc>
        <w:tc>
          <w:tcPr>
            <w:tcW w:w="2126" w:type="dxa"/>
            <w:gridSpan w:val="2"/>
            <w:shd w:val="clear" w:color="auto" w:fill="E5F1FF"/>
            <w:vAlign w:val="center"/>
          </w:tcPr>
          <w:p w14:paraId="65669470" w14:textId="77777777" w:rsidR="00393DDB" w:rsidRPr="00A91A09" w:rsidRDefault="00393DDB" w:rsidP="00725652">
            <w:pPr>
              <w:keepNext/>
              <w:jc w:val="center"/>
              <w:rPr>
                <w:rFonts w:cstheme="minorHAnsi"/>
                <w:b/>
                <w:sz w:val="20"/>
                <w:szCs w:val="20"/>
                <w:lang w:val="en-GB"/>
              </w:rPr>
            </w:pPr>
            <w:r w:rsidRPr="00A91A09">
              <w:rPr>
                <w:rFonts w:cstheme="minorHAnsi"/>
                <w:b/>
                <w:sz w:val="20"/>
                <w:lang w:val="en-GB" w:bidi="en-GB"/>
              </w:rPr>
              <w:t>Number of projects (actions) selected for audit</w:t>
            </w:r>
          </w:p>
        </w:tc>
        <w:tc>
          <w:tcPr>
            <w:tcW w:w="3260" w:type="dxa"/>
            <w:gridSpan w:val="2"/>
            <w:shd w:val="clear" w:color="auto" w:fill="E5F1FF"/>
            <w:vAlign w:val="center"/>
          </w:tcPr>
          <w:p w14:paraId="2B598B51" w14:textId="77777777" w:rsidR="00393DDB" w:rsidRPr="00A91A09" w:rsidRDefault="00393DDB" w:rsidP="00725652">
            <w:pPr>
              <w:keepNext/>
              <w:jc w:val="center"/>
              <w:rPr>
                <w:rFonts w:cstheme="minorHAnsi"/>
                <w:b/>
                <w:sz w:val="20"/>
                <w:szCs w:val="20"/>
                <w:lang w:val="en-GB"/>
              </w:rPr>
            </w:pPr>
            <w:r w:rsidRPr="00A91A09">
              <w:rPr>
                <w:rFonts w:cstheme="minorHAnsi"/>
                <w:b/>
                <w:sz w:val="20"/>
                <w:lang w:val="en-GB" w:bidi="en-GB"/>
              </w:rPr>
              <w:t>Audited volume of funds (in CZK)</w:t>
            </w:r>
          </w:p>
        </w:tc>
      </w:tr>
      <w:tr w:rsidR="00393DDB" w:rsidRPr="00A91A09" w14:paraId="16EAE53C" w14:textId="77777777" w:rsidTr="00675B8E">
        <w:trPr>
          <w:trHeight w:val="227"/>
        </w:trPr>
        <w:tc>
          <w:tcPr>
            <w:tcW w:w="3681" w:type="dxa"/>
            <w:vMerge/>
            <w:shd w:val="clear" w:color="auto" w:fill="E5F1FF"/>
          </w:tcPr>
          <w:p w14:paraId="027DD031" w14:textId="77777777" w:rsidR="00393DDB" w:rsidRPr="00A91A09" w:rsidRDefault="00393DDB" w:rsidP="00725652">
            <w:pPr>
              <w:keepNext/>
              <w:jc w:val="center"/>
              <w:rPr>
                <w:rFonts w:cstheme="minorHAnsi"/>
                <w:b/>
                <w:sz w:val="20"/>
                <w:szCs w:val="20"/>
                <w:lang w:val="en-GB"/>
              </w:rPr>
            </w:pPr>
          </w:p>
        </w:tc>
        <w:tc>
          <w:tcPr>
            <w:tcW w:w="1063" w:type="dxa"/>
            <w:shd w:val="clear" w:color="auto" w:fill="E5F1FF"/>
          </w:tcPr>
          <w:p w14:paraId="2FA887CC" w14:textId="0DFE1C38" w:rsidR="00393DDB" w:rsidRPr="00A91A09" w:rsidRDefault="004D23C2" w:rsidP="00725652">
            <w:pPr>
              <w:keepNext/>
              <w:jc w:val="center"/>
              <w:rPr>
                <w:rFonts w:cstheme="minorHAnsi"/>
                <w:b/>
                <w:sz w:val="20"/>
                <w:szCs w:val="20"/>
                <w:lang w:val="en-GB"/>
              </w:rPr>
            </w:pPr>
            <w:r>
              <w:rPr>
                <w:rFonts w:cstheme="minorHAnsi"/>
                <w:b/>
                <w:sz w:val="20"/>
                <w:lang w:val="en-GB" w:bidi="en-GB"/>
              </w:rPr>
              <w:t>SFDI</w:t>
            </w:r>
          </w:p>
        </w:tc>
        <w:tc>
          <w:tcPr>
            <w:tcW w:w="1063" w:type="dxa"/>
            <w:shd w:val="clear" w:color="auto" w:fill="E5F1FF"/>
          </w:tcPr>
          <w:p w14:paraId="6F6E6617" w14:textId="77777777" w:rsidR="00393DDB" w:rsidRPr="00A91A09" w:rsidRDefault="00393DDB" w:rsidP="00725652">
            <w:pPr>
              <w:keepNext/>
              <w:jc w:val="center"/>
              <w:rPr>
                <w:rFonts w:cstheme="minorHAnsi"/>
                <w:b/>
                <w:sz w:val="20"/>
                <w:szCs w:val="20"/>
                <w:lang w:val="en-GB"/>
              </w:rPr>
            </w:pPr>
            <w:r w:rsidRPr="00A91A09">
              <w:rPr>
                <w:rFonts w:cstheme="minorHAnsi"/>
                <w:b/>
                <w:sz w:val="20"/>
                <w:lang w:val="en-GB" w:bidi="en-GB"/>
              </w:rPr>
              <w:t>EU</w:t>
            </w:r>
          </w:p>
        </w:tc>
        <w:tc>
          <w:tcPr>
            <w:tcW w:w="1630" w:type="dxa"/>
            <w:shd w:val="clear" w:color="auto" w:fill="E5F1FF"/>
          </w:tcPr>
          <w:p w14:paraId="794F6E0C" w14:textId="0CF43209" w:rsidR="00393DDB" w:rsidRPr="00A91A09" w:rsidRDefault="004D23C2" w:rsidP="00725652">
            <w:pPr>
              <w:keepNext/>
              <w:ind w:right="107"/>
              <w:jc w:val="center"/>
              <w:rPr>
                <w:rFonts w:cstheme="minorHAnsi"/>
                <w:b/>
                <w:sz w:val="20"/>
                <w:szCs w:val="20"/>
                <w:lang w:val="en-GB"/>
              </w:rPr>
            </w:pPr>
            <w:r>
              <w:rPr>
                <w:rFonts w:cstheme="minorHAnsi"/>
                <w:b/>
                <w:sz w:val="20"/>
                <w:lang w:val="en-GB" w:bidi="en-GB"/>
              </w:rPr>
              <w:t>SFDI</w:t>
            </w:r>
          </w:p>
        </w:tc>
        <w:tc>
          <w:tcPr>
            <w:tcW w:w="1630" w:type="dxa"/>
            <w:shd w:val="clear" w:color="auto" w:fill="E5F1FF"/>
          </w:tcPr>
          <w:p w14:paraId="773DBF90" w14:textId="77777777" w:rsidR="00393DDB" w:rsidRPr="00A91A09" w:rsidRDefault="00393DDB" w:rsidP="00725652">
            <w:pPr>
              <w:keepNext/>
              <w:ind w:right="107"/>
              <w:jc w:val="center"/>
              <w:rPr>
                <w:rFonts w:cstheme="minorHAnsi"/>
                <w:b/>
                <w:sz w:val="20"/>
                <w:szCs w:val="20"/>
                <w:lang w:val="en-GB"/>
              </w:rPr>
            </w:pPr>
            <w:r w:rsidRPr="00A91A09">
              <w:rPr>
                <w:rFonts w:cstheme="minorHAnsi"/>
                <w:b/>
                <w:sz w:val="20"/>
                <w:lang w:val="en-GB" w:bidi="en-GB"/>
              </w:rPr>
              <w:t>EU</w:t>
            </w:r>
          </w:p>
        </w:tc>
      </w:tr>
      <w:tr w:rsidR="00393DDB" w:rsidRPr="00A91A09" w14:paraId="0059FB40" w14:textId="77777777" w:rsidTr="00675B8E">
        <w:trPr>
          <w:trHeight w:val="227"/>
        </w:trPr>
        <w:tc>
          <w:tcPr>
            <w:tcW w:w="3681" w:type="dxa"/>
          </w:tcPr>
          <w:p w14:paraId="4C68F441" w14:textId="77777777" w:rsidR="00393DDB" w:rsidRPr="00A91A09" w:rsidRDefault="00393DDB" w:rsidP="00725652">
            <w:pPr>
              <w:keepNext/>
              <w:rPr>
                <w:rFonts w:cstheme="minorHAnsi"/>
                <w:sz w:val="20"/>
                <w:szCs w:val="20"/>
                <w:lang w:val="en-GB"/>
              </w:rPr>
            </w:pPr>
            <w:r w:rsidRPr="00A91A09">
              <w:rPr>
                <w:rFonts w:cstheme="minorHAnsi"/>
                <w:sz w:val="20"/>
                <w:lang w:val="en-GB" w:bidi="en-GB"/>
              </w:rPr>
              <w:t>South Bohemian Region</w:t>
            </w:r>
          </w:p>
        </w:tc>
        <w:tc>
          <w:tcPr>
            <w:tcW w:w="1063" w:type="dxa"/>
          </w:tcPr>
          <w:p w14:paraId="716F4A10" w14:textId="77777777" w:rsidR="00393DDB" w:rsidRPr="00A91A09" w:rsidRDefault="00393DDB" w:rsidP="00725652">
            <w:pPr>
              <w:keepNext/>
              <w:jc w:val="center"/>
              <w:rPr>
                <w:rFonts w:cstheme="minorHAnsi"/>
                <w:sz w:val="20"/>
                <w:szCs w:val="20"/>
                <w:lang w:val="en-GB"/>
              </w:rPr>
            </w:pPr>
            <w:r w:rsidRPr="00A91A09">
              <w:rPr>
                <w:rFonts w:cstheme="minorHAnsi"/>
                <w:sz w:val="20"/>
                <w:lang w:val="en-GB" w:bidi="en-GB"/>
              </w:rPr>
              <w:t>10</w:t>
            </w:r>
          </w:p>
        </w:tc>
        <w:tc>
          <w:tcPr>
            <w:tcW w:w="1063" w:type="dxa"/>
            <w:vAlign w:val="center"/>
          </w:tcPr>
          <w:p w14:paraId="55792998" w14:textId="77777777" w:rsidR="00393DDB" w:rsidRPr="00A91A09" w:rsidRDefault="00393DDB" w:rsidP="00725652">
            <w:pPr>
              <w:keepNext/>
              <w:ind w:right="397"/>
              <w:jc w:val="right"/>
              <w:rPr>
                <w:rFonts w:cstheme="minorHAnsi"/>
                <w:sz w:val="20"/>
                <w:szCs w:val="20"/>
                <w:lang w:val="en-GB"/>
              </w:rPr>
            </w:pPr>
            <w:r w:rsidRPr="00A91A09">
              <w:rPr>
                <w:rFonts w:cstheme="minorHAnsi"/>
                <w:sz w:val="20"/>
                <w:lang w:val="en-GB" w:bidi="en-GB"/>
              </w:rPr>
              <w:t>3</w:t>
            </w:r>
          </w:p>
        </w:tc>
        <w:tc>
          <w:tcPr>
            <w:tcW w:w="1630" w:type="dxa"/>
          </w:tcPr>
          <w:p w14:paraId="243D87B5"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57,748,598.72</w:t>
            </w:r>
          </w:p>
        </w:tc>
        <w:tc>
          <w:tcPr>
            <w:tcW w:w="1630" w:type="dxa"/>
          </w:tcPr>
          <w:p w14:paraId="678BFC46"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71,634,598.67</w:t>
            </w:r>
          </w:p>
        </w:tc>
      </w:tr>
      <w:tr w:rsidR="00393DDB" w:rsidRPr="00A91A09" w14:paraId="1A0628C4" w14:textId="77777777" w:rsidTr="00675B8E">
        <w:trPr>
          <w:trHeight w:val="227"/>
        </w:trPr>
        <w:tc>
          <w:tcPr>
            <w:tcW w:w="3681" w:type="dxa"/>
          </w:tcPr>
          <w:p w14:paraId="1708765B" w14:textId="77777777" w:rsidR="00393DDB" w:rsidRPr="00A91A09" w:rsidRDefault="00393DDB" w:rsidP="00725652">
            <w:pPr>
              <w:keepNext/>
              <w:rPr>
                <w:rFonts w:cstheme="minorHAnsi"/>
                <w:sz w:val="20"/>
                <w:szCs w:val="20"/>
                <w:lang w:val="en-GB"/>
              </w:rPr>
            </w:pPr>
            <w:r w:rsidRPr="00A91A09">
              <w:rPr>
                <w:rFonts w:cstheme="minorHAnsi"/>
                <w:sz w:val="20"/>
                <w:lang w:val="en-GB" w:bidi="en-GB"/>
              </w:rPr>
              <w:t>Liberec Region</w:t>
            </w:r>
          </w:p>
        </w:tc>
        <w:tc>
          <w:tcPr>
            <w:tcW w:w="1063" w:type="dxa"/>
          </w:tcPr>
          <w:p w14:paraId="3AB14C10" w14:textId="77777777" w:rsidR="00393DDB" w:rsidRPr="00A91A09" w:rsidRDefault="00393DDB" w:rsidP="00725652">
            <w:pPr>
              <w:keepNext/>
              <w:jc w:val="center"/>
              <w:rPr>
                <w:rFonts w:cstheme="minorHAnsi"/>
                <w:sz w:val="20"/>
                <w:szCs w:val="20"/>
                <w:lang w:val="en-GB"/>
              </w:rPr>
            </w:pPr>
            <w:r w:rsidRPr="00A91A09">
              <w:rPr>
                <w:rFonts w:cstheme="minorHAnsi"/>
                <w:sz w:val="20"/>
                <w:lang w:val="en-GB" w:bidi="en-GB"/>
              </w:rPr>
              <w:t>2</w:t>
            </w:r>
          </w:p>
        </w:tc>
        <w:tc>
          <w:tcPr>
            <w:tcW w:w="1063" w:type="dxa"/>
            <w:vAlign w:val="center"/>
          </w:tcPr>
          <w:p w14:paraId="3EBFE333" w14:textId="77777777" w:rsidR="00393DDB" w:rsidRPr="00A91A09" w:rsidRDefault="00393DDB" w:rsidP="00725652">
            <w:pPr>
              <w:keepNext/>
              <w:ind w:right="397"/>
              <w:jc w:val="right"/>
              <w:rPr>
                <w:rFonts w:cstheme="minorHAnsi"/>
                <w:sz w:val="20"/>
                <w:szCs w:val="20"/>
                <w:lang w:val="en-GB"/>
              </w:rPr>
            </w:pPr>
            <w:r w:rsidRPr="00A91A09">
              <w:rPr>
                <w:rFonts w:cstheme="minorHAnsi"/>
                <w:sz w:val="20"/>
                <w:lang w:val="en-GB" w:bidi="en-GB"/>
              </w:rPr>
              <w:t>3</w:t>
            </w:r>
          </w:p>
        </w:tc>
        <w:tc>
          <w:tcPr>
            <w:tcW w:w="1630" w:type="dxa"/>
          </w:tcPr>
          <w:p w14:paraId="627C0254"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16,396,734.44</w:t>
            </w:r>
          </w:p>
        </w:tc>
        <w:tc>
          <w:tcPr>
            <w:tcW w:w="1630" w:type="dxa"/>
          </w:tcPr>
          <w:p w14:paraId="4A723272"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53,961,047.55</w:t>
            </w:r>
          </w:p>
        </w:tc>
      </w:tr>
      <w:tr w:rsidR="00393DDB" w:rsidRPr="00A91A09" w14:paraId="1B7CAF92" w14:textId="77777777" w:rsidTr="00675B8E">
        <w:trPr>
          <w:trHeight w:val="227"/>
        </w:trPr>
        <w:tc>
          <w:tcPr>
            <w:tcW w:w="3681" w:type="dxa"/>
          </w:tcPr>
          <w:p w14:paraId="7956A983" w14:textId="77777777" w:rsidR="00393DDB" w:rsidRPr="00A91A09" w:rsidRDefault="00393DDB" w:rsidP="00725652">
            <w:pPr>
              <w:keepNext/>
              <w:rPr>
                <w:rFonts w:cstheme="minorHAnsi"/>
                <w:sz w:val="20"/>
                <w:szCs w:val="20"/>
                <w:lang w:val="en-GB"/>
              </w:rPr>
            </w:pPr>
            <w:r w:rsidRPr="00A91A09">
              <w:rPr>
                <w:rFonts w:cstheme="minorHAnsi"/>
                <w:sz w:val="20"/>
                <w:lang w:val="en-GB" w:bidi="en-GB"/>
              </w:rPr>
              <w:t>Moravian-Silesian Region</w:t>
            </w:r>
          </w:p>
        </w:tc>
        <w:tc>
          <w:tcPr>
            <w:tcW w:w="1063" w:type="dxa"/>
          </w:tcPr>
          <w:p w14:paraId="0CB1FD48" w14:textId="77777777" w:rsidR="00393DDB" w:rsidRPr="00A91A09" w:rsidRDefault="00393DDB" w:rsidP="00725652">
            <w:pPr>
              <w:keepNext/>
              <w:jc w:val="center"/>
              <w:rPr>
                <w:rFonts w:cstheme="minorHAnsi"/>
                <w:sz w:val="20"/>
                <w:szCs w:val="20"/>
                <w:lang w:val="en-GB"/>
              </w:rPr>
            </w:pPr>
            <w:r w:rsidRPr="00A91A09">
              <w:rPr>
                <w:rFonts w:cstheme="minorHAnsi"/>
                <w:sz w:val="20"/>
                <w:lang w:val="en-GB" w:bidi="en-GB"/>
              </w:rPr>
              <w:t>0</w:t>
            </w:r>
          </w:p>
        </w:tc>
        <w:tc>
          <w:tcPr>
            <w:tcW w:w="1063" w:type="dxa"/>
            <w:vAlign w:val="center"/>
          </w:tcPr>
          <w:p w14:paraId="234E5BD8" w14:textId="72CCBBF0" w:rsidR="00393DDB" w:rsidRPr="00A91A09" w:rsidRDefault="00DD38AF" w:rsidP="00DD38AF">
            <w:pPr>
              <w:keepNext/>
              <w:ind w:right="227"/>
              <w:jc w:val="center"/>
              <w:rPr>
                <w:rFonts w:cstheme="minorHAnsi"/>
                <w:sz w:val="20"/>
                <w:szCs w:val="20"/>
                <w:lang w:val="en-GB"/>
              </w:rPr>
            </w:pPr>
            <w:r>
              <w:rPr>
                <w:rFonts w:cstheme="minorHAnsi"/>
                <w:sz w:val="20"/>
                <w:lang w:val="en-GB" w:bidi="en-GB"/>
              </w:rPr>
              <w:t xml:space="preserve">      </w:t>
            </w:r>
            <w:r w:rsidR="00393DDB" w:rsidRPr="00A91A09">
              <w:rPr>
                <w:rFonts w:cstheme="minorHAnsi"/>
                <w:sz w:val="20"/>
                <w:lang w:val="en-GB" w:bidi="en-GB"/>
              </w:rPr>
              <w:t>4*</w:t>
            </w:r>
          </w:p>
        </w:tc>
        <w:tc>
          <w:tcPr>
            <w:tcW w:w="1630" w:type="dxa"/>
          </w:tcPr>
          <w:p w14:paraId="10263926"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0.00</w:t>
            </w:r>
          </w:p>
        </w:tc>
        <w:tc>
          <w:tcPr>
            <w:tcW w:w="1630" w:type="dxa"/>
          </w:tcPr>
          <w:p w14:paraId="256B2BD1"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195,333,863.19</w:t>
            </w:r>
          </w:p>
        </w:tc>
      </w:tr>
      <w:tr w:rsidR="00393DDB" w:rsidRPr="00A91A09" w14:paraId="4129ABC8" w14:textId="77777777" w:rsidTr="00675B8E">
        <w:trPr>
          <w:trHeight w:val="227"/>
        </w:trPr>
        <w:tc>
          <w:tcPr>
            <w:tcW w:w="3681" w:type="dxa"/>
          </w:tcPr>
          <w:p w14:paraId="196821D3" w14:textId="77777777" w:rsidR="00393DDB" w:rsidRPr="00A91A09" w:rsidRDefault="00393DDB" w:rsidP="00725652">
            <w:pPr>
              <w:keepNext/>
              <w:rPr>
                <w:rFonts w:cstheme="minorHAnsi"/>
                <w:sz w:val="20"/>
                <w:szCs w:val="20"/>
                <w:lang w:val="en-GB"/>
              </w:rPr>
            </w:pPr>
            <w:r w:rsidRPr="00A91A09">
              <w:rPr>
                <w:rFonts w:cstheme="minorHAnsi"/>
                <w:sz w:val="20"/>
                <w:lang w:val="en-GB" w:bidi="en-GB"/>
              </w:rPr>
              <w:t>Pardubice Region</w:t>
            </w:r>
          </w:p>
        </w:tc>
        <w:tc>
          <w:tcPr>
            <w:tcW w:w="1063" w:type="dxa"/>
          </w:tcPr>
          <w:p w14:paraId="4AE64E74" w14:textId="77777777" w:rsidR="00393DDB" w:rsidRPr="00A91A09" w:rsidRDefault="00393DDB" w:rsidP="00725652">
            <w:pPr>
              <w:keepNext/>
              <w:jc w:val="center"/>
              <w:rPr>
                <w:rFonts w:cstheme="minorHAnsi"/>
                <w:sz w:val="20"/>
                <w:szCs w:val="20"/>
                <w:lang w:val="en-GB"/>
              </w:rPr>
            </w:pPr>
            <w:r w:rsidRPr="00A91A09">
              <w:rPr>
                <w:rFonts w:cstheme="minorHAnsi"/>
                <w:sz w:val="20"/>
                <w:lang w:val="en-GB" w:bidi="en-GB"/>
              </w:rPr>
              <w:t>0</w:t>
            </w:r>
          </w:p>
        </w:tc>
        <w:tc>
          <w:tcPr>
            <w:tcW w:w="1063" w:type="dxa"/>
            <w:vAlign w:val="center"/>
          </w:tcPr>
          <w:p w14:paraId="005C97D4" w14:textId="77777777" w:rsidR="00393DDB" w:rsidRPr="00A91A09" w:rsidRDefault="00393DDB" w:rsidP="00725652">
            <w:pPr>
              <w:keepNext/>
              <w:ind w:right="397"/>
              <w:jc w:val="right"/>
              <w:rPr>
                <w:rFonts w:cstheme="minorHAnsi"/>
                <w:sz w:val="20"/>
                <w:szCs w:val="20"/>
                <w:lang w:val="en-GB"/>
              </w:rPr>
            </w:pPr>
            <w:r w:rsidRPr="00A91A09">
              <w:rPr>
                <w:rFonts w:cstheme="minorHAnsi"/>
                <w:sz w:val="20"/>
                <w:lang w:val="en-GB" w:bidi="en-GB"/>
              </w:rPr>
              <w:t>2</w:t>
            </w:r>
          </w:p>
        </w:tc>
        <w:tc>
          <w:tcPr>
            <w:tcW w:w="1630" w:type="dxa"/>
          </w:tcPr>
          <w:p w14:paraId="7B3951C4"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0.00</w:t>
            </w:r>
          </w:p>
        </w:tc>
        <w:tc>
          <w:tcPr>
            <w:tcW w:w="1630" w:type="dxa"/>
          </w:tcPr>
          <w:p w14:paraId="6102BD6B"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74,120,933.38</w:t>
            </w:r>
          </w:p>
        </w:tc>
      </w:tr>
      <w:tr w:rsidR="00393DDB" w:rsidRPr="00A91A09" w14:paraId="31F11F55" w14:textId="77777777" w:rsidTr="00675B8E">
        <w:trPr>
          <w:trHeight w:val="227"/>
        </w:trPr>
        <w:tc>
          <w:tcPr>
            <w:tcW w:w="3681" w:type="dxa"/>
          </w:tcPr>
          <w:p w14:paraId="76AFDF6F" w14:textId="77777777" w:rsidR="00393DDB" w:rsidRPr="00A91A09" w:rsidRDefault="00393DDB" w:rsidP="00725652">
            <w:pPr>
              <w:keepNext/>
              <w:autoSpaceDE w:val="0"/>
              <w:autoSpaceDN w:val="0"/>
              <w:adjustRightInd w:val="0"/>
              <w:rPr>
                <w:rFonts w:cstheme="minorHAnsi"/>
                <w:sz w:val="20"/>
                <w:szCs w:val="20"/>
                <w:lang w:val="en-GB"/>
              </w:rPr>
            </w:pPr>
            <w:r w:rsidRPr="00A91A09">
              <w:rPr>
                <w:rFonts w:cstheme="minorHAnsi"/>
                <w:sz w:val="20"/>
                <w:lang w:val="en-GB" w:bidi="en-GB"/>
              </w:rPr>
              <w:t>Road Management of the Moravian-Silesian Region</w:t>
            </w:r>
          </w:p>
        </w:tc>
        <w:tc>
          <w:tcPr>
            <w:tcW w:w="1063" w:type="dxa"/>
          </w:tcPr>
          <w:p w14:paraId="541BA5FA" w14:textId="6ABBEE3A" w:rsidR="00393DDB" w:rsidRPr="00A91A09" w:rsidRDefault="00393DDB" w:rsidP="00D64DF5">
            <w:pPr>
              <w:keepNext/>
              <w:jc w:val="center"/>
              <w:rPr>
                <w:rFonts w:cstheme="minorHAnsi"/>
                <w:sz w:val="20"/>
                <w:szCs w:val="20"/>
                <w:lang w:val="en-GB"/>
              </w:rPr>
            </w:pPr>
            <w:r w:rsidRPr="00A91A09">
              <w:rPr>
                <w:rFonts w:cstheme="minorHAnsi"/>
                <w:sz w:val="20"/>
                <w:lang w:val="en-GB" w:bidi="en-GB"/>
              </w:rPr>
              <w:t>3</w:t>
            </w:r>
          </w:p>
        </w:tc>
        <w:tc>
          <w:tcPr>
            <w:tcW w:w="1063" w:type="dxa"/>
            <w:vAlign w:val="center"/>
          </w:tcPr>
          <w:p w14:paraId="43BB3D04" w14:textId="77777777" w:rsidR="00393DDB" w:rsidRPr="00A91A09" w:rsidRDefault="00393DDB" w:rsidP="00725652">
            <w:pPr>
              <w:keepNext/>
              <w:ind w:right="397"/>
              <w:jc w:val="right"/>
              <w:rPr>
                <w:rFonts w:cstheme="minorHAnsi"/>
                <w:sz w:val="20"/>
                <w:szCs w:val="20"/>
                <w:lang w:val="en-GB"/>
              </w:rPr>
            </w:pPr>
            <w:r w:rsidRPr="00A91A09">
              <w:rPr>
                <w:rFonts w:cstheme="minorHAnsi"/>
                <w:sz w:val="20"/>
                <w:lang w:val="en-GB" w:bidi="en-GB"/>
              </w:rPr>
              <w:t>0</w:t>
            </w:r>
          </w:p>
        </w:tc>
        <w:tc>
          <w:tcPr>
            <w:tcW w:w="1630" w:type="dxa"/>
          </w:tcPr>
          <w:p w14:paraId="01208A17"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12,372,745.62</w:t>
            </w:r>
          </w:p>
        </w:tc>
        <w:tc>
          <w:tcPr>
            <w:tcW w:w="1630" w:type="dxa"/>
          </w:tcPr>
          <w:p w14:paraId="585E3A58"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0.00</w:t>
            </w:r>
          </w:p>
        </w:tc>
      </w:tr>
      <w:tr w:rsidR="00393DDB" w:rsidRPr="00A91A09" w14:paraId="376F3368" w14:textId="77777777" w:rsidTr="00675B8E">
        <w:trPr>
          <w:trHeight w:val="227"/>
        </w:trPr>
        <w:tc>
          <w:tcPr>
            <w:tcW w:w="3681" w:type="dxa"/>
          </w:tcPr>
          <w:p w14:paraId="0A4BCB43" w14:textId="77777777" w:rsidR="00393DDB" w:rsidRPr="00A91A09" w:rsidRDefault="00393DDB" w:rsidP="00725652">
            <w:pPr>
              <w:keepNext/>
              <w:autoSpaceDE w:val="0"/>
              <w:autoSpaceDN w:val="0"/>
              <w:adjustRightInd w:val="0"/>
              <w:rPr>
                <w:rFonts w:cstheme="minorHAnsi"/>
                <w:sz w:val="20"/>
                <w:szCs w:val="20"/>
                <w:lang w:val="en-GB"/>
              </w:rPr>
            </w:pPr>
            <w:r w:rsidRPr="00A91A09">
              <w:rPr>
                <w:rFonts w:cstheme="minorHAnsi"/>
                <w:sz w:val="20"/>
                <w:lang w:val="en-GB" w:bidi="en-GB"/>
              </w:rPr>
              <w:t>Road Management and Maintenance of the Pardubice Region</w:t>
            </w:r>
          </w:p>
        </w:tc>
        <w:tc>
          <w:tcPr>
            <w:tcW w:w="1063" w:type="dxa"/>
          </w:tcPr>
          <w:p w14:paraId="18C1727A" w14:textId="77777777" w:rsidR="00393DDB" w:rsidRPr="00A91A09" w:rsidRDefault="00393DDB" w:rsidP="00D64DF5">
            <w:pPr>
              <w:keepNext/>
              <w:jc w:val="center"/>
              <w:rPr>
                <w:rFonts w:cstheme="minorHAnsi"/>
                <w:sz w:val="20"/>
                <w:szCs w:val="20"/>
                <w:lang w:val="en-GB"/>
              </w:rPr>
            </w:pPr>
            <w:r w:rsidRPr="00A91A09">
              <w:rPr>
                <w:rFonts w:cstheme="minorHAnsi"/>
                <w:sz w:val="20"/>
                <w:lang w:val="en-GB" w:bidi="en-GB"/>
              </w:rPr>
              <w:t>3</w:t>
            </w:r>
          </w:p>
        </w:tc>
        <w:tc>
          <w:tcPr>
            <w:tcW w:w="1063" w:type="dxa"/>
            <w:vAlign w:val="center"/>
          </w:tcPr>
          <w:p w14:paraId="50518172" w14:textId="77777777" w:rsidR="00393DDB" w:rsidRPr="00A91A09" w:rsidRDefault="00393DDB" w:rsidP="00725652">
            <w:pPr>
              <w:keepNext/>
              <w:ind w:right="397"/>
              <w:jc w:val="right"/>
              <w:rPr>
                <w:rFonts w:cstheme="minorHAnsi"/>
                <w:sz w:val="20"/>
                <w:szCs w:val="20"/>
                <w:lang w:val="en-GB"/>
              </w:rPr>
            </w:pPr>
            <w:r w:rsidRPr="00A91A09">
              <w:rPr>
                <w:rFonts w:cstheme="minorHAnsi"/>
                <w:sz w:val="20"/>
                <w:lang w:val="en-GB" w:bidi="en-GB"/>
              </w:rPr>
              <w:t>0</w:t>
            </w:r>
          </w:p>
        </w:tc>
        <w:tc>
          <w:tcPr>
            <w:tcW w:w="1630" w:type="dxa"/>
          </w:tcPr>
          <w:p w14:paraId="61DFC50F"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85,338,107.79</w:t>
            </w:r>
          </w:p>
        </w:tc>
        <w:tc>
          <w:tcPr>
            <w:tcW w:w="1630" w:type="dxa"/>
          </w:tcPr>
          <w:p w14:paraId="6097B7B3"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0.00</w:t>
            </w:r>
          </w:p>
        </w:tc>
      </w:tr>
      <w:tr w:rsidR="00393DDB" w:rsidRPr="00A91A09" w14:paraId="0EE3FBB8" w14:textId="77777777" w:rsidTr="00675B8E">
        <w:trPr>
          <w:trHeight w:val="227"/>
        </w:trPr>
        <w:tc>
          <w:tcPr>
            <w:tcW w:w="3681" w:type="dxa"/>
          </w:tcPr>
          <w:p w14:paraId="4013ED68" w14:textId="77777777" w:rsidR="00393DDB" w:rsidRPr="00A91A09" w:rsidRDefault="00393DDB" w:rsidP="00725652">
            <w:pPr>
              <w:keepNext/>
              <w:rPr>
                <w:rFonts w:cstheme="minorHAnsi"/>
                <w:sz w:val="20"/>
                <w:szCs w:val="20"/>
                <w:lang w:val="en-GB"/>
              </w:rPr>
            </w:pPr>
            <w:r w:rsidRPr="00A91A09">
              <w:rPr>
                <w:rFonts w:cstheme="minorHAnsi"/>
                <w:sz w:val="20"/>
                <w:lang w:val="en-GB" w:bidi="en-GB"/>
              </w:rPr>
              <w:t>Road Management and Maintenance of the Pilsen Region</w:t>
            </w:r>
          </w:p>
        </w:tc>
        <w:tc>
          <w:tcPr>
            <w:tcW w:w="1063" w:type="dxa"/>
          </w:tcPr>
          <w:p w14:paraId="57877357" w14:textId="77777777" w:rsidR="00393DDB" w:rsidRPr="00A91A09" w:rsidRDefault="00393DDB" w:rsidP="00D64DF5">
            <w:pPr>
              <w:keepNext/>
              <w:jc w:val="center"/>
              <w:rPr>
                <w:rFonts w:cstheme="minorHAnsi"/>
                <w:sz w:val="20"/>
                <w:szCs w:val="20"/>
                <w:lang w:val="en-GB"/>
              </w:rPr>
            </w:pPr>
            <w:r w:rsidRPr="00A91A09">
              <w:rPr>
                <w:rFonts w:cstheme="minorHAnsi"/>
                <w:sz w:val="20"/>
                <w:lang w:val="en-GB" w:bidi="en-GB"/>
              </w:rPr>
              <w:t>5</w:t>
            </w:r>
          </w:p>
        </w:tc>
        <w:tc>
          <w:tcPr>
            <w:tcW w:w="1063" w:type="dxa"/>
            <w:vAlign w:val="center"/>
          </w:tcPr>
          <w:p w14:paraId="0260B22B" w14:textId="77777777" w:rsidR="00393DDB" w:rsidRPr="00A91A09" w:rsidRDefault="00393DDB" w:rsidP="00725652">
            <w:pPr>
              <w:keepNext/>
              <w:ind w:right="397"/>
              <w:jc w:val="right"/>
              <w:rPr>
                <w:rFonts w:cstheme="minorHAnsi"/>
                <w:sz w:val="20"/>
                <w:szCs w:val="20"/>
                <w:lang w:val="en-GB"/>
              </w:rPr>
            </w:pPr>
            <w:r w:rsidRPr="00A91A09">
              <w:rPr>
                <w:rFonts w:cstheme="minorHAnsi"/>
                <w:sz w:val="20"/>
                <w:lang w:val="en-GB" w:bidi="en-GB"/>
              </w:rPr>
              <w:t>4</w:t>
            </w:r>
          </w:p>
        </w:tc>
        <w:tc>
          <w:tcPr>
            <w:tcW w:w="1630" w:type="dxa"/>
          </w:tcPr>
          <w:p w14:paraId="529FBBC4"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48,368,566.71</w:t>
            </w:r>
          </w:p>
        </w:tc>
        <w:tc>
          <w:tcPr>
            <w:tcW w:w="1630" w:type="dxa"/>
          </w:tcPr>
          <w:p w14:paraId="54F3251F" w14:textId="77777777" w:rsidR="00393DDB" w:rsidRPr="00A91A09" w:rsidRDefault="00393DDB" w:rsidP="00725652">
            <w:pPr>
              <w:keepNext/>
              <w:ind w:right="107"/>
              <w:jc w:val="right"/>
              <w:rPr>
                <w:rFonts w:cstheme="minorHAnsi"/>
                <w:sz w:val="20"/>
                <w:szCs w:val="20"/>
                <w:lang w:val="en-GB"/>
              </w:rPr>
            </w:pPr>
            <w:r w:rsidRPr="00A91A09">
              <w:rPr>
                <w:rFonts w:cstheme="minorHAnsi"/>
                <w:sz w:val="20"/>
                <w:lang w:val="en-GB" w:bidi="en-GB"/>
              </w:rPr>
              <w:t>126,048,000.91</w:t>
            </w:r>
          </w:p>
        </w:tc>
      </w:tr>
      <w:tr w:rsidR="00393DDB" w:rsidRPr="00A91A09" w14:paraId="4E3CF2BA" w14:textId="77777777" w:rsidTr="00675B8E">
        <w:trPr>
          <w:trHeight w:val="227"/>
        </w:trPr>
        <w:tc>
          <w:tcPr>
            <w:tcW w:w="3681" w:type="dxa"/>
          </w:tcPr>
          <w:p w14:paraId="5B3C7312" w14:textId="77777777" w:rsidR="00393DDB" w:rsidRPr="00A91A09" w:rsidRDefault="00393DDB" w:rsidP="00725652">
            <w:pPr>
              <w:keepNext/>
              <w:rPr>
                <w:rFonts w:cstheme="minorHAnsi"/>
                <w:b/>
                <w:sz w:val="20"/>
                <w:szCs w:val="20"/>
                <w:lang w:val="en-GB"/>
              </w:rPr>
            </w:pPr>
            <w:r w:rsidRPr="00A91A09">
              <w:rPr>
                <w:rFonts w:cstheme="minorHAnsi"/>
                <w:b/>
                <w:sz w:val="20"/>
                <w:lang w:val="en-GB" w:bidi="en-GB"/>
              </w:rPr>
              <w:t>Total</w:t>
            </w:r>
          </w:p>
        </w:tc>
        <w:tc>
          <w:tcPr>
            <w:tcW w:w="1063" w:type="dxa"/>
          </w:tcPr>
          <w:p w14:paraId="39176057" w14:textId="77777777" w:rsidR="00393DDB" w:rsidRPr="00A91A09" w:rsidRDefault="00393DDB" w:rsidP="00725652">
            <w:pPr>
              <w:keepNext/>
              <w:jc w:val="center"/>
              <w:rPr>
                <w:rFonts w:cstheme="minorHAnsi"/>
                <w:b/>
                <w:sz w:val="20"/>
                <w:szCs w:val="20"/>
                <w:lang w:val="en-GB"/>
              </w:rPr>
            </w:pPr>
            <w:r w:rsidRPr="00A91A09">
              <w:rPr>
                <w:rFonts w:cstheme="minorHAnsi"/>
                <w:b/>
                <w:sz w:val="20"/>
                <w:lang w:val="en-GB" w:bidi="en-GB"/>
              </w:rPr>
              <w:t>23</w:t>
            </w:r>
          </w:p>
        </w:tc>
        <w:tc>
          <w:tcPr>
            <w:tcW w:w="1063" w:type="dxa"/>
            <w:vAlign w:val="center"/>
          </w:tcPr>
          <w:p w14:paraId="50D7CB89" w14:textId="77777777" w:rsidR="00393DDB" w:rsidRPr="00A91A09" w:rsidRDefault="00393DDB" w:rsidP="00725652">
            <w:pPr>
              <w:keepNext/>
              <w:ind w:right="397"/>
              <w:jc w:val="right"/>
              <w:rPr>
                <w:rFonts w:cstheme="minorHAnsi"/>
                <w:b/>
                <w:sz w:val="20"/>
                <w:szCs w:val="20"/>
                <w:lang w:val="en-GB"/>
              </w:rPr>
            </w:pPr>
            <w:r w:rsidRPr="00A91A09">
              <w:rPr>
                <w:rFonts w:cstheme="minorHAnsi"/>
                <w:b/>
                <w:sz w:val="20"/>
                <w:lang w:val="en-GB" w:bidi="en-GB"/>
              </w:rPr>
              <w:t>16</w:t>
            </w:r>
          </w:p>
        </w:tc>
        <w:tc>
          <w:tcPr>
            <w:tcW w:w="1630" w:type="dxa"/>
          </w:tcPr>
          <w:p w14:paraId="01A8301F" w14:textId="77777777" w:rsidR="00393DDB" w:rsidRPr="00A91A09" w:rsidRDefault="00393DDB" w:rsidP="00725652">
            <w:pPr>
              <w:keepNext/>
              <w:ind w:right="107"/>
              <w:jc w:val="right"/>
              <w:rPr>
                <w:rFonts w:cstheme="minorHAnsi"/>
                <w:b/>
                <w:sz w:val="20"/>
                <w:szCs w:val="20"/>
                <w:lang w:val="en-GB"/>
              </w:rPr>
            </w:pPr>
            <w:r w:rsidRPr="00A91A09">
              <w:rPr>
                <w:rFonts w:cstheme="minorHAnsi"/>
                <w:b/>
                <w:sz w:val="20"/>
                <w:lang w:val="en-GB" w:bidi="en-GB"/>
              </w:rPr>
              <w:t>220,224,753.28</w:t>
            </w:r>
          </w:p>
        </w:tc>
        <w:tc>
          <w:tcPr>
            <w:tcW w:w="1630" w:type="dxa"/>
          </w:tcPr>
          <w:p w14:paraId="2C4AD793" w14:textId="77777777" w:rsidR="00393DDB" w:rsidRPr="00A91A09" w:rsidRDefault="00393DDB" w:rsidP="00725652">
            <w:pPr>
              <w:keepNext/>
              <w:ind w:right="107"/>
              <w:jc w:val="right"/>
              <w:rPr>
                <w:rFonts w:cstheme="minorHAnsi"/>
                <w:b/>
                <w:sz w:val="20"/>
                <w:szCs w:val="20"/>
                <w:lang w:val="en-GB"/>
              </w:rPr>
            </w:pPr>
            <w:r w:rsidRPr="00A91A09">
              <w:rPr>
                <w:rFonts w:cstheme="minorHAnsi"/>
                <w:b/>
                <w:sz w:val="20"/>
                <w:lang w:val="en-GB" w:bidi="en-GB"/>
              </w:rPr>
              <w:t>521,098,443.70</w:t>
            </w:r>
          </w:p>
        </w:tc>
      </w:tr>
    </w:tbl>
    <w:p w14:paraId="1338A420" w14:textId="4C3D929C" w:rsidR="00393DDB" w:rsidRPr="00A91A09" w:rsidRDefault="00393DDB" w:rsidP="00725652">
      <w:pPr>
        <w:keepNext/>
        <w:spacing w:before="40" w:after="0" w:line="240" w:lineRule="auto"/>
        <w:jc w:val="both"/>
        <w:rPr>
          <w:rFonts w:cstheme="minorHAnsi"/>
          <w:sz w:val="20"/>
          <w:szCs w:val="20"/>
          <w:lang w:val="en-GB"/>
        </w:rPr>
      </w:pPr>
      <w:r w:rsidRPr="00A91A09">
        <w:rPr>
          <w:rFonts w:cstheme="minorHAnsi"/>
          <w:b/>
          <w:sz w:val="20"/>
          <w:lang w:val="en-GB" w:bidi="en-GB"/>
        </w:rPr>
        <w:t xml:space="preserve">Source: </w:t>
      </w:r>
      <w:r w:rsidRPr="00A91A09">
        <w:rPr>
          <w:rFonts w:cstheme="minorHAnsi"/>
          <w:sz w:val="20"/>
          <w:lang w:val="en-GB" w:bidi="en-GB"/>
        </w:rPr>
        <w:t>audit protocols on Audit No. 17/09.</w:t>
      </w:r>
    </w:p>
    <w:p w14:paraId="7EFD139F" w14:textId="712E58D0" w:rsidR="00393DDB" w:rsidRPr="00A91A09" w:rsidRDefault="00393DDB" w:rsidP="008376EB">
      <w:pPr>
        <w:spacing w:after="0" w:line="240" w:lineRule="auto"/>
        <w:jc w:val="both"/>
        <w:rPr>
          <w:rFonts w:cstheme="minorHAnsi"/>
          <w:sz w:val="20"/>
          <w:szCs w:val="20"/>
          <w:lang w:val="en-GB"/>
        </w:rPr>
      </w:pPr>
      <w:r w:rsidRPr="00A91A09">
        <w:rPr>
          <w:rFonts w:cstheme="minorHAnsi"/>
          <w:sz w:val="20"/>
          <w:lang w:val="en-GB" w:bidi="en-GB"/>
        </w:rPr>
        <w:t>* The SAO audit reviewed three selected projects and one construction within the fourth selected project.</w:t>
      </w:r>
    </w:p>
    <w:p w14:paraId="4DE6BD36" w14:textId="77777777" w:rsidR="008376EB" w:rsidRPr="00A91A09" w:rsidRDefault="008376EB" w:rsidP="007E14F9">
      <w:pPr>
        <w:spacing w:after="0" w:line="240" w:lineRule="auto"/>
        <w:jc w:val="both"/>
        <w:rPr>
          <w:rFonts w:cstheme="minorHAnsi"/>
          <w:sz w:val="24"/>
          <w:szCs w:val="24"/>
          <w:lang w:val="en-GB"/>
        </w:rPr>
      </w:pPr>
    </w:p>
    <w:p w14:paraId="27F5A399" w14:textId="1B18BA22"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The selection of projects for the SAO audit was carried out on the basis of an evaluation of the data obtained during the preparation of the audit. Projects financed and co-financed by both subsidy providers were selected. 3 parameters were evaluated:</w:t>
      </w:r>
    </w:p>
    <w:p w14:paraId="1591FC67" w14:textId="77777777" w:rsidR="00393DDB" w:rsidRPr="00A91A09" w:rsidRDefault="00393DDB" w:rsidP="00BE44A0">
      <w:pPr>
        <w:numPr>
          <w:ilvl w:val="0"/>
          <w:numId w:val="25"/>
        </w:numPr>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The number of bids submitted (minimum value),</w:t>
      </w:r>
    </w:p>
    <w:p w14:paraId="1C8CAA67" w14:textId="77777777" w:rsidR="00393DDB" w:rsidRPr="00A91A09" w:rsidRDefault="00393DDB" w:rsidP="00BE44A0">
      <w:pPr>
        <w:numPr>
          <w:ilvl w:val="0"/>
          <w:numId w:val="25"/>
        </w:numPr>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A comparison of the expected value of the bid and the winning cost achieved,</w:t>
      </w:r>
    </w:p>
    <w:p w14:paraId="5B71E09F" w14:textId="77777777" w:rsidR="00393DDB" w:rsidRPr="00A91A09" w:rsidRDefault="00393DDB" w:rsidP="00BE44A0">
      <w:pPr>
        <w:numPr>
          <w:ilvl w:val="0"/>
          <w:numId w:val="25"/>
        </w:numPr>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Change in the winning bid cost during implementation (maximum value).</w:t>
      </w:r>
    </w:p>
    <w:p w14:paraId="3AC31E3C" w14:textId="77777777" w:rsidR="008376EB" w:rsidRPr="00A91A09" w:rsidRDefault="008376EB" w:rsidP="007E14F9">
      <w:pPr>
        <w:spacing w:after="0" w:line="240" w:lineRule="auto"/>
        <w:jc w:val="both"/>
        <w:rPr>
          <w:rFonts w:cstheme="minorHAnsi"/>
          <w:sz w:val="24"/>
          <w:szCs w:val="24"/>
          <w:lang w:val="en-GB"/>
        </w:rPr>
      </w:pPr>
    </w:p>
    <w:p w14:paraId="6A6BC1E8" w14:textId="77777777" w:rsidR="00393DDB" w:rsidRPr="00A91A09" w:rsidRDefault="00393DDB" w:rsidP="007E14F9">
      <w:pPr>
        <w:spacing w:after="0" w:line="240" w:lineRule="auto"/>
        <w:jc w:val="both"/>
        <w:rPr>
          <w:rFonts w:cstheme="minorHAnsi"/>
          <w:sz w:val="24"/>
          <w:szCs w:val="24"/>
          <w:lang w:val="en-GB"/>
        </w:rPr>
      </w:pPr>
      <w:r w:rsidRPr="00A91A09">
        <w:rPr>
          <w:rFonts w:cstheme="minorHAnsi"/>
          <w:b/>
          <w:sz w:val="24"/>
          <w:lang w:val="en-GB" w:bidi="en-GB"/>
        </w:rPr>
        <w:t>These selection criteria were chosen in view of the possible risks, especially in terms of a non-economical implementation of a particular project.</w:t>
      </w:r>
    </w:p>
    <w:p w14:paraId="42FAC084" w14:textId="77777777" w:rsidR="008376EB" w:rsidRPr="00A91A09" w:rsidRDefault="008376EB" w:rsidP="007E14F9">
      <w:pPr>
        <w:spacing w:after="0" w:line="240" w:lineRule="auto"/>
        <w:jc w:val="both"/>
        <w:rPr>
          <w:rFonts w:cstheme="minorHAnsi"/>
          <w:sz w:val="24"/>
          <w:szCs w:val="24"/>
          <w:lang w:val="en-GB"/>
        </w:rPr>
      </w:pPr>
    </w:p>
    <w:p w14:paraId="28B85CA0" w14:textId="77777777" w:rsidR="00393DDB" w:rsidRPr="00A91A09" w:rsidRDefault="00393DDB" w:rsidP="007E14F9">
      <w:pPr>
        <w:spacing w:after="0" w:line="240" w:lineRule="auto"/>
        <w:rPr>
          <w:rFonts w:cstheme="minorHAnsi"/>
          <w:b/>
          <w:sz w:val="24"/>
          <w:szCs w:val="24"/>
          <w:lang w:val="en-GB"/>
        </w:rPr>
      </w:pPr>
      <w:r w:rsidRPr="00A91A09">
        <w:rPr>
          <w:rFonts w:cstheme="minorHAnsi"/>
          <w:b/>
          <w:sz w:val="24"/>
          <w:lang w:val="en-GB" w:bidi="en-GB"/>
        </w:rPr>
        <w:t>2.1 Selection of projects to be implemented</w:t>
      </w:r>
    </w:p>
    <w:p w14:paraId="43C62357" w14:textId="77777777" w:rsidR="008376EB" w:rsidRPr="00A91A09" w:rsidRDefault="008376EB" w:rsidP="007E14F9">
      <w:pPr>
        <w:spacing w:after="0" w:line="240" w:lineRule="auto"/>
        <w:jc w:val="both"/>
        <w:rPr>
          <w:rFonts w:cstheme="minorHAnsi"/>
          <w:sz w:val="24"/>
          <w:szCs w:val="24"/>
          <w:lang w:val="en-GB"/>
        </w:rPr>
      </w:pPr>
    </w:p>
    <w:p w14:paraId="2346A9CF" w14:textId="77777777" w:rsidR="00570729" w:rsidRPr="00A91A09" w:rsidRDefault="001A445D" w:rsidP="007E14F9">
      <w:pPr>
        <w:spacing w:after="0" w:line="240" w:lineRule="auto"/>
        <w:jc w:val="both"/>
        <w:rPr>
          <w:rFonts w:cstheme="minorHAnsi"/>
          <w:sz w:val="24"/>
          <w:szCs w:val="24"/>
          <w:lang w:val="en-GB"/>
        </w:rPr>
      </w:pPr>
      <w:r w:rsidRPr="00A91A09">
        <w:rPr>
          <w:rFonts w:cstheme="minorHAnsi"/>
          <w:sz w:val="24"/>
          <w:lang w:val="en-GB" w:bidi="en-GB"/>
        </w:rPr>
        <w:t xml:space="preserve">The beneficiaries carried out a selection of projects to be implemented on the basis of several criteria, taking into account, in particular, the technical condition of the roads, meeting the conditions of the providers of funds, the importance of a specific section of the road for the transport service of a certain locality, the requirements of external entities for repairing particular sections of the roads, and other aspects. </w:t>
      </w:r>
    </w:p>
    <w:p w14:paraId="68ED1E92" w14:textId="77777777" w:rsidR="008376EB" w:rsidRPr="00A91A09" w:rsidRDefault="008376EB" w:rsidP="007E14F9">
      <w:pPr>
        <w:spacing w:after="0" w:line="240" w:lineRule="auto"/>
        <w:jc w:val="both"/>
        <w:rPr>
          <w:rFonts w:cstheme="minorHAnsi"/>
          <w:sz w:val="24"/>
          <w:szCs w:val="24"/>
          <w:lang w:val="en-GB"/>
        </w:rPr>
      </w:pPr>
    </w:p>
    <w:p w14:paraId="6BBAC5F7" w14:textId="686ECE57" w:rsidR="00393DDB" w:rsidRPr="00A91A09" w:rsidRDefault="00393DDB" w:rsidP="007E14F9">
      <w:pPr>
        <w:spacing w:after="0" w:line="240" w:lineRule="auto"/>
        <w:jc w:val="both"/>
        <w:rPr>
          <w:rFonts w:cstheme="minorHAnsi"/>
          <w:b/>
          <w:sz w:val="24"/>
          <w:szCs w:val="24"/>
          <w:lang w:val="en-GB"/>
        </w:rPr>
      </w:pPr>
      <w:r w:rsidRPr="00A91A09">
        <w:rPr>
          <w:rFonts w:cstheme="minorHAnsi"/>
          <w:b/>
          <w:sz w:val="24"/>
          <w:lang w:val="en-GB" w:bidi="en-GB"/>
        </w:rPr>
        <w:t xml:space="preserve">The audit found that the MSR, the LR, the PR, the RMMPR and the SBR had selected the projects to be implemented on the basis of general criteria without a more detailed specification and measurable data. The selection of projects to be implemented was unreviewable for these </w:t>
      </w:r>
      <w:r w:rsidR="00C566C3">
        <w:rPr>
          <w:rFonts w:cstheme="minorHAnsi"/>
          <w:b/>
          <w:sz w:val="24"/>
          <w:lang w:val="en-GB" w:bidi="en-GB"/>
        </w:rPr>
        <w:t>auditees</w:t>
      </w:r>
      <w:r w:rsidRPr="00A91A09">
        <w:rPr>
          <w:rFonts w:cstheme="minorHAnsi"/>
          <w:b/>
          <w:sz w:val="24"/>
          <w:lang w:val="en-GB" w:bidi="en-GB"/>
        </w:rPr>
        <w:t>.</w:t>
      </w:r>
    </w:p>
    <w:p w14:paraId="77498964" w14:textId="77777777" w:rsidR="008376EB" w:rsidRPr="00A91A09" w:rsidRDefault="008376EB" w:rsidP="007E14F9">
      <w:pPr>
        <w:spacing w:after="0" w:line="240" w:lineRule="auto"/>
        <w:jc w:val="both"/>
        <w:rPr>
          <w:rFonts w:cstheme="minorHAnsi"/>
          <w:sz w:val="24"/>
          <w:szCs w:val="24"/>
          <w:lang w:val="en-GB"/>
        </w:rPr>
      </w:pPr>
    </w:p>
    <w:p w14:paraId="5B28BA7C" w14:textId="4BB4D0FA" w:rsidR="00190725"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 xml:space="preserve">All the </w:t>
      </w:r>
      <w:r w:rsidR="00BE65FC">
        <w:rPr>
          <w:rFonts w:cstheme="minorHAnsi"/>
          <w:sz w:val="24"/>
          <w:lang w:val="en-GB" w:bidi="en-GB"/>
        </w:rPr>
        <w:t xml:space="preserve">audited </w:t>
      </w:r>
      <w:r w:rsidRPr="00A91A09">
        <w:rPr>
          <w:rFonts w:cstheme="minorHAnsi"/>
          <w:sz w:val="24"/>
          <w:lang w:val="en-GB" w:bidi="en-GB"/>
        </w:rPr>
        <w:t xml:space="preserve">owners of class II and class III roads carried out the monitoring of the road conditions using their own staff or external contractors. The technical condition of the roads was the basic input parameter for the preparation and selection of actions to be implemented. </w:t>
      </w:r>
    </w:p>
    <w:p w14:paraId="44871C4F" w14:textId="77777777" w:rsidR="008376EB" w:rsidRPr="00A91A09" w:rsidRDefault="008376EB" w:rsidP="007E14F9">
      <w:pPr>
        <w:spacing w:after="0" w:line="240" w:lineRule="auto"/>
        <w:jc w:val="both"/>
        <w:rPr>
          <w:rFonts w:cstheme="minorHAnsi"/>
          <w:sz w:val="24"/>
          <w:szCs w:val="24"/>
          <w:lang w:val="en-GB"/>
        </w:rPr>
      </w:pPr>
    </w:p>
    <w:p w14:paraId="0E55E6CF" w14:textId="4F71A0DB" w:rsidR="00393DDB" w:rsidRPr="00A91A09" w:rsidRDefault="00393DDB" w:rsidP="007E14F9">
      <w:pPr>
        <w:spacing w:after="0" w:line="240" w:lineRule="auto"/>
        <w:jc w:val="both"/>
        <w:rPr>
          <w:rFonts w:cstheme="minorHAnsi"/>
          <w:sz w:val="24"/>
          <w:szCs w:val="24"/>
          <w:lang w:val="en-GB"/>
        </w:rPr>
      </w:pPr>
      <w:r w:rsidRPr="00A91A09">
        <w:rPr>
          <w:rFonts w:cstheme="minorHAnsi"/>
          <w:b/>
          <w:sz w:val="24"/>
          <w:lang w:val="en-GB" w:bidi="en-GB"/>
        </w:rPr>
        <w:lastRenderedPageBreak/>
        <w:t xml:space="preserve">The SAO found that, according to the data of the </w:t>
      </w:r>
      <w:r w:rsidR="00C566C3">
        <w:rPr>
          <w:rFonts w:cstheme="minorHAnsi"/>
          <w:b/>
          <w:sz w:val="24"/>
          <w:lang w:val="en-GB" w:bidi="en-GB"/>
        </w:rPr>
        <w:t>auditees</w:t>
      </w:r>
      <w:r w:rsidRPr="00A91A09">
        <w:rPr>
          <w:rFonts w:cstheme="minorHAnsi"/>
          <w:b/>
          <w:sz w:val="24"/>
          <w:lang w:val="en-GB" w:bidi="en-GB"/>
        </w:rPr>
        <w:t>, by 2016 there had been a high percentage of class II and class III roads in a state of disrepair or unsatisfactory state,</w:t>
      </w:r>
      <w:r w:rsidRPr="00A91A09">
        <w:rPr>
          <w:rFonts w:cstheme="minorHAnsi"/>
          <w:sz w:val="24"/>
          <w:lang w:val="en-GB" w:bidi="en-GB"/>
        </w:rPr>
        <w:t xml:space="preserve"> e.g. 43 % of roads in the PilR, 48 % in the LR and up to 60 % in the PR.</w:t>
      </w:r>
    </w:p>
    <w:p w14:paraId="10843A17" w14:textId="77777777" w:rsidR="008376EB" w:rsidRPr="00A91A09" w:rsidRDefault="008376EB" w:rsidP="007E14F9">
      <w:pPr>
        <w:spacing w:after="0" w:line="240" w:lineRule="auto"/>
        <w:jc w:val="both"/>
        <w:rPr>
          <w:rFonts w:cstheme="minorHAnsi"/>
          <w:sz w:val="24"/>
          <w:szCs w:val="24"/>
          <w:lang w:val="en-GB"/>
        </w:rPr>
      </w:pPr>
    </w:p>
    <w:p w14:paraId="3BB5423F" w14:textId="1ECAF08B"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 xml:space="preserve">All the </w:t>
      </w:r>
      <w:r w:rsidR="00C566C3">
        <w:rPr>
          <w:rFonts w:cstheme="minorHAnsi"/>
          <w:sz w:val="24"/>
          <w:lang w:val="en-GB" w:bidi="en-GB"/>
        </w:rPr>
        <w:t>auditees</w:t>
      </w:r>
      <w:r w:rsidRPr="00A91A09">
        <w:rPr>
          <w:rFonts w:cstheme="minorHAnsi"/>
          <w:sz w:val="24"/>
          <w:lang w:val="en-GB" w:bidi="en-GB"/>
        </w:rPr>
        <w:t xml:space="preserve"> registered requirements for road repairs, reconstruction, modernisation and development. In terms of traffic monitoring, it was found that all the </w:t>
      </w:r>
      <w:r w:rsidR="00C566C3">
        <w:rPr>
          <w:rFonts w:cstheme="minorHAnsi"/>
          <w:sz w:val="24"/>
          <w:lang w:val="en-GB" w:bidi="en-GB"/>
        </w:rPr>
        <w:t>auditees</w:t>
      </w:r>
      <w:r w:rsidRPr="00A91A09">
        <w:rPr>
          <w:rFonts w:cstheme="minorHAnsi"/>
          <w:sz w:val="24"/>
          <w:lang w:val="en-GB" w:bidi="en-GB"/>
        </w:rPr>
        <w:t xml:space="preserve"> had used the results of a national traffic census or information processed by the Road and Motorway Directorate. The </w:t>
      </w:r>
      <w:r w:rsidR="00C566C3">
        <w:rPr>
          <w:rFonts w:cstheme="minorHAnsi"/>
          <w:sz w:val="24"/>
          <w:lang w:val="en-GB" w:bidi="en-GB"/>
        </w:rPr>
        <w:t>auditees</w:t>
      </w:r>
      <w:r w:rsidRPr="00A91A09">
        <w:rPr>
          <w:rFonts w:cstheme="minorHAnsi"/>
          <w:sz w:val="24"/>
          <w:lang w:val="en-GB" w:bidi="en-GB"/>
        </w:rPr>
        <w:t xml:space="preserve"> either did not perform the monitoring of the traffic intensity as such at all, or replaced it by an expert estimate.</w:t>
      </w:r>
    </w:p>
    <w:p w14:paraId="33BB4613" w14:textId="77777777" w:rsidR="008376EB" w:rsidRPr="00A91A09" w:rsidRDefault="008376EB" w:rsidP="007E14F9">
      <w:pPr>
        <w:spacing w:after="0" w:line="240" w:lineRule="auto"/>
        <w:jc w:val="both"/>
        <w:rPr>
          <w:rFonts w:cstheme="minorHAnsi"/>
          <w:sz w:val="24"/>
          <w:szCs w:val="24"/>
          <w:lang w:val="en-GB"/>
        </w:rPr>
      </w:pPr>
    </w:p>
    <w:p w14:paraId="327C22EA" w14:textId="31ABC957" w:rsidR="00393DDB" w:rsidRPr="00A91A09" w:rsidRDefault="00393DDB" w:rsidP="007E14F9">
      <w:pPr>
        <w:spacing w:after="0" w:line="240" w:lineRule="auto"/>
        <w:jc w:val="both"/>
        <w:rPr>
          <w:rFonts w:cstheme="minorHAnsi"/>
          <w:sz w:val="24"/>
          <w:szCs w:val="24"/>
          <w:lang w:val="en-GB"/>
        </w:rPr>
      </w:pPr>
      <w:r w:rsidRPr="00A91A09">
        <w:rPr>
          <w:rFonts w:cstheme="minorHAnsi"/>
          <w:b/>
          <w:sz w:val="24"/>
          <w:lang w:val="en-GB" w:bidi="en-GB"/>
        </w:rPr>
        <w:t xml:space="preserve">The SAO found that some owners of class II and class III roads had not prepared current strategic or conceptual documents regarding the repairs, modernisation and development of those roads. </w:t>
      </w:r>
      <w:r w:rsidRPr="00A91A09">
        <w:rPr>
          <w:rFonts w:cstheme="minorHAnsi"/>
          <w:sz w:val="24"/>
          <w:lang w:val="en-GB" w:bidi="en-GB"/>
        </w:rPr>
        <w:t>The MSR had developed a concept of transport infrastructure development dated 2008 but it had not been updated. The LR only had a plan that included a list of the most damaged sections of the class II and class III roads which did not meet the conditions of operational suitability and which required a full-scale repair.</w:t>
      </w:r>
    </w:p>
    <w:p w14:paraId="5F5446F1" w14:textId="77777777" w:rsidR="008376EB" w:rsidRPr="00A91A09" w:rsidRDefault="008376EB" w:rsidP="007E14F9">
      <w:pPr>
        <w:spacing w:after="0" w:line="240" w:lineRule="auto"/>
        <w:jc w:val="both"/>
        <w:rPr>
          <w:rFonts w:cstheme="minorHAnsi"/>
          <w:b/>
          <w:sz w:val="24"/>
          <w:szCs w:val="24"/>
          <w:lang w:val="en-GB"/>
        </w:rPr>
      </w:pPr>
    </w:p>
    <w:p w14:paraId="3F3286E2" w14:textId="77777777" w:rsidR="00393DDB" w:rsidRPr="00A91A09" w:rsidRDefault="00393DDB" w:rsidP="007E14F9">
      <w:pPr>
        <w:spacing w:after="0" w:line="240" w:lineRule="auto"/>
        <w:rPr>
          <w:rFonts w:cstheme="minorHAnsi"/>
          <w:b/>
          <w:sz w:val="24"/>
          <w:szCs w:val="24"/>
          <w:lang w:val="en-GB"/>
        </w:rPr>
      </w:pPr>
      <w:r w:rsidRPr="00A91A09">
        <w:rPr>
          <w:rFonts w:cstheme="minorHAnsi"/>
          <w:b/>
          <w:sz w:val="24"/>
          <w:lang w:val="en-GB" w:bidi="en-GB"/>
        </w:rPr>
        <w:t>2.2 Preparation of projects in accordance with the provider’s rules</w:t>
      </w:r>
    </w:p>
    <w:p w14:paraId="106D6532" w14:textId="77777777" w:rsidR="008376EB" w:rsidRPr="00A91A09" w:rsidRDefault="008376EB" w:rsidP="007E14F9">
      <w:pPr>
        <w:spacing w:after="0" w:line="240" w:lineRule="auto"/>
        <w:jc w:val="both"/>
        <w:rPr>
          <w:rFonts w:cstheme="minorHAnsi"/>
          <w:b/>
          <w:sz w:val="24"/>
          <w:szCs w:val="24"/>
          <w:lang w:val="en-GB"/>
        </w:rPr>
      </w:pPr>
    </w:p>
    <w:p w14:paraId="4FCFE184" w14:textId="48A843F0" w:rsidR="00393DDB" w:rsidRPr="00A91A09" w:rsidRDefault="00393DDB" w:rsidP="007E14F9">
      <w:pPr>
        <w:spacing w:after="0" w:line="240" w:lineRule="auto"/>
        <w:jc w:val="both"/>
        <w:rPr>
          <w:rFonts w:cstheme="minorHAnsi"/>
          <w:b/>
          <w:sz w:val="24"/>
          <w:szCs w:val="24"/>
          <w:lang w:val="en-GB"/>
        </w:rPr>
      </w:pPr>
      <w:r w:rsidRPr="00A91A09">
        <w:rPr>
          <w:rFonts w:cstheme="minorHAnsi"/>
          <w:b/>
          <w:sz w:val="24"/>
          <w:lang w:val="en-GB" w:bidi="en-GB"/>
        </w:rPr>
        <w:t xml:space="preserve">2.2a Projects co-financed by the </w:t>
      </w:r>
      <w:r w:rsidR="004D23C2">
        <w:rPr>
          <w:rFonts w:cstheme="minorHAnsi"/>
          <w:b/>
          <w:sz w:val="24"/>
          <w:lang w:val="en-GB" w:bidi="en-GB"/>
        </w:rPr>
        <w:t>SFDI</w:t>
      </w:r>
    </w:p>
    <w:p w14:paraId="750B6130" w14:textId="77777777" w:rsidR="008376EB" w:rsidRPr="00A91A09" w:rsidRDefault="008376EB" w:rsidP="007E14F9">
      <w:pPr>
        <w:spacing w:after="0" w:line="240" w:lineRule="auto"/>
        <w:jc w:val="both"/>
        <w:rPr>
          <w:rFonts w:cstheme="minorHAnsi"/>
          <w:sz w:val="24"/>
          <w:szCs w:val="24"/>
          <w:lang w:val="en-GB" w:eastAsia="cs-CZ"/>
        </w:rPr>
      </w:pPr>
    </w:p>
    <w:p w14:paraId="509C5F47" w14:textId="006C6315"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 xml:space="preserve">The audit of the SAO reviewed a total of 23 projects, auditing the compliance of the procedure of the </w:t>
      </w:r>
      <w:r w:rsidR="00C566C3">
        <w:rPr>
          <w:rFonts w:cstheme="minorHAnsi"/>
          <w:sz w:val="24"/>
          <w:lang w:val="en-GB" w:bidi="en-GB"/>
        </w:rPr>
        <w:t>auditees</w:t>
      </w:r>
      <w:r w:rsidRPr="00A91A09">
        <w:rPr>
          <w:rFonts w:cstheme="minorHAnsi"/>
          <w:sz w:val="24"/>
          <w:lang w:val="en-GB" w:bidi="en-GB"/>
        </w:rPr>
        <w:t xml:space="preserve"> in their preparation with the conditions for granting subsidies from the </w:t>
      </w:r>
      <w:r w:rsidR="004D23C2">
        <w:rPr>
          <w:rFonts w:cstheme="minorHAnsi"/>
          <w:sz w:val="24"/>
          <w:lang w:val="en-GB" w:bidi="en-GB"/>
        </w:rPr>
        <w:t>SFDI</w:t>
      </w:r>
      <w:r w:rsidRPr="00A91A09">
        <w:rPr>
          <w:rFonts w:cstheme="minorHAnsi"/>
          <w:sz w:val="24"/>
          <w:lang w:val="en-GB" w:bidi="en-GB"/>
        </w:rPr>
        <w:t xml:space="preserve"> budget as set out in the </w:t>
      </w:r>
      <w:r w:rsidR="004D23C2">
        <w:rPr>
          <w:rFonts w:cstheme="minorHAnsi"/>
          <w:sz w:val="24"/>
          <w:lang w:val="en-GB" w:bidi="en-GB"/>
        </w:rPr>
        <w:t>SFDI</w:t>
      </w:r>
      <w:r w:rsidRPr="00A91A09">
        <w:rPr>
          <w:rFonts w:cstheme="minorHAnsi"/>
          <w:sz w:val="24"/>
          <w:lang w:val="en-GB" w:bidi="en-GB"/>
        </w:rPr>
        <w:t xml:space="preserve"> methodological guidelines for the individual years of the period under review.</w:t>
      </w:r>
    </w:p>
    <w:p w14:paraId="1A0015EA" w14:textId="77777777" w:rsidR="008376EB" w:rsidRPr="00A91A09" w:rsidRDefault="008376EB" w:rsidP="007E14F9">
      <w:pPr>
        <w:spacing w:after="0" w:line="240" w:lineRule="auto"/>
        <w:jc w:val="both"/>
        <w:rPr>
          <w:rFonts w:cstheme="minorHAnsi"/>
          <w:sz w:val="24"/>
          <w:szCs w:val="24"/>
          <w:lang w:val="en-GB"/>
        </w:rPr>
      </w:pPr>
    </w:p>
    <w:p w14:paraId="105573CC" w14:textId="1C6CBDC2" w:rsidR="00393DDB" w:rsidRPr="00A91A09" w:rsidRDefault="00393DDB" w:rsidP="007E14F9">
      <w:pPr>
        <w:spacing w:after="0" w:line="240" w:lineRule="auto"/>
        <w:jc w:val="both"/>
        <w:rPr>
          <w:rFonts w:cstheme="minorHAnsi"/>
          <w:b/>
          <w:sz w:val="24"/>
          <w:szCs w:val="24"/>
          <w:lang w:val="en-GB"/>
        </w:rPr>
      </w:pPr>
      <w:r w:rsidRPr="00A91A09">
        <w:rPr>
          <w:rFonts w:cstheme="minorHAnsi"/>
          <w:b/>
          <w:sz w:val="24"/>
          <w:lang w:val="en-GB" w:bidi="en-GB"/>
        </w:rPr>
        <w:t xml:space="preserve">The audit found that all the beneficiaries had met the conditions for obtaining funds from the </w:t>
      </w:r>
      <w:r w:rsidR="004D23C2">
        <w:rPr>
          <w:rFonts w:cstheme="minorHAnsi"/>
          <w:b/>
          <w:sz w:val="24"/>
          <w:lang w:val="en-GB" w:bidi="en-GB"/>
        </w:rPr>
        <w:t>SFDI</w:t>
      </w:r>
      <w:r w:rsidRPr="00A91A09">
        <w:rPr>
          <w:rFonts w:cstheme="minorHAnsi"/>
          <w:b/>
          <w:sz w:val="24"/>
          <w:lang w:val="en-GB" w:bidi="en-GB"/>
        </w:rPr>
        <w:t>. All the projects audited were approved by the Council of the respective region and included in the schedules of actions approved by the CC MT.</w:t>
      </w:r>
    </w:p>
    <w:p w14:paraId="39481F05" w14:textId="77777777" w:rsidR="008376EB" w:rsidRPr="00A91A09" w:rsidRDefault="008376EB" w:rsidP="007E14F9">
      <w:pPr>
        <w:spacing w:after="0" w:line="240" w:lineRule="auto"/>
        <w:jc w:val="both"/>
        <w:rPr>
          <w:rFonts w:cstheme="minorHAnsi"/>
          <w:b/>
          <w:sz w:val="24"/>
          <w:szCs w:val="24"/>
          <w:lang w:val="en-GB"/>
        </w:rPr>
      </w:pPr>
    </w:p>
    <w:p w14:paraId="1EDAC85A" w14:textId="4CE38601"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 xml:space="preserve">The schedule of actions, which also served as a subsidy application, included, among other things, a brief description of the action, including the economic justification for the implementation of the action and a declaration of compliance with the 3E principles when selecting the action to be implemented. The objective of the projects, resulting from the description in the above-mentioned schedule of actions, was for all the selected projects to repair the bad state or state of disrepair of class II or class III roads or bridges on those roads. Although the </w:t>
      </w:r>
      <w:r w:rsidR="004D23C2">
        <w:rPr>
          <w:rFonts w:cstheme="minorHAnsi"/>
          <w:sz w:val="24"/>
          <w:lang w:val="en-GB" w:bidi="en-GB"/>
        </w:rPr>
        <w:t>SFDI</w:t>
      </w:r>
      <w:r w:rsidRPr="00A91A09">
        <w:rPr>
          <w:rFonts w:cstheme="minorHAnsi"/>
          <w:sz w:val="24"/>
          <w:lang w:val="en-GB" w:bidi="en-GB"/>
        </w:rPr>
        <w:t xml:space="preserve"> Rules did not require that the schedule of actions contain the exact objectives (outcomes) of the project and the criteria for assessing their achievement, the beneficiaries formulated objectives, i.e. action descriptions clearly and the objectives included a measurable indicator, i.e. the length of the section to be repaired. The sections were clearly defined by marking and stationing the relevant road.</w:t>
      </w:r>
    </w:p>
    <w:p w14:paraId="4A44EDC0" w14:textId="77777777" w:rsidR="008376EB" w:rsidRPr="00A91A09" w:rsidRDefault="008376EB" w:rsidP="007E14F9">
      <w:pPr>
        <w:spacing w:after="0" w:line="240" w:lineRule="auto"/>
        <w:jc w:val="both"/>
        <w:rPr>
          <w:rFonts w:cstheme="minorHAnsi"/>
          <w:sz w:val="24"/>
          <w:szCs w:val="24"/>
          <w:lang w:val="en-GB"/>
        </w:rPr>
      </w:pPr>
    </w:p>
    <w:p w14:paraId="5161BC69" w14:textId="04D18781" w:rsidR="00393DDB" w:rsidRPr="00A91A09" w:rsidRDefault="00393DDB" w:rsidP="007E14F9">
      <w:pPr>
        <w:spacing w:after="0" w:line="240" w:lineRule="auto"/>
        <w:jc w:val="both"/>
        <w:rPr>
          <w:rFonts w:cstheme="minorHAnsi"/>
          <w:b/>
          <w:sz w:val="24"/>
          <w:szCs w:val="24"/>
          <w:lang w:val="en-GB"/>
        </w:rPr>
      </w:pPr>
      <w:r w:rsidRPr="00A91A09">
        <w:rPr>
          <w:rFonts w:cstheme="minorHAnsi"/>
          <w:b/>
          <w:sz w:val="24"/>
          <w:lang w:val="en-GB" w:bidi="en-GB"/>
        </w:rPr>
        <w:t xml:space="preserve">Applications for funding from the </w:t>
      </w:r>
      <w:r w:rsidR="004D23C2">
        <w:rPr>
          <w:rFonts w:cstheme="minorHAnsi"/>
          <w:b/>
          <w:sz w:val="24"/>
          <w:lang w:val="en-GB" w:bidi="en-GB"/>
        </w:rPr>
        <w:t>SFDI</w:t>
      </w:r>
      <w:r w:rsidRPr="00A91A09">
        <w:rPr>
          <w:rFonts w:cstheme="minorHAnsi"/>
          <w:b/>
          <w:sz w:val="24"/>
          <w:lang w:val="en-GB" w:bidi="en-GB"/>
        </w:rPr>
        <w:t xml:space="preserve"> budget, i.e. applications to approve actions to the CC MT </w:t>
      </w:r>
      <w:r w:rsidRPr="00A91A09">
        <w:rPr>
          <w:rFonts w:cstheme="minorHAnsi"/>
          <w:sz w:val="24"/>
          <w:lang w:val="en-GB" w:bidi="en-GB"/>
        </w:rPr>
        <w:t>(schedule of events)</w:t>
      </w:r>
      <w:r w:rsidRPr="00A91A09">
        <w:rPr>
          <w:rFonts w:cstheme="minorHAnsi"/>
          <w:b/>
          <w:sz w:val="24"/>
          <w:lang w:val="en-GB" w:bidi="en-GB"/>
        </w:rPr>
        <w:t xml:space="preserve"> including their updates, included all the elements required by the </w:t>
      </w:r>
      <w:r w:rsidR="004D23C2">
        <w:rPr>
          <w:rFonts w:cstheme="minorHAnsi"/>
          <w:b/>
          <w:sz w:val="24"/>
          <w:lang w:val="en-GB" w:bidi="en-GB"/>
        </w:rPr>
        <w:t>SFDI</w:t>
      </w:r>
      <w:r w:rsidRPr="00A91A09">
        <w:rPr>
          <w:rFonts w:cstheme="minorHAnsi"/>
          <w:b/>
          <w:sz w:val="24"/>
          <w:lang w:val="en-GB" w:bidi="en-GB"/>
        </w:rPr>
        <w:t xml:space="preserve"> methodological documents.</w:t>
      </w:r>
    </w:p>
    <w:p w14:paraId="2D85E3EF" w14:textId="77777777" w:rsidR="008376EB" w:rsidRPr="00A91A09" w:rsidRDefault="008376EB" w:rsidP="007E14F9">
      <w:pPr>
        <w:spacing w:after="0" w:line="240" w:lineRule="auto"/>
        <w:jc w:val="both"/>
        <w:rPr>
          <w:rFonts w:cstheme="minorHAnsi"/>
          <w:b/>
          <w:sz w:val="24"/>
          <w:szCs w:val="24"/>
          <w:lang w:val="en-GB"/>
        </w:rPr>
      </w:pPr>
    </w:p>
    <w:p w14:paraId="04860EDC" w14:textId="2089F6A0" w:rsidR="00393DDB" w:rsidRPr="00A91A09" w:rsidRDefault="00393DDB" w:rsidP="007E14F9">
      <w:pPr>
        <w:spacing w:after="0" w:line="240" w:lineRule="auto"/>
        <w:jc w:val="both"/>
        <w:rPr>
          <w:rFonts w:cstheme="minorHAnsi"/>
          <w:sz w:val="24"/>
          <w:szCs w:val="24"/>
          <w:lang w:val="en-GB"/>
        </w:rPr>
      </w:pPr>
      <w:r w:rsidRPr="00A91A09">
        <w:rPr>
          <w:rFonts w:cstheme="minorHAnsi"/>
          <w:b/>
          <w:sz w:val="24"/>
          <w:lang w:val="en-GB" w:bidi="en-GB"/>
        </w:rPr>
        <w:lastRenderedPageBreak/>
        <w:t xml:space="preserve">Subsidy agreements concluded for the years 2015 and 2016 were concluded with the beneficiaries in accordance with the schedules of actions, i.e. applications submitted to the </w:t>
      </w:r>
      <w:r w:rsidR="004D23C2">
        <w:rPr>
          <w:rFonts w:cstheme="minorHAnsi"/>
          <w:b/>
          <w:sz w:val="24"/>
          <w:lang w:val="en-GB" w:bidi="en-GB"/>
        </w:rPr>
        <w:t>SFDI</w:t>
      </w:r>
      <w:r w:rsidRPr="00A91A09">
        <w:rPr>
          <w:rFonts w:cstheme="minorHAnsi"/>
          <w:b/>
          <w:sz w:val="24"/>
          <w:lang w:val="en-GB" w:bidi="en-GB"/>
        </w:rPr>
        <w:t xml:space="preserve">. Funds from the </w:t>
      </w:r>
      <w:r w:rsidR="004D23C2">
        <w:rPr>
          <w:rFonts w:cstheme="minorHAnsi"/>
          <w:b/>
          <w:sz w:val="24"/>
          <w:lang w:val="en-GB" w:bidi="en-GB"/>
        </w:rPr>
        <w:t>SFDI</w:t>
      </w:r>
      <w:r w:rsidRPr="00A91A09">
        <w:rPr>
          <w:rFonts w:cstheme="minorHAnsi"/>
          <w:b/>
          <w:sz w:val="24"/>
          <w:lang w:val="en-GB" w:bidi="en-GB"/>
        </w:rPr>
        <w:t xml:space="preserve"> budget were designated to finance the actions listed in the schedules of actions approved by the CC MT.</w:t>
      </w:r>
    </w:p>
    <w:p w14:paraId="25F4C8E4" w14:textId="77777777" w:rsidR="008376EB" w:rsidRPr="00A91A09" w:rsidRDefault="008376EB" w:rsidP="007E14F9">
      <w:pPr>
        <w:spacing w:after="0" w:line="240" w:lineRule="auto"/>
        <w:jc w:val="both"/>
        <w:rPr>
          <w:rFonts w:cstheme="minorHAnsi"/>
          <w:sz w:val="24"/>
          <w:szCs w:val="24"/>
          <w:lang w:val="en-GB"/>
        </w:rPr>
      </w:pPr>
    </w:p>
    <w:p w14:paraId="3ACBAACB" w14:textId="13E8AB84" w:rsidR="00393DDB" w:rsidRPr="00A91A09" w:rsidRDefault="00393DDB" w:rsidP="007E14F9">
      <w:pPr>
        <w:spacing w:after="0" w:line="240" w:lineRule="auto"/>
        <w:jc w:val="both"/>
        <w:rPr>
          <w:rFonts w:cstheme="minorHAnsi"/>
          <w:b/>
          <w:sz w:val="24"/>
          <w:szCs w:val="24"/>
          <w:lang w:val="en-GB" w:eastAsia="cs-CZ"/>
        </w:rPr>
      </w:pPr>
      <w:r w:rsidRPr="00A91A09">
        <w:rPr>
          <w:rFonts w:cstheme="minorHAnsi"/>
          <w:b/>
          <w:sz w:val="24"/>
          <w:lang w:val="en-GB" w:bidi="en-GB"/>
        </w:rPr>
        <w:t>2.2b Projects co-financed by the EU</w:t>
      </w:r>
    </w:p>
    <w:p w14:paraId="32641107" w14:textId="77777777" w:rsidR="008376EB" w:rsidRPr="00A91A09" w:rsidRDefault="008376EB" w:rsidP="007E14F9">
      <w:pPr>
        <w:spacing w:after="0" w:line="240" w:lineRule="auto"/>
        <w:jc w:val="both"/>
        <w:rPr>
          <w:rFonts w:cstheme="minorHAnsi"/>
          <w:b/>
          <w:sz w:val="24"/>
          <w:szCs w:val="24"/>
          <w:lang w:val="en-GB" w:eastAsia="cs-CZ"/>
        </w:rPr>
      </w:pPr>
    </w:p>
    <w:p w14:paraId="43EE06DE" w14:textId="00D1F224"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 xml:space="preserve">The audit of the SAO reviewed a total of 16 projects, auditing the compliance of the procedure of the </w:t>
      </w:r>
      <w:r w:rsidR="00C566C3">
        <w:rPr>
          <w:rFonts w:cstheme="minorHAnsi"/>
          <w:sz w:val="24"/>
          <w:lang w:val="en-GB" w:bidi="en-GB"/>
        </w:rPr>
        <w:t>auditees</w:t>
      </w:r>
      <w:r w:rsidRPr="00A91A09">
        <w:rPr>
          <w:rFonts w:cstheme="minorHAnsi"/>
          <w:sz w:val="24"/>
          <w:lang w:val="en-GB" w:bidi="en-GB"/>
        </w:rPr>
        <w:t xml:space="preserve"> in their preparation with the conditions for granting subsidies from the relevant ROP as provided in the calls, instructions for applicants and beneficiaries, methodological guidelines and other ROP documents.</w:t>
      </w:r>
    </w:p>
    <w:p w14:paraId="1D8A5DE0" w14:textId="77777777" w:rsidR="008376EB" w:rsidRPr="00A91A09" w:rsidRDefault="008376EB" w:rsidP="007E14F9">
      <w:pPr>
        <w:spacing w:after="0" w:line="240" w:lineRule="auto"/>
        <w:jc w:val="both"/>
        <w:rPr>
          <w:rFonts w:cstheme="minorHAnsi"/>
          <w:sz w:val="24"/>
          <w:szCs w:val="24"/>
          <w:lang w:val="en-GB"/>
        </w:rPr>
      </w:pPr>
    </w:p>
    <w:p w14:paraId="60400B14" w14:textId="77777777" w:rsidR="00393DDB" w:rsidRPr="00A91A09" w:rsidRDefault="00393DDB" w:rsidP="007E14F9">
      <w:pPr>
        <w:spacing w:after="0" w:line="240" w:lineRule="auto"/>
        <w:jc w:val="both"/>
        <w:rPr>
          <w:rFonts w:cstheme="minorHAnsi"/>
          <w:b/>
          <w:sz w:val="24"/>
          <w:szCs w:val="24"/>
          <w:lang w:val="en-GB"/>
        </w:rPr>
      </w:pPr>
      <w:r w:rsidRPr="00A91A09">
        <w:rPr>
          <w:rFonts w:cstheme="minorHAnsi"/>
          <w:b/>
          <w:sz w:val="24"/>
          <w:lang w:val="en-GB" w:bidi="en-GB"/>
        </w:rPr>
        <w:t>The audit found that all the beneficiaries had met the conditions for obtaining funds from the ROP.</w:t>
      </w:r>
    </w:p>
    <w:p w14:paraId="13F5DAA8" w14:textId="77777777" w:rsidR="00895164" w:rsidRPr="00A91A09" w:rsidRDefault="00895164" w:rsidP="007E14F9">
      <w:pPr>
        <w:spacing w:after="0" w:line="240" w:lineRule="auto"/>
        <w:jc w:val="both"/>
        <w:rPr>
          <w:rFonts w:cstheme="minorHAnsi"/>
          <w:sz w:val="24"/>
          <w:szCs w:val="24"/>
          <w:lang w:val="en-GB"/>
        </w:rPr>
      </w:pPr>
    </w:p>
    <w:p w14:paraId="59D21115" w14:textId="77777777" w:rsidR="0090171D"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 xml:space="preserve">The beneficiaries submitted applications for subsidies in the framework of the announced calls under the respective ROP in accordance with the RC regulations. </w:t>
      </w:r>
    </w:p>
    <w:p w14:paraId="6AE6395A" w14:textId="77777777" w:rsidR="00895164" w:rsidRPr="00A91A09" w:rsidRDefault="00895164" w:rsidP="007E14F9">
      <w:pPr>
        <w:spacing w:after="0" w:line="240" w:lineRule="auto"/>
        <w:jc w:val="both"/>
        <w:rPr>
          <w:rFonts w:cstheme="minorHAnsi"/>
          <w:sz w:val="24"/>
          <w:szCs w:val="24"/>
          <w:lang w:val="en-GB"/>
        </w:rPr>
      </w:pPr>
    </w:p>
    <w:p w14:paraId="1D333306" w14:textId="77777777" w:rsidR="00393DDB" w:rsidRPr="00A91A09" w:rsidRDefault="00393DDB" w:rsidP="007E14F9">
      <w:pPr>
        <w:spacing w:after="0" w:line="240" w:lineRule="auto"/>
        <w:jc w:val="both"/>
        <w:rPr>
          <w:rFonts w:cstheme="minorHAnsi"/>
          <w:sz w:val="24"/>
          <w:szCs w:val="24"/>
          <w:lang w:val="en-GB"/>
        </w:rPr>
      </w:pPr>
      <w:r w:rsidRPr="00A91A09">
        <w:rPr>
          <w:rFonts w:cstheme="minorHAnsi"/>
          <w:b/>
          <w:sz w:val="24"/>
          <w:lang w:val="en-GB" w:bidi="en-GB"/>
        </w:rPr>
        <w:t>It was verified by the SAO audit that the applications, i.e. the final drafts of the projects, had contained all the required elements in accordance with the RC rules.</w:t>
      </w:r>
    </w:p>
    <w:p w14:paraId="50393470" w14:textId="77777777" w:rsidR="00895164" w:rsidRPr="00A91A09" w:rsidRDefault="00895164" w:rsidP="007E14F9">
      <w:pPr>
        <w:spacing w:after="0" w:line="240" w:lineRule="auto"/>
        <w:jc w:val="both"/>
        <w:rPr>
          <w:rFonts w:cstheme="minorHAnsi"/>
          <w:color w:val="000000"/>
          <w:sz w:val="24"/>
          <w:szCs w:val="24"/>
          <w:lang w:val="en-GB"/>
        </w:rPr>
      </w:pPr>
    </w:p>
    <w:p w14:paraId="3D9D7C90" w14:textId="77777777" w:rsidR="00393DDB" w:rsidRPr="00A91A09" w:rsidRDefault="00393DDB" w:rsidP="007E14F9">
      <w:pPr>
        <w:spacing w:after="0" w:line="240" w:lineRule="auto"/>
        <w:jc w:val="both"/>
        <w:rPr>
          <w:rFonts w:cstheme="minorHAnsi"/>
          <w:bCs/>
          <w:iCs/>
          <w:sz w:val="24"/>
          <w:szCs w:val="24"/>
          <w:lang w:val="en-GB"/>
        </w:rPr>
      </w:pPr>
      <w:r w:rsidRPr="00A91A09">
        <w:rPr>
          <w:rFonts w:cstheme="minorHAnsi"/>
          <w:sz w:val="24"/>
          <w:lang w:val="en-GB" w:bidi="en-GB"/>
        </w:rPr>
        <w:t>The subsidy agreements corresponded to the applications for aid and included, among other things, the basic rules and conditions for the beneficiaries to ensure an economic, efficient and effective use of the aid.</w:t>
      </w:r>
    </w:p>
    <w:p w14:paraId="5DC06BEA" w14:textId="77777777" w:rsidR="00895164" w:rsidRPr="00A91A09" w:rsidRDefault="00895164" w:rsidP="007E14F9">
      <w:pPr>
        <w:spacing w:after="0" w:line="240" w:lineRule="auto"/>
        <w:jc w:val="both"/>
        <w:rPr>
          <w:rFonts w:cstheme="minorHAnsi"/>
          <w:sz w:val="24"/>
          <w:szCs w:val="24"/>
          <w:highlight w:val="yellow"/>
          <w:lang w:val="en-GB" w:eastAsia="cs-CZ"/>
        </w:rPr>
      </w:pPr>
    </w:p>
    <w:p w14:paraId="39F8D46A" w14:textId="37B11439"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The objectives of the projects were in all cases consistent with the objectives of the respective ROP, the priority axis and the area of support, and were duly justified.</w:t>
      </w:r>
    </w:p>
    <w:p w14:paraId="19F9A946" w14:textId="77777777" w:rsidR="00895164" w:rsidRPr="00A91A09" w:rsidRDefault="00895164" w:rsidP="007E14F9">
      <w:pPr>
        <w:spacing w:after="0" w:line="240" w:lineRule="auto"/>
        <w:jc w:val="both"/>
        <w:rPr>
          <w:rFonts w:cstheme="minorHAnsi"/>
          <w:sz w:val="24"/>
          <w:szCs w:val="24"/>
          <w:lang w:val="en-GB"/>
        </w:rPr>
      </w:pPr>
    </w:p>
    <w:p w14:paraId="19DF8FD7" w14:textId="2EAD4B91" w:rsidR="00393DDB" w:rsidRPr="00A91A09" w:rsidRDefault="00393DDB" w:rsidP="007E14F9">
      <w:pPr>
        <w:spacing w:after="0" w:line="240" w:lineRule="auto"/>
        <w:jc w:val="both"/>
        <w:rPr>
          <w:rFonts w:cstheme="minorHAnsi"/>
          <w:b/>
          <w:sz w:val="24"/>
          <w:szCs w:val="24"/>
          <w:lang w:val="en-GB"/>
        </w:rPr>
      </w:pPr>
      <w:r w:rsidRPr="00A91A09">
        <w:rPr>
          <w:rFonts w:cstheme="minorHAnsi"/>
          <w:b/>
          <w:sz w:val="24"/>
          <w:lang w:val="en-GB" w:bidi="en-GB"/>
        </w:rPr>
        <w:t xml:space="preserve">The SAO’s audit found that some beneficiaries had not quantified some of the project objectives to be measurable and to be able to evaluate all the real benefits of the projects, </w:t>
      </w:r>
      <w:r w:rsidRPr="00A91A09">
        <w:rPr>
          <w:rFonts w:cstheme="minorHAnsi"/>
          <w:sz w:val="24"/>
          <w:lang w:val="en-GB" w:bidi="en-GB"/>
        </w:rPr>
        <w:t>e.g.</w:t>
      </w:r>
      <w:r w:rsidRPr="00A91A09">
        <w:rPr>
          <w:rFonts w:cstheme="minorHAnsi"/>
          <w:b/>
          <w:sz w:val="24"/>
          <w:lang w:val="en-GB" w:bidi="en-GB"/>
        </w:rPr>
        <w:t>:</w:t>
      </w:r>
    </w:p>
    <w:p w14:paraId="309DE16E" w14:textId="77777777" w:rsidR="00393DDB" w:rsidRPr="00A91A09" w:rsidRDefault="00393DDB" w:rsidP="00BE44A0">
      <w:pPr>
        <w:numPr>
          <w:ilvl w:val="0"/>
          <w:numId w:val="28"/>
        </w:numPr>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The RMM of the Pilsen Region set objectives for the projects such as “</w:t>
      </w:r>
      <w:r w:rsidRPr="00A91A09">
        <w:rPr>
          <w:rFonts w:cstheme="minorHAnsi"/>
          <w:i/>
          <w:sz w:val="24"/>
          <w:lang w:val="en-GB" w:bidi="en-GB"/>
        </w:rPr>
        <w:t>increasing the quality of life of the inhabitants of the adjacent district”</w:t>
      </w:r>
      <w:r w:rsidRPr="00A91A09">
        <w:rPr>
          <w:rFonts w:cstheme="minorHAnsi"/>
          <w:sz w:val="24"/>
          <w:lang w:val="en-GB" w:bidi="en-GB"/>
        </w:rPr>
        <w:t>, “</w:t>
      </w:r>
      <w:r w:rsidRPr="00A91A09">
        <w:rPr>
          <w:rFonts w:cstheme="minorHAnsi"/>
          <w:i/>
          <w:sz w:val="24"/>
          <w:lang w:val="en-GB" w:bidi="en-GB"/>
        </w:rPr>
        <w:t>improving the quality of the environment in the area concerned”</w:t>
      </w:r>
      <w:r w:rsidRPr="00A91A09">
        <w:rPr>
          <w:rFonts w:cstheme="minorHAnsi"/>
          <w:sz w:val="24"/>
          <w:lang w:val="en-GB" w:bidi="en-GB"/>
        </w:rPr>
        <w:t>, “</w:t>
      </w:r>
      <w:r w:rsidRPr="00A91A09">
        <w:rPr>
          <w:rFonts w:cstheme="minorHAnsi"/>
          <w:i/>
          <w:sz w:val="24"/>
          <w:lang w:val="en-GB" w:bidi="en-GB"/>
        </w:rPr>
        <w:t>improving the throughput of roads used by transit traffic”</w:t>
      </w:r>
      <w:r w:rsidRPr="00A91A09">
        <w:rPr>
          <w:rFonts w:cstheme="minorHAnsi"/>
          <w:sz w:val="24"/>
          <w:lang w:val="en-GB" w:bidi="en-GB"/>
        </w:rPr>
        <w:t>, “</w:t>
      </w:r>
      <w:r w:rsidRPr="00A91A09">
        <w:rPr>
          <w:rFonts w:cstheme="minorHAnsi"/>
          <w:i/>
          <w:sz w:val="24"/>
          <w:lang w:val="en-GB" w:bidi="en-GB"/>
        </w:rPr>
        <w:t>higher quality of life of the inhabitants of adjacent municipalities”</w:t>
      </w:r>
      <w:r w:rsidRPr="00A91A09">
        <w:rPr>
          <w:rFonts w:cstheme="minorHAnsi"/>
          <w:sz w:val="24"/>
          <w:lang w:val="en-GB" w:bidi="en-GB"/>
        </w:rPr>
        <w:t>, “</w:t>
      </w:r>
      <w:r w:rsidRPr="00A91A09">
        <w:rPr>
          <w:rFonts w:cstheme="minorHAnsi"/>
          <w:i/>
          <w:sz w:val="24"/>
          <w:lang w:val="en-GB" w:bidi="en-GB"/>
        </w:rPr>
        <w:t>lower noise and emission loads”</w:t>
      </w:r>
      <w:r w:rsidRPr="00A91A09">
        <w:rPr>
          <w:rFonts w:cstheme="minorHAnsi"/>
          <w:sz w:val="24"/>
          <w:lang w:val="en-GB" w:bidi="en-GB"/>
        </w:rPr>
        <w:t>, “</w:t>
      </w:r>
      <w:r w:rsidRPr="00A91A09">
        <w:rPr>
          <w:rFonts w:cstheme="minorHAnsi"/>
          <w:i/>
          <w:sz w:val="24"/>
          <w:lang w:val="en-GB" w:bidi="en-GB"/>
        </w:rPr>
        <w:t xml:space="preserve">shortening travel time” </w:t>
      </w:r>
      <w:r w:rsidRPr="00A91A09">
        <w:rPr>
          <w:rFonts w:cstheme="minorHAnsi"/>
          <w:sz w:val="24"/>
          <w:lang w:val="en-GB" w:bidi="en-GB"/>
        </w:rPr>
        <w:t>or “</w:t>
      </w:r>
      <w:r w:rsidRPr="00A91A09">
        <w:rPr>
          <w:rFonts w:cstheme="minorHAnsi"/>
          <w:i/>
          <w:sz w:val="24"/>
          <w:lang w:val="en-GB" w:bidi="en-GB"/>
        </w:rPr>
        <w:t>improving the safety, fluency, dust-free traffic etc.”</w:t>
      </w:r>
      <w:r w:rsidRPr="00A91A09">
        <w:rPr>
          <w:rFonts w:cstheme="minorHAnsi"/>
          <w:sz w:val="24"/>
          <w:lang w:val="en-GB" w:bidi="en-GB"/>
        </w:rPr>
        <w:t>. For such specified objectives of the projects, the RMM of the Pilsen Region did not specify criteria for their evaluation.</w:t>
      </w:r>
    </w:p>
    <w:p w14:paraId="33DE06E3" w14:textId="23651FA6" w:rsidR="00393DDB" w:rsidRPr="00A91A09" w:rsidRDefault="00393DDB" w:rsidP="00BE44A0">
      <w:pPr>
        <w:numPr>
          <w:ilvl w:val="0"/>
          <w:numId w:val="28"/>
        </w:numPr>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The Pardubice Region set some objectives, for example “</w:t>
      </w:r>
      <w:r w:rsidRPr="00A91A09">
        <w:rPr>
          <w:rFonts w:cstheme="minorHAnsi"/>
          <w:i/>
          <w:sz w:val="24"/>
          <w:lang w:val="en-GB" w:bidi="en-GB"/>
        </w:rPr>
        <w:t>increasing comfort for locals and visitors”</w:t>
      </w:r>
      <w:r w:rsidRPr="00A91A09">
        <w:rPr>
          <w:rFonts w:cstheme="minorHAnsi"/>
          <w:sz w:val="24"/>
          <w:lang w:val="en-GB" w:bidi="en-GB"/>
        </w:rPr>
        <w:t>, “</w:t>
      </w:r>
      <w:r w:rsidRPr="00A91A09">
        <w:rPr>
          <w:rFonts w:cstheme="minorHAnsi"/>
          <w:i/>
          <w:sz w:val="24"/>
          <w:lang w:val="en-GB" w:bidi="en-GB"/>
        </w:rPr>
        <w:t>increasing the attractiveness of the area”</w:t>
      </w:r>
      <w:r w:rsidRPr="00A91A09">
        <w:rPr>
          <w:rFonts w:cstheme="minorHAnsi"/>
          <w:sz w:val="24"/>
          <w:lang w:val="en-GB" w:bidi="en-GB"/>
        </w:rPr>
        <w:t>, “</w:t>
      </w:r>
      <w:r w:rsidRPr="00A91A09">
        <w:rPr>
          <w:rFonts w:cstheme="minorHAnsi"/>
          <w:i/>
          <w:sz w:val="24"/>
          <w:lang w:val="en-GB" w:bidi="en-GB"/>
        </w:rPr>
        <w:t>reducing the negative effects of transport on the environment and the public health of the population”</w:t>
      </w:r>
      <w:r w:rsidRPr="00A91A09">
        <w:rPr>
          <w:rFonts w:cstheme="minorHAnsi"/>
          <w:sz w:val="24"/>
          <w:lang w:val="en-GB" w:bidi="en-GB"/>
        </w:rPr>
        <w:t>, generally without further specification, without measurable values, and qualitatively unpredictable. For the objective of “</w:t>
      </w:r>
      <w:r w:rsidRPr="00A91A09">
        <w:rPr>
          <w:rFonts w:cstheme="minorHAnsi"/>
          <w:i/>
          <w:sz w:val="24"/>
          <w:lang w:val="en-GB" w:bidi="en-GB"/>
        </w:rPr>
        <w:t>increasing traffic flow and thus reducing noise, dust and emissions from traffic”</w:t>
      </w:r>
      <w:r w:rsidRPr="00A91A09">
        <w:rPr>
          <w:rFonts w:cstheme="minorHAnsi"/>
          <w:sz w:val="24"/>
          <w:lang w:val="en-GB" w:bidi="en-GB"/>
        </w:rPr>
        <w:t xml:space="preserve">, the Pardubice Region did not set the initial value and the value it assumed to achieve through the project implementation. From the objectives thus set which did not include the criteria for assessing their achievement, the Pardubice Region could not </w:t>
      </w:r>
      <w:r w:rsidRPr="00A91A09">
        <w:rPr>
          <w:rFonts w:cstheme="minorHAnsi"/>
          <w:sz w:val="24"/>
          <w:lang w:val="en-GB" w:bidi="en-GB"/>
        </w:rPr>
        <w:lastRenderedPageBreak/>
        <w:t>assess the fulfilment of the project objectives/benefits that it had set in the subsidy application.</w:t>
      </w:r>
    </w:p>
    <w:p w14:paraId="67BB08B5" w14:textId="77777777" w:rsidR="00393DDB" w:rsidRPr="00A91A09" w:rsidRDefault="00393DDB" w:rsidP="00BE44A0">
      <w:pPr>
        <w:numPr>
          <w:ilvl w:val="0"/>
          <w:numId w:val="28"/>
        </w:numPr>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The Moravian-Silesian Region, for one project under the objective “</w:t>
      </w:r>
      <w:r w:rsidRPr="00A91A09">
        <w:rPr>
          <w:rFonts w:cstheme="minorHAnsi"/>
          <w:i/>
          <w:sz w:val="24"/>
          <w:lang w:val="en-GB" w:bidi="en-GB"/>
        </w:rPr>
        <w:t>reducing the emission and noise burden on the environment”</w:t>
      </w:r>
      <w:r w:rsidRPr="00A91A09">
        <w:rPr>
          <w:rFonts w:cstheme="minorHAnsi"/>
          <w:sz w:val="24"/>
          <w:lang w:val="en-GB" w:bidi="en-GB"/>
        </w:rPr>
        <w:t>, did not set any default values. For the other project objectives, the default values were set. The values for the individual objectives were not determined, the criterion for their evaluation was a simple change of the measured values, indicating an improvement of the default state. For the objective “</w:t>
      </w:r>
      <w:r w:rsidRPr="00A91A09">
        <w:rPr>
          <w:rFonts w:cstheme="minorHAnsi"/>
          <w:i/>
          <w:sz w:val="24"/>
          <w:lang w:val="en-GB" w:bidi="en-GB"/>
        </w:rPr>
        <w:t>creating conditions for economic development”</w:t>
      </w:r>
      <w:r w:rsidRPr="00A91A09">
        <w:rPr>
          <w:rFonts w:cstheme="minorHAnsi"/>
          <w:sz w:val="24"/>
          <w:lang w:val="en-GB" w:bidi="en-GB"/>
        </w:rPr>
        <w:t>, no measurable and comparable values were set. Similarly, for another project for the objective “</w:t>
      </w:r>
      <w:r w:rsidRPr="00A91A09">
        <w:rPr>
          <w:rFonts w:cstheme="minorHAnsi"/>
          <w:i/>
          <w:sz w:val="24"/>
          <w:lang w:val="en-GB" w:bidi="en-GB"/>
        </w:rPr>
        <w:t>reviving the regional economy and increasing the attractiveness of the region by implementing structural changes”</w:t>
      </w:r>
      <w:r w:rsidRPr="00A91A09">
        <w:rPr>
          <w:rFonts w:cstheme="minorHAnsi"/>
          <w:sz w:val="24"/>
          <w:lang w:val="en-GB" w:bidi="en-GB"/>
        </w:rPr>
        <w:t>, the Moravian-Silesian Region did not establish any measurable values of the default or target state.</w:t>
      </w:r>
    </w:p>
    <w:p w14:paraId="0D49E438" w14:textId="77777777" w:rsidR="00393DDB" w:rsidRPr="00A91A09" w:rsidRDefault="00393DDB" w:rsidP="00BE44A0">
      <w:pPr>
        <w:numPr>
          <w:ilvl w:val="0"/>
          <w:numId w:val="28"/>
        </w:numPr>
        <w:spacing w:after="0" w:line="240" w:lineRule="auto"/>
        <w:ind w:left="284" w:hanging="284"/>
        <w:jc w:val="both"/>
        <w:rPr>
          <w:rFonts w:eastAsia="Times New Roman" w:cstheme="minorHAnsi"/>
          <w:sz w:val="24"/>
          <w:szCs w:val="24"/>
          <w:lang w:val="en-GB" w:eastAsia="cs-CZ"/>
        </w:rPr>
      </w:pPr>
      <w:r w:rsidRPr="00A91A09">
        <w:rPr>
          <w:rFonts w:cstheme="minorHAnsi"/>
          <w:sz w:val="24"/>
          <w:lang w:val="en-GB" w:bidi="en-GB"/>
        </w:rPr>
        <w:t>The South Bohemian Region set, among other things, the objective of “</w:t>
      </w:r>
      <w:r w:rsidRPr="00A91A09">
        <w:rPr>
          <w:rFonts w:cstheme="minorHAnsi"/>
          <w:i/>
          <w:sz w:val="24"/>
          <w:lang w:val="en-GB" w:bidi="en-GB"/>
        </w:rPr>
        <w:t>reducing noise and emission loads”</w:t>
      </w:r>
      <w:r w:rsidRPr="00A91A09">
        <w:rPr>
          <w:rFonts w:cstheme="minorHAnsi"/>
          <w:sz w:val="24"/>
          <w:lang w:val="en-GB" w:bidi="en-GB"/>
        </w:rPr>
        <w:t>, with noise and emissions measurements not performed before or after the project implementation.</w:t>
      </w:r>
    </w:p>
    <w:p w14:paraId="66C4F15D" w14:textId="77777777" w:rsidR="00895164" w:rsidRPr="00A91A09" w:rsidRDefault="00895164" w:rsidP="007E14F9">
      <w:pPr>
        <w:spacing w:after="0" w:line="240" w:lineRule="auto"/>
        <w:rPr>
          <w:rFonts w:cstheme="minorHAnsi"/>
          <w:sz w:val="24"/>
          <w:szCs w:val="24"/>
          <w:lang w:val="en-GB"/>
        </w:rPr>
      </w:pPr>
    </w:p>
    <w:p w14:paraId="2C6C5F64" w14:textId="77777777" w:rsidR="00393DDB" w:rsidRPr="00A91A09" w:rsidRDefault="00393DDB" w:rsidP="00895164">
      <w:pPr>
        <w:keepNext/>
        <w:spacing w:after="0" w:line="240" w:lineRule="auto"/>
        <w:rPr>
          <w:rFonts w:cstheme="minorHAnsi"/>
          <w:b/>
          <w:sz w:val="24"/>
          <w:szCs w:val="24"/>
          <w:lang w:val="en-GB"/>
        </w:rPr>
      </w:pPr>
      <w:r w:rsidRPr="00A91A09">
        <w:rPr>
          <w:rFonts w:cstheme="minorHAnsi"/>
          <w:b/>
          <w:sz w:val="24"/>
          <w:lang w:val="en-GB" w:bidi="en-GB"/>
        </w:rPr>
        <w:t>2.3 Implementation of projects</w:t>
      </w:r>
    </w:p>
    <w:p w14:paraId="54945AAA" w14:textId="77777777" w:rsidR="00831687" w:rsidRPr="00A91A09" w:rsidRDefault="00831687" w:rsidP="00895164">
      <w:pPr>
        <w:keepNext/>
        <w:spacing w:after="0" w:line="240" w:lineRule="auto"/>
        <w:jc w:val="both"/>
        <w:rPr>
          <w:rFonts w:cstheme="minorHAnsi"/>
          <w:color w:val="000000"/>
          <w:sz w:val="24"/>
          <w:szCs w:val="24"/>
          <w:lang w:val="en-GB"/>
        </w:rPr>
      </w:pPr>
    </w:p>
    <w:p w14:paraId="5A6715B5" w14:textId="221B9F1C" w:rsidR="00393DDB" w:rsidRPr="00A91A09" w:rsidRDefault="00393DDB" w:rsidP="00895164">
      <w:pPr>
        <w:keepNext/>
        <w:spacing w:after="0" w:line="240" w:lineRule="auto"/>
        <w:jc w:val="both"/>
        <w:rPr>
          <w:rFonts w:cstheme="minorHAnsi"/>
          <w:color w:val="000000"/>
          <w:sz w:val="24"/>
          <w:szCs w:val="24"/>
          <w:lang w:val="en-GB"/>
        </w:rPr>
      </w:pPr>
      <w:r w:rsidRPr="00A91A09">
        <w:rPr>
          <w:rFonts w:cstheme="minorHAnsi"/>
          <w:sz w:val="24"/>
          <w:lang w:val="en-GB" w:bidi="en-GB"/>
        </w:rPr>
        <w:t>The audit of the SAO focused on the public procurement procedure of the beneficiaries when searching for contractors. The audit verified, in particular, the determination of the relevant type of public contract and follow-up procedures pursuant to Act No. 137/2006 Coll., or according to methodological procedures and internal regulations.</w:t>
      </w:r>
    </w:p>
    <w:p w14:paraId="3FB89473" w14:textId="77777777" w:rsidR="00895164" w:rsidRPr="00A91A09" w:rsidRDefault="00895164" w:rsidP="007E14F9">
      <w:pPr>
        <w:spacing w:after="0" w:line="240" w:lineRule="auto"/>
        <w:jc w:val="both"/>
        <w:rPr>
          <w:rFonts w:cstheme="minorHAnsi"/>
          <w:color w:val="000000"/>
          <w:sz w:val="24"/>
          <w:szCs w:val="24"/>
          <w:lang w:val="en-GB"/>
        </w:rPr>
      </w:pPr>
    </w:p>
    <w:p w14:paraId="2723D57F" w14:textId="77777777" w:rsidR="00393DDB" w:rsidRPr="00A91A09" w:rsidRDefault="00393DDB" w:rsidP="007E14F9">
      <w:pPr>
        <w:spacing w:after="0" w:line="240" w:lineRule="auto"/>
        <w:jc w:val="both"/>
        <w:rPr>
          <w:rFonts w:cstheme="minorHAnsi"/>
          <w:color w:val="000000"/>
          <w:sz w:val="24"/>
          <w:szCs w:val="24"/>
          <w:lang w:val="en-GB"/>
        </w:rPr>
      </w:pPr>
      <w:r w:rsidRPr="00A91A09">
        <w:rPr>
          <w:rFonts w:cstheme="minorHAnsi"/>
          <w:sz w:val="24"/>
          <w:lang w:val="en-GB" w:bidi="en-GB"/>
        </w:rPr>
        <w:t>The SAO further audited the implementation of the projects, the procedure in accordance with the legal regulations, the methodological guidelines and the contractual terms and conditions.</w:t>
      </w:r>
    </w:p>
    <w:p w14:paraId="24C23B2F" w14:textId="77777777" w:rsidR="00895164" w:rsidRPr="00A91A09" w:rsidRDefault="00895164" w:rsidP="007E14F9">
      <w:pPr>
        <w:spacing w:after="0" w:line="240" w:lineRule="auto"/>
        <w:jc w:val="both"/>
        <w:rPr>
          <w:rFonts w:cstheme="minorHAnsi"/>
          <w:color w:val="000000"/>
          <w:sz w:val="24"/>
          <w:szCs w:val="24"/>
          <w:lang w:val="en-GB"/>
        </w:rPr>
      </w:pPr>
    </w:p>
    <w:p w14:paraId="4A654FF1" w14:textId="53A8E90B" w:rsidR="00393DDB" w:rsidRPr="00A91A09" w:rsidRDefault="00393DDB" w:rsidP="007E14F9">
      <w:pPr>
        <w:spacing w:after="0" w:line="240" w:lineRule="auto"/>
        <w:jc w:val="both"/>
        <w:rPr>
          <w:rFonts w:cstheme="minorHAnsi"/>
          <w:b/>
          <w:color w:val="000000"/>
          <w:sz w:val="24"/>
          <w:szCs w:val="24"/>
          <w:lang w:val="en-GB"/>
        </w:rPr>
      </w:pPr>
      <w:r w:rsidRPr="00A91A09">
        <w:rPr>
          <w:rFonts w:cstheme="minorHAnsi"/>
          <w:b/>
          <w:sz w:val="24"/>
          <w:lang w:val="en-GB" w:bidi="en-GB"/>
        </w:rPr>
        <w:t xml:space="preserve">The SAO audit verified that, in all the audited cases, the </w:t>
      </w:r>
      <w:r w:rsidR="00C566C3">
        <w:rPr>
          <w:rFonts w:cstheme="minorHAnsi"/>
          <w:b/>
          <w:sz w:val="24"/>
          <w:lang w:val="en-GB" w:bidi="en-GB"/>
        </w:rPr>
        <w:t>auditees</w:t>
      </w:r>
      <w:r w:rsidRPr="00A91A09">
        <w:rPr>
          <w:rFonts w:cstheme="minorHAnsi"/>
          <w:b/>
          <w:sz w:val="24"/>
          <w:lang w:val="en-GB" w:bidi="en-GB"/>
        </w:rPr>
        <w:t xml:space="preserve"> had identified the correct procurement procedure with regard to the estimated value of the contract.</w:t>
      </w:r>
    </w:p>
    <w:p w14:paraId="2BB8B089" w14:textId="77777777" w:rsidR="00895164" w:rsidRPr="00A91A09" w:rsidRDefault="00895164" w:rsidP="007E14F9">
      <w:pPr>
        <w:spacing w:after="0" w:line="240" w:lineRule="auto"/>
        <w:jc w:val="both"/>
        <w:rPr>
          <w:rFonts w:cstheme="minorHAnsi"/>
          <w:b/>
          <w:color w:val="000000"/>
          <w:sz w:val="24"/>
          <w:szCs w:val="24"/>
          <w:lang w:val="en-GB"/>
        </w:rPr>
      </w:pPr>
    </w:p>
    <w:p w14:paraId="67594565" w14:textId="4FCB3481" w:rsidR="00393DDB" w:rsidRPr="00A91A09" w:rsidRDefault="00393DDB" w:rsidP="007E14F9">
      <w:pPr>
        <w:spacing w:after="0" w:line="240" w:lineRule="auto"/>
        <w:jc w:val="both"/>
        <w:rPr>
          <w:rFonts w:cstheme="minorHAnsi"/>
          <w:color w:val="000000"/>
          <w:sz w:val="24"/>
          <w:szCs w:val="24"/>
          <w:lang w:val="en-GB"/>
        </w:rPr>
      </w:pPr>
      <w:r w:rsidRPr="00A91A09">
        <w:rPr>
          <w:rFonts w:cstheme="minorHAnsi"/>
          <w:sz w:val="24"/>
          <w:lang w:val="en-GB" w:bidi="en-GB"/>
        </w:rPr>
        <w:t xml:space="preserve">The SAO audit verified that, except in one case, the </w:t>
      </w:r>
      <w:r w:rsidR="00C566C3">
        <w:rPr>
          <w:rFonts w:cstheme="minorHAnsi"/>
          <w:sz w:val="24"/>
          <w:lang w:val="en-GB" w:bidi="en-GB"/>
        </w:rPr>
        <w:t>auditees</w:t>
      </w:r>
      <w:r w:rsidRPr="00A91A09">
        <w:rPr>
          <w:rFonts w:cstheme="minorHAnsi"/>
          <w:sz w:val="24"/>
          <w:lang w:val="en-GB" w:bidi="en-GB"/>
        </w:rPr>
        <w:t xml:space="preserve"> had published justification of the public contracts within the meaning of Section 156 of the Public Procurement Act, stating the reasons for the selection of the contracts for execution, the justification of the effectiveness of the contracts and other information within the meaning of the aforesaid provisions of the Public Procurement Act.</w:t>
      </w:r>
    </w:p>
    <w:p w14:paraId="66C8146C" w14:textId="77777777" w:rsidR="00895164" w:rsidRPr="00A91A09" w:rsidRDefault="00895164" w:rsidP="007E14F9">
      <w:pPr>
        <w:spacing w:after="0" w:line="240" w:lineRule="auto"/>
        <w:jc w:val="both"/>
        <w:rPr>
          <w:rFonts w:cstheme="minorHAnsi"/>
          <w:color w:val="000000"/>
          <w:sz w:val="24"/>
          <w:szCs w:val="24"/>
          <w:lang w:val="en-GB"/>
        </w:rPr>
      </w:pPr>
    </w:p>
    <w:p w14:paraId="24C4602F" w14:textId="33772241" w:rsidR="00393DDB" w:rsidRPr="00A91A09" w:rsidRDefault="00393DDB" w:rsidP="007E14F9">
      <w:pPr>
        <w:spacing w:after="0" w:line="240" w:lineRule="auto"/>
        <w:jc w:val="both"/>
        <w:rPr>
          <w:rFonts w:cstheme="minorHAnsi"/>
          <w:b/>
          <w:color w:val="000000"/>
          <w:sz w:val="24"/>
          <w:szCs w:val="24"/>
          <w:lang w:val="en-GB"/>
        </w:rPr>
      </w:pPr>
      <w:r w:rsidRPr="00A91A09">
        <w:rPr>
          <w:rFonts w:cstheme="minorHAnsi"/>
          <w:b/>
          <w:sz w:val="24"/>
          <w:lang w:val="en-GB" w:bidi="en-GB"/>
        </w:rPr>
        <w:t xml:space="preserve">The SAO audit also verified that the </w:t>
      </w:r>
      <w:r w:rsidR="00C566C3">
        <w:rPr>
          <w:rFonts w:cstheme="minorHAnsi"/>
          <w:b/>
          <w:sz w:val="24"/>
          <w:lang w:val="en-GB" w:bidi="en-GB"/>
        </w:rPr>
        <w:t>auditees</w:t>
      </w:r>
      <w:r w:rsidRPr="00A91A09">
        <w:rPr>
          <w:rFonts w:cstheme="minorHAnsi"/>
          <w:b/>
          <w:sz w:val="24"/>
          <w:lang w:val="en-GB" w:bidi="en-GB"/>
        </w:rPr>
        <w:t xml:space="preserve"> had drawn up tender documentation for all the public contracts under review, the content of which had complied with the requirements of Section 44 of the Public Procurement Act.</w:t>
      </w:r>
    </w:p>
    <w:p w14:paraId="1CAAA299" w14:textId="77777777" w:rsidR="00895164" w:rsidRPr="00A91A09" w:rsidRDefault="00895164" w:rsidP="007E14F9">
      <w:pPr>
        <w:spacing w:after="0" w:line="240" w:lineRule="auto"/>
        <w:jc w:val="both"/>
        <w:rPr>
          <w:rFonts w:cstheme="minorHAnsi"/>
          <w:color w:val="000000"/>
          <w:sz w:val="24"/>
          <w:szCs w:val="24"/>
          <w:lang w:val="en-GB"/>
        </w:rPr>
      </w:pPr>
    </w:p>
    <w:p w14:paraId="592C91E9" w14:textId="77777777" w:rsidR="00393DDB" w:rsidRPr="00A91A09" w:rsidRDefault="00393DDB" w:rsidP="007E14F9">
      <w:pPr>
        <w:spacing w:after="0" w:line="240" w:lineRule="auto"/>
        <w:jc w:val="both"/>
        <w:rPr>
          <w:rFonts w:cstheme="minorHAnsi"/>
          <w:color w:val="000000"/>
          <w:sz w:val="24"/>
          <w:szCs w:val="24"/>
          <w:lang w:val="en-GB"/>
        </w:rPr>
      </w:pPr>
      <w:r w:rsidRPr="00A91A09">
        <w:rPr>
          <w:rFonts w:cstheme="minorHAnsi"/>
          <w:sz w:val="24"/>
          <w:lang w:val="en-GB" w:bidi="en-GB"/>
        </w:rPr>
        <w:t>In one case (RMMPR), due to a mistake of the designer, the tender documentation included an incorrect report of measurements, which caused the need for additional work and an increase in the contract price by 25 %.</w:t>
      </w:r>
    </w:p>
    <w:p w14:paraId="1DE678AE" w14:textId="77777777" w:rsidR="00895164" w:rsidRPr="00A91A09" w:rsidRDefault="00895164" w:rsidP="007E14F9">
      <w:pPr>
        <w:spacing w:after="0" w:line="240" w:lineRule="auto"/>
        <w:jc w:val="both"/>
        <w:rPr>
          <w:rFonts w:cstheme="minorHAnsi"/>
          <w:color w:val="000000"/>
          <w:sz w:val="24"/>
          <w:szCs w:val="24"/>
          <w:lang w:val="en-GB"/>
        </w:rPr>
      </w:pPr>
    </w:p>
    <w:p w14:paraId="2DB0674E" w14:textId="77777777" w:rsidR="00393DDB" w:rsidRPr="00A91A09" w:rsidRDefault="00393DDB" w:rsidP="007E14F9">
      <w:pPr>
        <w:spacing w:after="0" w:line="240" w:lineRule="auto"/>
        <w:jc w:val="both"/>
        <w:rPr>
          <w:rFonts w:cstheme="minorHAnsi"/>
          <w:color w:val="000000"/>
          <w:sz w:val="24"/>
          <w:szCs w:val="24"/>
          <w:lang w:val="en-GB"/>
        </w:rPr>
      </w:pPr>
      <w:r w:rsidRPr="00A91A09">
        <w:rPr>
          <w:rFonts w:cstheme="minorHAnsi"/>
          <w:sz w:val="24"/>
          <w:lang w:val="en-GB" w:bidi="en-GB"/>
        </w:rPr>
        <w:t>In the case of small-scale public contracts, the tender documentation was sufficient for the tenderer to prepare a bid.</w:t>
      </w:r>
    </w:p>
    <w:p w14:paraId="6377E8BC" w14:textId="77777777" w:rsidR="00895164" w:rsidRPr="00A91A09" w:rsidRDefault="00895164" w:rsidP="007E14F9">
      <w:pPr>
        <w:spacing w:after="0" w:line="240" w:lineRule="auto"/>
        <w:jc w:val="both"/>
        <w:rPr>
          <w:rFonts w:cstheme="minorHAnsi"/>
          <w:color w:val="000000"/>
          <w:sz w:val="24"/>
          <w:szCs w:val="24"/>
          <w:lang w:val="en-GB"/>
        </w:rPr>
      </w:pPr>
    </w:p>
    <w:p w14:paraId="0A28667E" w14:textId="07104470" w:rsidR="00393DDB" w:rsidRPr="00A91A09" w:rsidRDefault="00393DDB" w:rsidP="007E14F9">
      <w:pPr>
        <w:spacing w:after="0" w:line="240" w:lineRule="auto"/>
        <w:jc w:val="both"/>
        <w:rPr>
          <w:rFonts w:cstheme="minorHAnsi"/>
          <w:color w:val="000000"/>
          <w:sz w:val="24"/>
          <w:szCs w:val="24"/>
          <w:lang w:val="en-GB"/>
        </w:rPr>
      </w:pPr>
      <w:r w:rsidRPr="00A91A09">
        <w:rPr>
          <w:rFonts w:cstheme="minorHAnsi"/>
          <w:sz w:val="24"/>
          <w:lang w:val="en-GB" w:bidi="en-GB"/>
        </w:rPr>
        <w:lastRenderedPageBreak/>
        <w:t xml:space="preserve">For most of the audited actions, the </w:t>
      </w:r>
      <w:r w:rsidR="00C566C3">
        <w:rPr>
          <w:rFonts w:cstheme="minorHAnsi"/>
          <w:sz w:val="24"/>
          <w:lang w:val="en-GB" w:bidi="en-GB"/>
        </w:rPr>
        <w:t>auditees</w:t>
      </w:r>
      <w:r w:rsidRPr="00A91A09">
        <w:rPr>
          <w:rFonts w:cstheme="minorHAnsi"/>
          <w:sz w:val="24"/>
          <w:lang w:val="en-GB" w:bidi="en-GB"/>
        </w:rPr>
        <w:t xml:space="preserve"> set a single evaluation criterion, namely the bid price.</w:t>
      </w:r>
    </w:p>
    <w:p w14:paraId="4AF09C5B" w14:textId="77777777" w:rsidR="00895164" w:rsidRPr="00A91A09" w:rsidRDefault="00895164" w:rsidP="007E14F9">
      <w:pPr>
        <w:spacing w:after="0" w:line="240" w:lineRule="auto"/>
        <w:jc w:val="both"/>
        <w:rPr>
          <w:rFonts w:cstheme="minorHAnsi"/>
          <w:color w:val="000000"/>
          <w:sz w:val="24"/>
          <w:szCs w:val="24"/>
          <w:lang w:val="en-GB"/>
        </w:rPr>
      </w:pPr>
    </w:p>
    <w:p w14:paraId="0BAB2BD3" w14:textId="77777777" w:rsidR="00393DDB" w:rsidRPr="00A91A09" w:rsidRDefault="00393DDB" w:rsidP="007E14F9">
      <w:pPr>
        <w:spacing w:after="0" w:line="240" w:lineRule="auto"/>
        <w:jc w:val="both"/>
        <w:rPr>
          <w:rFonts w:cstheme="minorHAnsi"/>
          <w:color w:val="000000"/>
          <w:sz w:val="24"/>
          <w:szCs w:val="24"/>
          <w:lang w:val="en-GB"/>
        </w:rPr>
      </w:pPr>
      <w:r w:rsidRPr="00A91A09">
        <w:rPr>
          <w:rFonts w:cstheme="minorHAnsi"/>
          <w:sz w:val="24"/>
          <w:lang w:val="en-GB" w:bidi="en-GB"/>
        </w:rPr>
        <w:t>The SAO audit reviewed the acts in the procurement procedures for all projects audited, including the contracting authority’s procedures in the case of changes in the scope of the public contracts.</w:t>
      </w:r>
    </w:p>
    <w:p w14:paraId="40BCEC2F" w14:textId="77777777" w:rsidR="00895164" w:rsidRPr="00A91A09" w:rsidRDefault="00895164" w:rsidP="007E14F9">
      <w:pPr>
        <w:spacing w:after="0" w:line="240" w:lineRule="auto"/>
        <w:jc w:val="both"/>
        <w:rPr>
          <w:rFonts w:cstheme="minorHAnsi"/>
          <w:color w:val="000000"/>
          <w:sz w:val="24"/>
          <w:szCs w:val="24"/>
          <w:lang w:val="en-GB"/>
        </w:rPr>
      </w:pPr>
    </w:p>
    <w:p w14:paraId="2ABD9932" w14:textId="77777777" w:rsidR="00393DDB" w:rsidRPr="00A91A09" w:rsidRDefault="00393DDB" w:rsidP="007E14F9">
      <w:pPr>
        <w:spacing w:after="0" w:line="240" w:lineRule="auto"/>
        <w:jc w:val="both"/>
        <w:rPr>
          <w:rFonts w:cstheme="minorHAnsi"/>
          <w:color w:val="000000"/>
          <w:sz w:val="24"/>
          <w:szCs w:val="24"/>
          <w:lang w:val="en-GB"/>
        </w:rPr>
      </w:pPr>
      <w:r w:rsidRPr="00A91A09">
        <w:rPr>
          <w:rFonts w:cstheme="minorHAnsi"/>
          <w:b/>
          <w:sz w:val="24"/>
          <w:lang w:val="en-GB" w:bidi="en-GB"/>
        </w:rPr>
        <w:t>The SAO audit revealed the following:</w:t>
      </w:r>
    </w:p>
    <w:p w14:paraId="46AAF000" w14:textId="1F2A8CEF" w:rsidR="00393DDB" w:rsidRPr="00A91A09" w:rsidRDefault="00393DDB" w:rsidP="00895164">
      <w:pPr>
        <w:pStyle w:val="Bezmezer"/>
        <w:numPr>
          <w:ilvl w:val="0"/>
          <w:numId w:val="23"/>
        </w:numPr>
        <w:ind w:left="284" w:hanging="284"/>
        <w:jc w:val="both"/>
        <w:rPr>
          <w:rFonts w:cstheme="minorHAnsi"/>
          <w:b/>
          <w:sz w:val="24"/>
          <w:szCs w:val="24"/>
          <w:lang w:val="en-GB" w:eastAsia="cs-CZ"/>
        </w:rPr>
      </w:pPr>
      <w:r w:rsidRPr="00A91A09">
        <w:rPr>
          <w:rFonts w:cstheme="minorHAnsi"/>
          <w:b/>
          <w:sz w:val="24"/>
          <w:lang w:val="en-GB" w:bidi="en-GB"/>
        </w:rPr>
        <w:t xml:space="preserve">In 7 cases of the </w:t>
      </w:r>
      <w:r w:rsidR="00C566C3">
        <w:rPr>
          <w:rFonts w:cstheme="minorHAnsi"/>
          <w:b/>
          <w:sz w:val="24"/>
          <w:lang w:val="en-GB" w:bidi="en-GB"/>
        </w:rPr>
        <w:t>auditees</w:t>
      </w:r>
      <w:r w:rsidRPr="00A91A09">
        <w:rPr>
          <w:rFonts w:cstheme="minorHAnsi"/>
          <w:b/>
          <w:sz w:val="24"/>
          <w:lang w:val="en-GB" w:bidi="en-GB"/>
        </w:rPr>
        <w:t xml:space="preserve"> SBR, LR and MSR, the agreement on the public contract was not concluded with the winning tenderer within the statutory period provided for in Section 82(2) of the Public Procurement Act.</w:t>
      </w:r>
    </w:p>
    <w:p w14:paraId="26C60BDD" w14:textId="23A77E81" w:rsidR="00393DDB" w:rsidRPr="00A91A09" w:rsidRDefault="00393DDB" w:rsidP="00895164">
      <w:pPr>
        <w:pStyle w:val="Bezmezer"/>
        <w:numPr>
          <w:ilvl w:val="0"/>
          <w:numId w:val="23"/>
        </w:numPr>
        <w:ind w:left="284" w:hanging="284"/>
        <w:jc w:val="both"/>
        <w:rPr>
          <w:rFonts w:cstheme="minorHAnsi"/>
          <w:b/>
          <w:sz w:val="24"/>
          <w:szCs w:val="24"/>
          <w:lang w:val="en-GB" w:eastAsia="cs-CZ"/>
        </w:rPr>
      </w:pPr>
      <w:r w:rsidRPr="00A91A09">
        <w:rPr>
          <w:rFonts w:cstheme="minorHAnsi"/>
          <w:b/>
          <w:sz w:val="24"/>
          <w:lang w:val="en-GB" w:bidi="en-GB"/>
        </w:rPr>
        <w:t>In one case (RMMPilR), there was no amendment to the contract for work on cancelled work.</w:t>
      </w:r>
    </w:p>
    <w:p w14:paraId="16C1EB4A" w14:textId="77777777" w:rsidR="00895164" w:rsidRPr="00A91A09" w:rsidRDefault="00895164" w:rsidP="007E14F9">
      <w:pPr>
        <w:spacing w:after="0" w:line="240" w:lineRule="auto"/>
        <w:jc w:val="both"/>
        <w:rPr>
          <w:rFonts w:eastAsia="Times New Roman" w:cstheme="minorHAnsi"/>
          <w:sz w:val="24"/>
          <w:szCs w:val="24"/>
          <w:lang w:val="en-GB" w:eastAsia="cs-CZ"/>
        </w:rPr>
      </w:pPr>
    </w:p>
    <w:p w14:paraId="286C2CBB" w14:textId="6BACDB13" w:rsidR="00393DDB" w:rsidRPr="00A91A09" w:rsidRDefault="00393DDB" w:rsidP="007E14F9">
      <w:pPr>
        <w:spacing w:after="0" w:line="240" w:lineRule="auto"/>
        <w:jc w:val="both"/>
        <w:rPr>
          <w:rFonts w:eastAsia="Times New Roman" w:cstheme="minorHAnsi"/>
          <w:sz w:val="24"/>
          <w:szCs w:val="24"/>
          <w:lang w:val="en-GB" w:eastAsia="cs-CZ"/>
        </w:rPr>
      </w:pPr>
      <w:r w:rsidRPr="00A91A09">
        <w:rPr>
          <w:rFonts w:cstheme="minorHAnsi"/>
          <w:sz w:val="24"/>
          <w:lang w:val="en-GB" w:bidi="en-GB"/>
        </w:rPr>
        <w:t>Except the above-mentioned cases, the procedure of the contracting authorities in the case of additional and cancelled work was in line with the requirements of the Public Procurement Act.</w:t>
      </w:r>
    </w:p>
    <w:p w14:paraId="58FCDA46" w14:textId="77777777" w:rsidR="00C178CF" w:rsidRPr="00A91A09" w:rsidRDefault="00C178CF" w:rsidP="007E14F9">
      <w:pPr>
        <w:spacing w:after="0" w:line="240" w:lineRule="auto"/>
        <w:jc w:val="both"/>
        <w:rPr>
          <w:rFonts w:eastAsia="Times New Roman" w:cstheme="minorHAnsi"/>
          <w:sz w:val="24"/>
          <w:szCs w:val="24"/>
          <w:lang w:val="en-GB" w:eastAsia="cs-CZ"/>
        </w:rPr>
      </w:pPr>
    </w:p>
    <w:p w14:paraId="774E8F2F" w14:textId="4287E905" w:rsidR="00393DDB" w:rsidRPr="00A91A09" w:rsidRDefault="00393DDB" w:rsidP="007E14F9">
      <w:pPr>
        <w:spacing w:after="0" w:line="240" w:lineRule="auto"/>
        <w:rPr>
          <w:rFonts w:cstheme="minorHAnsi"/>
          <w:b/>
          <w:sz w:val="24"/>
          <w:szCs w:val="24"/>
          <w:lang w:val="en-GB"/>
        </w:rPr>
      </w:pPr>
      <w:r w:rsidRPr="00A91A09">
        <w:rPr>
          <w:rFonts w:cstheme="minorHAnsi"/>
          <w:b/>
          <w:sz w:val="24"/>
          <w:lang w:val="en-GB" w:bidi="en-GB"/>
        </w:rPr>
        <w:t>2.4 Project management and compliance with the provider’s terms</w:t>
      </w:r>
    </w:p>
    <w:p w14:paraId="1BD80386" w14:textId="77777777" w:rsidR="00895164" w:rsidRPr="00A91A09" w:rsidRDefault="00895164" w:rsidP="007E14F9">
      <w:pPr>
        <w:spacing w:after="0" w:line="240" w:lineRule="auto"/>
        <w:jc w:val="both"/>
        <w:rPr>
          <w:rFonts w:cstheme="minorHAnsi"/>
          <w:sz w:val="24"/>
          <w:szCs w:val="24"/>
          <w:lang w:val="en-GB"/>
        </w:rPr>
      </w:pPr>
    </w:p>
    <w:p w14:paraId="490BF27D" w14:textId="77777777"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The SAO audit verified that the subsidy beneficiaries had proceeded in the event of changes in the manner prescribed by the providers. The change notifications included rationale, change sheets with effects on the action budgets, updated schedules of actions and other necessary supporting documents. Except one beneficiary, changes were notified within the deadlines set by the agreements and the methodological documents of the subsidy providers.</w:t>
      </w:r>
    </w:p>
    <w:p w14:paraId="6A6271D6" w14:textId="77777777" w:rsidR="00895164" w:rsidRPr="00A91A09" w:rsidRDefault="00895164" w:rsidP="007E14F9">
      <w:pPr>
        <w:spacing w:after="0" w:line="240" w:lineRule="auto"/>
        <w:jc w:val="both"/>
        <w:rPr>
          <w:rFonts w:cstheme="minorHAnsi"/>
          <w:sz w:val="24"/>
          <w:szCs w:val="24"/>
          <w:lang w:val="en-GB"/>
        </w:rPr>
      </w:pPr>
    </w:p>
    <w:p w14:paraId="5DB60312" w14:textId="5F031F24"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The beneficiary RMMPilR failed to meet the deadlines set for the notification of changes by a manual for the beneficiaries, the observance of which was required by the agreement on the terms of the subsidy under the ROP NUTS II SW, for 4 projects audited, in 14 cases of changes. The RMMPilR notified changes with a delay of 1 week to 10 months. In one case, the RMMPilR did not announce a change of the project budget after the award procedure for the contractor.</w:t>
      </w:r>
    </w:p>
    <w:p w14:paraId="2AA0ABB2" w14:textId="77777777" w:rsidR="00895164" w:rsidRPr="00A91A09" w:rsidRDefault="00895164" w:rsidP="007E14F9">
      <w:pPr>
        <w:spacing w:after="0" w:line="240" w:lineRule="auto"/>
        <w:jc w:val="both"/>
        <w:rPr>
          <w:rFonts w:cstheme="minorHAnsi"/>
          <w:sz w:val="24"/>
          <w:szCs w:val="24"/>
          <w:lang w:val="en-GB"/>
        </w:rPr>
      </w:pPr>
    </w:p>
    <w:p w14:paraId="70E7A38D" w14:textId="77777777" w:rsidR="00393DDB" w:rsidRPr="00A91A09" w:rsidRDefault="00393DDB" w:rsidP="007E14F9">
      <w:pPr>
        <w:autoSpaceDE w:val="0"/>
        <w:autoSpaceDN w:val="0"/>
        <w:adjustRightInd w:val="0"/>
        <w:spacing w:after="0" w:line="240" w:lineRule="auto"/>
        <w:jc w:val="both"/>
        <w:rPr>
          <w:rFonts w:cstheme="minorHAnsi"/>
          <w:sz w:val="24"/>
          <w:szCs w:val="24"/>
          <w:lang w:val="en-GB"/>
        </w:rPr>
      </w:pPr>
      <w:r w:rsidRPr="00A91A09">
        <w:rPr>
          <w:rFonts w:cstheme="minorHAnsi"/>
          <w:b/>
          <w:sz w:val="24"/>
          <w:lang w:val="en-GB" w:bidi="en-GB"/>
        </w:rPr>
        <w:t>The SAO audit verified that the subsidy beneficiaries had posted all the project-related accounting transactions and had adhered to the rules on separate project accounting and project monitoring. Beneficiaries of the subsidy implemented the project in accordance with the approved financing conditions and valid legal regulations.</w:t>
      </w:r>
    </w:p>
    <w:p w14:paraId="017A5AE7" w14:textId="77777777" w:rsidR="00895164" w:rsidRPr="00A91A09" w:rsidRDefault="00895164" w:rsidP="007E14F9">
      <w:pPr>
        <w:autoSpaceDE w:val="0"/>
        <w:autoSpaceDN w:val="0"/>
        <w:adjustRightInd w:val="0"/>
        <w:spacing w:after="0" w:line="240" w:lineRule="auto"/>
        <w:jc w:val="both"/>
        <w:rPr>
          <w:rFonts w:cstheme="minorHAnsi"/>
          <w:sz w:val="24"/>
          <w:szCs w:val="24"/>
          <w:lang w:val="en-GB"/>
        </w:rPr>
      </w:pPr>
    </w:p>
    <w:p w14:paraId="4DFDFB00" w14:textId="15775EF8"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 xml:space="preserve">The SAO audit also verified the implementation of </w:t>
      </w:r>
      <w:r w:rsidR="00B641AB">
        <w:rPr>
          <w:rFonts w:cstheme="minorHAnsi"/>
          <w:sz w:val="24"/>
          <w:lang w:val="en-GB" w:bidi="en-GB"/>
        </w:rPr>
        <w:t>audits</w:t>
      </w:r>
      <w:r w:rsidRPr="00A91A09">
        <w:rPr>
          <w:rFonts w:cstheme="minorHAnsi"/>
          <w:sz w:val="24"/>
          <w:lang w:val="en-GB" w:bidi="en-GB"/>
        </w:rPr>
        <w:t xml:space="preserve"> focused on projects co-financed by the EU and </w:t>
      </w:r>
      <w:r w:rsidR="004D23C2">
        <w:rPr>
          <w:rFonts w:cstheme="minorHAnsi"/>
          <w:sz w:val="24"/>
          <w:lang w:val="en-GB" w:bidi="en-GB"/>
        </w:rPr>
        <w:t>SFDI</w:t>
      </w:r>
      <w:r w:rsidRPr="00A91A09">
        <w:rPr>
          <w:rFonts w:cstheme="minorHAnsi"/>
          <w:sz w:val="24"/>
          <w:lang w:val="en-GB" w:bidi="en-GB"/>
        </w:rPr>
        <w:t xml:space="preserve"> funds. The results of this part of the audit are set out in 1.1d and 1.2c of this Audit Conclusion.</w:t>
      </w:r>
    </w:p>
    <w:p w14:paraId="239319DA" w14:textId="77777777" w:rsidR="00895164" w:rsidRPr="00A91A09" w:rsidRDefault="00895164" w:rsidP="007E14F9">
      <w:pPr>
        <w:spacing w:after="0" w:line="240" w:lineRule="auto"/>
        <w:jc w:val="both"/>
        <w:rPr>
          <w:rFonts w:cstheme="minorHAnsi"/>
          <w:sz w:val="24"/>
          <w:szCs w:val="24"/>
          <w:lang w:val="en-GB"/>
        </w:rPr>
      </w:pPr>
    </w:p>
    <w:p w14:paraId="5D537FE2" w14:textId="77777777" w:rsidR="00393DDB" w:rsidRPr="00A91A09" w:rsidRDefault="00393DDB" w:rsidP="007E14F9">
      <w:pPr>
        <w:spacing w:after="0" w:line="240" w:lineRule="auto"/>
        <w:jc w:val="both"/>
        <w:rPr>
          <w:rFonts w:cstheme="minorHAnsi"/>
          <w:sz w:val="24"/>
          <w:szCs w:val="24"/>
          <w:lang w:val="en-GB"/>
        </w:rPr>
      </w:pPr>
      <w:r w:rsidRPr="00A91A09">
        <w:rPr>
          <w:rFonts w:cstheme="minorHAnsi"/>
          <w:b/>
          <w:sz w:val="24"/>
          <w:lang w:val="en-GB" w:bidi="en-GB"/>
        </w:rPr>
        <w:t xml:space="preserve">The audit of the SAO verified that the beneficiaries had implemented the audited projects in accordance with the approved financing conditions of the subsidy providers and in accordance with the applicable legislation. The beneficiaries expended funds in </w:t>
      </w:r>
      <w:r w:rsidRPr="00A91A09">
        <w:rPr>
          <w:rFonts w:cstheme="minorHAnsi"/>
          <w:b/>
          <w:sz w:val="24"/>
          <w:lang w:val="en-GB" w:bidi="en-GB"/>
        </w:rPr>
        <w:lastRenderedPageBreak/>
        <w:t>accordance with the conditions set by subsidy providers in agreements and methodological documents.</w:t>
      </w:r>
    </w:p>
    <w:p w14:paraId="675DEA13" w14:textId="77777777" w:rsidR="00393DDB" w:rsidRPr="00A91A09" w:rsidRDefault="00393DDB" w:rsidP="007E14F9">
      <w:pPr>
        <w:spacing w:after="0" w:line="240" w:lineRule="auto"/>
        <w:jc w:val="both"/>
        <w:rPr>
          <w:rFonts w:eastAsia="Times New Roman" w:cstheme="minorHAnsi"/>
          <w:sz w:val="24"/>
          <w:szCs w:val="24"/>
          <w:lang w:val="en-GB" w:eastAsia="cs-CZ"/>
        </w:rPr>
      </w:pPr>
    </w:p>
    <w:p w14:paraId="18E9C71A" w14:textId="77777777" w:rsidR="00393DDB" w:rsidRPr="00A91A09" w:rsidRDefault="00393DDB" w:rsidP="007E14F9">
      <w:pPr>
        <w:spacing w:after="0" w:line="240" w:lineRule="auto"/>
        <w:rPr>
          <w:rFonts w:cstheme="minorHAnsi"/>
          <w:b/>
          <w:sz w:val="24"/>
          <w:szCs w:val="24"/>
          <w:lang w:val="en-GB"/>
        </w:rPr>
      </w:pPr>
      <w:r w:rsidRPr="00A91A09">
        <w:rPr>
          <w:rFonts w:cstheme="minorHAnsi"/>
          <w:b/>
          <w:sz w:val="24"/>
          <w:lang w:val="en-GB" w:bidi="en-GB"/>
        </w:rPr>
        <w:t>2.5 Achieving the objectives of the beneficiary set out in applications and agreements</w:t>
      </w:r>
    </w:p>
    <w:p w14:paraId="5B87EF02" w14:textId="77777777" w:rsidR="00895164" w:rsidRPr="00A91A09" w:rsidRDefault="00895164" w:rsidP="007E14F9">
      <w:pPr>
        <w:spacing w:after="0" w:line="240" w:lineRule="auto"/>
        <w:jc w:val="both"/>
        <w:rPr>
          <w:rFonts w:cstheme="minorHAnsi"/>
          <w:b/>
          <w:sz w:val="24"/>
          <w:szCs w:val="24"/>
          <w:lang w:val="en-GB"/>
        </w:rPr>
      </w:pPr>
    </w:p>
    <w:p w14:paraId="08E91345" w14:textId="484A5774" w:rsidR="00393DDB" w:rsidRPr="00A91A09" w:rsidRDefault="00393DDB" w:rsidP="007E14F9">
      <w:pPr>
        <w:spacing w:after="0" w:line="240" w:lineRule="auto"/>
        <w:jc w:val="both"/>
        <w:rPr>
          <w:rFonts w:cstheme="minorHAnsi"/>
          <w:b/>
          <w:sz w:val="24"/>
          <w:szCs w:val="24"/>
          <w:lang w:val="en-GB"/>
        </w:rPr>
      </w:pPr>
      <w:r w:rsidRPr="00A91A09">
        <w:rPr>
          <w:rFonts w:cstheme="minorHAnsi"/>
          <w:b/>
          <w:sz w:val="24"/>
          <w:lang w:val="en-GB" w:bidi="en-GB"/>
        </w:rPr>
        <w:t xml:space="preserve">2.5a Projects financed by the </w:t>
      </w:r>
      <w:r w:rsidR="004D23C2">
        <w:rPr>
          <w:rFonts w:cstheme="minorHAnsi"/>
          <w:b/>
          <w:sz w:val="24"/>
          <w:lang w:val="en-GB" w:bidi="en-GB"/>
        </w:rPr>
        <w:t>SFDI</w:t>
      </w:r>
    </w:p>
    <w:p w14:paraId="7094F4FC" w14:textId="77777777" w:rsidR="00895164" w:rsidRPr="00A91A09" w:rsidRDefault="00895164" w:rsidP="007E14F9">
      <w:pPr>
        <w:spacing w:after="0" w:line="240" w:lineRule="auto"/>
        <w:jc w:val="both"/>
        <w:rPr>
          <w:rFonts w:cstheme="minorHAnsi"/>
          <w:b/>
          <w:sz w:val="24"/>
          <w:szCs w:val="24"/>
          <w:lang w:val="en-GB"/>
        </w:rPr>
      </w:pPr>
    </w:p>
    <w:p w14:paraId="1D876D39" w14:textId="7CF9CA57" w:rsidR="00393DDB" w:rsidRPr="00A91A09" w:rsidRDefault="00393DDB" w:rsidP="007E14F9">
      <w:pPr>
        <w:spacing w:after="0" w:line="240" w:lineRule="auto"/>
        <w:jc w:val="both"/>
        <w:rPr>
          <w:rFonts w:cstheme="minorHAnsi"/>
          <w:sz w:val="24"/>
          <w:szCs w:val="24"/>
          <w:lang w:val="en-GB"/>
        </w:rPr>
      </w:pPr>
      <w:r w:rsidRPr="00A91A09">
        <w:rPr>
          <w:rFonts w:cstheme="minorHAnsi"/>
          <w:b/>
          <w:sz w:val="24"/>
          <w:lang w:val="en-GB" w:bidi="en-GB"/>
        </w:rPr>
        <w:t xml:space="preserve">The </w:t>
      </w:r>
      <w:r w:rsidR="004D23C2">
        <w:rPr>
          <w:rFonts w:cstheme="minorHAnsi"/>
          <w:b/>
          <w:sz w:val="24"/>
          <w:lang w:val="en-GB" w:bidi="en-GB"/>
        </w:rPr>
        <w:t>SFDI</w:t>
      </w:r>
      <w:r w:rsidRPr="00A91A09">
        <w:rPr>
          <w:rFonts w:cstheme="minorHAnsi"/>
          <w:b/>
          <w:sz w:val="24"/>
          <w:lang w:val="en-GB" w:bidi="en-GB"/>
        </w:rPr>
        <w:t>, as a subsidy provider, did not insist in its terms on a binding determination of measurable objectives.</w:t>
      </w:r>
      <w:r w:rsidRPr="00A91A09">
        <w:rPr>
          <w:rFonts w:cstheme="minorHAnsi"/>
          <w:sz w:val="24"/>
          <w:lang w:val="en-GB" w:bidi="en-GB"/>
        </w:rPr>
        <w:t xml:space="preserve"> The objectives of the projects were derived from the descriptions of the actions that the beneficiaries presented in the schedules of actions together with other indicative parameters of the actions.</w:t>
      </w:r>
    </w:p>
    <w:p w14:paraId="6F75D8FA" w14:textId="77777777" w:rsidR="00895164" w:rsidRPr="00A91A09" w:rsidRDefault="00895164" w:rsidP="007E14F9">
      <w:pPr>
        <w:spacing w:after="0" w:line="240" w:lineRule="auto"/>
        <w:jc w:val="both"/>
        <w:rPr>
          <w:rFonts w:cstheme="minorHAnsi"/>
          <w:sz w:val="24"/>
          <w:szCs w:val="24"/>
          <w:lang w:val="en-GB"/>
        </w:rPr>
      </w:pPr>
    </w:p>
    <w:p w14:paraId="26E3214E" w14:textId="148EB116" w:rsidR="00393DDB" w:rsidRPr="00A91A09" w:rsidRDefault="00393DDB" w:rsidP="00F03690">
      <w:pPr>
        <w:spacing w:after="0" w:line="240" w:lineRule="auto"/>
        <w:jc w:val="both"/>
        <w:rPr>
          <w:rFonts w:cstheme="minorHAnsi"/>
          <w:sz w:val="24"/>
          <w:szCs w:val="24"/>
          <w:lang w:val="en-GB"/>
        </w:rPr>
      </w:pPr>
      <w:r w:rsidRPr="00A91A09">
        <w:rPr>
          <w:rFonts w:cstheme="minorHAnsi"/>
          <w:b/>
          <w:sz w:val="24"/>
          <w:lang w:val="en-GB" w:bidi="en-GB"/>
        </w:rPr>
        <w:t>The audit verified that, for all the projects under review, the objective had been fulfilled, with the objective consisting in the repair, reconstruction or modernisation of the relevant sections of class II and class III roads or bridges owned by the region, while respecting the time and financial parameters of the actions</w:t>
      </w:r>
      <w:r w:rsidRPr="00A91A09">
        <w:rPr>
          <w:rFonts w:cstheme="minorHAnsi"/>
          <w:sz w:val="24"/>
          <w:lang w:val="en-GB" w:bidi="en-GB"/>
        </w:rPr>
        <w:t xml:space="preserve">. </w:t>
      </w:r>
      <w:r w:rsidRPr="00A91A09">
        <w:rPr>
          <w:rFonts w:cstheme="minorHAnsi"/>
          <w:b/>
          <w:sz w:val="24"/>
          <w:lang w:val="en-GB" w:bidi="en-GB"/>
        </w:rPr>
        <w:t>The audit also verified that, after the completion of the audited actions, they had not been modified in the sense that the purpose of their use had changed, and the results of the project were still being used as roads or bridges owned by the relevant region.</w:t>
      </w:r>
      <w:r w:rsidRPr="00A91A09">
        <w:rPr>
          <w:rFonts w:cstheme="minorHAnsi"/>
          <w:sz w:val="24"/>
          <w:lang w:val="en-GB" w:bidi="en-GB"/>
        </w:rPr>
        <w:t xml:space="preserve"> The beneficiaries, in the form of regular </w:t>
      </w:r>
      <w:r w:rsidR="00B641AB">
        <w:rPr>
          <w:rFonts w:cstheme="minorHAnsi"/>
          <w:sz w:val="24"/>
          <w:lang w:val="en-GB" w:bidi="en-GB"/>
        </w:rPr>
        <w:t>audit</w:t>
      </w:r>
      <w:r w:rsidRPr="00A91A09">
        <w:rPr>
          <w:rFonts w:cstheme="minorHAnsi"/>
          <w:sz w:val="24"/>
          <w:lang w:val="en-GB" w:bidi="en-GB"/>
        </w:rPr>
        <w:t>s, maintenance and repairs of roads and bridges arising from the scope of their activities, ensure the maintenance of the functionality of the project results.</w:t>
      </w:r>
    </w:p>
    <w:p w14:paraId="72816C20" w14:textId="77777777" w:rsidR="00895164" w:rsidRPr="00A91A09" w:rsidRDefault="00895164" w:rsidP="007E14F9">
      <w:pPr>
        <w:autoSpaceDE w:val="0"/>
        <w:autoSpaceDN w:val="0"/>
        <w:adjustRightInd w:val="0"/>
        <w:spacing w:after="0" w:line="240" w:lineRule="auto"/>
        <w:jc w:val="both"/>
        <w:rPr>
          <w:rFonts w:cstheme="minorHAnsi"/>
          <w:sz w:val="24"/>
          <w:szCs w:val="24"/>
          <w:lang w:val="en-GB"/>
        </w:rPr>
      </w:pPr>
    </w:p>
    <w:p w14:paraId="6A1DE9B4" w14:textId="5C5A94A4" w:rsidR="00393DDB" w:rsidRPr="00A91A09" w:rsidRDefault="00393DDB" w:rsidP="008E5A48">
      <w:pPr>
        <w:keepNext/>
        <w:keepLines/>
        <w:spacing w:after="0" w:line="240" w:lineRule="auto"/>
        <w:jc w:val="both"/>
        <w:rPr>
          <w:rFonts w:cstheme="minorHAnsi"/>
          <w:b/>
          <w:sz w:val="24"/>
          <w:szCs w:val="24"/>
          <w:lang w:val="en-GB" w:eastAsia="cs-CZ"/>
        </w:rPr>
      </w:pPr>
      <w:r w:rsidRPr="00A91A09">
        <w:rPr>
          <w:rFonts w:cstheme="minorHAnsi"/>
          <w:b/>
          <w:sz w:val="24"/>
          <w:lang w:val="en-GB" w:bidi="en-GB"/>
        </w:rPr>
        <w:t>2.5b Projects co-financed by the EU</w:t>
      </w:r>
    </w:p>
    <w:p w14:paraId="189B95C1" w14:textId="77777777" w:rsidR="00895164" w:rsidRPr="00A91A09" w:rsidRDefault="00895164" w:rsidP="008E5A48">
      <w:pPr>
        <w:keepNext/>
        <w:keepLines/>
        <w:autoSpaceDE w:val="0"/>
        <w:autoSpaceDN w:val="0"/>
        <w:adjustRightInd w:val="0"/>
        <w:spacing w:after="0" w:line="240" w:lineRule="auto"/>
        <w:jc w:val="both"/>
        <w:rPr>
          <w:rFonts w:cstheme="minorHAnsi"/>
          <w:sz w:val="24"/>
          <w:szCs w:val="24"/>
          <w:lang w:val="en-GB"/>
        </w:rPr>
      </w:pPr>
    </w:p>
    <w:p w14:paraId="23CCCE27" w14:textId="77777777" w:rsidR="00393DDB" w:rsidRPr="00A91A09" w:rsidRDefault="00393DDB" w:rsidP="008E5A48">
      <w:pPr>
        <w:keepNext/>
        <w:keepLines/>
        <w:autoSpaceDE w:val="0"/>
        <w:autoSpaceDN w:val="0"/>
        <w:adjustRightInd w:val="0"/>
        <w:spacing w:after="0" w:line="240" w:lineRule="auto"/>
        <w:jc w:val="both"/>
        <w:rPr>
          <w:rFonts w:cstheme="minorHAnsi"/>
          <w:sz w:val="24"/>
          <w:szCs w:val="24"/>
          <w:lang w:val="en-GB"/>
        </w:rPr>
      </w:pPr>
      <w:r w:rsidRPr="00A91A09">
        <w:rPr>
          <w:rFonts w:cstheme="minorHAnsi"/>
          <w:sz w:val="24"/>
          <w:lang w:val="en-GB" w:bidi="en-GB"/>
        </w:rPr>
        <w:t>The individual objectives of the projects were stated by the beneficiaries in the subsidy applications. The subsidy agreement then provided the beneficiaries (in accordance with the application) with the monitoring indicators of the projects, which were the length of the new or reconstructed class II and class III roads or the removal of defects.</w:t>
      </w:r>
    </w:p>
    <w:p w14:paraId="030D7B20" w14:textId="77777777" w:rsidR="00895164" w:rsidRPr="00A91A09" w:rsidRDefault="00895164" w:rsidP="007E14F9">
      <w:pPr>
        <w:autoSpaceDE w:val="0"/>
        <w:autoSpaceDN w:val="0"/>
        <w:adjustRightInd w:val="0"/>
        <w:spacing w:after="0" w:line="240" w:lineRule="auto"/>
        <w:jc w:val="both"/>
        <w:rPr>
          <w:rFonts w:cstheme="minorHAnsi"/>
          <w:sz w:val="24"/>
          <w:szCs w:val="24"/>
          <w:lang w:val="en-GB"/>
        </w:rPr>
      </w:pPr>
    </w:p>
    <w:p w14:paraId="37391CA5" w14:textId="77777777" w:rsidR="00393DDB" w:rsidRPr="00A91A09" w:rsidRDefault="00393DDB" w:rsidP="007E14F9">
      <w:pPr>
        <w:spacing w:after="0" w:line="240" w:lineRule="auto"/>
        <w:jc w:val="both"/>
        <w:rPr>
          <w:rFonts w:cstheme="minorHAnsi"/>
          <w:sz w:val="24"/>
          <w:szCs w:val="24"/>
          <w:lang w:val="en-GB" w:eastAsia="cs-CZ"/>
        </w:rPr>
      </w:pPr>
      <w:r w:rsidRPr="00A91A09">
        <w:rPr>
          <w:rFonts w:cstheme="minorHAnsi"/>
          <w:b/>
          <w:sz w:val="24"/>
          <w:lang w:val="en-GB" w:bidi="en-GB"/>
        </w:rPr>
        <w:t>The audit verified that the beneficiaries of all the audited projects had fulfilled the monitoring indicators in accordance with the time and financial parameters of the project.</w:t>
      </w:r>
    </w:p>
    <w:p w14:paraId="250CAB41" w14:textId="77777777" w:rsidR="00895164" w:rsidRPr="00A91A09" w:rsidRDefault="00895164" w:rsidP="007E14F9">
      <w:pPr>
        <w:spacing w:after="0" w:line="240" w:lineRule="auto"/>
        <w:jc w:val="both"/>
        <w:rPr>
          <w:rFonts w:cstheme="minorHAnsi"/>
          <w:sz w:val="24"/>
          <w:szCs w:val="24"/>
          <w:lang w:val="en-GB" w:eastAsia="cs-CZ"/>
        </w:rPr>
      </w:pPr>
    </w:p>
    <w:p w14:paraId="7212A7C3" w14:textId="77777777" w:rsidR="00393DDB" w:rsidRPr="00A91A09" w:rsidRDefault="00393DDB" w:rsidP="007E14F9">
      <w:pPr>
        <w:spacing w:after="0" w:line="240" w:lineRule="auto"/>
        <w:jc w:val="both"/>
        <w:rPr>
          <w:rFonts w:cstheme="minorHAnsi"/>
          <w:sz w:val="24"/>
          <w:szCs w:val="24"/>
          <w:lang w:val="en-GB"/>
        </w:rPr>
      </w:pPr>
      <w:r w:rsidRPr="00A91A09">
        <w:rPr>
          <w:rFonts w:cstheme="minorHAnsi"/>
          <w:sz w:val="24"/>
          <w:lang w:val="en-GB" w:bidi="en-GB"/>
        </w:rPr>
        <w:t>The beneficiaries stated in the project reports that all project objectives had been met. Since some of the beneficiaries did not define certain project objectives to be measurable or did not set their default and target values, it was not possible to assess the fulfilment of these objectives and to evaluate all the real benefits of the projects. The beneficiaries also stated that the objectives had been met although they had not set the criteria for assessing their fulfilment or had not carried out the measurement of these quantities before or after the project had been implemented.</w:t>
      </w:r>
    </w:p>
    <w:p w14:paraId="50BAEB29" w14:textId="77777777" w:rsidR="00895164" w:rsidRPr="00A91A09" w:rsidRDefault="00895164" w:rsidP="007E14F9">
      <w:pPr>
        <w:spacing w:after="0" w:line="240" w:lineRule="auto"/>
        <w:jc w:val="both"/>
        <w:rPr>
          <w:rFonts w:cstheme="minorHAnsi"/>
          <w:sz w:val="24"/>
          <w:szCs w:val="24"/>
          <w:lang w:val="en-GB"/>
        </w:rPr>
      </w:pPr>
    </w:p>
    <w:p w14:paraId="2DDC5F89" w14:textId="77777777" w:rsidR="00393DDB" w:rsidRPr="00A91A09" w:rsidRDefault="00393DDB" w:rsidP="007E14F9">
      <w:pPr>
        <w:autoSpaceDE w:val="0"/>
        <w:autoSpaceDN w:val="0"/>
        <w:adjustRightInd w:val="0"/>
        <w:spacing w:after="0" w:line="240" w:lineRule="auto"/>
        <w:jc w:val="both"/>
        <w:rPr>
          <w:rFonts w:eastAsia="Calibri" w:cstheme="minorHAnsi"/>
          <w:b/>
          <w:sz w:val="24"/>
          <w:szCs w:val="24"/>
          <w:lang w:val="en-GB"/>
        </w:rPr>
      </w:pPr>
      <w:r w:rsidRPr="00A91A09">
        <w:rPr>
          <w:rFonts w:cstheme="minorHAnsi"/>
          <w:b/>
          <w:sz w:val="24"/>
          <w:lang w:val="en-GB" w:bidi="en-GB"/>
        </w:rPr>
        <w:t>The audit also verified that the beneficiaries of the subsidy complied with the conditions for the sustainability of the projects, the results of the implementation of the projects were used in accordance with the purpose for which they had been designed, and the beneficiaries were working to maintain their functionality.</w:t>
      </w:r>
    </w:p>
    <w:p w14:paraId="7A49C3DD" w14:textId="6292BDAE" w:rsidR="00393DDB" w:rsidRPr="00A91A09" w:rsidRDefault="00393DDB" w:rsidP="007E14F9">
      <w:pPr>
        <w:spacing w:after="0" w:line="240" w:lineRule="auto"/>
        <w:jc w:val="both"/>
        <w:rPr>
          <w:rFonts w:eastAsia="Times New Roman" w:cstheme="minorHAnsi"/>
          <w:sz w:val="24"/>
          <w:szCs w:val="24"/>
          <w:lang w:val="en-GB" w:eastAsia="cs-CZ"/>
        </w:rPr>
      </w:pPr>
    </w:p>
    <w:p w14:paraId="3283A9D5" w14:textId="77777777" w:rsidR="0036404D" w:rsidRPr="00A91A09" w:rsidRDefault="0036404D" w:rsidP="007E14F9">
      <w:pPr>
        <w:spacing w:after="0" w:line="240" w:lineRule="auto"/>
        <w:jc w:val="both"/>
        <w:rPr>
          <w:rFonts w:eastAsia="Times New Roman" w:cstheme="minorHAnsi"/>
          <w:sz w:val="24"/>
          <w:szCs w:val="24"/>
          <w:lang w:val="en-GB" w:eastAsia="cs-CZ"/>
        </w:rPr>
      </w:pPr>
    </w:p>
    <w:p w14:paraId="7AEBDEDB" w14:textId="77777777" w:rsidR="00393DDB" w:rsidRPr="00A91A09" w:rsidRDefault="00393DDB" w:rsidP="007E14F9">
      <w:pPr>
        <w:spacing w:after="0" w:line="240" w:lineRule="auto"/>
        <w:rPr>
          <w:rFonts w:cstheme="minorHAnsi"/>
          <w:b/>
          <w:sz w:val="24"/>
          <w:szCs w:val="24"/>
          <w:lang w:val="en-GB"/>
        </w:rPr>
      </w:pPr>
      <w:r w:rsidRPr="00A91A09">
        <w:rPr>
          <w:rFonts w:cstheme="minorHAnsi"/>
          <w:b/>
          <w:sz w:val="24"/>
          <w:lang w:val="en-GB" w:bidi="en-GB"/>
        </w:rPr>
        <w:lastRenderedPageBreak/>
        <w:t>2.6 Evaluation of the procedure of the beneficiaries in terms of 3E – use of the funds provided</w:t>
      </w:r>
    </w:p>
    <w:p w14:paraId="45D17537" w14:textId="77777777" w:rsidR="00895164" w:rsidRPr="00A91A09" w:rsidRDefault="00895164" w:rsidP="007E14F9">
      <w:pPr>
        <w:spacing w:after="0" w:line="240" w:lineRule="auto"/>
        <w:rPr>
          <w:rFonts w:cstheme="minorHAnsi"/>
          <w:sz w:val="24"/>
          <w:szCs w:val="24"/>
          <w:lang w:val="en-GB"/>
        </w:rPr>
      </w:pPr>
    </w:p>
    <w:p w14:paraId="0F8A89FD" w14:textId="77777777" w:rsidR="00B95AC4" w:rsidRPr="00A91A09" w:rsidRDefault="00393DDB" w:rsidP="007E14F9">
      <w:pPr>
        <w:spacing w:after="0" w:line="240" w:lineRule="auto"/>
        <w:jc w:val="both"/>
        <w:rPr>
          <w:rFonts w:eastAsia="Times New Roman" w:cstheme="minorHAnsi"/>
          <w:sz w:val="24"/>
          <w:szCs w:val="24"/>
          <w:lang w:val="en-GB"/>
        </w:rPr>
      </w:pPr>
      <w:r w:rsidRPr="00A91A09">
        <w:rPr>
          <w:rFonts w:cstheme="minorHAnsi"/>
          <w:b/>
          <w:sz w:val="24"/>
          <w:lang w:val="en-GB" w:bidi="en-GB"/>
        </w:rPr>
        <w:t>The SAO did not identify any cases of project financing that would conflict with strategic or conceptual documents or elaborated plans if the beneficiary had prepared them and kept them up to date.</w:t>
      </w:r>
      <w:r w:rsidRPr="00A91A09">
        <w:rPr>
          <w:rFonts w:cstheme="minorHAnsi"/>
          <w:sz w:val="24"/>
          <w:lang w:val="en-GB" w:bidi="en-GB"/>
        </w:rPr>
        <w:t xml:space="preserve"> The priority criterion for the selection of projects was the technical condition of the roads but most of the subsidy beneficiaries also took into account other aspects.</w:t>
      </w:r>
    </w:p>
    <w:p w14:paraId="50DC5B91" w14:textId="77777777" w:rsidR="00895164" w:rsidRPr="00A91A09" w:rsidRDefault="00895164" w:rsidP="007E14F9">
      <w:pPr>
        <w:spacing w:after="0" w:line="240" w:lineRule="auto"/>
        <w:jc w:val="both"/>
        <w:rPr>
          <w:rFonts w:eastAsia="Times New Roman" w:cstheme="minorHAnsi"/>
          <w:sz w:val="24"/>
          <w:szCs w:val="24"/>
          <w:lang w:val="en-GB"/>
        </w:rPr>
      </w:pPr>
    </w:p>
    <w:p w14:paraId="30B1AD68" w14:textId="77777777" w:rsidR="00FE308F" w:rsidRPr="00A91A09" w:rsidRDefault="00393DDB" w:rsidP="007E14F9">
      <w:pPr>
        <w:spacing w:after="0" w:line="240" w:lineRule="auto"/>
        <w:jc w:val="both"/>
        <w:rPr>
          <w:rFonts w:eastAsia="Times New Roman" w:cstheme="minorHAnsi"/>
          <w:sz w:val="24"/>
          <w:szCs w:val="24"/>
          <w:lang w:val="en-GB"/>
        </w:rPr>
      </w:pPr>
      <w:r w:rsidRPr="00A91A09">
        <w:rPr>
          <w:rFonts w:cstheme="minorHAnsi"/>
          <w:b/>
          <w:sz w:val="24"/>
          <w:lang w:val="en-GB" w:bidi="en-GB"/>
        </w:rPr>
        <w:t>Economy</w:t>
      </w:r>
      <w:r w:rsidRPr="00A91A09">
        <w:rPr>
          <w:rFonts w:cstheme="minorHAnsi"/>
          <w:sz w:val="24"/>
          <w:lang w:val="en-GB" w:bidi="en-GB"/>
        </w:rPr>
        <w:t xml:space="preserve"> was assessed by the SAO in particular in the context of public procurement, ensuring appropriate project contracts, and ensuring that projects were implemented in accordance with established rules and procedures. </w:t>
      </w:r>
    </w:p>
    <w:p w14:paraId="2B563F8E" w14:textId="77777777" w:rsidR="00895164" w:rsidRPr="00A91A09" w:rsidRDefault="00895164" w:rsidP="007E14F9">
      <w:pPr>
        <w:spacing w:after="0" w:line="240" w:lineRule="auto"/>
        <w:jc w:val="both"/>
        <w:rPr>
          <w:rFonts w:eastAsia="Times New Roman" w:cstheme="minorHAnsi"/>
          <w:sz w:val="24"/>
          <w:szCs w:val="24"/>
          <w:lang w:val="en-GB"/>
        </w:rPr>
      </w:pPr>
    </w:p>
    <w:p w14:paraId="26D0FD15" w14:textId="77777777" w:rsidR="00393DDB" w:rsidRPr="00A91A09" w:rsidRDefault="00393DDB" w:rsidP="007E14F9">
      <w:pPr>
        <w:spacing w:after="0" w:line="240" w:lineRule="auto"/>
        <w:jc w:val="both"/>
        <w:rPr>
          <w:rFonts w:eastAsia="Times New Roman" w:cstheme="minorHAnsi"/>
          <w:b/>
          <w:sz w:val="24"/>
          <w:szCs w:val="24"/>
          <w:lang w:val="en-GB"/>
        </w:rPr>
      </w:pPr>
      <w:r w:rsidRPr="00A91A09">
        <w:rPr>
          <w:rFonts w:cstheme="minorHAnsi"/>
          <w:b/>
          <w:sz w:val="24"/>
          <w:lang w:val="en-GB" w:bidi="en-GB"/>
        </w:rPr>
        <w:t xml:space="preserve">The SAO did not identify any cases of serious deficiencies in the economy of the procedure of the individual subsidy beneficiaries. </w:t>
      </w:r>
    </w:p>
    <w:p w14:paraId="3A89E7F2" w14:textId="77777777" w:rsidR="00895164" w:rsidRPr="00A91A09" w:rsidRDefault="00895164" w:rsidP="007E14F9">
      <w:pPr>
        <w:spacing w:after="0" w:line="240" w:lineRule="auto"/>
        <w:jc w:val="both"/>
        <w:rPr>
          <w:rFonts w:eastAsia="Times New Roman" w:cstheme="minorHAnsi"/>
          <w:sz w:val="24"/>
          <w:szCs w:val="24"/>
          <w:lang w:val="en-GB"/>
        </w:rPr>
      </w:pPr>
    </w:p>
    <w:p w14:paraId="5793F62B" w14:textId="77777777" w:rsidR="00FE308F" w:rsidRPr="00A91A09" w:rsidRDefault="00393DDB" w:rsidP="007E14F9">
      <w:pPr>
        <w:spacing w:after="0" w:line="240" w:lineRule="auto"/>
        <w:jc w:val="both"/>
        <w:rPr>
          <w:rFonts w:eastAsia="Times New Roman" w:cstheme="minorHAnsi"/>
          <w:sz w:val="24"/>
          <w:szCs w:val="24"/>
          <w:lang w:val="en-GB"/>
        </w:rPr>
      </w:pPr>
      <w:r w:rsidRPr="00A91A09">
        <w:rPr>
          <w:rFonts w:cstheme="minorHAnsi"/>
          <w:b/>
          <w:sz w:val="24"/>
          <w:lang w:val="en-GB" w:bidi="en-GB"/>
        </w:rPr>
        <w:t>Efficiency</w:t>
      </w:r>
      <w:r w:rsidRPr="00A91A09">
        <w:rPr>
          <w:rFonts w:cstheme="minorHAnsi"/>
          <w:sz w:val="24"/>
          <w:lang w:val="en-GB" w:bidi="en-GB"/>
        </w:rPr>
        <w:t xml:space="preserve"> was assessed by the SAO audit in relation to the fulfilment of the objectives planned for the individual actions and in connection with the utilisation of the results of the implemented projects. No violation of the rules set by the funds providers was found in this area. </w:t>
      </w:r>
    </w:p>
    <w:p w14:paraId="6257C5DB" w14:textId="77777777" w:rsidR="00895164" w:rsidRPr="00A91A09" w:rsidRDefault="00895164" w:rsidP="007E14F9">
      <w:pPr>
        <w:spacing w:after="0" w:line="240" w:lineRule="auto"/>
        <w:jc w:val="both"/>
        <w:rPr>
          <w:rFonts w:eastAsia="Times New Roman" w:cstheme="minorHAnsi"/>
          <w:sz w:val="24"/>
          <w:szCs w:val="24"/>
          <w:lang w:val="en-GB"/>
        </w:rPr>
      </w:pPr>
    </w:p>
    <w:p w14:paraId="5C4E5486" w14:textId="5445A78B" w:rsidR="00393DDB" w:rsidRPr="00A91A09" w:rsidRDefault="00393DDB" w:rsidP="007E14F9">
      <w:pPr>
        <w:spacing w:after="0" w:line="240" w:lineRule="auto"/>
        <w:jc w:val="both"/>
        <w:rPr>
          <w:rFonts w:eastAsia="Times New Roman" w:cstheme="minorHAnsi"/>
          <w:sz w:val="24"/>
          <w:szCs w:val="24"/>
          <w:lang w:val="en-GB"/>
        </w:rPr>
      </w:pPr>
      <w:r w:rsidRPr="00A91A09">
        <w:rPr>
          <w:rFonts w:cstheme="minorHAnsi"/>
          <w:b/>
          <w:sz w:val="24"/>
          <w:lang w:val="en-GB" w:bidi="en-GB"/>
        </w:rPr>
        <w:t xml:space="preserve">The SAO found significant differences in the audited sample in terms of access to repairs, modernisation and development of regional roads. In the same time period, changes (decreases) of road sections in the state of “unsatisfactory” and “disrepair” and an increase in the state of “excellent”, “good” and “satisfactory” were evaluated. There was a different situation for the LR beneficiary, where an increase in road sections in an unsatisfactory condition was found despite the funds invested. </w:t>
      </w:r>
      <w:r w:rsidRPr="00A91A09">
        <w:rPr>
          <w:rFonts w:cstheme="minorHAnsi"/>
          <w:sz w:val="24"/>
          <w:lang w:val="en-GB" w:bidi="en-GB"/>
        </w:rPr>
        <w:t xml:space="preserve">Details of this evaluation are given in Part IV. </w:t>
      </w:r>
      <w:r w:rsidRPr="00A91A09">
        <w:rPr>
          <w:rFonts w:cstheme="minorHAnsi"/>
          <w:i/>
          <w:sz w:val="24"/>
          <w:lang w:val="en-GB" w:bidi="en-GB"/>
        </w:rPr>
        <w:t>Data found from data bases</w:t>
      </w:r>
      <w:r w:rsidRPr="00A91A09">
        <w:rPr>
          <w:rFonts w:cstheme="minorHAnsi"/>
          <w:sz w:val="24"/>
          <w:lang w:val="en-GB" w:bidi="en-GB"/>
        </w:rPr>
        <w:t>.</w:t>
      </w:r>
    </w:p>
    <w:p w14:paraId="440D7D15" w14:textId="77777777" w:rsidR="00895164" w:rsidRPr="00A91A09" w:rsidRDefault="00895164" w:rsidP="007E14F9">
      <w:pPr>
        <w:spacing w:after="0" w:line="240" w:lineRule="auto"/>
        <w:jc w:val="both"/>
        <w:rPr>
          <w:rFonts w:eastAsia="Times New Roman" w:cstheme="minorHAnsi"/>
          <w:sz w:val="24"/>
          <w:szCs w:val="24"/>
          <w:lang w:val="en-GB"/>
        </w:rPr>
      </w:pPr>
    </w:p>
    <w:p w14:paraId="548477C1" w14:textId="0F3958E4" w:rsidR="00FE308F" w:rsidRPr="00A91A09" w:rsidRDefault="00393DDB" w:rsidP="007E14F9">
      <w:pPr>
        <w:spacing w:after="0" w:line="240" w:lineRule="auto"/>
        <w:jc w:val="both"/>
        <w:rPr>
          <w:rFonts w:eastAsia="Times New Roman" w:cstheme="minorHAnsi"/>
          <w:sz w:val="24"/>
          <w:szCs w:val="24"/>
          <w:lang w:val="en-GB"/>
        </w:rPr>
      </w:pPr>
      <w:r w:rsidRPr="00A91A09">
        <w:rPr>
          <w:rFonts w:cstheme="minorHAnsi"/>
          <w:b/>
          <w:sz w:val="24"/>
          <w:lang w:val="en-GB" w:bidi="en-GB"/>
        </w:rPr>
        <w:t>Effectiveness</w:t>
      </w:r>
      <w:r w:rsidRPr="00A91A09">
        <w:rPr>
          <w:rFonts w:cstheme="minorHAnsi"/>
          <w:sz w:val="24"/>
          <w:lang w:val="en-GB" w:bidi="en-GB"/>
        </w:rPr>
        <w:t xml:space="preserve"> was assessed by the SAO in the sense of the beneficiaries’ procedure in accordance with the strategic and conceptual documents or in terms of the repair, reconstruction and construction of new sections in order to bring the major and most used parts of the road network in the regions under audit into a good technical condition. </w:t>
      </w:r>
    </w:p>
    <w:p w14:paraId="78F2FAE1" w14:textId="77777777" w:rsidR="00895164" w:rsidRPr="00A91A09" w:rsidRDefault="00895164" w:rsidP="007E14F9">
      <w:pPr>
        <w:spacing w:after="0" w:line="240" w:lineRule="auto"/>
        <w:jc w:val="both"/>
        <w:rPr>
          <w:rFonts w:eastAsia="Times New Roman" w:cstheme="minorHAnsi"/>
          <w:sz w:val="24"/>
          <w:szCs w:val="24"/>
          <w:lang w:val="en-GB"/>
        </w:rPr>
      </w:pPr>
    </w:p>
    <w:p w14:paraId="1C8F8CCA" w14:textId="6053B40D" w:rsidR="00393DDB" w:rsidRPr="00A91A09" w:rsidRDefault="00393DDB" w:rsidP="007E14F9">
      <w:pPr>
        <w:spacing w:after="0" w:line="240" w:lineRule="auto"/>
        <w:jc w:val="both"/>
        <w:rPr>
          <w:rFonts w:eastAsia="Times New Roman" w:cstheme="minorHAnsi"/>
          <w:b/>
          <w:sz w:val="24"/>
          <w:szCs w:val="24"/>
          <w:lang w:val="en-GB"/>
        </w:rPr>
      </w:pPr>
      <w:r w:rsidRPr="00A91A09">
        <w:rPr>
          <w:rFonts w:cstheme="minorHAnsi"/>
          <w:b/>
          <w:sz w:val="24"/>
          <w:lang w:val="en-GB" w:bidi="en-GB"/>
        </w:rPr>
        <w:t xml:space="preserve">The audit revealed that the beneficiaries, in the selection and preparation of road sections, had proceeded in accordance with the said documents, provided that they had not been hindered by certain objective circumstances, including, in particular, issues with the ownership of land under the roads. </w:t>
      </w:r>
    </w:p>
    <w:p w14:paraId="4A18EF62" w14:textId="77777777" w:rsidR="00895164" w:rsidRPr="00A91A09" w:rsidRDefault="00895164" w:rsidP="007E14F9">
      <w:pPr>
        <w:spacing w:after="0" w:line="240" w:lineRule="auto"/>
        <w:jc w:val="both"/>
        <w:rPr>
          <w:rFonts w:eastAsia="Times New Roman" w:cstheme="minorHAnsi"/>
          <w:sz w:val="24"/>
          <w:szCs w:val="24"/>
          <w:lang w:val="en-GB"/>
        </w:rPr>
      </w:pPr>
    </w:p>
    <w:p w14:paraId="6CB46A76" w14:textId="77777777" w:rsidR="005651D3" w:rsidRPr="00A91A09" w:rsidRDefault="005651D3">
      <w:pPr>
        <w:rPr>
          <w:rFonts w:cstheme="minorHAnsi"/>
          <w:b/>
          <w:sz w:val="24"/>
          <w:szCs w:val="24"/>
          <w:lang w:val="en-GB"/>
        </w:rPr>
      </w:pPr>
      <w:r w:rsidRPr="00A91A09">
        <w:rPr>
          <w:rFonts w:cstheme="minorHAnsi"/>
          <w:b/>
          <w:sz w:val="24"/>
          <w:lang w:val="en-GB" w:bidi="en-GB"/>
        </w:rPr>
        <w:br w:type="page"/>
      </w:r>
    </w:p>
    <w:p w14:paraId="39A45FD0" w14:textId="4A063F3A" w:rsidR="00393DDB" w:rsidRPr="00A91A09" w:rsidRDefault="00393DDB" w:rsidP="007E14F9">
      <w:pPr>
        <w:spacing w:after="0" w:line="240" w:lineRule="auto"/>
        <w:rPr>
          <w:rFonts w:cstheme="minorHAnsi"/>
          <w:b/>
          <w:sz w:val="24"/>
          <w:szCs w:val="24"/>
          <w:lang w:val="en-GB"/>
        </w:rPr>
      </w:pPr>
      <w:r w:rsidRPr="00A91A09">
        <w:rPr>
          <w:rFonts w:cstheme="minorHAnsi"/>
          <w:b/>
          <w:sz w:val="24"/>
          <w:lang w:val="en-GB" w:bidi="en-GB"/>
        </w:rPr>
        <w:lastRenderedPageBreak/>
        <w:t xml:space="preserve">2.7 Comparison of the procedure of the beneficiaries in terms of the conditions set by providers </w:t>
      </w:r>
    </w:p>
    <w:p w14:paraId="71FC86E6" w14:textId="77777777" w:rsidR="00895164" w:rsidRPr="00A91A09" w:rsidRDefault="00895164" w:rsidP="007E14F9">
      <w:pPr>
        <w:spacing w:after="0" w:line="240" w:lineRule="auto"/>
        <w:jc w:val="both"/>
        <w:rPr>
          <w:rFonts w:eastAsia="Times New Roman" w:cstheme="minorHAnsi"/>
          <w:b/>
          <w:sz w:val="24"/>
          <w:szCs w:val="24"/>
          <w:lang w:val="en-GB"/>
        </w:rPr>
      </w:pPr>
    </w:p>
    <w:p w14:paraId="59A0D95F" w14:textId="0E3C185A" w:rsidR="00FE308F" w:rsidRPr="00A91A09" w:rsidRDefault="00393DDB" w:rsidP="007E14F9">
      <w:pPr>
        <w:spacing w:after="0" w:line="240" w:lineRule="auto"/>
        <w:jc w:val="both"/>
        <w:rPr>
          <w:rFonts w:eastAsia="Times New Roman" w:cstheme="minorHAnsi"/>
          <w:sz w:val="24"/>
          <w:szCs w:val="24"/>
          <w:lang w:val="en-GB"/>
        </w:rPr>
      </w:pPr>
      <w:r w:rsidRPr="00A91A09">
        <w:rPr>
          <w:rFonts w:cstheme="minorHAnsi"/>
          <w:b/>
          <w:sz w:val="24"/>
          <w:lang w:val="en-GB" w:bidi="en-GB"/>
        </w:rPr>
        <w:t xml:space="preserve">Funding of projects through the ROP was more demanding for the subsidy beneficiaries than through the </w:t>
      </w:r>
      <w:r w:rsidR="004D23C2">
        <w:rPr>
          <w:rFonts w:cstheme="minorHAnsi"/>
          <w:b/>
          <w:sz w:val="24"/>
          <w:lang w:val="en-GB" w:bidi="en-GB"/>
        </w:rPr>
        <w:t>SFDI</w:t>
      </w:r>
      <w:r w:rsidRPr="00A91A09">
        <w:rPr>
          <w:rFonts w:cstheme="minorHAnsi"/>
          <w:b/>
          <w:sz w:val="24"/>
          <w:lang w:val="en-GB" w:bidi="en-GB"/>
        </w:rPr>
        <w:t>.</w:t>
      </w:r>
      <w:r w:rsidRPr="00A91A09">
        <w:rPr>
          <w:rFonts w:cstheme="minorHAnsi"/>
          <w:sz w:val="24"/>
          <w:lang w:val="en-GB" w:bidi="en-GB"/>
        </w:rPr>
        <w:t xml:space="preserve"> The higher administrative burden was given in particular by the requirements for processing detailed applications for aid, assessed and evaluated by the RCSW in three stages, the obligations arising from compliance with the contractor selection rules, the eligibility of expenditure, project publicity, ensuring the sustainability of the project, fulfilment of the monitoring indicators etc. The administrative burden also consisted in regular project monitoring and reporting of any changes to the implementation of the project that were subject to the approval process of the RCSW. </w:t>
      </w:r>
    </w:p>
    <w:p w14:paraId="0ABFFC23" w14:textId="77777777" w:rsidR="00895164" w:rsidRPr="00A91A09" w:rsidRDefault="00895164" w:rsidP="007E14F9">
      <w:pPr>
        <w:spacing w:after="0" w:line="240" w:lineRule="auto"/>
        <w:jc w:val="both"/>
        <w:rPr>
          <w:rFonts w:eastAsia="Times New Roman" w:cstheme="minorHAnsi"/>
          <w:sz w:val="24"/>
          <w:szCs w:val="24"/>
          <w:lang w:val="en-GB"/>
        </w:rPr>
      </w:pPr>
    </w:p>
    <w:p w14:paraId="02389067" w14:textId="5810FBEE" w:rsidR="00393DDB" w:rsidRPr="00A91A09" w:rsidRDefault="00393DDB" w:rsidP="007E14F9">
      <w:pPr>
        <w:spacing w:after="0" w:line="240" w:lineRule="auto"/>
        <w:jc w:val="both"/>
        <w:rPr>
          <w:rFonts w:eastAsia="Times New Roman" w:cstheme="minorHAnsi"/>
          <w:sz w:val="24"/>
          <w:szCs w:val="24"/>
          <w:lang w:val="en-GB"/>
        </w:rPr>
      </w:pPr>
      <w:r w:rsidRPr="00A91A09">
        <w:rPr>
          <w:rFonts w:cstheme="minorHAnsi"/>
          <w:b/>
          <w:sz w:val="24"/>
          <w:lang w:val="en-GB" w:bidi="en-GB"/>
        </w:rPr>
        <w:t xml:space="preserve">A separate aspect was the </w:t>
      </w:r>
      <w:r w:rsidR="00B641AB">
        <w:rPr>
          <w:rFonts w:cstheme="minorHAnsi"/>
          <w:b/>
          <w:sz w:val="24"/>
          <w:lang w:val="en-GB" w:bidi="en-GB"/>
        </w:rPr>
        <w:t>audit</w:t>
      </w:r>
      <w:r w:rsidRPr="00A91A09">
        <w:rPr>
          <w:rFonts w:cstheme="minorHAnsi"/>
          <w:b/>
          <w:sz w:val="24"/>
          <w:lang w:val="en-GB" w:bidi="en-GB"/>
        </w:rPr>
        <w:t xml:space="preserve"> of the RCSW, which was considerably more extensive compared to the </w:t>
      </w:r>
      <w:r w:rsidR="00B641AB">
        <w:rPr>
          <w:rFonts w:cstheme="minorHAnsi"/>
          <w:b/>
          <w:sz w:val="24"/>
          <w:lang w:val="en-GB" w:bidi="en-GB"/>
        </w:rPr>
        <w:t>audit</w:t>
      </w:r>
      <w:r w:rsidRPr="00A91A09">
        <w:rPr>
          <w:rFonts w:cstheme="minorHAnsi"/>
          <w:b/>
          <w:sz w:val="24"/>
          <w:lang w:val="en-GB" w:bidi="en-GB"/>
        </w:rPr>
        <w:t xml:space="preserve"> carried out by the </w:t>
      </w:r>
      <w:r w:rsidR="004D23C2">
        <w:rPr>
          <w:rFonts w:cstheme="minorHAnsi"/>
          <w:b/>
          <w:sz w:val="24"/>
          <w:lang w:val="en-GB" w:bidi="en-GB"/>
        </w:rPr>
        <w:t>SFDI</w:t>
      </w:r>
      <w:r w:rsidRPr="00A91A09">
        <w:rPr>
          <w:rFonts w:cstheme="minorHAnsi"/>
          <w:b/>
          <w:sz w:val="24"/>
          <w:lang w:val="en-GB" w:bidi="en-GB"/>
        </w:rPr>
        <w:t>.</w:t>
      </w:r>
      <w:r w:rsidRPr="00A91A09">
        <w:rPr>
          <w:rFonts w:cstheme="minorHAnsi"/>
          <w:sz w:val="24"/>
          <w:lang w:val="en-GB" w:bidi="en-GB"/>
        </w:rPr>
        <w:t xml:space="preserve"> For example, the </w:t>
      </w:r>
      <w:r w:rsidR="004D23C2">
        <w:rPr>
          <w:rFonts w:cstheme="minorHAnsi"/>
          <w:sz w:val="24"/>
          <w:lang w:val="en-GB" w:bidi="en-GB"/>
        </w:rPr>
        <w:t>SFDI</w:t>
      </w:r>
      <w:r w:rsidRPr="00A91A09">
        <w:rPr>
          <w:rFonts w:cstheme="minorHAnsi"/>
          <w:sz w:val="24"/>
          <w:lang w:val="en-GB" w:bidi="en-GB"/>
        </w:rPr>
        <w:t xml:space="preserve"> conducted five </w:t>
      </w:r>
      <w:r w:rsidR="00B641AB">
        <w:rPr>
          <w:rFonts w:cstheme="minorHAnsi"/>
          <w:sz w:val="24"/>
          <w:lang w:val="en-GB" w:bidi="en-GB"/>
        </w:rPr>
        <w:t>audits</w:t>
      </w:r>
      <w:r w:rsidRPr="00A91A09">
        <w:rPr>
          <w:rFonts w:cstheme="minorHAnsi"/>
          <w:sz w:val="24"/>
          <w:lang w:val="en-GB" w:bidi="en-GB"/>
        </w:rPr>
        <w:t xml:space="preserve"> in 2016 to </w:t>
      </w:r>
      <w:r w:rsidR="003C123D">
        <w:rPr>
          <w:rFonts w:cstheme="minorHAnsi"/>
          <w:sz w:val="24"/>
          <w:lang w:val="en-GB" w:bidi="en-GB"/>
        </w:rPr>
        <w:t>review</w:t>
      </w:r>
      <w:r w:rsidRPr="00A91A09">
        <w:rPr>
          <w:rFonts w:cstheme="minorHAnsi"/>
          <w:sz w:val="24"/>
          <w:lang w:val="en-GB" w:bidi="en-GB"/>
        </w:rPr>
        <w:t xml:space="preserve"> 21 actions. On the other hand, the RCSW carried out a very detailed </w:t>
      </w:r>
      <w:r w:rsidR="00B641AB">
        <w:rPr>
          <w:rFonts w:cstheme="minorHAnsi"/>
          <w:sz w:val="24"/>
          <w:lang w:val="en-GB" w:bidi="en-GB"/>
        </w:rPr>
        <w:t>audit</w:t>
      </w:r>
      <w:r w:rsidRPr="00A91A09">
        <w:rPr>
          <w:rFonts w:cstheme="minorHAnsi"/>
          <w:sz w:val="24"/>
          <w:lang w:val="en-GB" w:bidi="en-GB"/>
        </w:rPr>
        <w:t xml:space="preserve"> of each project, at several levels.</w:t>
      </w:r>
    </w:p>
    <w:p w14:paraId="4F08700C" w14:textId="77777777" w:rsidR="00DD1B74" w:rsidRPr="00A91A09" w:rsidRDefault="00DD1B74" w:rsidP="007E14F9">
      <w:pPr>
        <w:spacing w:after="0" w:line="240" w:lineRule="auto"/>
        <w:jc w:val="both"/>
        <w:rPr>
          <w:rFonts w:eastAsia="Times New Roman" w:cstheme="minorHAnsi"/>
          <w:sz w:val="24"/>
          <w:szCs w:val="24"/>
          <w:lang w:val="en-GB"/>
        </w:rPr>
      </w:pPr>
    </w:p>
    <w:p w14:paraId="11BF51C8" w14:textId="77777777" w:rsidR="007E14F9" w:rsidRPr="00A91A09" w:rsidRDefault="007E14F9" w:rsidP="007E14F9">
      <w:pPr>
        <w:spacing w:after="0" w:line="240" w:lineRule="auto"/>
        <w:jc w:val="both"/>
        <w:rPr>
          <w:rFonts w:eastAsia="Times New Roman" w:cstheme="minorHAnsi"/>
          <w:sz w:val="24"/>
          <w:szCs w:val="24"/>
          <w:lang w:val="en-GB"/>
        </w:rPr>
      </w:pPr>
    </w:p>
    <w:p w14:paraId="73B132D4" w14:textId="24738ACE" w:rsidR="00393DDB" w:rsidRPr="00A91A09" w:rsidRDefault="00393DDB" w:rsidP="00F3106C">
      <w:pPr>
        <w:spacing w:after="0" w:line="240" w:lineRule="auto"/>
        <w:jc w:val="center"/>
        <w:rPr>
          <w:rFonts w:eastAsia="Times New Roman" w:cstheme="minorHAnsi"/>
          <w:b/>
          <w:sz w:val="28"/>
          <w:szCs w:val="28"/>
          <w:lang w:val="en-GB" w:eastAsia="cs-CZ"/>
        </w:rPr>
      </w:pPr>
      <w:r w:rsidRPr="00A91A09">
        <w:rPr>
          <w:rFonts w:cstheme="minorHAnsi"/>
          <w:b/>
          <w:sz w:val="28"/>
          <w:lang w:val="en-GB" w:bidi="en-GB"/>
        </w:rPr>
        <w:t>IV. Data found from data bases</w:t>
      </w:r>
    </w:p>
    <w:p w14:paraId="6FF7F2A9" w14:textId="77777777" w:rsidR="00831687" w:rsidRPr="00A91A09" w:rsidRDefault="00831687" w:rsidP="00F3106C">
      <w:pPr>
        <w:spacing w:after="0" w:line="240" w:lineRule="auto"/>
        <w:jc w:val="both"/>
        <w:rPr>
          <w:rFonts w:eastAsia="Times New Roman" w:cstheme="minorHAnsi"/>
          <w:sz w:val="24"/>
          <w:szCs w:val="24"/>
          <w:lang w:val="en-GB" w:eastAsia="cs-CZ"/>
        </w:rPr>
      </w:pPr>
    </w:p>
    <w:p w14:paraId="16254325" w14:textId="0502FC6D" w:rsidR="00393DDB" w:rsidRPr="00A91A09" w:rsidRDefault="00393D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In the framework of Audit No. 17/09, the evaluation of the obtained price and cost data and the evaluation of the contribution of the provided subsidies for improving the technical condition of the regional roads were carried out. Some evaluations were executed only to a limited extent because of the unavailability of data for the acquisition of which the SAO did not have the authorisation. Another reason was that the </w:t>
      </w:r>
      <w:r w:rsidR="00C566C3">
        <w:rPr>
          <w:rFonts w:cstheme="minorHAnsi"/>
          <w:sz w:val="24"/>
          <w:lang w:val="en-GB" w:bidi="en-GB"/>
        </w:rPr>
        <w:t>auditees</w:t>
      </w:r>
      <w:r w:rsidRPr="00A91A09">
        <w:rPr>
          <w:rFonts w:cstheme="minorHAnsi"/>
          <w:sz w:val="24"/>
          <w:lang w:val="en-GB" w:bidi="en-GB"/>
        </w:rPr>
        <w:t xml:space="preserve"> did not make the necessary assessments. These were mainly funds from regions that were used in parallel with subsidies from the </w:t>
      </w:r>
      <w:r w:rsidR="004D23C2">
        <w:rPr>
          <w:rFonts w:cstheme="minorHAnsi"/>
          <w:sz w:val="24"/>
          <w:lang w:val="en-GB" w:bidi="en-GB"/>
        </w:rPr>
        <w:t>SFDI</w:t>
      </w:r>
      <w:r w:rsidRPr="00A91A09">
        <w:rPr>
          <w:rFonts w:cstheme="minorHAnsi"/>
          <w:sz w:val="24"/>
          <w:lang w:val="en-GB" w:bidi="en-GB"/>
        </w:rPr>
        <w:t xml:space="preserve"> and the EU for repairing the regional roads. Criteria for selecting actions whose parameters were evaluated were chosen to select actions of a comparable technical and technological nature.</w:t>
      </w:r>
    </w:p>
    <w:p w14:paraId="2E8D9EC3" w14:textId="77777777" w:rsidR="00393DDB" w:rsidRPr="00A91A09" w:rsidRDefault="00393DDB" w:rsidP="00F3106C">
      <w:pPr>
        <w:spacing w:after="0" w:line="240" w:lineRule="auto"/>
        <w:jc w:val="both"/>
        <w:rPr>
          <w:rFonts w:eastAsia="Times New Roman" w:cstheme="minorHAnsi"/>
          <w:sz w:val="24"/>
          <w:szCs w:val="24"/>
          <w:lang w:val="en-GB" w:eastAsia="cs-CZ"/>
        </w:rPr>
      </w:pPr>
    </w:p>
    <w:p w14:paraId="0A105AC9" w14:textId="77777777" w:rsidR="00393DDB" w:rsidRPr="00A91A09" w:rsidRDefault="00393DDB" w:rsidP="00F3106C">
      <w:pPr>
        <w:spacing w:after="0" w:line="240" w:lineRule="auto"/>
        <w:jc w:val="both"/>
        <w:rPr>
          <w:rFonts w:eastAsia="Times New Roman" w:cstheme="minorHAnsi"/>
          <w:b/>
          <w:sz w:val="24"/>
          <w:szCs w:val="24"/>
          <w:lang w:val="en-GB" w:eastAsia="cs-CZ"/>
        </w:rPr>
      </w:pPr>
      <w:r w:rsidRPr="00A91A09">
        <w:rPr>
          <w:rFonts w:cstheme="minorHAnsi"/>
          <w:b/>
          <w:sz w:val="24"/>
          <w:lang w:val="en-GB" w:bidi="en-GB"/>
        </w:rPr>
        <w:t>1. Evaluation of unit costs for the repair of regional roads</w:t>
      </w:r>
    </w:p>
    <w:p w14:paraId="3077907C" w14:textId="77777777" w:rsidR="00831687" w:rsidRPr="00A91A09" w:rsidRDefault="00831687" w:rsidP="00F3106C">
      <w:pPr>
        <w:spacing w:after="0" w:line="240" w:lineRule="auto"/>
        <w:jc w:val="both"/>
        <w:rPr>
          <w:rFonts w:eastAsia="Times New Roman" w:cstheme="minorHAnsi"/>
          <w:sz w:val="24"/>
          <w:szCs w:val="24"/>
          <w:lang w:val="en-GB" w:eastAsia="cs-CZ"/>
        </w:rPr>
      </w:pPr>
    </w:p>
    <w:p w14:paraId="75EEB91D" w14:textId="77777777" w:rsidR="00393DDB" w:rsidRPr="00A91A09" w:rsidRDefault="00393D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For the purpose of evaluating the costs of repairs and reconstruction of 1 km of regional roads, cases of overall road surface repairs were selected from among the projects under review, including the removal of the entire road cover, repairs of the subsoil, drainage elements, laying of a new underlay and wear layer and new horizontal and vertical marking. In addition, repairs or reconstruction of bridge structures on these roads were selected. The total repair costs for 1 km of roads and repair costs for 1 m</w:t>
      </w:r>
      <w:r w:rsidRPr="00A91A09">
        <w:rPr>
          <w:rFonts w:cstheme="minorHAnsi"/>
          <w:sz w:val="24"/>
          <w:vertAlign w:val="superscript"/>
          <w:lang w:val="en-GB" w:bidi="en-GB"/>
        </w:rPr>
        <w:t>2</w:t>
      </w:r>
      <w:r w:rsidRPr="00A91A09">
        <w:rPr>
          <w:rFonts w:cstheme="minorHAnsi"/>
          <w:sz w:val="24"/>
          <w:lang w:val="en-GB" w:bidi="en-GB"/>
        </w:rPr>
        <w:t xml:space="preserve"> of bridge structures related to the road surface on the given bridge were determined. The unit cost data are shown in Tables 3 and 4 in CZK exclusive of VAT. In the case of overall road repairs, the minimum and maximum values found for the audited projects are listed in the table. The cost data for 1 km in the case of overall road repairs are also shown in Chart 1.</w:t>
      </w:r>
    </w:p>
    <w:p w14:paraId="62408618" w14:textId="77777777" w:rsidR="00393DDB" w:rsidRPr="00A91A09" w:rsidRDefault="00393DDB" w:rsidP="00F3106C">
      <w:pPr>
        <w:spacing w:after="0" w:line="240" w:lineRule="auto"/>
        <w:jc w:val="both"/>
        <w:rPr>
          <w:rFonts w:eastAsia="Times New Roman" w:cstheme="minorHAnsi"/>
          <w:sz w:val="24"/>
          <w:szCs w:val="24"/>
          <w:lang w:val="en-GB" w:eastAsia="cs-CZ"/>
        </w:rPr>
      </w:pPr>
    </w:p>
    <w:p w14:paraId="60652A99" w14:textId="77777777" w:rsidR="00393DDB" w:rsidRPr="00A91A09" w:rsidRDefault="00393DDB" w:rsidP="00F3106C">
      <w:pPr>
        <w:keepNext/>
        <w:spacing w:after="40" w:line="240" w:lineRule="auto"/>
        <w:jc w:val="both"/>
        <w:rPr>
          <w:rFonts w:eastAsia="Times New Roman" w:cstheme="minorHAnsi"/>
          <w:b/>
          <w:sz w:val="24"/>
          <w:szCs w:val="24"/>
          <w:lang w:val="en-GB" w:eastAsia="cs-CZ"/>
        </w:rPr>
      </w:pPr>
      <w:r w:rsidRPr="00A91A09">
        <w:rPr>
          <w:rFonts w:cstheme="minorHAnsi"/>
          <w:b/>
          <w:sz w:val="24"/>
          <w:lang w:val="en-GB" w:bidi="en-GB"/>
        </w:rPr>
        <w:lastRenderedPageBreak/>
        <w:t>Table 3 – Costs per 1 km of repaired roads</w:t>
      </w:r>
    </w:p>
    <w:tbl>
      <w:tblPr>
        <w:tblW w:w="9092" w:type="dxa"/>
        <w:tblInd w:w="-5" w:type="dxa"/>
        <w:tblLayout w:type="fixed"/>
        <w:tblCellMar>
          <w:left w:w="70" w:type="dxa"/>
          <w:right w:w="70" w:type="dxa"/>
        </w:tblCellMar>
        <w:tblLook w:val="04A0" w:firstRow="1" w:lastRow="0" w:firstColumn="1" w:lastColumn="0" w:noHBand="0" w:noVBand="1"/>
      </w:tblPr>
      <w:tblGrid>
        <w:gridCol w:w="2631"/>
        <w:gridCol w:w="3229"/>
        <w:gridCol w:w="3232"/>
      </w:tblGrid>
      <w:tr w:rsidR="00675B8E" w:rsidRPr="00A91A09" w14:paraId="7D65918F" w14:textId="77777777" w:rsidTr="00675B8E">
        <w:trPr>
          <w:trHeight w:val="227"/>
        </w:trPr>
        <w:tc>
          <w:tcPr>
            <w:tcW w:w="2631" w:type="dxa"/>
            <w:vMerge w:val="restart"/>
            <w:tcBorders>
              <w:top w:val="single" w:sz="4" w:space="0" w:color="auto"/>
              <w:left w:val="single" w:sz="4" w:space="0" w:color="auto"/>
              <w:right w:val="single" w:sz="4" w:space="0" w:color="auto"/>
            </w:tcBorders>
            <w:shd w:val="clear" w:color="auto" w:fill="E5F1FF"/>
            <w:noWrap/>
            <w:vAlign w:val="center"/>
            <w:hideMark/>
          </w:tcPr>
          <w:p w14:paraId="24200E4B" w14:textId="77777777" w:rsidR="00675B8E" w:rsidRPr="00A91A09" w:rsidRDefault="00675B8E" w:rsidP="00675B8E">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Beneficiary</w:t>
            </w:r>
          </w:p>
        </w:tc>
        <w:tc>
          <w:tcPr>
            <w:tcW w:w="6461" w:type="dxa"/>
            <w:gridSpan w:val="2"/>
            <w:tcBorders>
              <w:top w:val="single" w:sz="4" w:space="0" w:color="auto"/>
              <w:left w:val="nil"/>
              <w:bottom w:val="single" w:sz="4" w:space="0" w:color="auto"/>
              <w:right w:val="single" w:sz="4" w:space="0" w:color="000000"/>
            </w:tcBorders>
            <w:shd w:val="clear" w:color="auto" w:fill="E5F1FF"/>
            <w:vAlign w:val="center"/>
            <w:hideMark/>
          </w:tcPr>
          <w:p w14:paraId="7CD11D7F" w14:textId="77777777" w:rsidR="00675B8E" w:rsidRPr="00A91A09" w:rsidRDefault="00675B8E" w:rsidP="00675B8E">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Costs per 1 km of overall road repairs (in CZK exclusive of VAT)</w:t>
            </w:r>
          </w:p>
        </w:tc>
      </w:tr>
      <w:tr w:rsidR="00675B8E" w:rsidRPr="00A91A09" w14:paraId="64DB8820" w14:textId="77777777" w:rsidTr="00675B8E">
        <w:trPr>
          <w:trHeight w:val="227"/>
        </w:trPr>
        <w:tc>
          <w:tcPr>
            <w:tcW w:w="2631" w:type="dxa"/>
            <w:vMerge/>
            <w:tcBorders>
              <w:left w:val="single" w:sz="4" w:space="0" w:color="auto"/>
              <w:bottom w:val="single" w:sz="4" w:space="0" w:color="auto"/>
              <w:right w:val="single" w:sz="4" w:space="0" w:color="auto"/>
            </w:tcBorders>
            <w:shd w:val="clear" w:color="auto" w:fill="E5F1FF"/>
            <w:noWrap/>
            <w:vAlign w:val="bottom"/>
            <w:hideMark/>
          </w:tcPr>
          <w:p w14:paraId="3C8E280A" w14:textId="77777777" w:rsidR="00675B8E" w:rsidRPr="00A91A09" w:rsidRDefault="00675B8E" w:rsidP="00F3106C">
            <w:pPr>
              <w:keepNext/>
              <w:spacing w:after="0" w:line="240" w:lineRule="auto"/>
              <w:jc w:val="center"/>
              <w:rPr>
                <w:rFonts w:eastAsia="Times New Roman" w:cstheme="minorHAnsi"/>
                <w:b/>
                <w:bCs/>
                <w:color w:val="000000"/>
                <w:sz w:val="20"/>
                <w:szCs w:val="20"/>
                <w:lang w:val="en-GB" w:eastAsia="cs-CZ"/>
              </w:rPr>
            </w:pPr>
          </w:p>
        </w:tc>
        <w:tc>
          <w:tcPr>
            <w:tcW w:w="3229" w:type="dxa"/>
            <w:tcBorders>
              <w:top w:val="nil"/>
              <w:left w:val="nil"/>
              <w:bottom w:val="single" w:sz="4" w:space="0" w:color="auto"/>
              <w:right w:val="single" w:sz="4" w:space="0" w:color="auto"/>
            </w:tcBorders>
            <w:shd w:val="clear" w:color="auto" w:fill="E5F1FF"/>
            <w:noWrap/>
            <w:vAlign w:val="center"/>
            <w:hideMark/>
          </w:tcPr>
          <w:p w14:paraId="34A2E2AC" w14:textId="096D2D31" w:rsidR="00675B8E" w:rsidRPr="00A91A09" w:rsidRDefault="00725652" w:rsidP="00675B8E">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Min.</w:t>
            </w:r>
          </w:p>
        </w:tc>
        <w:tc>
          <w:tcPr>
            <w:tcW w:w="3232" w:type="dxa"/>
            <w:tcBorders>
              <w:top w:val="nil"/>
              <w:left w:val="nil"/>
              <w:bottom w:val="single" w:sz="4" w:space="0" w:color="auto"/>
              <w:right w:val="single" w:sz="4" w:space="0" w:color="auto"/>
            </w:tcBorders>
            <w:shd w:val="clear" w:color="auto" w:fill="E5F1FF"/>
            <w:noWrap/>
            <w:vAlign w:val="center"/>
            <w:hideMark/>
          </w:tcPr>
          <w:p w14:paraId="67DEAE8F" w14:textId="3C6B5990" w:rsidR="00675B8E" w:rsidRPr="00A91A09" w:rsidRDefault="00725652" w:rsidP="00675B8E">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Max.</w:t>
            </w:r>
          </w:p>
        </w:tc>
      </w:tr>
      <w:tr w:rsidR="00393DDB" w:rsidRPr="00A91A09" w14:paraId="68165F88"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55022E35" w14:textId="77777777" w:rsidR="00393DDB" w:rsidRPr="00A91A09" w:rsidRDefault="001C0690" w:rsidP="00F3106C">
            <w:pPr>
              <w:keepNext/>
              <w:spacing w:after="0" w:line="240" w:lineRule="auto"/>
              <w:rPr>
                <w:rFonts w:eastAsia="Times New Roman" w:cstheme="minorHAnsi"/>
                <w:color w:val="000000"/>
                <w:sz w:val="20"/>
                <w:szCs w:val="20"/>
                <w:lang w:val="en-GB" w:eastAsia="cs-CZ"/>
              </w:rPr>
            </w:pPr>
            <w:r w:rsidRPr="00A91A09">
              <w:rPr>
                <w:rFonts w:cstheme="minorHAnsi"/>
                <w:sz w:val="20"/>
                <w:lang w:val="en-GB" w:bidi="en-GB"/>
              </w:rPr>
              <w:t>SBR</w:t>
            </w:r>
          </w:p>
        </w:tc>
        <w:tc>
          <w:tcPr>
            <w:tcW w:w="3229" w:type="dxa"/>
            <w:tcBorders>
              <w:top w:val="nil"/>
              <w:left w:val="nil"/>
              <w:bottom w:val="single" w:sz="4" w:space="0" w:color="auto"/>
              <w:right w:val="single" w:sz="4" w:space="0" w:color="auto"/>
            </w:tcBorders>
            <w:shd w:val="clear" w:color="auto" w:fill="auto"/>
            <w:noWrap/>
            <w:vAlign w:val="bottom"/>
            <w:hideMark/>
          </w:tcPr>
          <w:p w14:paraId="4FB38763"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1,227,844.76</w:t>
            </w:r>
          </w:p>
        </w:tc>
        <w:tc>
          <w:tcPr>
            <w:tcW w:w="3232" w:type="dxa"/>
            <w:tcBorders>
              <w:top w:val="nil"/>
              <w:left w:val="nil"/>
              <w:bottom w:val="single" w:sz="4" w:space="0" w:color="auto"/>
              <w:right w:val="single" w:sz="4" w:space="0" w:color="auto"/>
            </w:tcBorders>
            <w:shd w:val="clear" w:color="auto" w:fill="auto"/>
            <w:noWrap/>
            <w:vAlign w:val="bottom"/>
            <w:hideMark/>
          </w:tcPr>
          <w:p w14:paraId="355DBC87"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1,687,526.60</w:t>
            </w:r>
          </w:p>
        </w:tc>
      </w:tr>
      <w:tr w:rsidR="00393DDB" w:rsidRPr="00A91A09" w14:paraId="61853090"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3D5BD21A" w14:textId="77777777" w:rsidR="00393DDB" w:rsidRPr="00A91A09" w:rsidRDefault="001C0690" w:rsidP="00F3106C">
            <w:pPr>
              <w:keepNext/>
              <w:spacing w:after="0" w:line="240" w:lineRule="auto"/>
              <w:rPr>
                <w:rFonts w:eastAsia="Times New Roman" w:cstheme="minorHAnsi"/>
                <w:color w:val="000000"/>
                <w:sz w:val="20"/>
                <w:szCs w:val="20"/>
                <w:lang w:val="en-GB" w:eastAsia="cs-CZ"/>
              </w:rPr>
            </w:pPr>
            <w:r w:rsidRPr="00A91A09">
              <w:rPr>
                <w:rFonts w:cstheme="minorHAnsi"/>
                <w:sz w:val="20"/>
                <w:lang w:val="en-GB" w:bidi="en-GB"/>
              </w:rPr>
              <w:t>LR</w:t>
            </w:r>
          </w:p>
        </w:tc>
        <w:tc>
          <w:tcPr>
            <w:tcW w:w="3229" w:type="dxa"/>
            <w:tcBorders>
              <w:top w:val="nil"/>
              <w:left w:val="nil"/>
              <w:bottom w:val="single" w:sz="4" w:space="0" w:color="auto"/>
              <w:right w:val="single" w:sz="4" w:space="0" w:color="auto"/>
            </w:tcBorders>
            <w:shd w:val="clear" w:color="auto" w:fill="auto"/>
            <w:noWrap/>
            <w:vAlign w:val="bottom"/>
            <w:hideMark/>
          </w:tcPr>
          <w:p w14:paraId="0698064B"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6,872,612.18</w:t>
            </w:r>
          </w:p>
        </w:tc>
        <w:tc>
          <w:tcPr>
            <w:tcW w:w="3232" w:type="dxa"/>
            <w:tcBorders>
              <w:top w:val="nil"/>
              <w:left w:val="nil"/>
              <w:bottom w:val="single" w:sz="4" w:space="0" w:color="auto"/>
              <w:right w:val="single" w:sz="4" w:space="0" w:color="auto"/>
            </w:tcBorders>
            <w:shd w:val="clear" w:color="auto" w:fill="auto"/>
            <w:noWrap/>
            <w:vAlign w:val="bottom"/>
            <w:hideMark/>
          </w:tcPr>
          <w:p w14:paraId="11360C5E"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9,987,354.43</w:t>
            </w:r>
          </w:p>
        </w:tc>
      </w:tr>
      <w:tr w:rsidR="00393DDB" w:rsidRPr="00A91A09" w14:paraId="1BE63A33"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4DA4E9EA" w14:textId="77777777" w:rsidR="00393DDB" w:rsidRPr="00A91A09" w:rsidRDefault="00393DDB" w:rsidP="00F3106C">
            <w:pPr>
              <w:keepNext/>
              <w:spacing w:after="0" w:line="240" w:lineRule="auto"/>
              <w:rPr>
                <w:rFonts w:eastAsia="Times New Roman" w:cstheme="minorHAnsi"/>
                <w:color w:val="000000"/>
                <w:sz w:val="20"/>
                <w:szCs w:val="20"/>
                <w:lang w:val="en-GB" w:eastAsia="cs-CZ"/>
              </w:rPr>
            </w:pPr>
            <w:r w:rsidRPr="00A91A09">
              <w:rPr>
                <w:rFonts w:cstheme="minorHAnsi"/>
                <w:sz w:val="20"/>
                <w:lang w:val="en-GB" w:bidi="en-GB"/>
              </w:rPr>
              <w:t>MSR</w:t>
            </w:r>
          </w:p>
        </w:tc>
        <w:tc>
          <w:tcPr>
            <w:tcW w:w="3229" w:type="dxa"/>
            <w:tcBorders>
              <w:top w:val="nil"/>
              <w:left w:val="nil"/>
              <w:bottom w:val="single" w:sz="4" w:space="0" w:color="auto"/>
              <w:right w:val="single" w:sz="4" w:space="0" w:color="auto"/>
            </w:tcBorders>
            <w:shd w:val="clear" w:color="auto" w:fill="auto"/>
            <w:noWrap/>
            <w:vAlign w:val="bottom"/>
            <w:hideMark/>
          </w:tcPr>
          <w:p w14:paraId="4AAE9B89"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10,025,919.32</w:t>
            </w:r>
          </w:p>
        </w:tc>
        <w:tc>
          <w:tcPr>
            <w:tcW w:w="3232" w:type="dxa"/>
            <w:tcBorders>
              <w:top w:val="nil"/>
              <w:left w:val="nil"/>
              <w:bottom w:val="single" w:sz="4" w:space="0" w:color="auto"/>
              <w:right w:val="single" w:sz="4" w:space="0" w:color="auto"/>
            </w:tcBorders>
            <w:shd w:val="clear" w:color="auto" w:fill="auto"/>
            <w:noWrap/>
            <w:vAlign w:val="bottom"/>
            <w:hideMark/>
          </w:tcPr>
          <w:p w14:paraId="2791B555"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17,965,641.85</w:t>
            </w:r>
          </w:p>
        </w:tc>
      </w:tr>
      <w:tr w:rsidR="00393DDB" w:rsidRPr="00A91A09" w14:paraId="74217C88"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A537278" w14:textId="77777777" w:rsidR="00393DDB" w:rsidRPr="00A91A09" w:rsidRDefault="001C0690" w:rsidP="00F3106C">
            <w:pPr>
              <w:keepNext/>
              <w:spacing w:after="0" w:line="240" w:lineRule="auto"/>
              <w:rPr>
                <w:rFonts w:eastAsia="Times New Roman" w:cstheme="minorHAnsi"/>
                <w:color w:val="000000"/>
                <w:sz w:val="20"/>
                <w:szCs w:val="20"/>
                <w:lang w:val="en-GB" w:eastAsia="cs-CZ"/>
              </w:rPr>
            </w:pPr>
            <w:r w:rsidRPr="00A91A09">
              <w:rPr>
                <w:rFonts w:cstheme="minorHAnsi"/>
                <w:sz w:val="20"/>
                <w:lang w:val="en-GB" w:bidi="en-GB"/>
              </w:rPr>
              <w:t>PR</w:t>
            </w:r>
          </w:p>
        </w:tc>
        <w:tc>
          <w:tcPr>
            <w:tcW w:w="3229" w:type="dxa"/>
            <w:tcBorders>
              <w:top w:val="nil"/>
              <w:left w:val="nil"/>
              <w:bottom w:val="single" w:sz="4" w:space="0" w:color="auto"/>
              <w:right w:val="single" w:sz="4" w:space="0" w:color="auto"/>
            </w:tcBorders>
            <w:shd w:val="clear" w:color="auto" w:fill="auto"/>
            <w:noWrap/>
            <w:vAlign w:val="bottom"/>
            <w:hideMark/>
          </w:tcPr>
          <w:p w14:paraId="1E5B4B6C"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7,643,007.25</w:t>
            </w:r>
          </w:p>
        </w:tc>
        <w:tc>
          <w:tcPr>
            <w:tcW w:w="3232" w:type="dxa"/>
            <w:tcBorders>
              <w:top w:val="nil"/>
              <w:left w:val="nil"/>
              <w:bottom w:val="single" w:sz="4" w:space="0" w:color="auto"/>
              <w:right w:val="single" w:sz="4" w:space="0" w:color="auto"/>
            </w:tcBorders>
            <w:shd w:val="clear" w:color="auto" w:fill="auto"/>
            <w:noWrap/>
            <w:vAlign w:val="bottom"/>
            <w:hideMark/>
          </w:tcPr>
          <w:p w14:paraId="2F69424E"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10,216,177.78</w:t>
            </w:r>
          </w:p>
        </w:tc>
      </w:tr>
      <w:tr w:rsidR="00393DDB" w:rsidRPr="00A91A09" w14:paraId="1BE982CD"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43B35136" w14:textId="77777777" w:rsidR="00393DDB" w:rsidRPr="00A91A09" w:rsidRDefault="00393DDB" w:rsidP="00F3106C">
            <w:pPr>
              <w:keepNext/>
              <w:spacing w:after="0" w:line="240" w:lineRule="auto"/>
              <w:rPr>
                <w:rFonts w:eastAsia="Times New Roman" w:cstheme="minorHAnsi"/>
                <w:color w:val="000000"/>
                <w:sz w:val="20"/>
                <w:szCs w:val="20"/>
                <w:lang w:val="en-GB" w:eastAsia="cs-CZ"/>
              </w:rPr>
            </w:pPr>
            <w:r w:rsidRPr="00A91A09">
              <w:rPr>
                <w:rFonts w:cstheme="minorHAnsi"/>
                <w:sz w:val="20"/>
                <w:lang w:val="en-GB" w:bidi="en-GB"/>
              </w:rPr>
              <w:t>RMMSR</w:t>
            </w:r>
          </w:p>
        </w:tc>
        <w:tc>
          <w:tcPr>
            <w:tcW w:w="3229" w:type="dxa"/>
            <w:tcBorders>
              <w:top w:val="nil"/>
              <w:left w:val="nil"/>
              <w:bottom w:val="single" w:sz="4" w:space="0" w:color="auto"/>
              <w:right w:val="single" w:sz="4" w:space="0" w:color="auto"/>
            </w:tcBorders>
            <w:shd w:val="clear" w:color="auto" w:fill="auto"/>
            <w:noWrap/>
            <w:vAlign w:val="bottom"/>
            <w:hideMark/>
          </w:tcPr>
          <w:p w14:paraId="513F5C5C"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1,425,266.16</w:t>
            </w:r>
          </w:p>
        </w:tc>
        <w:tc>
          <w:tcPr>
            <w:tcW w:w="3232" w:type="dxa"/>
            <w:tcBorders>
              <w:top w:val="nil"/>
              <w:left w:val="nil"/>
              <w:bottom w:val="single" w:sz="4" w:space="0" w:color="auto"/>
              <w:right w:val="single" w:sz="4" w:space="0" w:color="auto"/>
            </w:tcBorders>
            <w:shd w:val="clear" w:color="auto" w:fill="auto"/>
            <w:noWrap/>
            <w:vAlign w:val="bottom"/>
            <w:hideMark/>
          </w:tcPr>
          <w:p w14:paraId="06C703CD"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2,407,256.41</w:t>
            </w:r>
          </w:p>
        </w:tc>
      </w:tr>
      <w:tr w:rsidR="00393DDB" w:rsidRPr="00A91A09" w14:paraId="70464D58"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84BB635" w14:textId="77777777" w:rsidR="00393DDB" w:rsidRPr="00A91A09" w:rsidRDefault="00393DDB" w:rsidP="00F3106C">
            <w:pPr>
              <w:keepNext/>
              <w:spacing w:after="0" w:line="240" w:lineRule="auto"/>
              <w:rPr>
                <w:rFonts w:eastAsia="Times New Roman" w:cstheme="minorHAnsi"/>
                <w:color w:val="000000"/>
                <w:sz w:val="20"/>
                <w:szCs w:val="20"/>
                <w:lang w:val="en-GB" w:eastAsia="cs-CZ"/>
              </w:rPr>
            </w:pPr>
            <w:r w:rsidRPr="00A91A09">
              <w:rPr>
                <w:rFonts w:cstheme="minorHAnsi"/>
                <w:sz w:val="20"/>
                <w:lang w:val="en-GB" w:bidi="en-GB"/>
              </w:rPr>
              <w:t>RMMPR</w:t>
            </w:r>
          </w:p>
        </w:tc>
        <w:tc>
          <w:tcPr>
            <w:tcW w:w="3229" w:type="dxa"/>
            <w:tcBorders>
              <w:top w:val="nil"/>
              <w:left w:val="nil"/>
              <w:bottom w:val="single" w:sz="4" w:space="0" w:color="auto"/>
              <w:right w:val="single" w:sz="4" w:space="0" w:color="auto"/>
            </w:tcBorders>
            <w:shd w:val="clear" w:color="auto" w:fill="auto"/>
            <w:noWrap/>
            <w:vAlign w:val="bottom"/>
            <w:hideMark/>
          </w:tcPr>
          <w:p w14:paraId="3B99F0E3"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5,379,030.37</w:t>
            </w:r>
          </w:p>
        </w:tc>
        <w:tc>
          <w:tcPr>
            <w:tcW w:w="3232" w:type="dxa"/>
            <w:tcBorders>
              <w:top w:val="nil"/>
              <w:left w:val="nil"/>
              <w:bottom w:val="single" w:sz="4" w:space="0" w:color="auto"/>
              <w:right w:val="single" w:sz="4" w:space="0" w:color="auto"/>
            </w:tcBorders>
            <w:shd w:val="clear" w:color="auto" w:fill="auto"/>
            <w:noWrap/>
            <w:vAlign w:val="bottom"/>
            <w:hideMark/>
          </w:tcPr>
          <w:p w14:paraId="1BBB01F1"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5,379,030.37</w:t>
            </w:r>
          </w:p>
        </w:tc>
      </w:tr>
      <w:tr w:rsidR="00393DDB" w:rsidRPr="00A91A09" w14:paraId="45245BA7" w14:textId="77777777" w:rsidTr="00675B8E">
        <w:trPr>
          <w:trHeight w:val="227"/>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54121E28" w14:textId="77777777" w:rsidR="00393DDB" w:rsidRPr="00A91A09" w:rsidRDefault="00393DDB" w:rsidP="00F3106C">
            <w:pPr>
              <w:keepNext/>
              <w:spacing w:after="0" w:line="240" w:lineRule="auto"/>
              <w:rPr>
                <w:rFonts w:eastAsia="Times New Roman" w:cstheme="minorHAnsi"/>
                <w:color w:val="000000"/>
                <w:sz w:val="20"/>
                <w:szCs w:val="20"/>
                <w:lang w:val="en-GB" w:eastAsia="cs-CZ"/>
              </w:rPr>
            </w:pPr>
            <w:r w:rsidRPr="00A91A09">
              <w:rPr>
                <w:rFonts w:cstheme="minorHAnsi"/>
                <w:sz w:val="20"/>
                <w:lang w:val="en-GB" w:bidi="en-GB"/>
              </w:rPr>
              <w:t>RMMPilR</w:t>
            </w:r>
          </w:p>
        </w:tc>
        <w:tc>
          <w:tcPr>
            <w:tcW w:w="3229" w:type="dxa"/>
            <w:tcBorders>
              <w:top w:val="nil"/>
              <w:left w:val="nil"/>
              <w:bottom w:val="single" w:sz="4" w:space="0" w:color="auto"/>
              <w:right w:val="single" w:sz="4" w:space="0" w:color="auto"/>
            </w:tcBorders>
            <w:shd w:val="clear" w:color="auto" w:fill="auto"/>
            <w:noWrap/>
            <w:vAlign w:val="bottom"/>
            <w:hideMark/>
          </w:tcPr>
          <w:p w14:paraId="561BC1AB"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2,455,476.86</w:t>
            </w:r>
          </w:p>
        </w:tc>
        <w:tc>
          <w:tcPr>
            <w:tcW w:w="3232" w:type="dxa"/>
            <w:tcBorders>
              <w:top w:val="nil"/>
              <w:left w:val="nil"/>
              <w:bottom w:val="single" w:sz="4" w:space="0" w:color="auto"/>
              <w:right w:val="single" w:sz="4" w:space="0" w:color="auto"/>
            </w:tcBorders>
            <w:shd w:val="clear" w:color="auto" w:fill="auto"/>
            <w:noWrap/>
            <w:vAlign w:val="bottom"/>
            <w:hideMark/>
          </w:tcPr>
          <w:p w14:paraId="01E18E7F" w14:textId="77777777" w:rsidR="00393DDB" w:rsidRPr="00A91A09" w:rsidRDefault="00393DDB" w:rsidP="00725652">
            <w:pPr>
              <w:keepNext/>
              <w:spacing w:after="0" w:line="240" w:lineRule="auto"/>
              <w:ind w:right="965"/>
              <w:jc w:val="right"/>
              <w:rPr>
                <w:rFonts w:eastAsia="Times New Roman" w:cstheme="minorHAnsi"/>
                <w:color w:val="000000"/>
                <w:sz w:val="20"/>
                <w:szCs w:val="20"/>
                <w:lang w:val="en-GB" w:eastAsia="cs-CZ"/>
              </w:rPr>
            </w:pPr>
            <w:r w:rsidRPr="00A91A09">
              <w:rPr>
                <w:rFonts w:cstheme="minorHAnsi"/>
                <w:sz w:val="20"/>
                <w:lang w:val="en-GB" w:bidi="en-GB"/>
              </w:rPr>
              <w:t>8,274,386.76</w:t>
            </w:r>
          </w:p>
        </w:tc>
      </w:tr>
    </w:tbl>
    <w:p w14:paraId="1EDCF462" w14:textId="693963E3" w:rsidR="00393DDB" w:rsidRPr="00A91A09" w:rsidRDefault="00393DDB" w:rsidP="00064D6C">
      <w:pPr>
        <w:keepNext/>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1D980E7F" w14:textId="77777777" w:rsidR="00115EEF" w:rsidRPr="00A91A09" w:rsidRDefault="00115EEF" w:rsidP="00393DDB">
      <w:pPr>
        <w:spacing w:after="0" w:line="240" w:lineRule="auto"/>
        <w:jc w:val="both"/>
        <w:rPr>
          <w:rFonts w:eastAsia="Times New Roman" w:cstheme="minorHAnsi"/>
          <w:sz w:val="24"/>
          <w:szCs w:val="24"/>
          <w:lang w:val="en-GB" w:eastAsia="cs-CZ"/>
        </w:rPr>
      </w:pPr>
    </w:p>
    <w:p w14:paraId="6D70EF22" w14:textId="77777777" w:rsidR="00393DDB" w:rsidRPr="00A91A09" w:rsidRDefault="00393DDB" w:rsidP="007922CB">
      <w:pPr>
        <w:tabs>
          <w:tab w:val="right" w:pos="9072"/>
        </w:tabs>
        <w:spacing w:after="40" w:line="240" w:lineRule="auto"/>
        <w:jc w:val="both"/>
        <w:rPr>
          <w:rFonts w:eastAsia="Times New Roman" w:cstheme="minorHAnsi"/>
          <w:b/>
          <w:sz w:val="24"/>
          <w:szCs w:val="24"/>
          <w:lang w:val="en-GB" w:eastAsia="cs-CZ"/>
        </w:rPr>
      </w:pPr>
      <w:r w:rsidRPr="00A91A09">
        <w:rPr>
          <w:rFonts w:cstheme="minorHAnsi"/>
          <w:b/>
          <w:sz w:val="24"/>
          <w:lang w:val="en-GB" w:bidi="en-GB"/>
        </w:rPr>
        <w:t>Chart 1 – Costs per 1 km of repaired roads</w:t>
      </w:r>
      <w:r w:rsidRPr="00A91A09">
        <w:rPr>
          <w:rFonts w:cstheme="minorHAnsi"/>
          <w:b/>
          <w:sz w:val="24"/>
          <w:lang w:val="en-GB" w:bidi="en-GB"/>
        </w:rPr>
        <w:tab/>
        <w:t>(in CZK)</w:t>
      </w:r>
    </w:p>
    <w:p w14:paraId="2092D2C1" w14:textId="77777777" w:rsidR="00393DDB" w:rsidRPr="00A91A09" w:rsidRDefault="001A4511" w:rsidP="00393DDB">
      <w:pPr>
        <w:spacing w:after="0" w:line="240" w:lineRule="auto"/>
        <w:jc w:val="both"/>
        <w:rPr>
          <w:rFonts w:eastAsia="Times New Roman" w:cstheme="minorHAnsi"/>
          <w:sz w:val="24"/>
          <w:szCs w:val="24"/>
          <w:lang w:val="en-GB" w:eastAsia="cs-CZ"/>
        </w:rPr>
      </w:pPr>
      <w:r w:rsidRPr="00A91A09">
        <w:rPr>
          <w:rFonts w:cstheme="minorHAnsi"/>
          <w:noProof/>
          <w:sz w:val="24"/>
          <w:lang w:val="cs-CZ" w:eastAsia="cs-CZ"/>
        </w:rPr>
        <w:drawing>
          <wp:inline distT="0" distB="0" distL="0" distR="0" wp14:anchorId="0B273BF5" wp14:editId="470E4719">
            <wp:extent cx="5744846" cy="2774950"/>
            <wp:effectExtent l="0" t="0" r="8255"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OREKTURY\graf_1.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44846" cy="2774950"/>
                    </a:xfrm>
                    <a:prstGeom prst="rect">
                      <a:avLst/>
                    </a:prstGeom>
                    <a:noFill/>
                    <a:ln>
                      <a:noFill/>
                    </a:ln>
                  </pic:spPr>
                </pic:pic>
              </a:graphicData>
            </a:graphic>
          </wp:inline>
        </w:drawing>
      </w:r>
    </w:p>
    <w:p w14:paraId="4B711242" w14:textId="29D28D42" w:rsidR="00D63525" w:rsidRPr="00A91A09" w:rsidRDefault="00891E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As can be seen from Table 3 and Chart 1, the SAO audit identified differences in unit costs for overall road surface repairs. The influences causing these differences included the conditions connected with the execution of the works, including the availability of the repaired section, the technical condition before the work commenced, the extent of the work carried out, the nature of the works, the period in which the work was performed, the competitive environment in the locality. Beneficiaries of the MSR and the PR implemented actions where there was a larger volume of earthworks. </w:t>
      </w:r>
    </w:p>
    <w:p w14:paraId="4BD6487D" w14:textId="77777777" w:rsidR="00624159" w:rsidRPr="00A91A09" w:rsidRDefault="00624159" w:rsidP="00F3106C">
      <w:pPr>
        <w:spacing w:after="0" w:line="240" w:lineRule="auto"/>
        <w:jc w:val="both"/>
        <w:rPr>
          <w:rFonts w:eastAsia="Times New Roman" w:cstheme="minorHAnsi"/>
          <w:sz w:val="24"/>
          <w:szCs w:val="24"/>
          <w:lang w:val="en-GB" w:eastAsia="cs-CZ"/>
        </w:rPr>
      </w:pPr>
    </w:p>
    <w:p w14:paraId="76A7CD6E" w14:textId="77777777" w:rsidR="00393DDB" w:rsidRPr="00A91A09" w:rsidRDefault="00393DDB" w:rsidP="00F3106C">
      <w:pPr>
        <w:spacing w:after="40" w:line="240" w:lineRule="auto"/>
        <w:jc w:val="both"/>
        <w:rPr>
          <w:rFonts w:eastAsia="Times New Roman" w:cstheme="minorHAnsi"/>
          <w:b/>
          <w:sz w:val="24"/>
          <w:szCs w:val="24"/>
          <w:lang w:val="en-GB" w:eastAsia="cs-CZ"/>
        </w:rPr>
      </w:pPr>
      <w:r w:rsidRPr="00A91A09">
        <w:rPr>
          <w:rFonts w:cstheme="minorHAnsi"/>
          <w:b/>
          <w:sz w:val="24"/>
          <w:lang w:val="en-GB" w:bidi="en-GB"/>
        </w:rPr>
        <w:t>Table 4 – Costs per 1 m</w:t>
      </w:r>
      <w:r w:rsidRPr="00A91A09">
        <w:rPr>
          <w:rFonts w:cstheme="minorHAnsi"/>
          <w:b/>
          <w:sz w:val="24"/>
          <w:vertAlign w:val="superscript"/>
          <w:lang w:val="en-GB" w:bidi="en-GB"/>
        </w:rPr>
        <w:t>2</w:t>
      </w:r>
      <w:r w:rsidRPr="00A91A09">
        <w:rPr>
          <w:rFonts w:cstheme="minorHAnsi"/>
          <w:b/>
          <w:sz w:val="24"/>
          <w:lang w:val="en-GB" w:bidi="en-GB"/>
        </w:rPr>
        <w:t xml:space="preserve"> in the repairs and reconstruction of bridges</w:t>
      </w:r>
    </w:p>
    <w:tbl>
      <w:tblPr>
        <w:tblW w:w="9024" w:type="dxa"/>
        <w:tblCellMar>
          <w:left w:w="70" w:type="dxa"/>
          <w:right w:w="70" w:type="dxa"/>
        </w:tblCellMar>
        <w:tblLook w:val="04A0" w:firstRow="1" w:lastRow="0" w:firstColumn="1" w:lastColumn="0" w:noHBand="0" w:noVBand="1"/>
      </w:tblPr>
      <w:tblGrid>
        <w:gridCol w:w="3564"/>
        <w:gridCol w:w="5460"/>
      </w:tblGrid>
      <w:tr w:rsidR="00393DDB" w:rsidRPr="00A91A09" w14:paraId="77775963" w14:textId="77777777" w:rsidTr="00995C79">
        <w:trPr>
          <w:trHeight w:val="227"/>
        </w:trPr>
        <w:tc>
          <w:tcPr>
            <w:tcW w:w="3564" w:type="dxa"/>
            <w:tcBorders>
              <w:top w:val="single" w:sz="4" w:space="0" w:color="auto"/>
              <w:left w:val="single" w:sz="4" w:space="0" w:color="auto"/>
              <w:bottom w:val="single" w:sz="4" w:space="0" w:color="auto"/>
              <w:right w:val="single" w:sz="4" w:space="0" w:color="auto"/>
            </w:tcBorders>
            <w:shd w:val="clear" w:color="auto" w:fill="E5F1FF"/>
            <w:noWrap/>
            <w:vAlign w:val="bottom"/>
            <w:hideMark/>
          </w:tcPr>
          <w:p w14:paraId="1E80F5FD" w14:textId="77777777" w:rsidR="00393DDB" w:rsidRPr="00A91A09" w:rsidRDefault="00393DDB" w:rsidP="00F3106C">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Beneficiary</w:t>
            </w:r>
          </w:p>
        </w:tc>
        <w:tc>
          <w:tcPr>
            <w:tcW w:w="5460" w:type="dxa"/>
            <w:tcBorders>
              <w:top w:val="single" w:sz="4" w:space="0" w:color="auto"/>
              <w:left w:val="nil"/>
              <w:bottom w:val="single" w:sz="4" w:space="0" w:color="auto"/>
              <w:right w:val="single" w:sz="4" w:space="0" w:color="000000"/>
            </w:tcBorders>
            <w:shd w:val="clear" w:color="auto" w:fill="E5F1FF"/>
            <w:vAlign w:val="bottom"/>
            <w:hideMark/>
          </w:tcPr>
          <w:p w14:paraId="5469BCA8" w14:textId="77777777" w:rsidR="00393DDB" w:rsidRPr="00A91A09" w:rsidRDefault="00393DDB" w:rsidP="00F3106C">
            <w:pPr>
              <w:spacing w:after="0" w:line="240" w:lineRule="auto"/>
              <w:jc w:val="center"/>
              <w:rPr>
                <w:rFonts w:eastAsia="Times New Roman" w:cstheme="minorHAnsi"/>
                <w:b/>
                <w:bCs/>
                <w:color w:val="000000"/>
                <w:sz w:val="20"/>
                <w:szCs w:val="20"/>
                <w:highlight w:val="yellow"/>
                <w:lang w:val="en-GB" w:eastAsia="cs-CZ"/>
              </w:rPr>
            </w:pPr>
            <w:r w:rsidRPr="00A91A09">
              <w:rPr>
                <w:rFonts w:cstheme="minorHAnsi"/>
                <w:b/>
                <w:sz w:val="20"/>
                <w:lang w:val="en-GB" w:bidi="en-GB"/>
              </w:rPr>
              <w:t>Costs per 1 m</w:t>
            </w:r>
            <w:r w:rsidRPr="00A91A09">
              <w:rPr>
                <w:rFonts w:cstheme="minorHAnsi"/>
                <w:b/>
                <w:sz w:val="20"/>
                <w:vertAlign w:val="superscript"/>
                <w:lang w:val="en-GB" w:bidi="en-GB"/>
              </w:rPr>
              <w:t>2</w:t>
            </w:r>
            <w:r w:rsidRPr="00A91A09">
              <w:rPr>
                <w:rFonts w:cstheme="minorHAnsi"/>
                <w:b/>
                <w:sz w:val="20"/>
                <w:lang w:val="en-GB" w:bidi="en-GB"/>
              </w:rPr>
              <w:t xml:space="preserve"> of repair of bridges (in CZK exclusive of VAT)</w:t>
            </w:r>
          </w:p>
        </w:tc>
      </w:tr>
      <w:tr w:rsidR="00393DDB" w:rsidRPr="00A91A09" w14:paraId="44FF3378" w14:textId="77777777" w:rsidTr="00F3106C">
        <w:trPr>
          <w:trHeight w:val="227"/>
        </w:trPr>
        <w:tc>
          <w:tcPr>
            <w:tcW w:w="3564" w:type="dxa"/>
            <w:tcBorders>
              <w:top w:val="nil"/>
              <w:left w:val="single" w:sz="4" w:space="0" w:color="auto"/>
              <w:bottom w:val="single" w:sz="4" w:space="0" w:color="auto"/>
              <w:right w:val="single" w:sz="4" w:space="0" w:color="auto"/>
            </w:tcBorders>
            <w:shd w:val="clear" w:color="auto" w:fill="auto"/>
            <w:noWrap/>
            <w:vAlign w:val="bottom"/>
          </w:tcPr>
          <w:p w14:paraId="38AD1B6F" w14:textId="77777777" w:rsidR="00393DDB" w:rsidRPr="00A91A09" w:rsidRDefault="001C0690"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LR</w:t>
            </w:r>
          </w:p>
        </w:tc>
        <w:tc>
          <w:tcPr>
            <w:tcW w:w="5460" w:type="dxa"/>
            <w:tcBorders>
              <w:top w:val="single" w:sz="4" w:space="0" w:color="auto"/>
              <w:left w:val="nil"/>
              <w:bottom w:val="single" w:sz="4" w:space="0" w:color="auto"/>
              <w:right w:val="single" w:sz="4" w:space="0" w:color="auto"/>
            </w:tcBorders>
            <w:shd w:val="clear" w:color="auto" w:fill="auto"/>
            <w:noWrap/>
            <w:vAlign w:val="bottom"/>
          </w:tcPr>
          <w:p w14:paraId="64023D86"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22,759.33</w:t>
            </w:r>
          </w:p>
        </w:tc>
      </w:tr>
      <w:tr w:rsidR="00393DDB" w:rsidRPr="00A91A09" w14:paraId="665874D4" w14:textId="77777777" w:rsidTr="00F3106C">
        <w:trPr>
          <w:trHeight w:val="227"/>
        </w:trPr>
        <w:tc>
          <w:tcPr>
            <w:tcW w:w="3564" w:type="dxa"/>
            <w:tcBorders>
              <w:top w:val="nil"/>
              <w:left w:val="single" w:sz="4" w:space="0" w:color="auto"/>
              <w:bottom w:val="single" w:sz="4" w:space="0" w:color="auto"/>
              <w:right w:val="single" w:sz="4" w:space="0" w:color="auto"/>
            </w:tcBorders>
            <w:shd w:val="clear" w:color="auto" w:fill="auto"/>
            <w:noWrap/>
            <w:vAlign w:val="bottom"/>
          </w:tcPr>
          <w:p w14:paraId="0D664AC1" w14:textId="77777777" w:rsidR="00393DDB" w:rsidRPr="00A91A09" w:rsidRDefault="00393DDB"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RMMPR</w:t>
            </w:r>
          </w:p>
        </w:tc>
        <w:tc>
          <w:tcPr>
            <w:tcW w:w="5460" w:type="dxa"/>
            <w:tcBorders>
              <w:top w:val="single" w:sz="4" w:space="0" w:color="auto"/>
              <w:left w:val="nil"/>
              <w:bottom w:val="single" w:sz="4" w:space="0" w:color="auto"/>
              <w:right w:val="single" w:sz="4" w:space="0" w:color="auto"/>
            </w:tcBorders>
            <w:shd w:val="clear" w:color="auto" w:fill="auto"/>
            <w:noWrap/>
            <w:vAlign w:val="bottom"/>
          </w:tcPr>
          <w:p w14:paraId="284E7E85"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58,811.60</w:t>
            </w:r>
          </w:p>
        </w:tc>
      </w:tr>
      <w:tr w:rsidR="00393DDB" w:rsidRPr="00A91A09" w14:paraId="352D5DD9" w14:textId="77777777" w:rsidTr="00F3106C">
        <w:trPr>
          <w:trHeight w:val="227"/>
        </w:trPr>
        <w:tc>
          <w:tcPr>
            <w:tcW w:w="3564" w:type="dxa"/>
            <w:tcBorders>
              <w:top w:val="nil"/>
              <w:left w:val="single" w:sz="4" w:space="0" w:color="auto"/>
              <w:bottom w:val="single" w:sz="4" w:space="0" w:color="auto"/>
              <w:right w:val="single" w:sz="4" w:space="0" w:color="auto"/>
            </w:tcBorders>
            <w:shd w:val="clear" w:color="auto" w:fill="auto"/>
            <w:noWrap/>
            <w:vAlign w:val="bottom"/>
          </w:tcPr>
          <w:p w14:paraId="6A86D1EA" w14:textId="77777777" w:rsidR="00393DDB" w:rsidRPr="00A91A09" w:rsidRDefault="00393DDB"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RMMPilR</w:t>
            </w:r>
          </w:p>
        </w:tc>
        <w:tc>
          <w:tcPr>
            <w:tcW w:w="5460" w:type="dxa"/>
            <w:tcBorders>
              <w:top w:val="single" w:sz="4" w:space="0" w:color="auto"/>
              <w:left w:val="nil"/>
              <w:bottom w:val="single" w:sz="4" w:space="0" w:color="auto"/>
              <w:right w:val="single" w:sz="4" w:space="0" w:color="auto"/>
            </w:tcBorders>
            <w:shd w:val="clear" w:color="auto" w:fill="auto"/>
            <w:noWrap/>
            <w:vAlign w:val="bottom"/>
          </w:tcPr>
          <w:p w14:paraId="512FE33C"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12,936.80</w:t>
            </w:r>
          </w:p>
        </w:tc>
      </w:tr>
    </w:tbl>
    <w:p w14:paraId="28761AA3" w14:textId="4A4716DA" w:rsidR="00393DDB" w:rsidRPr="00A91A09" w:rsidRDefault="00393DDB" w:rsidP="00F3106C">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55E899A8" w14:textId="77777777" w:rsidR="00393DDB" w:rsidRPr="00A91A09" w:rsidRDefault="00393DDB" w:rsidP="00F3106C">
      <w:pPr>
        <w:spacing w:after="0" w:line="240" w:lineRule="auto"/>
        <w:jc w:val="both"/>
        <w:rPr>
          <w:rFonts w:eastAsia="Times New Roman" w:cstheme="minorHAnsi"/>
          <w:sz w:val="24"/>
          <w:szCs w:val="24"/>
          <w:lang w:val="en-GB" w:eastAsia="cs-CZ"/>
        </w:rPr>
      </w:pPr>
    </w:p>
    <w:p w14:paraId="575BB5F2" w14:textId="77777777" w:rsidR="00393DDB" w:rsidRPr="00A91A09" w:rsidRDefault="00393D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The large differences in unit costs in the case of bridges were due to a different range of repairs and reconstructions and different types of bridge structures.</w:t>
      </w:r>
    </w:p>
    <w:p w14:paraId="745FDEAD" w14:textId="77777777" w:rsidR="00F3106C" w:rsidRPr="00A91A09" w:rsidRDefault="00F3106C" w:rsidP="00F3106C">
      <w:pPr>
        <w:spacing w:after="0" w:line="240" w:lineRule="auto"/>
        <w:jc w:val="both"/>
        <w:rPr>
          <w:rFonts w:eastAsia="Times New Roman" w:cstheme="minorHAnsi"/>
          <w:sz w:val="24"/>
          <w:szCs w:val="24"/>
          <w:lang w:val="en-GB" w:eastAsia="cs-CZ"/>
        </w:rPr>
      </w:pPr>
    </w:p>
    <w:p w14:paraId="1CEE83EB" w14:textId="77777777" w:rsidR="00393DDB" w:rsidRPr="00A91A09" w:rsidRDefault="00393D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Also included in the audited projects were cases of the construction of new class II and class III roads. The costs of 1 km of newly built regional roads are shown in Table 5.</w:t>
      </w:r>
    </w:p>
    <w:p w14:paraId="6D193719" w14:textId="77777777" w:rsidR="00C47267" w:rsidRDefault="00C47267">
      <w:pPr>
        <w:rPr>
          <w:rFonts w:cstheme="minorHAnsi"/>
          <w:b/>
          <w:sz w:val="24"/>
          <w:lang w:val="en-GB" w:bidi="en-GB"/>
        </w:rPr>
      </w:pPr>
      <w:r>
        <w:rPr>
          <w:rFonts w:cstheme="minorHAnsi"/>
          <w:b/>
          <w:sz w:val="24"/>
          <w:lang w:val="en-GB" w:bidi="en-GB"/>
        </w:rPr>
        <w:br w:type="page"/>
      </w:r>
    </w:p>
    <w:p w14:paraId="23DCED0A" w14:textId="6ECDED65" w:rsidR="00393DDB" w:rsidRPr="00A91A09" w:rsidRDefault="00393DDB" w:rsidP="00F3106C">
      <w:pPr>
        <w:spacing w:after="40" w:line="240" w:lineRule="auto"/>
        <w:jc w:val="both"/>
        <w:rPr>
          <w:rFonts w:eastAsia="Times New Roman" w:cstheme="minorHAnsi"/>
          <w:b/>
          <w:sz w:val="24"/>
          <w:szCs w:val="24"/>
          <w:lang w:val="en-GB" w:eastAsia="cs-CZ"/>
        </w:rPr>
      </w:pPr>
      <w:r w:rsidRPr="00A91A09">
        <w:rPr>
          <w:rFonts w:cstheme="minorHAnsi"/>
          <w:b/>
          <w:sz w:val="24"/>
          <w:lang w:val="en-GB" w:bidi="en-GB"/>
        </w:rPr>
        <w:lastRenderedPageBreak/>
        <w:t>Table 5 – Costs per 1 km of new regional roads</w:t>
      </w:r>
    </w:p>
    <w:tbl>
      <w:tblPr>
        <w:tblW w:w="9090" w:type="dxa"/>
        <w:tblInd w:w="-5" w:type="dxa"/>
        <w:tblCellMar>
          <w:left w:w="70" w:type="dxa"/>
          <w:right w:w="70" w:type="dxa"/>
        </w:tblCellMar>
        <w:tblLook w:val="04A0" w:firstRow="1" w:lastRow="0" w:firstColumn="1" w:lastColumn="0" w:noHBand="0" w:noVBand="1"/>
      </w:tblPr>
      <w:tblGrid>
        <w:gridCol w:w="2630"/>
        <w:gridCol w:w="3320"/>
        <w:gridCol w:w="3140"/>
      </w:tblGrid>
      <w:tr w:rsidR="00995C79" w:rsidRPr="00A91A09" w14:paraId="7FFDB074" w14:textId="77777777" w:rsidTr="00995C79">
        <w:trPr>
          <w:trHeight w:val="227"/>
        </w:trPr>
        <w:tc>
          <w:tcPr>
            <w:tcW w:w="2630" w:type="dxa"/>
            <w:vMerge w:val="restart"/>
            <w:tcBorders>
              <w:top w:val="single" w:sz="4" w:space="0" w:color="auto"/>
              <w:left w:val="single" w:sz="4" w:space="0" w:color="auto"/>
              <w:right w:val="single" w:sz="4" w:space="0" w:color="auto"/>
            </w:tcBorders>
            <w:shd w:val="clear" w:color="auto" w:fill="E5F1FF"/>
            <w:noWrap/>
            <w:vAlign w:val="center"/>
            <w:hideMark/>
          </w:tcPr>
          <w:p w14:paraId="6D7E63C9" w14:textId="77777777" w:rsidR="00995C79" w:rsidRPr="00A91A09" w:rsidRDefault="00995C79" w:rsidP="00995C79">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Beneficiary</w:t>
            </w:r>
          </w:p>
        </w:tc>
        <w:tc>
          <w:tcPr>
            <w:tcW w:w="6460" w:type="dxa"/>
            <w:gridSpan w:val="2"/>
            <w:tcBorders>
              <w:top w:val="single" w:sz="4" w:space="0" w:color="auto"/>
              <w:left w:val="nil"/>
              <w:bottom w:val="single" w:sz="4" w:space="0" w:color="auto"/>
              <w:right w:val="single" w:sz="4" w:space="0" w:color="000000"/>
            </w:tcBorders>
            <w:shd w:val="clear" w:color="auto" w:fill="E5F1FF"/>
            <w:vAlign w:val="center"/>
            <w:hideMark/>
          </w:tcPr>
          <w:p w14:paraId="24C6F6FB" w14:textId="77777777" w:rsidR="00995C79" w:rsidRPr="00A91A09" w:rsidRDefault="00995C79" w:rsidP="00995C79">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Costs per 1 km of newly built roads (in CZK exclusive of VAT)</w:t>
            </w:r>
          </w:p>
        </w:tc>
      </w:tr>
      <w:tr w:rsidR="00995C79" w:rsidRPr="00A91A09" w14:paraId="2CF6EA4F" w14:textId="77777777" w:rsidTr="00995C79">
        <w:trPr>
          <w:trHeight w:val="227"/>
        </w:trPr>
        <w:tc>
          <w:tcPr>
            <w:tcW w:w="2630" w:type="dxa"/>
            <w:vMerge/>
            <w:tcBorders>
              <w:left w:val="single" w:sz="4" w:space="0" w:color="auto"/>
              <w:bottom w:val="single" w:sz="4" w:space="0" w:color="auto"/>
              <w:right w:val="single" w:sz="4" w:space="0" w:color="auto"/>
            </w:tcBorders>
            <w:shd w:val="clear" w:color="auto" w:fill="E5F1FF"/>
            <w:noWrap/>
            <w:vAlign w:val="center"/>
            <w:hideMark/>
          </w:tcPr>
          <w:p w14:paraId="426757F6" w14:textId="77777777" w:rsidR="00995C79" w:rsidRPr="00A91A09" w:rsidRDefault="00995C79" w:rsidP="00995C79">
            <w:pPr>
              <w:spacing w:after="0" w:line="240" w:lineRule="auto"/>
              <w:jc w:val="center"/>
              <w:rPr>
                <w:rFonts w:eastAsia="Times New Roman" w:cstheme="minorHAnsi"/>
                <w:b/>
                <w:bCs/>
                <w:color w:val="000000"/>
                <w:sz w:val="20"/>
                <w:szCs w:val="20"/>
                <w:lang w:val="en-GB" w:eastAsia="cs-CZ"/>
              </w:rPr>
            </w:pPr>
          </w:p>
        </w:tc>
        <w:tc>
          <w:tcPr>
            <w:tcW w:w="3320" w:type="dxa"/>
            <w:tcBorders>
              <w:top w:val="nil"/>
              <w:left w:val="nil"/>
              <w:bottom w:val="single" w:sz="4" w:space="0" w:color="auto"/>
              <w:right w:val="single" w:sz="4" w:space="0" w:color="auto"/>
            </w:tcBorders>
            <w:shd w:val="clear" w:color="auto" w:fill="E5F1FF"/>
            <w:noWrap/>
            <w:vAlign w:val="center"/>
            <w:hideMark/>
          </w:tcPr>
          <w:p w14:paraId="11A66218" w14:textId="17B9DB83" w:rsidR="00995C79" w:rsidRPr="00A91A09" w:rsidRDefault="00995C79" w:rsidP="00995C79">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Min.</w:t>
            </w:r>
          </w:p>
        </w:tc>
        <w:tc>
          <w:tcPr>
            <w:tcW w:w="3140" w:type="dxa"/>
            <w:tcBorders>
              <w:top w:val="nil"/>
              <w:left w:val="nil"/>
              <w:bottom w:val="single" w:sz="4" w:space="0" w:color="auto"/>
              <w:right w:val="single" w:sz="4" w:space="0" w:color="auto"/>
            </w:tcBorders>
            <w:shd w:val="clear" w:color="auto" w:fill="E5F1FF"/>
            <w:noWrap/>
            <w:vAlign w:val="center"/>
            <w:hideMark/>
          </w:tcPr>
          <w:p w14:paraId="370DF182" w14:textId="5026FDFD" w:rsidR="00995C79" w:rsidRPr="00A91A09" w:rsidRDefault="00995C79" w:rsidP="00995C79">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Max.</w:t>
            </w:r>
          </w:p>
        </w:tc>
      </w:tr>
      <w:tr w:rsidR="00393DDB" w:rsidRPr="00A91A09" w14:paraId="6694402A" w14:textId="77777777" w:rsidTr="00F3106C">
        <w:trPr>
          <w:trHeight w:val="227"/>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1787A9A0" w14:textId="77777777" w:rsidR="00393DDB" w:rsidRPr="00A91A09" w:rsidRDefault="001C0690"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SBR</w:t>
            </w:r>
          </w:p>
        </w:tc>
        <w:tc>
          <w:tcPr>
            <w:tcW w:w="3320" w:type="dxa"/>
            <w:tcBorders>
              <w:top w:val="nil"/>
              <w:left w:val="nil"/>
              <w:bottom w:val="single" w:sz="4" w:space="0" w:color="auto"/>
              <w:right w:val="single" w:sz="4" w:space="0" w:color="auto"/>
            </w:tcBorders>
            <w:shd w:val="clear" w:color="auto" w:fill="auto"/>
            <w:noWrap/>
            <w:vAlign w:val="bottom"/>
            <w:hideMark/>
          </w:tcPr>
          <w:p w14:paraId="4A831932"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17,951,702.92</w:t>
            </w:r>
          </w:p>
        </w:tc>
        <w:tc>
          <w:tcPr>
            <w:tcW w:w="3140" w:type="dxa"/>
            <w:tcBorders>
              <w:top w:val="nil"/>
              <w:left w:val="nil"/>
              <w:bottom w:val="single" w:sz="4" w:space="0" w:color="auto"/>
              <w:right w:val="single" w:sz="4" w:space="0" w:color="auto"/>
            </w:tcBorders>
            <w:shd w:val="clear" w:color="auto" w:fill="auto"/>
            <w:noWrap/>
            <w:vAlign w:val="bottom"/>
            <w:hideMark/>
          </w:tcPr>
          <w:p w14:paraId="226A643D"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50,662,798.10</w:t>
            </w:r>
          </w:p>
        </w:tc>
      </w:tr>
      <w:tr w:rsidR="00393DDB" w:rsidRPr="00A91A09" w14:paraId="3C304558" w14:textId="77777777" w:rsidTr="00F3106C">
        <w:trPr>
          <w:trHeight w:val="227"/>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606E7A73" w14:textId="77777777" w:rsidR="00393DDB" w:rsidRPr="00A91A09" w:rsidRDefault="00393DDB"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MSR</w:t>
            </w:r>
          </w:p>
        </w:tc>
        <w:tc>
          <w:tcPr>
            <w:tcW w:w="6460" w:type="dxa"/>
            <w:gridSpan w:val="2"/>
            <w:tcBorders>
              <w:top w:val="nil"/>
              <w:left w:val="nil"/>
              <w:bottom w:val="single" w:sz="4" w:space="0" w:color="auto"/>
              <w:right w:val="single" w:sz="4" w:space="0" w:color="auto"/>
            </w:tcBorders>
            <w:shd w:val="clear" w:color="auto" w:fill="auto"/>
            <w:noWrap/>
            <w:vAlign w:val="bottom"/>
            <w:hideMark/>
          </w:tcPr>
          <w:p w14:paraId="095C7CE6"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50,918,542.86</w:t>
            </w:r>
          </w:p>
        </w:tc>
      </w:tr>
    </w:tbl>
    <w:p w14:paraId="22E106E1" w14:textId="72C2C92E" w:rsidR="00393DDB" w:rsidRPr="00A91A09" w:rsidRDefault="00393DDB" w:rsidP="00064D6C">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2DD1AB46" w14:textId="77777777" w:rsidR="00393DDB" w:rsidRPr="00A91A09" w:rsidRDefault="00393DDB" w:rsidP="00393DDB">
      <w:pPr>
        <w:spacing w:after="0" w:line="240" w:lineRule="auto"/>
        <w:jc w:val="both"/>
        <w:rPr>
          <w:rFonts w:eastAsia="Times New Roman" w:cstheme="minorHAnsi"/>
          <w:sz w:val="20"/>
          <w:szCs w:val="20"/>
          <w:lang w:val="en-GB" w:eastAsia="cs-CZ"/>
        </w:rPr>
      </w:pPr>
      <w:r w:rsidRPr="00A91A09">
        <w:rPr>
          <w:rFonts w:cstheme="minorHAnsi"/>
          <w:b/>
          <w:sz w:val="20"/>
          <w:lang w:val="en-GB" w:bidi="en-GB"/>
        </w:rPr>
        <w:t>Note:</w:t>
      </w:r>
      <w:r w:rsidRPr="00A91A09">
        <w:rPr>
          <w:rFonts w:cstheme="minorHAnsi"/>
          <w:sz w:val="20"/>
          <w:lang w:val="en-GB" w:bidi="en-GB"/>
        </w:rPr>
        <w:t xml:space="preserve"> Within the MSR, one project was audited.</w:t>
      </w:r>
    </w:p>
    <w:p w14:paraId="5FA4657C" w14:textId="77777777" w:rsidR="00F3106C" w:rsidRPr="00A91A09" w:rsidRDefault="00F3106C" w:rsidP="00F3106C">
      <w:pPr>
        <w:spacing w:after="0" w:line="240" w:lineRule="auto"/>
        <w:jc w:val="both"/>
        <w:rPr>
          <w:rFonts w:eastAsia="Times New Roman" w:cstheme="minorHAnsi"/>
          <w:sz w:val="24"/>
          <w:szCs w:val="24"/>
          <w:lang w:val="en-GB" w:eastAsia="cs-CZ"/>
        </w:rPr>
      </w:pPr>
    </w:p>
    <w:p w14:paraId="40D623B5" w14:textId="03984965" w:rsidR="00393DDB" w:rsidRPr="00A91A09" w:rsidRDefault="00393D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The unit costs for new road constructions were influenced by more impacts than in the case of overall repairs, as they included the construction of a new road body including activities not covered by overall repairs, such as demarcation, surveying, work with arable land and the construction of service roads.</w:t>
      </w:r>
    </w:p>
    <w:p w14:paraId="7224B28A" w14:textId="77777777" w:rsidR="00F3106C" w:rsidRPr="00A91A09" w:rsidRDefault="00F3106C" w:rsidP="00F3106C">
      <w:pPr>
        <w:spacing w:after="0" w:line="240" w:lineRule="auto"/>
        <w:jc w:val="both"/>
        <w:rPr>
          <w:rFonts w:eastAsia="Times New Roman" w:cstheme="minorHAnsi"/>
          <w:sz w:val="24"/>
          <w:szCs w:val="24"/>
          <w:lang w:val="en-GB" w:eastAsia="cs-CZ"/>
        </w:rPr>
      </w:pPr>
    </w:p>
    <w:p w14:paraId="04E24588" w14:textId="7C0B186D" w:rsidR="00393DDB" w:rsidRPr="00A91A09" w:rsidRDefault="00393D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The highest value of the road reconstruction costs associated with the flood damage removal was detected by the SAO audit in the case of the </w:t>
      </w:r>
      <w:r w:rsidR="00C566C3">
        <w:rPr>
          <w:rFonts w:cstheme="minorHAnsi"/>
          <w:sz w:val="24"/>
          <w:lang w:val="en-GB" w:bidi="en-GB"/>
        </w:rPr>
        <w:t>auditee</w:t>
      </w:r>
      <w:r w:rsidRPr="00A91A09">
        <w:rPr>
          <w:rFonts w:cstheme="minorHAnsi"/>
          <w:sz w:val="24"/>
          <w:lang w:val="en-GB" w:bidi="en-GB"/>
        </w:rPr>
        <w:t xml:space="preserve"> RMMPR, where a II class road section of 489 m had been reconstructed at a cost of CZK 50,859,609.70 exclusive of VAT, which corresponded to the cost of 1 km in the amount of CZK 104,007,381.80 exclusive of VAT.</w:t>
      </w:r>
    </w:p>
    <w:p w14:paraId="77922D5F" w14:textId="77777777" w:rsidR="00393DDB" w:rsidRPr="00A91A09" w:rsidRDefault="00393DDB" w:rsidP="00F3106C">
      <w:pPr>
        <w:spacing w:after="0" w:line="240" w:lineRule="auto"/>
        <w:jc w:val="both"/>
        <w:rPr>
          <w:rFonts w:eastAsia="Times New Roman" w:cstheme="minorHAnsi"/>
          <w:sz w:val="24"/>
          <w:szCs w:val="24"/>
          <w:lang w:val="en-GB" w:eastAsia="cs-CZ"/>
        </w:rPr>
      </w:pPr>
    </w:p>
    <w:p w14:paraId="3DE393D7" w14:textId="77777777" w:rsidR="00393DDB" w:rsidRPr="00A91A09" w:rsidRDefault="00393DDB" w:rsidP="00F3106C">
      <w:pPr>
        <w:spacing w:after="0" w:line="240" w:lineRule="auto"/>
        <w:jc w:val="both"/>
        <w:rPr>
          <w:rFonts w:eastAsia="Times New Roman" w:cstheme="minorHAnsi"/>
          <w:b/>
          <w:sz w:val="24"/>
          <w:szCs w:val="24"/>
          <w:lang w:val="en-GB" w:eastAsia="cs-CZ"/>
        </w:rPr>
      </w:pPr>
      <w:r w:rsidRPr="00A91A09">
        <w:rPr>
          <w:rFonts w:cstheme="minorHAnsi"/>
          <w:b/>
          <w:sz w:val="24"/>
          <w:lang w:val="en-GB" w:bidi="en-GB"/>
        </w:rPr>
        <w:t>3. Comparison of estimated values of public contracts and winning bid prices</w:t>
      </w:r>
    </w:p>
    <w:p w14:paraId="5EAB8289" w14:textId="77777777" w:rsidR="00F3106C" w:rsidRPr="00A91A09" w:rsidRDefault="00F3106C" w:rsidP="00F3106C">
      <w:pPr>
        <w:spacing w:after="0" w:line="240" w:lineRule="auto"/>
        <w:jc w:val="both"/>
        <w:rPr>
          <w:rFonts w:eastAsia="Times New Roman" w:cstheme="minorHAnsi"/>
          <w:sz w:val="24"/>
          <w:szCs w:val="24"/>
          <w:lang w:val="en-GB" w:eastAsia="cs-CZ"/>
        </w:rPr>
      </w:pPr>
    </w:p>
    <w:p w14:paraId="74BB9D08" w14:textId="698271F4" w:rsidR="00393DDB" w:rsidRPr="00A91A09" w:rsidRDefault="00393D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The SAO audit compared the expected values of public contracts, as set out in the public procurement budgets, usually using the ÚRS and other price lists and codebooks, with the bid prices of the winning tenderers. Table 6 lists the minimum and maximum proportions of the winning bids to the estimated values of public contracts for the individual </w:t>
      </w:r>
      <w:r w:rsidR="00C566C3">
        <w:rPr>
          <w:rFonts w:cstheme="minorHAnsi"/>
          <w:sz w:val="24"/>
          <w:lang w:val="en-GB" w:bidi="en-GB"/>
        </w:rPr>
        <w:t>auditees</w:t>
      </w:r>
      <w:r w:rsidRPr="00A91A09">
        <w:rPr>
          <w:rFonts w:cstheme="minorHAnsi"/>
          <w:sz w:val="24"/>
          <w:lang w:val="en-GB" w:bidi="en-GB"/>
        </w:rPr>
        <w:t>.</w:t>
      </w:r>
    </w:p>
    <w:p w14:paraId="5C841EE3" w14:textId="77777777" w:rsidR="00215589" w:rsidRPr="00A91A09" w:rsidRDefault="00215589" w:rsidP="00F3106C">
      <w:pPr>
        <w:spacing w:after="0" w:line="240" w:lineRule="auto"/>
        <w:jc w:val="both"/>
        <w:rPr>
          <w:rFonts w:eastAsia="Times New Roman" w:cstheme="minorHAnsi"/>
          <w:sz w:val="24"/>
          <w:szCs w:val="24"/>
          <w:lang w:val="en-GB" w:eastAsia="cs-CZ"/>
        </w:rPr>
      </w:pPr>
    </w:p>
    <w:p w14:paraId="53A1C25B" w14:textId="77777777" w:rsidR="00393DDB" w:rsidRPr="00A91A09" w:rsidRDefault="00393DDB" w:rsidP="00F3106C">
      <w:pPr>
        <w:spacing w:after="40" w:line="240" w:lineRule="auto"/>
        <w:jc w:val="both"/>
        <w:rPr>
          <w:rFonts w:eastAsia="Times New Roman" w:cstheme="minorHAnsi"/>
          <w:b/>
          <w:sz w:val="24"/>
          <w:szCs w:val="24"/>
          <w:lang w:val="en-GB" w:eastAsia="cs-CZ"/>
        </w:rPr>
      </w:pPr>
      <w:r w:rsidRPr="00A91A09">
        <w:rPr>
          <w:rFonts w:cstheme="minorHAnsi"/>
          <w:b/>
          <w:sz w:val="24"/>
          <w:lang w:val="en-GB" w:bidi="en-GB"/>
        </w:rPr>
        <w:t>Table 6 – Proportions of winning prices to the expected values of public contracts</w:t>
      </w:r>
    </w:p>
    <w:tbl>
      <w:tblPr>
        <w:tblW w:w="8895" w:type="dxa"/>
        <w:tblCellMar>
          <w:left w:w="70" w:type="dxa"/>
          <w:right w:w="70" w:type="dxa"/>
        </w:tblCellMar>
        <w:tblLook w:val="04A0" w:firstRow="1" w:lastRow="0" w:firstColumn="1" w:lastColumn="0" w:noHBand="0" w:noVBand="1"/>
      </w:tblPr>
      <w:tblGrid>
        <w:gridCol w:w="2965"/>
        <w:gridCol w:w="2965"/>
        <w:gridCol w:w="2965"/>
      </w:tblGrid>
      <w:tr w:rsidR="00393DDB" w:rsidRPr="00A91A09" w14:paraId="51CDF4A7" w14:textId="77777777" w:rsidTr="00995C79">
        <w:trPr>
          <w:trHeight w:val="227"/>
        </w:trPr>
        <w:tc>
          <w:tcPr>
            <w:tcW w:w="2965"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14:paraId="7FA9F95E" w14:textId="77777777" w:rsidR="00393DDB" w:rsidRPr="00A91A09" w:rsidRDefault="00393DDB" w:rsidP="00995C79">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Beneficiary</w:t>
            </w:r>
          </w:p>
        </w:tc>
        <w:tc>
          <w:tcPr>
            <w:tcW w:w="2965" w:type="dxa"/>
            <w:tcBorders>
              <w:top w:val="single" w:sz="4" w:space="0" w:color="auto"/>
              <w:left w:val="nil"/>
              <w:bottom w:val="single" w:sz="4" w:space="0" w:color="auto"/>
              <w:right w:val="single" w:sz="4" w:space="0" w:color="auto"/>
            </w:tcBorders>
            <w:shd w:val="clear" w:color="auto" w:fill="E5F1FF"/>
            <w:noWrap/>
            <w:vAlign w:val="center"/>
            <w:hideMark/>
          </w:tcPr>
          <w:p w14:paraId="36D082F6" w14:textId="6D3910C5" w:rsidR="00393DDB" w:rsidRPr="00A91A09" w:rsidRDefault="00995C79" w:rsidP="00995C79">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Min.</w:t>
            </w:r>
          </w:p>
        </w:tc>
        <w:tc>
          <w:tcPr>
            <w:tcW w:w="2965" w:type="dxa"/>
            <w:tcBorders>
              <w:top w:val="single" w:sz="4" w:space="0" w:color="auto"/>
              <w:left w:val="nil"/>
              <w:bottom w:val="single" w:sz="4" w:space="0" w:color="auto"/>
              <w:right w:val="single" w:sz="4" w:space="0" w:color="auto"/>
            </w:tcBorders>
            <w:shd w:val="clear" w:color="auto" w:fill="E5F1FF"/>
            <w:noWrap/>
            <w:vAlign w:val="center"/>
            <w:hideMark/>
          </w:tcPr>
          <w:p w14:paraId="783CDBEC" w14:textId="41454B34" w:rsidR="00393DDB" w:rsidRPr="00A91A09" w:rsidRDefault="00995C79" w:rsidP="00995C79">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Max.</w:t>
            </w:r>
          </w:p>
        </w:tc>
      </w:tr>
      <w:tr w:rsidR="00393DDB" w:rsidRPr="00A91A09" w14:paraId="0B169620"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52F97B0" w14:textId="77777777" w:rsidR="00393DDB" w:rsidRPr="00A91A09" w:rsidRDefault="001C0690"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SBR</w:t>
            </w:r>
          </w:p>
        </w:tc>
        <w:tc>
          <w:tcPr>
            <w:tcW w:w="2965" w:type="dxa"/>
            <w:tcBorders>
              <w:top w:val="nil"/>
              <w:left w:val="nil"/>
              <w:bottom w:val="single" w:sz="4" w:space="0" w:color="auto"/>
              <w:right w:val="single" w:sz="4" w:space="0" w:color="auto"/>
            </w:tcBorders>
            <w:shd w:val="clear" w:color="auto" w:fill="auto"/>
            <w:noWrap/>
            <w:vAlign w:val="bottom"/>
            <w:hideMark/>
          </w:tcPr>
          <w:p w14:paraId="6DDB1FCA"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46 %</w:t>
            </w:r>
          </w:p>
        </w:tc>
        <w:tc>
          <w:tcPr>
            <w:tcW w:w="2965" w:type="dxa"/>
            <w:tcBorders>
              <w:top w:val="nil"/>
              <w:left w:val="nil"/>
              <w:bottom w:val="single" w:sz="4" w:space="0" w:color="auto"/>
              <w:right w:val="single" w:sz="4" w:space="0" w:color="auto"/>
            </w:tcBorders>
            <w:shd w:val="clear" w:color="auto" w:fill="auto"/>
            <w:noWrap/>
            <w:vAlign w:val="center"/>
            <w:hideMark/>
          </w:tcPr>
          <w:p w14:paraId="0A5F74F5" w14:textId="77777777" w:rsidR="00393DDB" w:rsidRPr="00A91A09" w:rsidRDefault="00393DDB" w:rsidP="00995C79">
            <w:pPr>
              <w:spacing w:after="0" w:line="240" w:lineRule="auto"/>
              <w:ind w:right="1173"/>
              <w:jc w:val="right"/>
              <w:rPr>
                <w:rFonts w:eastAsia="Times New Roman" w:cstheme="minorHAnsi"/>
                <w:color w:val="000000"/>
                <w:sz w:val="20"/>
                <w:szCs w:val="20"/>
                <w:lang w:val="en-GB" w:eastAsia="cs-CZ"/>
              </w:rPr>
            </w:pPr>
            <w:r w:rsidRPr="00A91A09">
              <w:rPr>
                <w:rFonts w:cstheme="minorHAnsi"/>
                <w:sz w:val="20"/>
                <w:lang w:val="en-GB" w:bidi="en-GB"/>
              </w:rPr>
              <w:t>118 %</w:t>
            </w:r>
          </w:p>
        </w:tc>
      </w:tr>
      <w:tr w:rsidR="00393DDB" w:rsidRPr="00A91A09" w14:paraId="7A0ACD9F"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C8A0929" w14:textId="77777777" w:rsidR="00393DDB" w:rsidRPr="00A91A09" w:rsidRDefault="001C0690"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LR</w:t>
            </w:r>
          </w:p>
        </w:tc>
        <w:tc>
          <w:tcPr>
            <w:tcW w:w="2965" w:type="dxa"/>
            <w:tcBorders>
              <w:top w:val="nil"/>
              <w:left w:val="nil"/>
              <w:bottom w:val="single" w:sz="4" w:space="0" w:color="auto"/>
              <w:right w:val="single" w:sz="4" w:space="0" w:color="auto"/>
            </w:tcBorders>
            <w:shd w:val="clear" w:color="auto" w:fill="auto"/>
            <w:noWrap/>
            <w:vAlign w:val="bottom"/>
            <w:hideMark/>
          </w:tcPr>
          <w:p w14:paraId="568E6B4B"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72 %</w:t>
            </w:r>
          </w:p>
        </w:tc>
        <w:tc>
          <w:tcPr>
            <w:tcW w:w="2965" w:type="dxa"/>
            <w:tcBorders>
              <w:top w:val="nil"/>
              <w:left w:val="nil"/>
              <w:bottom w:val="single" w:sz="4" w:space="0" w:color="auto"/>
              <w:right w:val="single" w:sz="4" w:space="0" w:color="auto"/>
            </w:tcBorders>
            <w:shd w:val="clear" w:color="auto" w:fill="auto"/>
            <w:noWrap/>
            <w:vAlign w:val="center"/>
            <w:hideMark/>
          </w:tcPr>
          <w:p w14:paraId="30B710C3" w14:textId="77777777" w:rsidR="00393DDB" w:rsidRPr="00A91A09" w:rsidRDefault="00393DDB" w:rsidP="00995C79">
            <w:pPr>
              <w:spacing w:after="0" w:line="240" w:lineRule="auto"/>
              <w:ind w:right="1173"/>
              <w:jc w:val="right"/>
              <w:rPr>
                <w:rFonts w:eastAsia="Times New Roman" w:cstheme="minorHAnsi"/>
                <w:color w:val="000000"/>
                <w:sz w:val="20"/>
                <w:szCs w:val="20"/>
                <w:lang w:val="en-GB" w:eastAsia="cs-CZ"/>
              </w:rPr>
            </w:pPr>
            <w:r w:rsidRPr="00A91A09">
              <w:rPr>
                <w:rFonts w:cstheme="minorHAnsi"/>
                <w:sz w:val="20"/>
                <w:lang w:val="en-GB" w:bidi="en-GB"/>
              </w:rPr>
              <w:t>99 %</w:t>
            </w:r>
          </w:p>
        </w:tc>
      </w:tr>
      <w:tr w:rsidR="00393DDB" w:rsidRPr="00A91A09" w14:paraId="48E563F5"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B7F433A" w14:textId="77777777" w:rsidR="00393DDB" w:rsidRPr="00A91A09" w:rsidRDefault="00393DDB"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MSR</w:t>
            </w:r>
          </w:p>
        </w:tc>
        <w:tc>
          <w:tcPr>
            <w:tcW w:w="2965" w:type="dxa"/>
            <w:tcBorders>
              <w:top w:val="nil"/>
              <w:left w:val="nil"/>
              <w:bottom w:val="single" w:sz="4" w:space="0" w:color="auto"/>
              <w:right w:val="single" w:sz="4" w:space="0" w:color="auto"/>
            </w:tcBorders>
            <w:shd w:val="clear" w:color="auto" w:fill="auto"/>
            <w:noWrap/>
            <w:vAlign w:val="bottom"/>
            <w:hideMark/>
          </w:tcPr>
          <w:p w14:paraId="2C42C24B"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38 %</w:t>
            </w:r>
          </w:p>
        </w:tc>
        <w:tc>
          <w:tcPr>
            <w:tcW w:w="2965" w:type="dxa"/>
            <w:tcBorders>
              <w:top w:val="nil"/>
              <w:left w:val="nil"/>
              <w:bottom w:val="single" w:sz="4" w:space="0" w:color="auto"/>
              <w:right w:val="single" w:sz="4" w:space="0" w:color="auto"/>
            </w:tcBorders>
            <w:shd w:val="clear" w:color="auto" w:fill="auto"/>
            <w:noWrap/>
            <w:vAlign w:val="center"/>
            <w:hideMark/>
          </w:tcPr>
          <w:p w14:paraId="18246FE5" w14:textId="77777777" w:rsidR="00393DDB" w:rsidRPr="00A91A09" w:rsidRDefault="00393DDB" w:rsidP="00995C79">
            <w:pPr>
              <w:spacing w:after="0" w:line="240" w:lineRule="auto"/>
              <w:ind w:right="1173"/>
              <w:jc w:val="right"/>
              <w:rPr>
                <w:rFonts w:eastAsia="Times New Roman" w:cstheme="minorHAnsi"/>
                <w:color w:val="000000"/>
                <w:sz w:val="20"/>
                <w:szCs w:val="20"/>
                <w:lang w:val="en-GB" w:eastAsia="cs-CZ"/>
              </w:rPr>
            </w:pPr>
            <w:r w:rsidRPr="00A91A09">
              <w:rPr>
                <w:rFonts w:cstheme="minorHAnsi"/>
                <w:sz w:val="20"/>
                <w:lang w:val="en-GB" w:bidi="en-GB"/>
              </w:rPr>
              <w:t>94 %</w:t>
            </w:r>
          </w:p>
        </w:tc>
      </w:tr>
      <w:tr w:rsidR="00393DDB" w:rsidRPr="00A91A09" w14:paraId="7BC0A6D1"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3387796" w14:textId="77777777" w:rsidR="00393DDB" w:rsidRPr="00A91A09" w:rsidRDefault="001C0690"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PR</w:t>
            </w:r>
          </w:p>
        </w:tc>
        <w:tc>
          <w:tcPr>
            <w:tcW w:w="2965" w:type="dxa"/>
            <w:tcBorders>
              <w:top w:val="nil"/>
              <w:left w:val="nil"/>
              <w:bottom w:val="single" w:sz="4" w:space="0" w:color="auto"/>
              <w:right w:val="single" w:sz="4" w:space="0" w:color="auto"/>
            </w:tcBorders>
            <w:shd w:val="clear" w:color="auto" w:fill="auto"/>
            <w:noWrap/>
            <w:vAlign w:val="bottom"/>
            <w:hideMark/>
          </w:tcPr>
          <w:p w14:paraId="48507734"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85 %</w:t>
            </w:r>
          </w:p>
        </w:tc>
        <w:tc>
          <w:tcPr>
            <w:tcW w:w="2965" w:type="dxa"/>
            <w:tcBorders>
              <w:top w:val="nil"/>
              <w:left w:val="nil"/>
              <w:bottom w:val="single" w:sz="4" w:space="0" w:color="auto"/>
              <w:right w:val="single" w:sz="4" w:space="0" w:color="auto"/>
            </w:tcBorders>
            <w:shd w:val="clear" w:color="auto" w:fill="auto"/>
            <w:noWrap/>
            <w:vAlign w:val="center"/>
            <w:hideMark/>
          </w:tcPr>
          <w:p w14:paraId="51F9EB31" w14:textId="77777777" w:rsidR="00393DDB" w:rsidRPr="00A91A09" w:rsidRDefault="00393DDB" w:rsidP="00995C79">
            <w:pPr>
              <w:spacing w:after="0" w:line="240" w:lineRule="auto"/>
              <w:ind w:right="1173"/>
              <w:jc w:val="right"/>
              <w:rPr>
                <w:rFonts w:eastAsia="Times New Roman" w:cstheme="minorHAnsi"/>
                <w:color w:val="000000"/>
                <w:sz w:val="20"/>
                <w:szCs w:val="20"/>
                <w:lang w:val="en-GB" w:eastAsia="cs-CZ"/>
              </w:rPr>
            </w:pPr>
            <w:r w:rsidRPr="00A91A09">
              <w:rPr>
                <w:rFonts w:cstheme="minorHAnsi"/>
                <w:sz w:val="20"/>
                <w:lang w:val="en-GB" w:bidi="en-GB"/>
              </w:rPr>
              <w:t>97 %</w:t>
            </w:r>
          </w:p>
        </w:tc>
      </w:tr>
      <w:tr w:rsidR="00393DDB" w:rsidRPr="00A91A09" w14:paraId="6FC23997"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8CC8EF9" w14:textId="77777777" w:rsidR="00393DDB" w:rsidRPr="00A91A09" w:rsidRDefault="00393DDB"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RMMSR</w:t>
            </w:r>
          </w:p>
        </w:tc>
        <w:tc>
          <w:tcPr>
            <w:tcW w:w="2965" w:type="dxa"/>
            <w:tcBorders>
              <w:top w:val="nil"/>
              <w:left w:val="nil"/>
              <w:bottom w:val="single" w:sz="4" w:space="0" w:color="auto"/>
              <w:right w:val="single" w:sz="4" w:space="0" w:color="auto"/>
            </w:tcBorders>
            <w:shd w:val="clear" w:color="auto" w:fill="auto"/>
            <w:noWrap/>
            <w:vAlign w:val="bottom"/>
            <w:hideMark/>
          </w:tcPr>
          <w:p w14:paraId="4A95A16D"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41 %</w:t>
            </w:r>
          </w:p>
        </w:tc>
        <w:tc>
          <w:tcPr>
            <w:tcW w:w="2965" w:type="dxa"/>
            <w:tcBorders>
              <w:top w:val="nil"/>
              <w:left w:val="nil"/>
              <w:bottom w:val="single" w:sz="4" w:space="0" w:color="auto"/>
              <w:right w:val="single" w:sz="4" w:space="0" w:color="auto"/>
            </w:tcBorders>
            <w:shd w:val="clear" w:color="auto" w:fill="auto"/>
            <w:noWrap/>
            <w:vAlign w:val="center"/>
            <w:hideMark/>
          </w:tcPr>
          <w:p w14:paraId="695EAA90" w14:textId="77777777" w:rsidR="00393DDB" w:rsidRPr="00A91A09" w:rsidRDefault="00393DDB" w:rsidP="00995C79">
            <w:pPr>
              <w:spacing w:after="0" w:line="240" w:lineRule="auto"/>
              <w:ind w:right="1173"/>
              <w:jc w:val="right"/>
              <w:rPr>
                <w:rFonts w:eastAsia="Times New Roman" w:cstheme="minorHAnsi"/>
                <w:color w:val="000000"/>
                <w:sz w:val="20"/>
                <w:szCs w:val="20"/>
                <w:lang w:val="en-GB" w:eastAsia="cs-CZ"/>
              </w:rPr>
            </w:pPr>
            <w:r w:rsidRPr="00A91A09">
              <w:rPr>
                <w:rFonts w:cstheme="minorHAnsi"/>
                <w:sz w:val="20"/>
                <w:lang w:val="en-GB" w:bidi="en-GB"/>
              </w:rPr>
              <w:t>101 %</w:t>
            </w:r>
          </w:p>
        </w:tc>
      </w:tr>
      <w:tr w:rsidR="00393DDB" w:rsidRPr="00A91A09" w14:paraId="02C75009"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928498C" w14:textId="77777777" w:rsidR="00393DDB" w:rsidRPr="00A91A09" w:rsidRDefault="00393DDB"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RMMPR</w:t>
            </w:r>
          </w:p>
        </w:tc>
        <w:tc>
          <w:tcPr>
            <w:tcW w:w="2965" w:type="dxa"/>
            <w:tcBorders>
              <w:top w:val="nil"/>
              <w:left w:val="nil"/>
              <w:bottom w:val="single" w:sz="4" w:space="0" w:color="auto"/>
              <w:right w:val="single" w:sz="4" w:space="0" w:color="auto"/>
            </w:tcBorders>
            <w:shd w:val="clear" w:color="auto" w:fill="auto"/>
            <w:noWrap/>
            <w:vAlign w:val="bottom"/>
            <w:hideMark/>
          </w:tcPr>
          <w:p w14:paraId="699A44B7"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94 %</w:t>
            </w:r>
          </w:p>
        </w:tc>
        <w:tc>
          <w:tcPr>
            <w:tcW w:w="2965" w:type="dxa"/>
            <w:tcBorders>
              <w:top w:val="nil"/>
              <w:left w:val="nil"/>
              <w:bottom w:val="single" w:sz="4" w:space="0" w:color="auto"/>
              <w:right w:val="single" w:sz="4" w:space="0" w:color="auto"/>
            </w:tcBorders>
            <w:shd w:val="clear" w:color="auto" w:fill="auto"/>
            <w:noWrap/>
            <w:vAlign w:val="center"/>
            <w:hideMark/>
          </w:tcPr>
          <w:p w14:paraId="5E4B1DE9" w14:textId="77777777" w:rsidR="00393DDB" w:rsidRPr="00A91A09" w:rsidRDefault="00393DDB" w:rsidP="00995C79">
            <w:pPr>
              <w:spacing w:after="0" w:line="240" w:lineRule="auto"/>
              <w:ind w:right="1173"/>
              <w:jc w:val="right"/>
              <w:rPr>
                <w:rFonts w:eastAsia="Times New Roman" w:cstheme="minorHAnsi"/>
                <w:color w:val="000000"/>
                <w:sz w:val="20"/>
                <w:szCs w:val="20"/>
                <w:lang w:val="en-GB" w:eastAsia="cs-CZ"/>
              </w:rPr>
            </w:pPr>
            <w:r w:rsidRPr="00A91A09">
              <w:rPr>
                <w:rFonts w:cstheme="minorHAnsi"/>
                <w:sz w:val="20"/>
                <w:lang w:val="en-GB" w:bidi="en-GB"/>
              </w:rPr>
              <w:t>100 %</w:t>
            </w:r>
          </w:p>
        </w:tc>
      </w:tr>
      <w:tr w:rsidR="00393DDB" w:rsidRPr="00A91A09" w14:paraId="078687C7" w14:textId="77777777" w:rsidTr="00995C79">
        <w:trPr>
          <w:trHeight w:val="22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3561B53" w14:textId="77777777" w:rsidR="00393DDB" w:rsidRPr="00A91A09" w:rsidRDefault="00393DDB" w:rsidP="00F3106C">
            <w:pPr>
              <w:spacing w:after="0" w:line="240" w:lineRule="auto"/>
              <w:rPr>
                <w:rFonts w:eastAsia="Times New Roman" w:cstheme="minorHAnsi"/>
                <w:color w:val="000000"/>
                <w:sz w:val="20"/>
                <w:szCs w:val="20"/>
                <w:lang w:val="en-GB" w:eastAsia="cs-CZ"/>
              </w:rPr>
            </w:pPr>
            <w:r w:rsidRPr="00A91A09">
              <w:rPr>
                <w:rFonts w:cstheme="minorHAnsi"/>
                <w:sz w:val="20"/>
                <w:lang w:val="en-GB" w:bidi="en-GB"/>
              </w:rPr>
              <w:t>RMMPilR</w:t>
            </w:r>
          </w:p>
        </w:tc>
        <w:tc>
          <w:tcPr>
            <w:tcW w:w="2965" w:type="dxa"/>
            <w:tcBorders>
              <w:top w:val="nil"/>
              <w:left w:val="nil"/>
              <w:bottom w:val="single" w:sz="4" w:space="0" w:color="auto"/>
              <w:right w:val="single" w:sz="4" w:space="0" w:color="auto"/>
            </w:tcBorders>
            <w:shd w:val="clear" w:color="auto" w:fill="auto"/>
            <w:noWrap/>
            <w:vAlign w:val="bottom"/>
            <w:hideMark/>
          </w:tcPr>
          <w:p w14:paraId="0962FF86" w14:textId="77777777" w:rsidR="00393DDB" w:rsidRPr="00A91A09" w:rsidRDefault="00393DDB" w:rsidP="00F3106C">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48 %</w:t>
            </w:r>
          </w:p>
        </w:tc>
        <w:tc>
          <w:tcPr>
            <w:tcW w:w="2965" w:type="dxa"/>
            <w:tcBorders>
              <w:top w:val="nil"/>
              <w:left w:val="nil"/>
              <w:bottom w:val="single" w:sz="4" w:space="0" w:color="auto"/>
              <w:right w:val="single" w:sz="4" w:space="0" w:color="auto"/>
            </w:tcBorders>
            <w:shd w:val="clear" w:color="auto" w:fill="auto"/>
            <w:noWrap/>
            <w:vAlign w:val="center"/>
            <w:hideMark/>
          </w:tcPr>
          <w:p w14:paraId="35F15CEC" w14:textId="77777777" w:rsidR="00393DDB" w:rsidRPr="00A91A09" w:rsidRDefault="00393DDB" w:rsidP="00995C79">
            <w:pPr>
              <w:spacing w:after="0" w:line="240" w:lineRule="auto"/>
              <w:ind w:right="1173"/>
              <w:jc w:val="right"/>
              <w:rPr>
                <w:rFonts w:eastAsia="Times New Roman" w:cstheme="minorHAnsi"/>
                <w:color w:val="000000"/>
                <w:sz w:val="20"/>
                <w:szCs w:val="20"/>
                <w:lang w:val="en-GB" w:eastAsia="cs-CZ"/>
              </w:rPr>
            </w:pPr>
            <w:r w:rsidRPr="00A91A09">
              <w:rPr>
                <w:rFonts w:cstheme="minorHAnsi"/>
                <w:sz w:val="20"/>
                <w:lang w:val="en-GB" w:bidi="en-GB"/>
              </w:rPr>
              <w:t>98 %</w:t>
            </w:r>
          </w:p>
        </w:tc>
      </w:tr>
    </w:tbl>
    <w:p w14:paraId="4F13A00E" w14:textId="3209A778" w:rsidR="00393DDB" w:rsidRPr="00A91A09" w:rsidRDefault="00393DDB" w:rsidP="00064D6C">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3EF00CDB" w14:textId="77777777" w:rsidR="00393DDB" w:rsidRPr="00A91A09" w:rsidRDefault="00393DDB" w:rsidP="00F3106C">
      <w:pPr>
        <w:spacing w:after="0" w:line="240" w:lineRule="auto"/>
        <w:jc w:val="both"/>
        <w:rPr>
          <w:rFonts w:eastAsia="Times New Roman" w:cstheme="minorHAnsi"/>
          <w:sz w:val="24"/>
          <w:szCs w:val="24"/>
          <w:lang w:val="en-GB" w:eastAsia="cs-CZ"/>
        </w:rPr>
      </w:pPr>
    </w:p>
    <w:p w14:paraId="1A2A0A3F" w14:textId="77777777" w:rsidR="00393DDB" w:rsidRPr="00A91A09" w:rsidRDefault="00393DDB" w:rsidP="00F3106C">
      <w:pPr>
        <w:spacing w:after="0" w:line="240" w:lineRule="auto"/>
        <w:jc w:val="both"/>
        <w:rPr>
          <w:rFonts w:eastAsia="Times New Roman" w:cstheme="minorHAnsi"/>
          <w:sz w:val="24"/>
          <w:szCs w:val="24"/>
          <w:lang w:val="en-GB" w:eastAsia="cs-CZ"/>
        </w:rPr>
      </w:pPr>
      <w:r w:rsidRPr="00A91A09">
        <w:rPr>
          <w:rFonts w:cstheme="minorHAnsi"/>
          <w:sz w:val="24"/>
          <w:lang w:val="en-GB" w:bidi="en-GB"/>
        </w:rPr>
        <w:t>The situation is also illustrated by Chart 2.</w:t>
      </w:r>
    </w:p>
    <w:p w14:paraId="59D7E0D0" w14:textId="77777777" w:rsidR="00D63525" w:rsidRPr="00A91A09" w:rsidRDefault="00D63525" w:rsidP="00F3106C">
      <w:pPr>
        <w:spacing w:after="0" w:line="240" w:lineRule="auto"/>
        <w:jc w:val="both"/>
        <w:rPr>
          <w:rFonts w:eastAsia="Times New Roman" w:cstheme="minorHAnsi"/>
          <w:sz w:val="24"/>
          <w:szCs w:val="24"/>
          <w:lang w:val="en-GB" w:eastAsia="cs-CZ"/>
        </w:rPr>
      </w:pPr>
    </w:p>
    <w:p w14:paraId="49D861CE" w14:textId="03BA9A5C" w:rsidR="00393DDB" w:rsidRPr="00A91A09" w:rsidRDefault="00393DDB" w:rsidP="00F3106C">
      <w:pPr>
        <w:keepNext/>
        <w:spacing w:after="0" w:line="240" w:lineRule="auto"/>
        <w:jc w:val="both"/>
        <w:rPr>
          <w:rFonts w:eastAsia="Times New Roman" w:cstheme="minorHAnsi"/>
          <w:b/>
          <w:sz w:val="24"/>
          <w:szCs w:val="24"/>
          <w:lang w:val="en-GB" w:eastAsia="cs-CZ"/>
        </w:rPr>
      </w:pPr>
      <w:r w:rsidRPr="00A91A09">
        <w:rPr>
          <w:rFonts w:cstheme="minorHAnsi"/>
          <w:b/>
          <w:sz w:val="24"/>
          <w:lang w:val="en-GB" w:bidi="en-GB"/>
        </w:rPr>
        <w:lastRenderedPageBreak/>
        <w:t>Chart 2 – Proportion of the bid and the expected price of the public contract</w:t>
      </w:r>
    </w:p>
    <w:p w14:paraId="0D2CF84D" w14:textId="2DB86048" w:rsidR="00393DDB" w:rsidRPr="00A91A09" w:rsidRDefault="00C47267" w:rsidP="00682492">
      <w:pPr>
        <w:spacing w:after="0" w:line="240" w:lineRule="auto"/>
        <w:jc w:val="center"/>
        <w:rPr>
          <w:rFonts w:eastAsia="Times New Roman" w:cstheme="minorHAnsi"/>
          <w:sz w:val="24"/>
          <w:szCs w:val="24"/>
          <w:lang w:val="en-GB" w:eastAsia="cs-CZ"/>
        </w:rPr>
      </w:pPr>
      <w:r w:rsidRPr="00A91A09">
        <w:rPr>
          <w:rFonts w:cstheme="minorHAnsi"/>
          <w:noProof/>
          <w:sz w:val="24"/>
          <w:lang w:val="cs-CZ" w:eastAsia="cs-CZ"/>
        </w:rPr>
        <w:drawing>
          <wp:inline distT="0" distB="0" distL="0" distR="0" wp14:anchorId="15527E87" wp14:editId="40DB2248">
            <wp:extent cx="5700243" cy="316727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OREKTURY\graf_2.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18782" cy="3177571"/>
                    </a:xfrm>
                    <a:prstGeom prst="rect">
                      <a:avLst/>
                    </a:prstGeom>
                    <a:noFill/>
                    <a:ln>
                      <a:noFill/>
                    </a:ln>
                  </pic:spPr>
                </pic:pic>
              </a:graphicData>
            </a:graphic>
          </wp:inline>
        </w:drawing>
      </w:r>
    </w:p>
    <w:p w14:paraId="113E5AFF" w14:textId="08B1B7D3" w:rsidR="00393DDB" w:rsidRPr="00A91A09" w:rsidRDefault="00F1386D" w:rsidP="00393DDB">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Significantly lower prices of the winning bids compared to the projected public contract values (in some cases by more than 50 %) had their cause, among others, in a competitive environment in the field of construction work. An exception to this result was a comparison performed for the </w:t>
      </w:r>
      <w:r w:rsidR="00C566C3">
        <w:rPr>
          <w:rFonts w:cstheme="minorHAnsi"/>
          <w:sz w:val="24"/>
          <w:lang w:val="en-GB" w:bidi="en-GB"/>
        </w:rPr>
        <w:t>auditees</w:t>
      </w:r>
      <w:r w:rsidRPr="00A91A09">
        <w:rPr>
          <w:rFonts w:cstheme="minorHAnsi"/>
          <w:sz w:val="24"/>
          <w:lang w:val="en-GB" w:bidi="en-GB"/>
        </w:rPr>
        <w:t xml:space="preserve"> PR and RMMPR, where the prices of the winning bids for construction public contracts reached 85 % of the projected values. In one case of the construction public contract for bridge repair, the prices of all bids submitted (6 in total) were over 99 % of the estimated value of the public contract. On the other hand, for the beneficiary PR, 2 non-construction public contracts for the provision of services related to the administration of tenders were audited, where the winning bid prices reached 32 % and 29.5 % of the expected public contract values, and the difference between the highest and lowest bid prices reached 253 % and 436 %, respectively.</w:t>
      </w:r>
    </w:p>
    <w:p w14:paraId="2035A4E2"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45032713" w14:textId="77777777" w:rsidR="00393DDB" w:rsidRPr="00A91A09" w:rsidRDefault="00393DDB" w:rsidP="00393DDB">
      <w:pPr>
        <w:spacing w:after="0" w:line="240" w:lineRule="auto"/>
        <w:jc w:val="both"/>
        <w:rPr>
          <w:rFonts w:eastAsia="Times New Roman" w:cstheme="minorHAnsi"/>
          <w:sz w:val="24"/>
          <w:szCs w:val="24"/>
          <w:lang w:val="en-GB" w:eastAsia="cs-CZ"/>
        </w:rPr>
      </w:pPr>
      <w:r w:rsidRPr="00A91A09">
        <w:rPr>
          <w:rFonts w:cstheme="minorHAnsi"/>
          <w:sz w:val="24"/>
          <w:lang w:val="en-GB" w:bidi="en-GB"/>
        </w:rPr>
        <w:t>The SAO audit found that, in the vast majority of cases, the estimated value of public contracts had been determined by the designer using the price databases and codebooks of ÚRS and other processors. Given that the abovementioned codebooks and price databases usually contain price ranges for the valuation of materials and works, a sufficiently competitive environment is indicated not only by the value of the difference between the expected value of the public contract and the winning bid price, but also by the variance in the prices of all the tenders submitted.</w:t>
      </w:r>
    </w:p>
    <w:p w14:paraId="24FEEDDA"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62F797E3" w14:textId="1D82AD9B" w:rsidR="00393DDB" w:rsidRPr="00A91A09" w:rsidRDefault="00393DDB" w:rsidP="00393DDB">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Great differences between the minimum and maximum values ​​also indicate unsystematic work with the projected public contract values. Because the </w:t>
      </w:r>
      <w:r w:rsidR="00C566C3">
        <w:rPr>
          <w:rFonts w:cstheme="minorHAnsi"/>
          <w:sz w:val="24"/>
          <w:lang w:val="en-GB" w:bidi="en-GB"/>
        </w:rPr>
        <w:t>auditees</w:t>
      </w:r>
      <w:r w:rsidRPr="00A91A09">
        <w:rPr>
          <w:rFonts w:cstheme="minorHAnsi"/>
          <w:sz w:val="24"/>
          <w:lang w:val="en-GB" w:bidi="en-GB"/>
        </w:rPr>
        <w:t xml:space="preserve"> left the determination of the estimated value to the processors of the project documentation in most of the cases audited, this practice led to different prices being used to determine the expected value of a public contract within the scope of the relevant codebook. Cases of a large decline in bid prices over the projected public contract values do not necessarily mean an economical use of funds, but may also point to an incorrectly determined value of the public contract.</w:t>
      </w:r>
    </w:p>
    <w:p w14:paraId="4F8ADB8C" w14:textId="77777777" w:rsidR="00BE07FA" w:rsidRPr="00A91A09" w:rsidRDefault="00BE07FA" w:rsidP="00393DDB">
      <w:pPr>
        <w:spacing w:after="0" w:line="240" w:lineRule="auto"/>
        <w:jc w:val="both"/>
        <w:rPr>
          <w:rFonts w:eastAsia="Times New Roman" w:cstheme="minorHAnsi"/>
          <w:sz w:val="24"/>
          <w:szCs w:val="24"/>
          <w:lang w:val="en-GB" w:eastAsia="cs-CZ"/>
        </w:rPr>
      </w:pPr>
    </w:p>
    <w:p w14:paraId="1D155BE9" w14:textId="77777777" w:rsidR="00393DDB" w:rsidRPr="00A91A09" w:rsidRDefault="00393DDB" w:rsidP="00064D6C">
      <w:pPr>
        <w:keepNext/>
        <w:spacing w:after="0" w:line="240" w:lineRule="auto"/>
        <w:jc w:val="both"/>
        <w:rPr>
          <w:rFonts w:eastAsia="Times New Roman" w:cstheme="minorHAnsi"/>
          <w:b/>
          <w:sz w:val="24"/>
          <w:szCs w:val="24"/>
          <w:lang w:val="en-GB" w:eastAsia="cs-CZ"/>
        </w:rPr>
      </w:pPr>
      <w:r w:rsidRPr="00A91A09">
        <w:rPr>
          <w:rFonts w:cstheme="minorHAnsi"/>
          <w:b/>
          <w:sz w:val="24"/>
          <w:lang w:val="en-GB" w:bidi="en-GB"/>
        </w:rPr>
        <w:lastRenderedPageBreak/>
        <w:t>4. Progress of repairs of the regional roads</w:t>
      </w:r>
    </w:p>
    <w:p w14:paraId="5773A926" w14:textId="77777777" w:rsidR="00064D6C" w:rsidRPr="00A91A09" w:rsidRDefault="00064D6C" w:rsidP="00064D6C">
      <w:pPr>
        <w:keepNext/>
        <w:spacing w:after="0" w:line="240" w:lineRule="auto"/>
        <w:jc w:val="both"/>
        <w:rPr>
          <w:rFonts w:eastAsia="Times New Roman" w:cstheme="minorHAnsi"/>
          <w:sz w:val="24"/>
          <w:szCs w:val="24"/>
          <w:lang w:val="en-GB" w:eastAsia="cs-CZ"/>
        </w:rPr>
      </w:pPr>
    </w:p>
    <w:p w14:paraId="0B2CF6CB" w14:textId="61AF593A" w:rsidR="00393DDB" w:rsidRPr="00A91A09" w:rsidRDefault="00393DDB" w:rsidP="00064D6C">
      <w:pPr>
        <w:keepNext/>
        <w:spacing w:after="0" w:line="240" w:lineRule="auto"/>
        <w:jc w:val="both"/>
        <w:rPr>
          <w:rFonts w:eastAsia="Times New Roman" w:cstheme="minorHAnsi"/>
          <w:sz w:val="24"/>
          <w:szCs w:val="24"/>
          <w:lang w:val="en-GB" w:eastAsia="cs-CZ"/>
        </w:rPr>
      </w:pPr>
      <w:r w:rsidRPr="00A91A09">
        <w:rPr>
          <w:rFonts w:cstheme="minorHAnsi"/>
          <w:sz w:val="24"/>
          <w:lang w:val="en-GB" w:bidi="en-GB"/>
        </w:rPr>
        <w:t>The SAO audit evaluated, in cases where the data were available, the progress of repairing regional roads in the period under review and its continuity with the previous period.</w:t>
      </w:r>
    </w:p>
    <w:p w14:paraId="57047102"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60703A75" w14:textId="5FC41A5C" w:rsidR="00393DDB" w:rsidRPr="00A91A09" w:rsidRDefault="00393DDB" w:rsidP="00393DDB">
      <w:pPr>
        <w:spacing w:after="0" w:line="240" w:lineRule="auto"/>
        <w:jc w:val="both"/>
        <w:rPr>
          <w:rFonts w:eastAsia="Times New Roman" w:cstheme="minorHAnsi"/>
          <w:sz w:val="24"/>
          <w:szCs w:val="24"/>
          <w:lang w:val="en-GB" w:eastAsia="cs-CZ"/>
        </w:rPr>
      </w:pPr>
      <w:r w:rsidRPr="00A91A09">
        <w:rPr>
          <w:rFonts w:cstheme="minorHAnsi"/>
          <w:sz w:val="24"/>
          <w:lang w:val="en-GB" w:bidi="en-GB"/>
        </w:rPr>
        <w:t>In the case of class II and class III roads in the Pilsen Region, data were available from 2013, where the RMMPilR evaluated that 69 % of the total of 4,616 km of roads were in the unsatisfactory state or state of disrepair in the Pilsen Region. The gradual decrease in roads in the unsatisfactory state or state of disrepair is given in Tables 7 and 8, which show both the percentage and length data in km.</w:t>
      </w:r>
    </w:p>
    <w:p w14:paraId="4C7F8773"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537C24A9" w14:textId="5E76FF01" w:rsidR="00393DDB" w:rsidRPr="00A91A09" w:rsidRDefault="00393DDB" w:rsidP="000C7FB7">
      <w:pPr>
        <w:tabs>
          <w:tab w:val="right" w:pos="9072"/>
        </w:tabs>
        <w:spacing w:after="40" w:line="240" w:lineRule="auto"/>
        <w:jc w:val="both"/>
        <w:rPr>
          <w:rFonts w:eastAsia="Times New Roman" w:cstheme="minorHAnsi"/>
          <w:b/>
          <w:sz w:val="24"/>
          <w:szCs w:val="24"/>
          <w:lang w:val="en-GB" w:eastAsia="cs-CZ"/>
        </w:rPr>
      </w:pPr>
      <w:r w:rsidRPr="00A91A09">
        <w:rPr>
          <w:rFonts w:cstheme="minorHAnsi"/>
          <w:b/>
          <w:sz w:val="24"/>
          <w:lang w:val="en-GB" w:bidi="en-GB"/>
        </w:rPr>
        <w:t xml:space="preserve">Table 7 – Class II and class III roads according to their condition in the Pilsen Region </w:t>
      </w:r>
      <w:r w:rsidRPr="00A91A09">
        <w:rPr>
          <w:rFonts w:cstheme="minorHAnsi"/>
          <w:b/>
          <w:sz w:val="24"/>
          <w:lang w:val="en-GB" w:bidi="en-GB"/>
        </w:rPr>
        <w:tab/>
        <w:t>(in %)</w:t>
      </w:r>
    </w:p>
    <w:tbl>
      <w:tblPr>
        <w:tblW w:w="9048" w:type="dxa"/>
        <w:tblCellMar>
          <w:left w:w="70" w:type="dxa"/>
          <w:right w:w="70" w:type="dxa"/>
        </w:tblCellMar>
        <w:tblLook w:val="04A0" w:firstRow="1" w:lastRow="0" w:firstColumn="1" w:lastColumn="0" w:noHBand="0" w:noVBand="1"/>
      </w:tblPr>
      <w:tblGrid>
        <w:gridCol w:w="1134"/>
        <w:gridCol w:w="1282"/>
        <w:gridCol w:w="1111"/>
        <w:gridCol w:w="1370"/>
        <w:gridCol w:w="1672"/>
        <w:gridCol w:w="1224"/>
        <w:gridCol w:w="1255"/>
      </w:tblGrid>
      <w:tr w:rsidR="00393DDB" w:rsidRPr="00A91A09" w14:paraId="5277EF9D" w14:textId="77777777" w:rsidTr="000C7FB7">
        <w:trPr>
          <w:trHeight w:val="227"/>
        </w:trPr>
        <w:tc>
          <w:tcPr>
            <w:tcW w:w="1134" w:type="dxa"/>
            <w:vMerge w:val="restart"/>
            <w:tcBorders>
              <w:top w:val="single" w:sz="4" w:space="0" w:color="auto"/>
              <w:left w:val="single" w:sz="4" w:space="0" w:color="auto"/>
              <w:bottom w:val="single" w:sz="4" w:space="0" w:color="auto"/>
              <w:right w:val="single" w:sz="4" w:space="0" w:color="auto"/>
            </w:tcBorders>
            <w:shd w:val="clear" w:color="auto" w:fill="E5F1FF"/>
            <w:vAlign w:val="center"/>
            <w:hideMark/>
          </w:tcPr>
          <w:p w14:paraId="5C975816"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Year</w:t>
            </w:r>
          </w:p>
        </w:tc>
        <w:tc>
          <w:tcPr>
            <w:tcW w:w="6659" w:type="dxa"/>
            <w:gridSpan w:val="5"/>
            <w:tcBorders>
              <w:top w:val="single" w:sz="4" w:space="0" w:color="auto"/>
              <w:left w:val="nil"/>
              <w:bottom w:val="single" w:sz="4" w:space="0" w:color="auto"/>
              <w:right w:val="single" w:sz="4" w:space="0" w:color="auto"/>
            </w:tcBorders>
            <w:shd w:val="clear" w:color="auto" w:fill="E5F1FF"/>
            <w:vAlign w:val="center"/>
            <w:hideMark/>
          </w:tcPr>
          <w:p w14:paraId="351B2506"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Road surface condition</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E5F1FF"/>
            <w:vAlign w:val="center"/>
            <w:hideMark/>
          </w:tcPr>
          <w:p w14:paraId="6D6839A2"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Total</w:t>
            </w:r>
          </w:p>
        </w:tc>
      </w:tr>
      <w:tr w:rsidR="00393DDB" w:rsidRPr="00A91A09" w14:paraId="607D9B14" w14:textId="77777777" w:rsidTr="000C7FB7">
        <w:trPr>
          <w:trHeight w:val="227"/>
        </w:trPr>
        <w:tc>
          <w:tcPr>
            <w:tcW w:w="1134" w:type="dxa"/>
            <w:vMerge/>
            <w:tcBorders>
              <w:top w:val="single" w:sz="4" w:space="0" w:color="auto"/>
              <w:left w:val="single" w:sz="4" w:space="0" w:color="auto"/>
              <w:bottom w:val="single" w:sz="4" w:space="0" w:color="auto"/>
              <w:right w:val="single" w:sz="4" w:space="0" w:color="auto"/>
            </w:tcBorders>
            <w:shd w:val="clear" w:color="auto" w:fill="E5F1FF"/>
            <w:vAlign w:val="center"/>
            <w:hideMark/>
          </w:tcPr>
          <w:p w14:paraId="5E304C4D" w14:textId="77777777" w:rsidR="00393DDB" w:rsidRPr="00A91A09" w:rsidRDefault="00393DDB" w:rsidP="00393DDB">
            <w:pPr>
              <w:spacing w:after="0" w:line="240" w:lineRule="auto"/>
              <w:rPr>
                <w:rFonts w:eastAsia="Times New Roman" w:cstheme="minorHAnsi"/>
                <w:b/>
                <w:bCs/>
                <w:color w:val="000000"/>
                <w:sz w:val="20"/>
                <w:szCs w:val="20"/>
                <w:lang w:val="en-GB" w:eastAsia="cs-CZ"/>
              </w:rPr>
            </w:pPr>
          </w:p>
        </w:tc>
        <w:tc>
          <w:tcPr>
            <w:tcW w:w="1282" w:type="dxa"/>
            <w:tcBorders>
              <w:top w:val="nil"/>
              <w:left w:val="nil"/>
              <w:bottom w:val="single" w:sz="4" w:space="0" w:color="auto"/>
              <w:right w:val="single" w:sz="4" w:space="0" w:color="auto"/>
            </w:tcBorders>
            <w:shd w:val="clear" w:color="auto" w:fill="E5F1FF"/>
            <w:vAlign w:val="center"/>
            <w:hideMark/>
          </w:tcPr>
          <w:p w14:paraId="7DEBFFE2" w14:textId="2ADAC094"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Excellent</w:t>
            </w:r>
          </w:p>
        </w:tc>
        <w:tc>
          <w:tcPr>
            <w:tcW w:w="1111" w:type="dxa"/>
            <w:tcBorders>
              <w:top w:val="nil"/>
              <w:left w:val="nil"/>
              <w:bottom w:val="single" w:sz="4" w:space="0" w:color="auto"/>
              <w:right w:val="single" w:sz="4" w:space="0" w:color="auto"/>
            </w:tcBorders>
            <w:shd w:val="clear" w:color="auto" w:fill="E5F1FF"/>
            <w:vAlign w:val="center"/>
            <w:hideMark/>
          </w:tcPr>
          <w:p w14:paraId="61C4801A" w14:textId="67751554"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Good</w:t>
            </w:r>
          </w:p>
        </w:tc>
        <w:tc>
          <w:tcPr>
            <w:tcW w:w="1370" w:type="dxa"/>
            <w:tcBorders>
              <w:top w:val="nil"/>
              <w:left w:val="nil"/>
              <w:bottom w:val="single" w:sz="4" w:space="0" w:color="auto"/>
              <w:right w:val="single" w:sz="4" w:space="0" w:color="auto"/>
            </w:tcBorders>
            <w:shd w:val="clear" w:color="auto" w:fill="E5F1FF"/>
            <w:vAlign w:val="center"/>
            <w:hideMark/>
          </w:tcPr>
          <w:p w14:paraId="4A736127" w14:textId="7CC5C0B8"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Satisfactory</w:t>
            </w:r>
          </w:p>
        </w:tc>
        <w:tc>
          <w:tcPr>
            <w:tcW w:w="1672" w:type="dxa"/>
            <w:tcBorders>
              <w:top w:val="nil"/>
              <w:left w:val="nil"/>
              <w:bottom w:val="single" w:sz="4" w:space="0" w:color="auto"/>
              <w:right w:val="single" w:sz="4" w:space="0" w:color="auto"/>
            </w:tcBorders>
            <w:shd w:val="clear" w:color="auto" w:fill="E5F1FF"/>
            <w:vAlign w:val="center"/>
            <w:hideMark/>
          </w:tcPr>
          <w:p w14:paraId="4762EABC" w14:textId="073C6F13"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Unsatisfactory</w:t>
            </w:r>
          </w:p>
        </w:tc>
        <w:tc>
          <w:tcPr>
            <w:tcW w:w="1224" w:type="dxa"/>
            <w:tcBorders>
              <w:top w:val="nil"/>
              <w:left w:val="nil"/>
              <w:bottom w:val="single" w:sz="4" w:space="0" w:color="auto"/>
              <w:right w:val="single" w:sz="4" w:space="0" w:color="auto"/>
            </w:tcBorders>
            <w:shd w:val="clear" w:color="auto" w:fill="E5F1FF"/>
            <w:vAlign w:val="center"/>
            <w:hideMark/>
          </w:tcPr>
          <w:p w14:paraId="38D418C5" w14:textId="5B10208F"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Disrepair</w:t>
            </w:r>
          </w:p>
        </w:tc>
        <w:tc>
          <w:tcPr>
            <w:tcW w:w="1255" w:type="dxa"/>
            <w:vMerge/>
            <w:tcBorders>
              <w:top w:val="single" w:sz="4" w:space="0" w:color="auto"/>
              <w:left w:val="single" w:sz="4" w:space="0" w:color="auto"/>
              <w:bottom w:val="single" w:sz="4" w:space="0" w:color="auto"/>
              <w:right w:val="single" w:sz="4" w:space="0" w:color="auto"/>
            </w:tcBorders>
            <w:shd w:val="clear" w:color="auto" w:fill="E5F1FF"/>
            <w:vAlign w:val="center"/>
            <w:hideMark/>
          </w:tcPr>
          <w:p w14:paraId="3BC71BAD" w14:textId="77777777" w:rsidR="00393DDB" w:rsidRPr="00A91A09" w:rsidRDefault="00393DDB" w:rsidP="00393DDB">
            <w:pPr>
              <w:spacing w:after="0" w:line="240" w:lineRule="auto"/>
              <w:rPr>
                <w:rFonts w:eastAsia="Times New Roman" w:cstheme="minorHAnsi"/>
                <w:bCs/>
                <w:color w:val="000000"/>
                <w:sz w:val="20"/>
                <w:szCs w:val="20"/>
                <w:lang w:val="en-GB" w:eastAsia="cs-CZ"/>
              </w:rPr>
            </w:pPr>
          </w:p>
        </w:tc>
      </w:tr>
      <w:tr w:rsidR="00393DDB" w:rsidRPr="00A91A09" w14:paraId="47A3098E" w14:textId="77777777" w:rsidTr="000C7FB7">
        <w:trPr>
          <w:trHeight w:val="22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DB3494C"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2013</w:t>
            </w:r>
          </w:p>
        </w:tc>
        <w:tc>
          <w:tcPr>
            <w:tcW w:w="1282" w:type="dxa"/>
            <w:tcBorders>
              <w:top w:val="nil"/>
              <w:left w:val="nil"/>
              <w:bottom w:val="single" w:sz="4" w:space="0" w:color="auto"/>
              <w:right w:val="single" w:sz="4" w:space="0" w:color="auto"/>
            </w:tcBorders>
            <w:shd w:val="clear" w:color="auto" w:fill="auto"/>
            <w:vAlign w:val="center"/>
            <w:hideMark/>
          </w:tcPr>
          <w:p w14:paraId="720FCC30"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10.0</w:t>
            </w:r>
          </w:p>
        </w:tc>
        <w:tc>
          <w:tcPr>
            <w:tcW w:w="1111" w:type="dxa"/>
            <w:tcBorders>
              <w:top w:val="nil"/>
              <w:left w:val="nil"/>
              <w:bottom w:val="single" w:sz="4" w:space="0" w:color="auto"/>
              <w:right w:val="single" w:sz="4" w:space="0" w:color="auto"/>
            </w:tcBorders>
            <w:shd w:val="clear" w:color="auto" w:fill="auto"/>
            <w:vAlign w:val="center"/>
            <w:hideMark/>
          </w:tcPr>
          <w:p w14:paraId="631936A3"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9.0</w:t>
            </w:r>
          </w:p>
        </w:tc>
        <w:tc>
          <w:tcPr>
            <w:tcW w:w="1370" w:type="dxa"/>
            <w:tcBorders>
              <w:top w:val="nil"/>
              <w:left w:val="nil"/>
              <w:bottom w:val="single" w:sz="4" w:space="0" w:color="auto"/>
              <w:right w:val="single" w:sz="4" w:space="0" w:color="auto"/>
            </w:tcBorders>
            <w:shd w:val="clear" w:color="auto" w:fill="auto"/>
            <w:vAlign w:val="center"/>
            <w:hideMark/>
          </w:tcPr>
          <w:p w14:paraId="5951E5F4"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12.0</w:t>
            </w:r>
          </w:p>
        </w:tc>
        <w:tc>
          <w:tcPr>
            <w:tcW w:w="1672" w:type="dxa"/>
            <w:tcBorders>
              <w:top w:val="nil"/>
              <w:left w:val="nil"/>
              <w:bottom w:val="single" w:sz="4" w:space="0" w:color="auto"/>
              <w:right w:val="single" w:sz="4" w:space="0" w:color="auto"/>
            </w:tcBorders>
            <w:shd w:val="clear" w:color="auto" w:fill="auto"/>
            <w:vAlign w:val="center"/>
            <w:hideMark/>
          </w:tcPr>
          <w:p w14:paraId="35EF9A35"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23.0</w:t>
            </w:r>
          </w:p>
        </w:tc>
        <w:tc>
          <w:tcPr>
            <w:tcW w:w="1224" w:type="dxa"/>
            <w:tcBorders>
              <w:top w:val="nil"/>
              <w:left w:val="nil"/>
              <w:bottom w:val="single" w:sz="4" w:space="0" w:color="auto"/>
              <w:right w:val="single" w:sz="4" w:space="0" w:color="auto"/>
            </w:tcBorders>
            <w:shd w:val="clear" w:color="auto" w:fill="auto"/>
            <w:vAlign w:val="center"/>
            <w:hideMark/>
          </w:tcPr>
          <w:p w14:paraId="43FBB18E"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46.0</w:t>
            </w:r>
          </w:p>
        </w:tc>
        <w:tc>
          <w:tcPr>
            <w:tcW w:w="1255" w:type="dxa"/>
            <w:tcBorders>
              <w:top w:val="nil"/>
              <w:left w:val="nil"/>
              <w:bottom w:val="single" w:sz="4" w:space="0" w:color="auto"/>
              <w:right w:val="single" w:sz="4" w:space="0" w:color="auto"/>
            </w:tcBorders>
            <w:shd w:val="clear" w:color="auto" w:fill="auto"/>
            <w:vAlign w:val="center"/>
            <w:hideMark/>
          </w:tcPr>
          <w:p w14:paraId="29D7674F" w14:textId="77777777" w:rsidR="00393DDB" w:rsidRPr="00A91A09" w:rsidRDefault="00393DDB" w:rsidP="00831687">
            <w:pPr>
              <w:spacing w:after="0" w:line="240" w:lineRule="auto"/>
              <w:ind w:right="269"/>
              <w:jc w:val="right"/>
              <w:rPr>
                <w:rFonts w:eastAsia="Times New Roman" w:cstheme="minorHAnsi"/>
                <w:b/>
                <w:color w:val="000000"/>
                <w:sz w:val="20"/>
                <w:szCs w:val="20"/>
                <w:lang w:val="en-GB" w:eastAsia="cs-CZ"/>
              </w:rPr>
            </w:pPr>
            <w:r w:rsidRPr="00A91A09">
              <w:rPr>
                <w:rFonts w:cstheme="minorHAnsi"/>
                <w:b/>
                <w:sz w:val="20"/>
                <w:lang w:val="en-GB" w:bidi="en-GB"/>
              </w:rPr>
              <w:t>100.00</w:t>
            </w:r>
          </w:p>
        </w:tc>
      </w:tr>
      <w:tr w:rsidR="00393DDB" w:rsidRPr="00A91A09" w14:paraId="0CBE16BD" w14:textId="77777777" w:rsidTr="000C7FB7">
        <w:trPr>
          <w:trHeight w:val="22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4B26DD8"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2014</w:t>
            </w:r>
          </w:p>
        </w:tc>
        <w:tc>
          <w:tcPr>
            <w:tcW w:w="1282" w:type="dxa"/>
            <w:tcBorders>
              <w:top w:val="nil"/>
              <w:left w:val="nil"/>
              <w:bottom w:val="single" w:sz="4" w:space="0" w:color="auto"/>
              <w:right w:val="single" w:sz="4" w:space="0" w:color="auto"/>
            </w:tcBorders>
            <w:shd w:val="clear" w:color="auto" w:fill="auto"/>
            <w:vAlign w:val="center"/>
            <w:hideMark/>
          </w:tcPr>
          <w:p w14:paraId="5C2CC877"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13.0</w:t>
            </w:r>
          </w:p>
        </w:tc>
        <w:tc>
          <w:tcPr>
            <w:tcW w:w="1111" w:type="dxa"/>
            <w:tcBorders>
              <w:top w:val="nil"/>
              <w:left w:val="nil"/>
              <w:bottom w:val="single" w:sz="4" w:space="0" w:color="auto"/>
              <w:right w:val="single" w:sz="4" w:space="0" w:color="auto"/>
            </w:tcBorders>
            <w:shd w:val="clear" w:color="auto" w:fill="auto"/>
            <w:vAlign w:val="center"/>
            <w:hideMark/>
          </w:tcPr>
          <w:p w14:paraId="3D1364A2"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11.0</w:t>
            </w:r>
          </w:p>
        </w:tc>
        <w:tc>
          <w:tcPr>
            <w:tcW w:w="1370" w:type="dxa"/>
            <w:tcBorders>
              <w:top w:val="nil"/>
              <w:left w:val="nil"/>
              <w:bottom w:val="single" w:sz="4" w:space="0" w:color="auto"/>
              <w:right w:val="single" w:sz="4" w:space="0" w:color="auto"/>
            </w:tcBorders>
            <w:shd w:val="clear" w:color="auto" w:fill="auto"/>
            <w:vAlign w:val="center"/>
            <w:hideMark/>
          </w:tcPr>
          <w:p w14:paraId="2C0867CE"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14.5</w:t>
            </w:r>
          </w:p>
        </w:tc>
        <w:tc>
          <w:tcPr>
            <w:tcW w:w="1672" w:type="dxa"/>
            <w:tcBorders>
              <w:top w:val="nil"/>
              <w:left w:val="nil"/>
              <w:bottom w:val="single" w:sz="4" w:space="0" w:color="auto"/>
              <w:right w:val="single" w:sz="4" w:space="0" w:color="auto"/>
            </w:tcBorders>
            <w:shd w:val="clear" w:color="auto" w:fill="auto"/>
            <w:vAlign w:val="center"/>
            <w:hideMark/>
          </w:tcPr>
          <w:p w14:paraId="59831237"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24.0</w:t>
            </w:r>
          </w:p>
        </w:tc>
        <w:tc>
          <w:tcPr>
            <w:tcW w:w="1224" w:type="dxa"/>
            <w:tcBorders>
              <w:top w:val="nil"/>
              <w:left w:val="nil"/>
              <w:bottom w:val="single" w:sz="4" w:space="0" w:color="auto"/>
              <w:right w:val="single" w:sz="4" w:space="0" w:color="auto"/>
            </w:tcBorders>
            <w:shd w:val="clear" w:color="auto" w:fill="auto"/>
            <w:vAlign w:val="center"/>
            <w:hideMark/>
          </w:tcPr>
          <w:p w14:paraId="145EB3A8"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37.5</w:t>
            </w:r>
          </w:p>
        </w:tc>
        <w:tc>
          <w:tcPr>
            <w:tcW w:w="1255" w:type="dxa"/>
            <w:tcBorders>
              <w:top w:val="nil"/>
              <w:left w:val="nil"/>
              <w:bottom w:val="single" w:sz="4" w:space="0" w:color="auto"/>
              <w:right w:val="single" w:sz="4" w:space="0" w:color="auto"/>
            </w:tcBorders>
            <w:shd w:val="clear" w:color="auto" w:fill="auto"/>
            <w:vAlign w:val="center"/>
            <w:hideMark/>
          </w:tcPr>
          <w:p w14:paraId="101EE82F" w14:textId="77777777" w:rsidR="00393DDB" w:rsidRPr="00A91A09" w:rsidRDefault="00393DDB" w:rsidP="00831687">
            <w:pPr>
              <w:spacing w:after="0" w:line="240" w:lineRule="auto"/>
              <w:ind w:right="269"/>
              <w:jc w:val="right"/>
              <w:rPr>
                <w:rFonts w:eastAsia="Times New Roman" w:cstheme="minorHAnsi"/>
                <w:b/>
                <w:color w:val="000000"/>
                <w:sz w:val="20"/>
                <w:szCs w:val="20"/>
                <w:lang w:val="en-GB" w:eastAsia="cs-CZ"/>
              </w:rPr>
            </w:pPr>
            <w:r w:rsidRPr="00A91A09">
              <w:rPr>
                <w:rFonts w:cstheme="minorHAnsi"/>
                <w:b/>
                <w:sz w:val="20"/>
                <w:lang w:val="en-GB" w:bidi="en-GB"/>
              </w:rPr>
              <w:t>100.00</w:t>
            </w:r>
          </w:p>
        </w:tc>
      </w:tr>
      <w:tr w:rsidR="00393DDB" w:rsidRPr="00A91A09" w14:paraId="77E6C227" w14:textId="77777777" w:rsidTr="000C7FB7">
        <w:trPr>
          <w:trHeight w:val="22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37B04F5"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2015</w:t>
            </w:r>
          </w:p>
        </w:tc>
        <w:tc>
          <w:tcPr>
            <w:tcW w:w="1282" w:type="dxa"/>
            <w:tcBorders>
              <w:top w:val="nil"/>
              <w:left w:val="nil"/>
              <w:bottom w:val="single" w:sz="4" w:space="0" w:color="auto"/>
              <w:right w:val="single" w:sz="4" w:space="0" w:color="auto"/>
            </w:tcBorders>
            <w:shd w:val="clear" w:color="auto" w:fill="auto"/>
            <w:vAlign w:val="center"/>
            <w:hideMark/>
          </w:tcPr>
          <w:p w14:paraId="517A22F7"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16.0</w:t>
            </w:r>
          </w:p>
        </w:tc>
        <w:tc>
          <w:tcPr>
            <w:tcW w:w="1111" w:type="dxa"/>
            <w:tcBorders>
              <w:top w:val="nil"/>
              <w:left w:val="nil"/>
              <w:bottom w:val="single" w:sz="4" w:space="0" w:color="auto"/>
              <w:right w:val="single" w:sz="4" w:space="0" w:color="auto"/>
            </w:tcBorders>
            <w:shd w:val="clear" w:color="auto" w:fill="auto"/>
            <w:vAlign w:val="center"/>
            <w:hideMark/>
          </w:tcPr>
          <w:p w14:paraId="559C303A"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13.0</w:t>
            </w:r>
          </w:p>
        </w:tc>
        <w:tc>
          <w:tcPr>
            <w:tcW w:w="1370" w:type="dxa"/>
            <w:tcBorders>
              <w:top w:val="nil"/>
              <w:left w:val="nil"/>
              <w:bottom w:val="single" w:sz="4" w:space="0" w:color="auto"/>
              <w:right w:val="single" w:sz="4" w:space="0" w:color="auto"/>
            </w:tcBorders>
            <w:shd w:val="clear" w:color="auto" w:fill="auto"/>
            <w:vAlign w:val="center"/>
            <w:hideMark/>
          </w:tcPr>
          <w:p w14:paraId="63F2FA62"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17.0</w:t>
            </w:r>
          </w:p>
        </w:tc>
        <w:tc>
          <w:tcPr>
            <w:tcW w:w="1672" w:type="dxa"/>
            <w:tcBorders>
              <w:top w:val="nil"/>
              <w:left w:val="nil"/>
              <w:bottom w:val="single" w:sz="4" w:space="0" w:color="auto"/>
              <w:right w:val="single" w:sz="4" w:space="0" w:color="auto"/>
            </w:tcBorders>
            <w:shd w:val="clear" w:color="auto" w:fill="auto"/>
            <w:vAlign w:val="center"/>
            <w:hideMark/>
          </w:tcPr>
          <w:p w14:paraId="7B7C6F38"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25.0</w:t>
            </w:r>
          </w:p>
        </w:tc>
        <w:tc>
          <w:tcPr>
            <w:tcW w:w="1224" w:type="dxa"/>
            <w:tcBorders>
              <w:top w:val="nil"/>
              <w:left w:val="nil"/>
              <w:bottom w:val="single" w:sz="4" w:space="0" w:color="auto"/>
              <w:right w:val="single" w:sz="4" w:space="0" w:color="auto"/>
            </w:tcBorders>
            <w:shd w:val="clear" w:color="auto" w:fill="auto"/>
            <w:vAlign w:val="center"/>
            <w:hideMark/>
          </w:tcPr>
          <w:p w14:paraId="6FC3AD94"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29.0</w:t>
            </w:r>
          </w:p>
        </w:tc>
        <w:tc>
          <w:tcPr>
            <w:tcW w:w="1255" w:type="dxa"/>
            <w:tcBorders>
              <w:top w:val="nil"/>
              <w:left w:val="nil"/>
              <w:bottom w:val="single" w:sz="4" w:space="0" w:color="auto"/>
              <w:right w:val="single" w:sz="4" w:space="0" w:color="auto"/>
            </w:tcBorders>
            <w:shd w:val="clear" w:color="auto" w:fill="auto"/>
            <w:vAlign w:val="center"/>
            <w:hideMark/>
          </w:tcPr>
          <w:p w14:paraId="40E6F8E2" w14:textId="77777777" w:rsidR="00393DDB" w:rsidRPr="00A91A09" w:rsidRDefault="00393DDB" w:rsidP="00831687">
            <w:pPr>
              <w:spacing w:after="0" w:line="240" w:lineRule="auto"/>
              <w:ind w:right="269"/>
              <w:jc w:val="right"/>
              <w:rPr>
                <w:rFonts w:eastAsia="Times New Roman" w:cstheme="minorHAnsi"/>
                <w:b/>
                <w:color w:val="000000"/>
                <w:sz w:val="20"/>
                <w:szCs w:val="20"/>
                <w:lang w:val="en-GB" w:eastAsia="cs-CZ"/>
              </w:rPr>
            </w:pPr>
            <w:r w:rsidRPr="00A91A09">
              <w:rPr>
                <w:rFonts w:cstheme="minorHAnsi"/>
                <w:b/>
                <w:sz w:val="20"/>
                <w:lang w:val="en-GB" w:bidi="en-GB"/>
              </w:rPr>
              <w:t>100.00</w:t>
            </w:r>
          </w:p>
        </w:tc>
      </w:tr>
      <w:tr w:rsidR="00393DDB" w:rsidRPr="00A91A09" w14:paraId="1015E73E" w14:textId="77777777" w:rsidTr="000C7FB7">
        <w:trPr>
          <w:trHeight w:val="227"/>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AB33A04"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2016</w:t>
            </w:r>
          </w:p>
        </w:tc>
        <w:tc>
          <w:tcPr>
            <w:tcW w:w="1282" w:type="dxa"/>
            <w:tcBorders>
              <w:top w:val="nil"/>
              <w:left w:val="nil"/>
              <w:bottom w:val="single" w:sz="4" w:space="0" w:color="auto"/>
              <w:right w:val="single" w:sz="4" w:space="0" w:color="auto"/>
            </w:tcBorders>
            <w:shd w:val="clear" w:color="auto" w:fill="auto"/>
            <w:vAlign w:val="center"/>
            <w:hideMark/>
          </w:tcPr>
          <w:p w14:paraId="78C5A25C"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16.4</w:t>
            </w:r>
          </w:p>
        </w:tc>
        <w:tc>
          <w:tcPr>
            <w:tcW w:w="1111" w:type="dxa"/>
            <w:tcBorders>
              <w:top w:val="nil"/>
              <w:left w:val="nil"/>
              <w:bottom w:val="single" w:sz="4" w:space="0" w:color="auto"/>
              <w:right w:val="single" w:sz="4" w:space="0" w:color="auto"/>
            </w:tcBorders>
            <w:shd w:val="clear" w:color="auto" w:fill="auto"/>
            <w:vAlign w:val="center"/>
            <w:hideMark/>
          </w:tcPr>
          <w:p w14:paraId="50F2ADBD"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17.6</w:t>
            </w:r>
          </w:p>
        </w:tc>
        <w:tc>
          <w:tcPr>
            <w:tcW w:w="1370" w:type="dxa"/>
            <w:tcBorders>
              <w:top w:val="nil"/>
              <w:left w:val="nil"/>
              <w:bottom w:val="single" w:sz="4" w:space="0" w:color="auto"/>
              <w:right w:val="single" w:sz="4" w:space="0" w:color="auto"/>
            </w:tcBorders>
            <w:shd w:val="clear" w:color="auto" w:fill="auto"/>
            <w:vAlign w:val="center"/>
            <w:hideMark/>
          </w:tcPr>
          <w:p w14:paraId="0900117E"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22.5</w:t>
            </w:r>
          </w:p>
        </w:tc>
        <w:tc>
          <w:tcPr>
            <w:tcW w:w="1672" w:type="dxa"/>
            <w:tcBorders>
              <w:top w:val="nil"/>
              <w:left w:val="nil"/>
              <w:bottom w:val="single" w:sz="4" w:space="0" w:color="auto"/>
              <w:right w:val="single" w:sz="4" w:space="0" w:color="auto"/>
            </w:tcBorders>
            <w:shd w:val="clear" w:color="auto" w:fill="auto"/>
            <w:vAlign w:val="center"/>
            <w:hideMark/>
          </w:tcPr>
          <w:p w14:paraId="62ABBC7A"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11.8</w:t>
            </w:r>
          </w:p>
        </w:tc>
        <w:tc>
          <w:tcPr>
            <w:tcW w:w="1224" w:type="dxa"/>
            <w:tcBorders>
              <w:top w:val="nil"/>
              <w:left w:val="nil"/>
              <w:bottom w:val="single" w:sz="4" w:space="0" w:color="auto"/>
              <w:right w:val="single" w:sz="4" w:space="0" w:color="auto"/>
            </w:tcBorders>
            <w:shd w:val="clear" w:color="auto" w:fill="auto"/>
            <w:vAlign w:val="center"/>
            <w:hideMark/>
          </w:tcPr>
          <w:p w14:paraId="716A8CE1" w14:textId="77777777" w:rsidR="00393DDB" w:rsidRPr="00A91A09" w:rsidRDefault="00393DDB" w:rsidP="00831687">
            <w:pPr>
              <w:spacing w:after="0" w:line="240" w:lineRule="auto"/>
              <w:ind w:right="269"/>
              <w:jc w:val="right"/>
              <w:rPr>
                <w:rFonts w:eastAsia="Times New Roman" w:cstheme="minorHAnsi"/>
                <w:color w:val="000000"/>
                <w:sz w:val="20"/>
                <w:szCs w:val="20"/>
                <w:lang w:val="en-GB" w:eastAsia="cs-CZ"/>
              </w:rPr>
            </w:pPr>
            <w:r w:rsidRPr="00A91A09">
              <w:rPr>
                <w:rFonts w:cstheme="minorHAnsi"/>
                <w:sz w:val="20"/>
                <w:lang w:val="en-GB" w:bidi="en-GB"/>
              </w:rPr>
              <w:t>31.7</w:t>
            </w:r>
          </w:p>
        </w:tc>
        <w:tc>
          <w:tcPr>
            <w:tcW w:w="1255" w:type="dxa"/>
            <w:tcBorders>
              <w:top w:val="nil"/>
              <w:left w:val="nil"/>
              <w:bottom w:val="single" w:sz="4" w:space="0" w:color="auto"/>
              <w:right w:val="single" w:sz="4" w:space="0" w:color="auto"/>
            </w:tcBorders>
            <w:shd w:val="clear" w:color="auto" w:fill="auto"/>
            <w:vAlign w:val="center"/>
            <w:hideMark/>
          </w:tcPr>
          <w:p w14:paraId="1FAB778C" w14:textId="77777777" w:rsidR="00393DDB" w:rsidRPr="00A91A09" w:rsidRDefault="00393DDB" w:rsidP="00831687">
            <w:pPr>
              <w:spacing w:after="0" w:line="240" w:lineRule="auto"/>
              <w:ind w:right="269"/>
              <w:jc w:val="right"/>
              <w:rPr>
                <w:rFonts w:eastAsia="Times New Roman" w:cstheme="minorHAnsi"/>
                <w:b/>
                <w:color w:val="000000"/>
                <w:sz w:val="20"/>
                <w:szCs w:val="20"/>
                <w:lang w:val="en-GB" w:eastAsia="cs-CZ"/>
              </w:rPr>
            </w:pPr>
            <w:r w:rsidRPr="00A91A09">
              <w:rPr>
                <w:rFonts w:cstheme="minorHAnsi"/>
                <w:b/>
                <w:sz w:val="20"/>
                <w:lang w:val="en-GB" w:bidi="en-GB"/>
              </w:rPr>
              <w:t>100.00</w:t>
            </w:r>
          </w:p>
        </w:tc>
      </w:tr>
    </w:tbl>
    <w:p w14:paraId="3354DD89" w14:textId="0511FAB0" w:rsidR="00393DDB" w:rsidRPr="00A91A09" w:rsidRDefault="00393DDB" w:rsidP="00926413">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59C3AA75"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426F349A" w14:textId="49F1D8BB" w:rsidR="00393DDB" w:rsidRPr="00A91A09" w:rsidRDefault="00393DDB" w:rsidP="000C7FB7">
      <w:pPr>
        <w:tabs>
          <w:tab w:val="right" w:pos="9072"/>
        </w:tabs>
        <w:spacing w:after="40" w:line="240" w:lineRule="auto"/>
        <w:jc w:val="both"/>
        <w:rPr>
          <w:rFonts w:eastAsia="Times New Roman" w:cstheme="minorHAnsi"/>
          <w:b/>
          <w:sz w:val="24"/>
          <w:szCs w:val="24"/>
          <w:lang w:val="en-GB" w:eastAsia="cs-CZ"/>
        </w:rPr>
      </w:pPr>
      <w:r w:rsidRPr="00A91A09">
        <w:rPr>
          <w:rFonts w:cstheme="minorHAnsi"/>
          <w:b/>
          <w:sz w:val="24"/>
          <w:lang w:val="en-GB" w:bidi="en-GB"/>
        </w:rPr>
        <w:t xml:space="preserve">Table 8 – Class II and class III roads according to their condition in the Pilsen Region </w:t>
      </w:r>
      <w:r w:rsidRPr="00A91A09">
        <w:rPr>
          <w:rFonts w:cstheme="minorHAnsi"/>
          <w:b/>
          <w:sz w:val="24"/>
          <w:lang w:val="en-GB" w:bidi="en-GB"/>
        </w:rPr>
        <w:tab/>
        <w:t>(in km)</w:t>
      </w:r>
    </w:p>
    <w:tbl>
      <w:tblPr>
        <w:tblW w:w="9049" w:type="dxa"/>
        <w:tblCellMar>
          <w:left w:w="70" w:type="dxa"/>
          <w:right w:w="70" w:type="dxa"/>
        </w:tblCellMar>
        <w:tblLook w:val="04A0" w:firstRow="1" w:lastRow="0" w:firstColumn="1" w:lastColumn="0" w:noHBand="0" w:noVBand="1"/>
      </w:tblPr>
      <w:tblGrid>
        <w:gridCol w:w="850"/>
        <w:gridCol w:w="1184"/>
        <w:gridCol w:w="1184"/>
        <w:gridCol w:w="1419"/>
        <w:gridCol w:w="1731"/>
        <w:gridCol w:w="1341"/>
        <w:gridCol w:w="1340"/>
      </w:tblGrid>
      <w:tr w:rsidR="00393DDB" w:rsidRPr="00A91A09" w14:paraId="2A06F19E" w14:textId="77777777" w:rsidTr="000C7FB7">
        <w:trPr>
          <w:trHeight w:val="227"/>
        </w:trPr>
        <w:tc>
          <w:tcPr>
            <w:tcW w:w="850"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3F41D994"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Year</w:t>
            </w:r>
          </w:p>
        </w:tc>
        <w:tc>
          <w:tcPr>
            <w:tcW w:w="6859" w:type="dxa"/>
            <w:gridSpan w:val="5"/>
            <w:tcBorders>
              <w:top w:val="single" w:sz="4" w:space="0" w:color="auto"/>
              <w:left w:val="nil"/>
              <w:bottom w:val="single" w:sz="4" w:space="0" w:color="auto"/>
              <w:right w:val="single" w:sz="4" w:space="0" w:color="000000"/>
            </w:tcBorders>
            <w:shd w:val="clear" w:color="auto" w:fill="E5F1FF"/>
            <w:vAlign w:val="center"/>
            <w:hideMark/>
          </w:tcPr>
          <w:p w14:paraId="5C44D03D"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Road surface condition</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56F5AD51"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Total</w:t>
            </w:r>
          </w:p>
        </w:tc>
      </w:tr>
      <w:tr w:rsidR="00393DDB" w:rsidRPr="00A91A09" w14:paraId="0581D32A" w14:textId="77777777" w:rsidTr="000C7FB7">
        <w:trPr>
          <w:trHeight w:val="227"/>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676FF12B" w14:textId="77777777" w:rsidR="00393DDB" w:rsidRPr="00A91A09" w:rsidRDefault="00393DDB" w:rsidP="00393DDB">
            <w:pPr>
              <w:spacing w:after="0" w:line="240" w:lineRule="auto"/>
              <w:rPr>
                <w:rFonts w:eastAsia="Times New Roman" w:cstheme="minorHAnsi"/>
                <w:b/>
                <w:bCs/>
                <w:color w:val="000000"/>
                <w:sz w:val="20"/>
                <w:szCs w:val="20"/>
                <w:lang w:val="en-GB" w:eastAsia="cs-CZ"/>
              </w:rPr>
            </w:pPr>
          </w:p>
        </w:tc>
        <w:tc>
          <w:tcPr>
            <w:tcW w:w="1184" w:type="dxa"/>
            <w:tcBorders>
              <w:top w:val="nil"/>
              <w:left w:val="nil"/>
              <w:bottom w:val="single" w:sz="4" w:space="0" w:color="auto"/>
              <w:right w:val="single" w:sz="4" w:space="0" w:color="auto"/>
            </w:tcBorders>
            <w:shd w:val="clear" w:color="auto" w:fill="E5F1FF"/>
            <w:vAlign w:val="center"/>
            <w:hideMark/>
          </w:tcPr>
          <w:p w14:paraId="4C83F65B" w14:textId="2BD05BA4"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Excellent</w:t>
            </w:r>
          </w:p>
        </w:tc>
        <w:tc>
          <w:tcPr>
            <w:tcW w:w="1184" w:type="dxa"/>
            <w:tcBorders>
              <w:top w:val="nil"/>
              <w:left w:val="nil"/>
              <w:bottom w:val="single" w:sz="4" w:space="0" w:color="auto"/>
              <w:right w:val="single" w:sz="4" w:space="0" w:color="auto"/>
            </w:tcBorders>
            <w:shd w:val="clear" w:color="auto" w:fill="E5F1FF"/>
            <w:vAlign w:val="center"/>
            <w:hideMark/>
          </w:tcPr>
          <w:p w14:paraId="7D8EE4EF" w14:textId="1AA05527"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Good</w:t>
            </w:r>
          </w:p>
        </w:tc>
        <w:tc>
          <w:tcPr>
            <w:tcW w:w="1419" w:type="dxa"/>
            <w:tcBorders>
              <w:top w:val="nil"/>
              <w:left w:val="nil"/>
              <w:bottom w:val="single" w:sz="4" w:space="0" w:color="auto"/>
              <w:right w:val="single" w:sz="4" w:space="0" w:color="auto"/>
            </w:tcBorders>
            <w:shd w:val="clear" w:color="auto" w:fill="E5F1FF"/>
            <w:vAlign w:val="center"/>
            <w:hideMark/>
          </w:tcPr>
          <w:p w14:paraId="6DF1A9E5" w14:textId="643C7674"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Satisfactory</w:t>
            </w:r>
          </w:p>
        </w:tc>
        <w:tc>
          <w:tcPr>
            <w:tcW w:w="1731" w:type="dxa"/>
            <w:tcBorders>
              <w:top w:val="nil"/>
              <w:left w:val="nil"/>
              <w:bottom w:val="single" w:sz="4" w:space="0" w:color="auto"/>
              <w:right w:val="single" w:sz="4" w:space="0" w:color="auto"/>
            </w:tcBorders>
            <w:shd w:val="clear" w:color="auto" w:fill="E5F1FF"/>
            <w:vAlign w:val="center"/>
            <w:hideMark/>
          </w:tcPr>
          <w:p w14:paraId="6B0FA6CE" w14:textId="40666E82"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Unsatisfactory</w:t>
            </w:r>
          </w:p>
        </w:tc>
        <w:tc>
          <w:tcPr>
            <w:tcW w:w="1341" w:type="dxa"/>
            <w:tcBorders>
              <w:top w:val="nil"/>
              <w:left w:val="nil"/>
              <w:bottom w:val="single" w:sz="4" w:space="0" w:color="auto"/>
              <w:right w:val="single" w:sz="4" w:space="0" w:color="auto"/>
            </w:tcBorders>
            <w:shd w:val="clear" w:color="auto" w:fill="E5F1FF"/>
            <w:vAlign w:val="center"/>
            <w:hideMark/>
          </w:tcPr>
          <w:p w14:paraId="527F2D56" w14:textId="2BCF5219" w:rsidR="00393DDB" w:rsidRPr="00A91A09" w:rsidRDefault="000C7FB7"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Disrepair</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73FB29DC" w14:textId="77777777" w:rsidR="00393DDB" w:rsidRPr="00A91A09" w:rsidRDefault="00393DDB" w:rsidP="00393DDB">
            <w:pPr>
              <w:spacing w:after="0" w:line="240" w:lineRule="auto"/>
              <w:rPr>
                <w:rFonts w:eastAsia="Times New Roman" w:cstheme="minorHAnsi"/>
                <w:bCs/>
                <w:color w:val="000000"/>
                <w:sz w:val="20"/>
                <w:szCs w:val="20"/>
                <w:lang w:val="en-GB" w:eastAsia="cs-CZ"/>
              </w:rPr>
            </w:pPr>
          </w:p>
        </w:tc>
      </w:tr>
      <w:tr w:rsidR="00393DDB" w:rsidRPr="00A91A09" w14:paraId="2545CC49" w14:textId="77777777" w:rsidTr="000C7FB7">
        <w:trPr>
          <w:trHeight w:val="2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08E97A5"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2013</w:t>
            </w:r>
          </w:p>
        </w:tc>
        <w:tc>
          <w:tcPr>
            <w:tcW w:w="1184" w:type="dxa"/>
            <w:tcBorders>
              <w:top w:val="nil"/>
              <w:left w:val="nil"/>
              <w:bottom w:val="single" w:sz="4" w:space="0" w:color="auto"/>
              <w:right w:val="single" w:sz="4" w:space="0" w:color="auto"/>
            </w:tcBorders>
            <w:shd w:val="clear" w:color="auto" w:fill="auto"/>
            <w:vAlign w:val="center"/>
            <w:hideMark/>
          </w:tcPr>
          <w:p w14:paraId="595C8748"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461.700</w:t>
            </w:r>
          </w:p>
        </w:tc>
        <w:tc>
          <w:tcPr>
            <w:tcW w:w="1184" w:type="dxa"/>
            <w:tcBorders>
              <w:top w:val="nil"/>
              <w:left w:val="nil"/>
              <w:bottom w:val="single" w:sz="4" w:space="0" w:color="auto"/>
              <w:right w:val="single" w:sz="4" w:space="0" w:color="auto"/>
            </w:tcBorders>
            <w:shd w:val="clear" w:color="auto" w:fill="auto"/>
            <w:vAlign w:val="center"/>
            <w:hideMark/>
          </w:tcPr>
          <w:p w14:paraId="4DBEB60A"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415.530</w:t>
            </w:r>
          </w:p>
        </w:tc>
        <w:tc>
          <w:tcPr>
            <w:tcW w:w="1419" w:type="dxa"/>
            <w:tcBorders>
              <w:top w:val="nil"/>
              <w:left w:val="nil"/>
              <w:bottom w:val="single" w:sz="4" w:space="0" w:color="auto"/>
              <w:right w:val="single" w:sz="4" w:space="0" w:color="auto"/>
            </w:tcBorders>
            <w:shd w:val="clear" w:color="auto" w:fill="auto"/>
            <w:vAlign w:val="center"/>
            <w:hideMark/>
          </w:tcPr>
          <w:p w14:paraId="285A7227"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554.040</w:t>
            </w:r>
          </w:p>
        </w:tc>
        <w:tc>
          <w:tcPr>
            <w:tcW w:w="1731" w:type="dxa"/>
            <w:tcBorders>
              <w:top w:val="nil"/>
              <w:left w:val="nil"/>
              <w:bottom w:val="single" w:sz="4" w:space="0" w:color="auto"/>
              <w:right w:val="single" w:sz="4" w:space="0" w:color="auto"/>
            </w:tcBorders>
            <w:shd w:val="clear" w:color="auto" w:fill="auto"/>
            <w:vAlign w:val="center"/>
            <w:hideMark/>
          </w:tcPr>
          <w:p w14:paraId="30DA17D0" w14:textId="15699B23"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1,061.910</w:t>
            </w:r>
          </w:p>
        </w:tc>
        <w:tc>
          <w:tcPr>
            <w:tcW w:w="1341" w:type="dxa"/>
            <w:tcBorders>
              <w:top w:val="nil"/>
              <w:left w:val="nil"/>
              <w:bottom w:val="single" w:sz="4" w:space="0" w:color="auto"/>
              <w:right w:val="single" w:sz="4" w:space="0" w:color="auto"/>
            </w:tcBorders>
            <w:shd w:val="clear" w:color="auto" w:fill="auto"/>
            <w:vAlign w:val="center"/>
            <w:hideMark/>
          </w:tcPr>
          <w:p w14:paraId="39D051A4" w14:textId="59A810EB"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2,123.820</w:t>
            </w:r>
          </w:p>
        </w:tc>
        <w:tc>
          <w:tcPr>
            <w:tcW w:w="1340" w:type="dxa"/>
            <w:tcBorders>
              <w:top w:val="nil"/>
              <w:left w:val="nil"/>
              <w:bottom w:val="single" w:sz="4" w:space="0" w:color="auto"/>
              <w:right w:val="single" w:sz="4" w:space="0" w:color="auto"/>
            </w:tcBorders>
            <w:shd w:val="clear" w:color="auto" w:fill="auto"/>
            <w:vAlign w:val="center"/>
            <w:hideMark/>
          </w:tcPr>
          <w:p w14:paraId="07D8DA92" w14:textId="097E7655" w:rsidR="00393DDB" w:rsidRPr="00A91A09" w:rsidRDefault="00393DDB" w:rsidP="00831687">
            <w:pPr>
              <w:spacing w:after="0" w:line="240" w:lineRule="auto"/>
              <w:ind w:right="214"/>
              <w:jc w:val="right"/>
              <w:rPr>
                <w:rFonts w:eastAsia="Times New Roman" w:cstheme="minorHAnsi"/>
                <w:b/>
                <w:color w:val="000000"/>
                <w:sz w:val="20"/>
                <w:szCs w:val="20"/>
                <w:lang w:val="en-GB" w:eastAsia="cs-CZ"/>
              </w:rPr>
            </w:pPr>
            <w:r w:rsidRPr="00A91A09">
              <w:rPr>
                <w:rFonts w:cstheme="minorHAnsi"/>
                <w:b/>
                <w:sz w:val="20"/>
                <w:lang w:val="en-GB" w:bidi="en-GB"/>
              </w:rPr>
              <w:t>4,617.000</w:t>
            </w:r>
          </w:p>
        </w:tc>
      </w:tr>
      <w:tr w:rsidR="00393DDB" w:rsidRPr="00A91A09" w14:paraId="05236229" w14:textId="77777777" w:rsidTr="000C7FB7">
        <w:trPr>
          <w:trHeight w:val="2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BADDAC"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2014</w:t>
            </w:r>
          </w:p>
        </w:tc>
        <w:tc>
          <w:tcPr>
            <w:tcW w:w="1184" w:type="dxa"/>
            <w:tcBorders>
              <w:top w:val="nil"/>
              <w:left w:val="nil"/>
              <w:bottom w:val="single" w:sz="4" w:space="0" w:color="auto"/>
              <w:right w:val="single" w:sz="4" w:space="0" w:color="auto"/>
            </w:tcBorders>
            <w:shd w:val="clear" w:color="auto" w:fill="auto"/>
            <w:vAlign w:val="center"/>
            <w:hideMark/>
          </w:tcPr>
          <w:p w14:paraId="78D6B818"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600.210</w:t>
            </w:r>
          </w:p>
        </w:tc>
        <w:tc>
          <w:tcPr>
            <w:tcW w:w="1184" w:type="dxa"/>
            <w:tcBorders>
              <w:top w:val="nil"/>
              <w:left w:val="nil"/>
              <w:bottom w:val="single" w:sz="4" w:space="0" w:color="auto"/>
              <w:right w:val="single" w:sz="4" w:space="0" w:color="auto"/>
            </w:tcBorders>
            <w:shd w:val="clear" w:color="auto" w:fill="auto"/>
            <w:vAlign w:val="center"/>
            <w:hideMark/>
          </w:tcPr>
          <w:p w14:paraId="60615BCB"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507.870</w:t>
            </w:r>
          </w:p>
        </w:tc>
        <w:tc>
          <w:tcPr>
            <w:tcW w:w="1419" w:type="dxa"/>
            <w:tcBorders>
              <w:top w:val="nil"/>
              <w:left w:val="nil"/>
              <w:bottom w:val="single" w:sz="4" w:space="0" w:color="auto"/>
              <w:right w:val="single" w:sz="4" w:space="0" w:color="auto"/>
            </w:tcBorders>
            <w:shd w:val="clear" w:color="auto" w:fill="auto"/>
            <w:vAlign w:val="center"/>
            <w:hideMark/>
          </w:tcPr>
          <w:p w14:paraId="120B5AE2"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669.465</w:t>
            </w:r>
          </w:p>
        </w:tc>
        <w:tc>
          <w:tcPr>
            <w:tcW w:w="1731" w:type="dxa"/>
            <w:tcBorders>
              <w:top w:val="nil"/>
              <w:left w:val="nil"/>
              <w:bottom w:val="single" w:sz="4" w:space="0" w:color="auto"/>
              <w:right w:val="single" w:sz="4" w:space="0" w:color="auto"/>
            </w:tcBorders>
            <w:shd w:val="clear" w:color="auto" w:fill="auto"/>
            <w:vAlign w:val="center"/>
            <w:hideMark/>
          </w:tcPr>
          <w:p w14:paraId="58AA454D" w14:textId="3EC15960"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1,108.080</w:t>
            </w:r>
          </w:p>
        </w:tc>
        <w:tc>
          <w:tcPr>
            <w:tcW w:w="1341" w:type="dxa"/>
            <w:tcBorders>
              <w:top w:val="nil"/>
              <w:left w:val="nil"/>
              <w:bottom w:val="single" w:sz="4" w:space="0" w:color="auto"/>
              <w:right w:val="single" w:sz="4" w:space="0" w:color="auto"/>
            </w:tcBorders>
            <w:shd w:val="clear" w:color="auto" w:fill="auto"/>
            <w:vAlign w:val="center"/>
            <w:hideMark/>
          </w:tcPr>
          <w:p w14:paraId="17317377" w14:textId="4D28E442"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1,731.375</w:t>
            </w:r>
          </w:p>
        </w:tc>
        <w:tc>
          <w:tcPr>
            <w:tcW w:w="1340" w:type="dxa"/>
            <w:tcBorders>
              <w:top w:val="nil"/>
              <w:left w:val="nil"/>
              <w:bottom w:val="single" w:sz="4" w:space="0" w:color="auto"/>
              <w:right w:val="single" w:sz="4" w:space="0" w:color="auto"/>
            </w:tcBorders>
            <w:shd w:val="clear" w:color="auto" w:fill="auto"/>
            <w:vAlign w:val="center"/>
            <w:hideMark/>
          </w:tcPr>
          <w:p w14:paraId="5F276390" w14:textId="74AD9F16" w:rsidR="00393DDB" w:rsidRPr="00A91A09" w:rsidRDefault="00393DDB" w:rsidP="00831687">
            <w:pPr>
              <w:spacing w:after="0" w:line="240" w:lineRule="auto"/>
              <w:ind w:right="214"/>
              <w:jc w:val="right"/>
              <w:rPr>
                <w:rFonts w:eastAsia="Times New Roman" w:cstheme="minorHAnsi"/>
                <w:b/>
                <w:color w:val="000000"/>
                <w:sz w:val="20"/>
                <w:szCs w:val="20"/>
                <w:lang w:val="en-GB" w:eastAsia="cs-CZ"/>
              </w:rPr>
            </w:pPr>
            <w:r w:rsidRPr="00A91A09">
              <w:rPr>
                <w:rFonts w:cstheme="minorHAnsi"/>
                <w:b/>
                <w:sz w:val="20"/>
                <w:lang w:val="en-GB" w:bidi="en-GB"/>
              </w:rPr>
              <w:t>4,617.000</w:t>
            </w:r>
          </w:p>
        </w:tc>
      </w:tr>
      <w:tr w:rsidR="00393DDB" w:rsidRPr="00A91A09" w14:paraId="14F068D8" w14:textId="77777777" w:rsidTr="000C7FB7">
        <w:trPr>
          <w:trHeight w:val="2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9796003"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2015</w:t>
            </w:r>
          </w:p>
        </w:tc>
        <w:tc>
          <w:tcPr>
            <w:tcW w:w="1184" w:type="dxa"/>
            <w:tcBorders>
              <w:top w:val="nil"/>
              <w:left w:val="nil"/>
              <w:bottom w:val="single" w:sz="4" w:space="0" w:color="auto"/>
              <w:right w:val="single" w:sz="4" w:space="0" w:color="auto"/>
            </w:tcBorders>
            <w:shd w:val="clear" w:color="auto" w:fill="auto"/>
            <w:vAlign w:val="center"/>
            <w:hideMark/>
          </w:tcPr>
          <w:p w14:paraId="006537DF"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738.560</w:t>
            </w:r>
          </w:p>
        </w:tc>
        <w:tc>
          <w:tcPr>
            <w:tcW w:w="1184" w:type="dxa"/>
            <w:tcBorders>
              <w:top w:val="nil"/>
              <w:left w:val="nil"/>
              <w:bottom w:val="single" w:sz="4" w:space="0" w:color="auto"/>
              <w:right w:val="single" w:sz="4" w:space="0" w:color="auto"/>
            </w:tcBorders>
            <w:shd w:val="clear" w:color="auto" w:fill="auto"/>
            <w:vAlign w:val="center"/>
            <w:hideMark/>
          </w:tcPr>
          <w:p w14:paraId="461D2540"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600.080</w:t>
            </w:r>
          </w:p>
        </w:tc>
        <w:tc>
          <w:tcPr>
            <w:tcW w:w="1419" w:type="dxa"/>
            <w:tcBorders>
              <w:top w:val="nil"/>
              <w:left w:val="nil"/>
              <w:bottom w:val="single" w:sz="4" w:space="0" w:color="auto"/>
              <w:right w:val="single" w:sz="4" w:space="0" w:color="auto"/>
            </w:tcBorders>
            <w:shd w:val="clear" w:color="auto" w:fill="auto"/>
            <w:vAlign w:val="center"/>
            <w:hideMark/>
          </w:tcPr>
          <w:p w14:paraId="672AEDC7"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784.720</w:t>
            </w:r>
          </w:p>
        </w:tc>
        <w:tc>
          <w:tcPr>
            <w:tcW w:w="1731" w:type="dxa"/>
            <w:tcBorders>
              <w:top w:val="nil"/>
              <w:left w:val="nil"/>
              <w:bottom w:val="single" w:sz="4" w:space="0" w:color="auto"/>
              <w:right w:val="single" w:sz="4" w:space="0" w:color="auto"/>
            </w:tcBorders>
            <w:shd w:val="clear" w:color="auto" w:fill="auto"/>
            <w:vAlign w:val="center"/>
            <w:hideMark/>
          </w:tcPr>
          <w:p w14:paraId="74F0D83C" w14:textId="58AF3FCA"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1,154.000</w:t>
            </w:r>
          </w:p>
        </w:tc>
        <w:tc>
          <w:tcPr>
            <w:tcW w:w="1341" w:type="dxa"/>
            <w:tcBorders>
              <w:top w:val="nil"/>
              <w:left w:val="nil"/>
              <w:bottom w:val="single" w:sz="4" w:space="0" w:color="auto"/>
              <w:right w:val="single" w:sz="4" w:space="0" w:color="auto"/>
            </w:tcBorders>
            <w:shd w:val="clear" w:color="auto" w:fill="auto"/>
            <w:vAlign w:val="center"/>
            <w:hideMark/>
          </w:tcPr>
          <w:p w14:paraId="56A47A0B" w14:textId="79309CF9"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1,338.640</w:t>
            </w:r>
          </w:p>
        </w:tc>
        <w:tc>
          <w:tcPr>
            <w:tcW w:w="1340" w:type="dxa"/>
            <w:tcBorders>
              <w:top w:val="nil"/>
              <w:left w:val="nil"/>
              <w:bottom w:val="single" w:sz="4" w:space="0" w:color="auto"/>
              <w:right w:val="single" w:sz="4" w:space="0" w:color="auto"/>
            </w:tcBorders>
            <w:shd w:val="clear" w:color="auto" w:fill="auto"/>
            <w:vAlign w:val="center"/>
            <w:hideMark/>
          </w:tcPr>
          <w:p w14:paraId="7EEAE8C2" w14:textId="7571BFBA" w:rsidR="00393DDB" w:rsidRPr="00A91A09" w:rsidRDefault="00393DDB" w:rsidP="00831687">
            <w:pPr>
              <w:spacing w:after="0" w:line="240" w:lineRule="auto"/>
              <w:ind w:right="214"/>
              <w:jc w:val="right"/>
              <w:rPr>
                <w:rFonts w:eastAsia="Times New Roman" w:cstheme="minorHAnsi"/>
                <w:b/>
                <w:color w:val="000000"/>
                <w:sz w:val="20"/>
                <w:szCs w:val="20"/>
                <w:lang w:val="en-GB" w:eastAsia="cs-CZ"/>
              </w:rPr>
            </w:pPr>
            <w:r w:rsidRPr="00A91A09">
              <w:rPr>
                <w:rFonts w:cstheme="minorHAnsi"/>
                <w:b/>
                <w:sz w:val="20"/>
                <w:lang w:val="en-GB" w:bidi="en-GB"/>
              </w:rPr>
              <w:t>4,616.000</w:t>
            </w:r>
          </w:p>
        </w:tc>
      </w:tr>
      <w:tr w:rsidR="00393DDB" w:rsidRPr="00A91A09" w14:paraId="7ACA43A4" w14:textId="77777777" w:rsidTr="000C7FB7">
        <w:trPr>
          <w:trHeight w:val="22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5F2DE70"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2016</w:t>
            </w:r>
          </w:p>
        </w:tc>
        <w:tc>
          <w:tcPr>
            <w:tcW w:w="1184" w:type="dxa"/>
            <w:tcBorders>
              <w:top w:val="nil"/>
              <w:left w:val="nil"/>
              <w:bottom w:val="single" w:sz="4" w:space="0" w:color="auto"/>
              <w:right w:val="single" w:sz="4" w:space="0" w:color="auto"/>
            </w:tcBorders>
            <w:shd w:val="clear" w:color="auto" w:fill="auto"/>
            <w:vAlign w:val="center"/>
            <w:hideMark/>
          </w:tcPr>
          <w:p w14:paraId="314C62D4"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758.009</w:t>
            </w:r>
          </w:p>
        </w:tc>
        <w:tc>
          <w:tcPr>
            <w:tcW w:w="1184" w:type="dxa"/>
            <w:tcBorders>
              <w:top w:val="nil"/>
              <w:left w:val="nil"/>
              <w:bottom w:val="single" w:sz="4" w:space="0" w:color="auto"/>
              <w:right w:val="single" w:sz="4" w:space="0" w:color="auto"/>
            </w:tcBorders>
            <w:shd w:val="clear" w:color="auto" w:fill="auto"/>
            <w:vAlign w:val="center"/>
            <w:hideMark/>
          </w:tcPr>
          <w:p w14:paraId="5A782752"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813.438</w:t>
            </w:r>
          </w:p>
        </w:tc>
        <w:tc>
          <w:tcPr>
            <w:tcW w:w="1419" w:type="dxa"/>
            <w:tcBorders>
              <w:top w:val="nil"/>
              <w:left w:val="nil"/>
              <w:bottom w:val="single" w:sz="4" w:space="0" w:color="auto"/>
              <w:right w:val="single" w:sz="4" w:space="0" w:color="auto"/>
            </w:tcBorders>
            <w:shd w:val="clear" w:color="auto" w:fill="auto"/>
            <w:vAlign w:val="center"/>
            <w:hideMark/>
          </w:tcPr>
          <w:p w14:paraId="4E89597E" w14:textId="04A7F6D9"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1,038.527</w:t>
            </w:r>
          </w:p>
        </w:tc>
        <w:tc>
          <w:tcPr>
            <w:tcW w:w="1731" w:type="dxa"/>
            <w:tcBorders>
              <w:top w:val="nil"/>
              <w:left w:val="nil"/>
              <w:bottom w:val="single" w:sz="4" w:space="0" w:color="auto"/>
              <w:right w:val="single" w:sz="4" w:space="0" w:color="auto"/>
            </w:tcBorders>
            <w:shd w:val="clear" w:color="auto" w:fill="auto"/>
            <w:vAlign w:val="center"/>
            <w:hideMark/>
          </w:tcPr>
          <w:p w14:paraId="063B1569" w14:textId="77777777"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544.059</w:t>
            </w:r>
          </w:p>
        </w:tc>
        <w:tc>
          <w:tcPr>
            <w:tcW w:w="1341" w:type="dxa"/>
            <w:tcBorders>
              <w:top w:val="nil"/>
              <w:left w:val="nil"/>
              <w:bottom w:val="single" w:sz="4" w:space="0" w:color="auto"/>
              <w:right w:val="single" w:sz="4" w:space="0" w:color="auto"/>
            </w:tcBorders>
            <w:shd w:val="clear" w:color="auto" w:fill="auto"/>
            <w:vAlign w:val="center"/>
            <w:hideMark/>
          </w:tcPr>
          <w:p w14:paraId="23B1206F" w14:textId="06CBB94B" w:rsidR="00393DDB" w:rsidRPr="00A91A09" w:rsidRDefault="00393DDB" w:rsidP="00831687">
            <w:pPr>
              <w:spacing w:after="0" w:line="240" w:lineRule="auto"/>
              <w:ind w:right="214"/>
              <w:jc w:val="right"/>
              <w:rPr>
                <w:rFonts w:eastAsia="Times New Roman" w:cstheme="minorHAnsi"/>
                <w:color w:val="000000"/>
                <w:sz w:val="20"/>
                <w:szCs w:val="20"/>
                <w:lang w:val="en-GB" w:eastAsia="cs-CZ"/>
              </w:rPr>
            </w:pPr>
            <w:r w:rsidRPr="00A91A09">
              <w:rPr>
                <w:rFonts w:cstheme="minorHAnsi"/>
                <w:sz w:val="20"/>
                <w:lang w:val="en-GB" w:bidi="en-GB"/>
              </w:rPr>
              <w:t>1,461.968</w:t>
            </w:r>
          </w:p>
        </w:tc>
        <w:tc>
          <w:tcPr>
            <w:tcW w:w="1340" w:type="dxa"/>
            <w:tcBorders>
              <w:top w:val="nil"/>
              <w:left w:val="nil"/>
              <w:bottom w:val="single" w:sz="4" w:space="0" w:color="auto"/>
              <w:right w:val="single" w:sz="4" w:space="0" w:color="auto"/>
            </w:tcBorders>
            <w:shd w:val="clear" w:color="auto" w:fill="auto"/>
            <w:vAlign w:val="center"/>
            <w:hideMark/>
          </w:tcPr>
          <w:p w14:paraId="5D35FA25" w14:textId="01C01C66" w:rsidR="00393DDB" w:rsidRPr="00A91A09" w:rsidRDefault="00393DDB" w:rsidP="00831687">
            <w:pPr>
              <w:spacing w:after="0" w:line="240" w:lineRule="auto"/>
              <w:ind w:right="214"/>
              <w:jc w:val="right"/>
              <w:rPr>
                <w:rFonts w:eastAsia="Times New Roman" w:cstheme="minorHAnsi"/>
                <w:b/>
                <w:color w:val="000000"/>
                <w:sz w:val="20"/>
                <w:szCs w:val="20"/>
                <w:lang w:val="en-GB" w:eastAsia="cs-CZ"/>
              </w:rPr>
            </w:pPr>
            <w:r w:rsidRPr="00A91A09">
              <w:rPr>
                <w:rFonts w:cstheme="minorHAnsi"/>
                <w:b/>
                <w:sz w:val="20"/>
                <w:lang w:val="en-GB" w:bidi="en-GB"/>
              </w:rPr>
              <w:t>4,616.000</w:t>
            </w:r>
          </w:p>
        </w:tc>
      </w:tr>
    </w:tbl>
    <w:p w14:paraId="3C91E17D" w14:textId="09D8DBD1" w:rsidR="00393DDB" w:rsidRPr="00A91A09" w:rsidRDefault="00393DDB" w:rsidP="00926413">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43845C71"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47DB2155" w14:textId="609D3A7E" w:rsidR="00393DDB" w:rsidRPr="00A91A09" w:rsidRDefault="00393DDB" w:rsidP="00393DDB">
      <w:pPr>
        <w:spacing w:after="0" w:line="240" w:lineRule="auto"/>
        <w:jc w:val="both"/>
        <w:rPr>
          <w:rFonts w:eastAsia="Times New Roman" w:cstheme="minorHAnsi"/>
          <w:sz w:val="24"/>
          <w:szCs w:val="24"/>
          <w:lang w:val="en-GB" w:eastAsia="cs-CZ"/>
        </w:rPr>
      </w:pPr>
      <w:r w:rsidRPr="00A91A09">
        <w:rPr>
          <w:rFonts w:cstheme="minorHAnsi"/>
          <w:sz w:val="24"/>
          <w:lang w:val="en-GB" w:bidi="en-GB"/>
        </w:rPr>
        <w:t>Tables 7 and 8 show that, in the period 2013-2016, the length of roads in the unsatisfactory state or state of disrepair in the Pilsen region decreased by 1,177 km, i.e. by 25.5 % of the total length of class II and class III roads in the Pilsen Region. The situation is illustrated by Chart 3.</w:t>
      </w:r>
    </w:p>
    <w:p w14:paraId="3C9AA241" w14:textId="77777777" w:rsidR="00FD2EBA" w:rsidRPr="00A91A09" w:rsidRDefault="00FD2EBA" w:rsidP="00393DDB">
      <w:pPr>
        <w:spacing w:after="0" w:line="240" w:lineRule="auto"/>
        <w:jc w:val="both"/>
        <w:rPr>
          <w:rFonts w:eastAsia="Times New Roman" w:cstheme="minorHAnsi"/>
          <w:sz w:val="24"/>
          <w:szCs w:val="24"/>
          <w:lang w:val="en-GB" w:eastAsia="cs-CZ"/>
        </w:rPr>
      </w:pPr>
    </w:p>
    <w:p w14:paraId="134F726E" w14:textId="685BB186" w:rsidR="00393DDB" w:rsidRPr="00A91A09" w:rsidRDefault="00393DDB" w:rsidP="001A4511">
      <w:pPr>
        <w:keepNext/>
        <w:tabs>
          <w:tab w:val="right" w:pos="9072"/>
        </w:tabs>
        <w:spacing w:after="40" w:line="240" w:lineRule="auto"/>
        <w:jc w:val="both"/>
        <w:rPr>
          <w:rFonts w:eastAsia="Times New Roman" w:cstheme="minorHAnsi"/>
          <w:b/>
          <w:sz w:val="24"/>
          <w:szCs w:val="24"/>
          <w:lang w:val="en-GB" w:eastAsia="cs-CZ"/>
        </w:rPr>
      </w:pPr>
      <w:r w:rsidRPr="00A91A09">
        <w:rPr>
          <w:rFonts w:cstheme="minorHAnsi"/>
          <w:b/>
          <w:sz w:val="24"/>
          <w:lang w:val="en-GB" w:bidi="en-GB"/>
        </w:rPr>
        <w:t>Chart 3 – State of class II and class III roads in the Pilsen Region</w:t>
      </w:r>
      <w:r w:rsidRPr="00A91A09">
        <w:rPr>
          <w:rFonts w:cstheme="minorHAnsi"/>
          <w:b/>
          <w:sz w:val="24"/>
          <w:lang w:val="en-GB" w:bidi="en-GB"/>
        </w:rPr>
        <w:tab/>
        <w:t>(in %)</w:t>
      </w:r>
    </w:p>
    <w:p w14:paraId="69E59F21" w14:textId="6FFD3F12" w:rsidR="00393DDB" w:rsidRPr="00A91A09" w:rsidRDefault="001A4511" w:rsidP="00682492">
      <w:pPr>
        <w:spacing w:after="0" w:line="240" w:lineRule="auto"/>
        <w:jc w:val="center"/>
        <w:rPr>
          <w:rFonts w:eastAsia="Times New Roman" w:cstheme="minorHAnsi"/>
          <w:sz w:val="24"/>
          <w:szCs w:val="24"/>
          <w:lang w:val="en-GB" w:eastAsia="cs-CZ"/>
        </w:rPr>
      </w:pPr>
      <w:r w:rsidRPr="00A91A09">
        <w:rPr>
          <w:rFonts w:cstheme="minorHAnsi"/>
          <w:noProof/>
          <w:sz w:val="24"/>
          <w:lang w:val="cs-CZ" w:eastAsia="cs-CZ"/>
        </w:rPr>
        <w:drawing>
          <wp:inline distT="0" distB="0" distL="0" distR="0" wp14:anchorId="4092CAA2" wp14:editId="3923A562">
            <wp:extent cx="5380678" cy="25431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KOREKTURY\graf_3.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00377" cy="2552486"/>
                    </a:xfrm>
                    <a:prstGeom prst="rect">
                      <a:avLst/>
                    </a:prstGeom>
                    <a:noFill/>
                    <a:ln>
                      <a:noFill/>
                    </a:ln>
                    <a:extLst>
                      <a:ext uri="{53640926-AAD7-44D8-BBD7-CCE9431645EC}">
                        <a14:shadowObscured xmlns:a14="http://schemas.microsoft.com/office/drawing/2010/main"/>
                      </a:ext>
                    </a:extLst>
                  </pic:spPr>
                </pic:pic>
              </a:graphicData>
            </a:graphic>
          </wp:inline>
        </w:drawing>
      </w:r>
    </w:p>
    <w:p w14:paraId="2916A588" w14:textId="3DF36066" w:rsidR="00393DDB" w:rsidRPr="00A91A09" w:rsidRDefault="00393DDB" w:rsidP="00393DDB">
      <w:pPr>
        <w:spacing w:after="0" w:line="240" w:lineRule="auto"/>
        <w:jc w:val="both"/>
        <w:rPr>
          <w:rFonts w:eastAsia="Times New Roman" w:cstheme="minorHAnsi"/>
          <w:sz w:val="24"/>
          <w:szCs w:val="24"/>
          <w:lang w:val="en-GB" w:eastAsia="cs-CZ"/>
        </w:rPr>
      </w:pPr>
      <w:r w:rsidRPr="00A91A09">
        <w:rPr>
          <w:rFonts w:cstheme="minorHAnsi"/>
          <w:sz w:val="24"/>
          <w:lang w:val="en-GB" w:bidi="en-GB"/>
        </w:rPr>
        <w:lastRenderedPageBreak/>
        <w:t>The situation in the Liberec Region in the same period 2013-2016 is documented in Tables 9 and 10, which show the results of road condition monitoring both in length units (km) and in percentage of the total length of class II and class III roads (about 2,077 km).</w:t>
      </w:r>
    </w:p>
    <w:p w14:paraId="64D92580" w14:textId="77777777" w:rsidR="00393DDB" w:rsidRPr="00A91A09" w:rsidRDefault="00393DDB" w:rsidP="00926413">
      <w:pPr>
        <w:spacing w:after="0" w:line="240" w:lineRule="auto"/>
        <w:jc w:val="both"/>
        <w:rPr>
          <w:rFonts w:eastAsia="Times New Roman" w:cstheme="minorHAnsi"/>
          <w:sz w:val="24"/>
          <w:szCs w:val="24"/>
          <w:lang w:val="en-GB" w:eastAsia="cs-CZ"/>
        </w:rPr>
      </w:pPr>
    </w:p>
    <w:p w14:paraId="79808A32" w14:textId="1996BA9A" w:rsidR="00393DDB" w:rsidRPr="00A91A09" w:rsidRDefault="00393DDB" w:rsidP="00926413">
      <w:pPr>
        <w:tabs>
          <w:tab w:val="right" w:pos="9072"/>
        </w:tabs>
        <w:spacing w:after="40" w:line="240" w:lineRule="auto"/>
        <w:rPr>
          <w:rFonts w:cstheme="minorHAnsi"/>
          <w:b/>
          <w:sz w:val="24"/>
          <w:szCs w:val="24"/>
          <w:lang w:val="en-GB"/>
        </w:rPr>
      </w:pPr>
      <w:r w:rsidRPr="00A91A09">
        <w:rPr>
          <w:rFonts w:cstheme="minorHAnsi"/>
          <w:b/>
          <w:sz w:val="24"/>
          <w:lang w:val="en-GB" w:bidi="en-GB"/>
        </w:rPr>
        <w:t xml:space="preserve">Table 9 – Class II and class III roads according to their condition in the Liberec Region </w:t>
      </w:r>
      <w:r w:rsidRPr="00A91A09">
        <w:rPr>
          <w:rFonts w:cstheme="minorHAnsi"/>
          <w:b/>
          <w:sz w:val="24"/>
          <w:lang w:val="en-GB" w:bidi="en-GB"/>
        </w:rPr>
        <w:tab/>
        <w:t>(in %)</w:t>
      </w:r>
    </w:p>
    <w:tbl>
      <w:tblPr>
        <w:tblW w:w="9046" w:type="dxa"/>
        <w:tblCellMar>
          <w:left w:w="70" w:type="dxa"/>
          <w:right w:w="70" w:type="dxa"/>
        </w:tblCellMar>
        <w:tblLook w:val="04A0" w:firstRow="1" w:lastRow="0" w:firstColumn="1" w:lastColumn="0" w:noHBand="0" w:noVBand="1"/>
      </w:tblPr>
      <w:tblGrid>
        <w:gridCol w:w="1056"/>
        <w:gridCol w:w="1294"/>
        <w:gridCol w:w="1124"/>
        <w:gridCol w:w="1384"/>
        <w:gridCol w:w="1688"/>
        <w:gridCol w:w="1233"/>
        <w:gridCol w:w="1267"/>
      </w:tblGrid>
      <w:tr w:rsidR="00393DDB" w:rsidRPr="00A91A09" w14:paraId="430D13A4" w14:textId="77777777" w:rsidTr="00EF6745">
        <w:trPr>
          <w:trHeight w:val="227"/>
        </w:trPr>
        <w:tc>
          <w:tcPr>
            <w:tcW w:w="1056"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5342932E"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Year</w:t>
            </w:r>
          </w:p>
        </w:tc>
        <w:tc>
          <w:tcPr>
            <w:tcW w:w="6723" w:type="dxa"/>
            <w:gridSpan w:val="5"/>
            <w:tcBorders>
              <w:top w:val="single" w:sz="4" w:space="0" w:color="auto"/>
              <w:left w:val="nil"/>
              <w:bottom w:val="single" w:sz="4" w:space="0" w:color="auto"/>
              <w:right w:val="single" w:sz="4" w:space="0" w:color="000000"/>
            </w:tcBorders>
            <w:shd w:val="clear" w:color="auto" w:fill="E5F1FF"/>
            <w:vAlign w:val="center"/>
            <w:hideMark/>
          </w:tcPr>
          <w:p w14:paraId="3C151EA8"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Road surface condition</w:t>
            </w:r>
          </w:p>
        </w:tc>
        <w:tc>
          <w:tcPr>
            <w:tcW w:w="1267"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1145EFCC"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Total</w:t>
            </w:r>
          </w:p>
        </w:tc>
      </w:tr>
      <w:tr w:rsidR="00393DDB" w:rsidRPr="00A91A09" w14:paraId="217A3AD8" w14:textId="77777777" w:rsidTr="00EF6745">
        <w:trPr>
          <w:trHeight w:val="227"/>
        </w:trPr>
        <w:tc>
          <w:tcPr>
            <w:tcW w:w="1056" w:type="dxa"/>
            <w:vMerge/>
            <w:tcBorders>
              <w:top w:val="single" w:sz="4" w:space="0" w:color="auto"/>
              <w:left w:val="single" w:sz="4" w:space="0" w:color="auto"/>
              <w:bottom w:val="single" w:sz="4" w:space="0" w:color="000000"/>
              <w:right w:val="single" w:sz="4" w:space="0" w:color="auto"/>
            </w:tcBorders>
            <w:vAlign w:val="center"/>
            <w:hideMark/>
          </w:tcPr>
          <w:p w14:paraId="67B74CB3" w14:textId="77777777" w:rsidR="00393DDB" w:rsidRPr="00A91A09" w:rsidRDefault="00393DDB" w:rsidP="00393DDB">
            <w:pPr>
              <w:spacing w:after="0" w:line="240" w:lineRule="auto"/>
              <w:rPr>
                <w:rFonts w:eastAsia="Times New Roman" w:cstheme="minorHAnsi"/>
                <w:bCs/>
                <w:color w:val="000000"/>
                <w:sz w:val="20"/>
                <w:szCs w:val="20"/>
                <w:lang w:val="en-GB" w:eastAsia="cs-CZ"/>
              </w:rPr>
            </w:pPr>
          </w:p>
        </w:tc>
        <w:tc>
          <w:tcPr>
            <w:tcW w:w="1294" w:type="dxa"/>
            <w:tcBorders>
              <w:top w:val="nil"/>
              <w:left w:val="nil"/>
              <w:bottom w:val="single" w:sz="4" w:space="0" w:color="auto"/>
              <w:right w:val="single" w:sz="4" w:space="0" w:color="auto"/>
            </w:tcBorders>
            <w:shd w:val="clear" w:color="auto" w:fill="E5F1FF"/>
            <w:vAlign w:val="center"/>
            <w:hideMark/>
          </w:tcPr>
          <w:p w14:paraId="7E064BDC" w14:textId="6F7C3097" w:rsidR="00393DDB" w:rsidRPr="00A91A09" w:rsidRDefault="00EF6745"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Excellent</w:t>
            </w:r>
          </w:p>
        </w:tc>
        <w:tc>
          <w:tcPr>
            <w:tcW w:w="1124" w:type="dxa"/>
            <w:tcBorders>
              <w:top w:val="nil"/>
              <w:left w:val="nil"/>
              <w:bottom w:val="single" w:sz="4" w:space="0" w:color="auto"/>
              <w:right w:val="single" w:sz="4" w:space="0" w:color="auto"/>
            </w:tcBorders>
            <w:shd w:val="clear" w:color="auto" w:fill="E5F1FF"/>
            <w:vAlign w:val="center"/>
            <w:hideMark/>
          </w:tcPr>
          <w:p w14:paraId="52993925" w14:textId="0A60FAA8" w:rsidR="00393DDB" w:rsidRPr="00A91A09" w:rsidRDefault="00EF6745"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Good</w:t>
            </w:r>
          </w:p>
        </w:tc>
        <w:tc>
          <w:tcPr>
            <w:tcW w:w="1384" w:type="dxa"/>
            <w:tcBorders>
              <w:top w:val="nil"/>
              <w:left w:val="nil"/>
              <w:bottom w:val="single" w:sz="4" w:space="0" w:color="auto"/>
              <w:right w:val="single" w:sz="4" w:space="0" w:color="auto"/>
            </w:tcBorders>
            <w:shd w:val="clear" w:color="auto" w:fill="E5F1FF"/>
            <w:vAlign w:val="center"/>
            <w:hideMark/>
          </w:tcPr>
          <w:p w14:paraId="5B3234F4" w14:textId="457CC4CA" w:rsidR="00393DDB" w:rsidRPr="00A91A09" w:rsidRDefault="00EF6745"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Satisfactory</w:t>
            </w:r>
          </w:p>
        </w:tc>
        <w:tc>
          <w:tcPr>
            <w:tcW w:w="1688" w:type="dxa"/>
            <w:tcBorders>
              <w:top w:val="nil"/>
              <w:left w:val="nil"/>
              <w:bottom w:val="single" w:sz="4" w:space="0" w:color="auto"/>
              <w:right w:val="single" w:sz="4" w:space="0" w:color="auto"/>
            </w:tcBorders>
            <w:shd w:val="clear" w:color="auto" w:fill="E5F1FF"/>
            <w:vAlign w:val="center"/>
            <w:hideMark/>
          </w:tcPr>
          <w:p w14:paraId="30265FCA" w14:textId="5E965757" w:rsidR="00393DDB" w:rsidRPr="00A91A09" w:rsidRDefault="00EF6745"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Unsatisfactory</w:t>
            </w:r>
          </w:p>
        </w:tc>
        <w:tc>
          <w:tcPr>
            <w:tcW w:w="1230" w:type="dxa"/>
            <w:tcBorders>
              <w:top w:val="nil"/>
              <w:left w:val="nil"/>
              <w:bottom w:val="single" w:sz="4" w:space="0" w:color="auto"/>
              <w:right w:val="single" w:sz="4" w:space="0" w:color="auto"/>
            </w:tcBorders>
            <w:shd w:val="clear" w:color="auto" w:fill="E5F1FF"/>
            <w:vAlign w:val="center"/>
            <w:hideMark/>
          </w:tcPr>
          <w:p w14:paraId="4B35987B" w14:textId="48A19C44" w:rsidR="00393DDB" w:rsidRPr="00A91A09" w:rsidRDefault="00EF6745"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Disrepair</w:t>
            </w: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62278731" w14:textId="77777777" w:rsidR="00393DDB" w:rsidRPr="00A91A09" w:rsidRDefault="00393DDB" w:rsidP="00393DDB">
            <w:pPr>
              <w:spacing w:after="0" w:line="240" w:lineRule="auto"/>
              <w:rPr>
                <w:rFonts w:eastAsia="Times New Roman" w:cstheme="minorHAnsi"/>
                <w:bCs/>
                <w:color w:val="000000"/>
                <w:sz w:val="20"/>
                <w:szCs w:val="20"/>
                <w:lang w:val="en-GB" w:eastAsia="cs-CZ"/>
              </w:rPr>
            </w:pPr>
          </w:p>
        </w:tc>
      </w:tr>
      <w:tr w:rsidR="00393DDB" w:rsidRPr="00A91A09" w14:paraId="4763BC6B" w14:textId="77777777" w:rsidTr="00926413">
        <w:trPr>
          <w:trHeight w:val="22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6930345A"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2013</w:t>
            </w:r>
          </w:p>
        </w:tc>
        <w:tc>
          <w:tcPr>
            <w:tcW w:w="1294" w:type="dxa"/>
            <w:tcBorders>
              <w:top w:val="nil"/>
              <w:left w:val="nil"/>
              <w:bottom w:val="single" w:sz="4" w:space="0" w:color="auto"/>
              <w:right w:val="single" w:sz="4" w:space="0" w:color="auto"/>
            </w:tcBorders>
            <w:shd w:val="clear" w:color="auto" w:fill="auto"/>
            <w:vAlign w:val="center"/>
            <w:hideMark/>
          </w:tcPr>
          <w:p w14:paraId="79555043"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9.2</w:t>
            </w:r>
          </w:p>
        </w:tc>
        <w:tc>
          <w:tcPr>
            <w:tcW w:w="1124" w:type="dxa"/>
            <w:tcBorders>
              <w:top w:val="nil"/>
              <w:left w:val="nil"/>
              <w:bottom w:val="single" w:sz="4" w:space="0" w:color="auto"/>
              <w:right w:val="single" w:sz="4" w:space="0" w:color="auto"/>
            </w:tcBorders>
            <w:shd w:val="clear" w:color="auto" w:fill="auto"/>
            <w:vAlign w:val="center"/>
            <w:hideMark/>
          </w:tcPr>
          <w:p w14:paraId="58F505F0"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26.7</w:t>
            </w:r>
          </w:p>
        </w:tc>
        <w:tc>
          <w:tcPr>
            <w:tcW w:w="1384" w:type="dxa"/>
            <w:tcBorders>
              <w:top w:val="nil"/>
              <w:left w:val="nil"/>
              <w:bottom w:val="single" w:sz="4" w:space="0" w:color="auto"/>
              <w:right w:val="single" w:sz="4" w:space="0" w:color="auto"/>
            </w:tcBorders>
            <w:shd w:val="clear" w:color="auto" w:fill="auto"/>
            <w:vAlign w:val="center"/>
            <w:hideMark/>
          </w:tcPr>
          <w:p w14:paraId="4AF19BBB"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11.8</w:t>
            </w:r>
          </w:p>
        </w:tc>
        <w:tc>
          <w:tcPr>
            <w:tcW w:w="1688" w:type="dxa"/>
            <w:tcBorders>
              <w:top w:val="nil"/>
              <w:left w:val="nil"/>
              <w:bottom w:val="single" w:sz="4" w:space="0" w:color="auto"/>
              <w:right w:val="single" w:sz="4" w:space="0" w:color="auto"/>
            </w:tcBorders>
            <w:shd w:val="clear" w:color="auto" w:fill="auto"/>
            <w:vAlign w:val="center"/>
            <w:hideMark/>
          </w:tcPr>
          <w:p w14:paraId="31F04314"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14.8</w:t>
            </w:r>
          </w:p>
        </w:tc>
        <w:tc>
          <w:tcPr>
            <w:tcW w:w="1230" w:type="dxa"/>
            <w:tcBorders>
              <w:top w:val="nil"/>
              <w:left w:val="nil"/>
              <w:bottom w:val="single" w:sz="4" w:space="0" w:color="auto"/>
              <w:right w:val="single" w:sz="4" w:space="0" w:color="auto"/>
            </w:tcBorders>
            <w:shd w:val="clear" w:color="auto" w:fill="auto"/>
            <w:vAlign w:val="center"/>
            <w:hideMark/>
          </w:tcPr>
          <w:p w14:paraId="694A308D"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37.5</w:t>
            </w:r>
          </w:p>
        </w:tc>
        <w:tc>
          <w:tcPr>
            <w:tcW w:w="1267" w:type="dxa"/>
            <w:tcBorders>
              <w:top w:val="nil"/>
              <w:left w:val="nil"/>
              <w:bottom w:val="single" w:sz="4" w:space="0" w:color="auto"/>
              <w:right w:val="single" w:sz="4" w:space="0" w:color="auto"/>
            </w:tcBorders>
            <w:shd w:val="clear" w:color="auto" w:fill="auto"/>
            <w:vAlign w:val="center"/>
            <w:hideMark/>
          </w:tcPr>
          <w:p w14:paraId="5E358CB4" w14:textId="77777777" w:rsidR="00393DDB" w:rsidRPr="00A91A09" w:rsidRDefault="00393DDB" w:rsidP="00393DDB">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100.00</w:t>
            </w:r>
          </w:p>
        </w:tc>
      </w:tr>
      <w:tr w:rsidR="00393DDB" w:rsidRPr="00A91A09" w14:paraId="3FF6BCF3" w14:textId="77777777" w:rsidTr="00926413">
        <w:trPr>
          <w:trHeight w:val="22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8402558"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2014</w:t>
            </w:r>
          </w:p>
        </w:tc>
        <w:tc>
          <w:tcPr>
            <w:tcW w:w="1294" w:type="dxa"/>
            <w:tcBorders>
              <w:top w:val="nil"/>
              <w:left w:val="nil"/>
              <w:bottom w:val="single" w:sz="4" w:space="0" w:color="auto"/>
              <w:right w:val="single" w:sz="4" w:space="0" w:color="auto"/>
            </w:tcBorders>
            <w:shd w:val="clear" w:color="auto" w:fill="auto"/>
            <w:vAlign w:val="center"/>
            <w:hideMark/>
          </w:tcPr>
          <w:p w14:paraId="2FE57DF5"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7.9</w:t>
            </w:r>
          </w:p>
        </w:tc>
        <w:tc>
          <w:tcPr>
            <w:tcW w:w="1124" w:type="dxa"/>
            <w:tcBorders>
              <w:top w:val="nil"/>
              <w:left w:val="nil"/>
              <w:bottom w:val="single" w:sz="4" w:space="0" w:color="auto"/>
              <w:right w:val="single" w:sz="4" w:space="0" w:color="auto"/>
            </w:tcBorders>
            <w:shd w:val="clear" w:color="auto" w:fill="auto"/>
            <w:vAlign w:val="center"/>
            <w:hideMark/>
          </w:tcPr>
          <w:p w14:paraId="121DE371"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28.0</w:t>
            </w:r>
          </w:p>
        </w:tc>
        <w:tc>
          <w:tcPr>
            <w:tcW w:w="1384" w:type="dxa"/>
            <w:tcBorders>
              <w:top w:val="nil"/>
              <w:left w:val="nil"/>
              <w:bottom w:val="single" w:sz="4" w:space="0" w:color="auto"/>
              <w:right w:val="single" w:sz="4" w:space="0" w:color="auto"/>
            </w:tcBorders>
            <w:shd w:val="clear" w:color="auto" w:fill="auto"/>
            <w:vAlign w:val="center"/>
            <w:hideMark/>
          </w:tcPr>
          <w:p w14:paraId="1FAB2BD0"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12.7</w:t>
            </w:r>
          </w:p>
        </w:tc>
        <w:tc>
          <w:tcPr>
            <w:tcW w:w="1688" w:type="dxa"/>
            <w:tcBorders>
              <w:top w:val="nil"/>
              <w:left w:val="nil"/>
              <w:bottom w:val="single" w:sz="4" w:space="0" w:color="auto"/>
              <w:right w:val="single" w:sz="4" w:space="0" w:color="auto"/>
            </w:tcBorders>
            <w:shd w:val="clear" w:color="auto" w:fill="auto"/>
            <w:vAlign w:val="center"/>
            <w:hideMark/>
          </w:tcPr>
          <w:p w14:paraId="04BC822A"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14.2</w:t>
            </w:r>
          </w:p>
        </w:tc>
        <w:tc>
          <w:tcPr>
            <w:tcW w:w="1230" w:type="dxa"/>
            <w:tcBorders>
              <w:top w:val="nil"/>
              <w:left w:val="nil"/>
              <w:bottom w:val="single" w:sz="4" w:space="0" w:color="auto"/>
              <w:right w:val="single" w:sz="4" w:space="0" w:color="auto"/>
            </w:tcBorders>
            <w:shd w:val="clear" w:color="auto" w:fill="auto"/>
            <w:vAlign w:val="center"/>
            <w:hideMark/>
          </w:tcPr>
          <w:p w14:paraId="4EDA3031"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37.2</w:t>
            </w:r>
          </w:p>
        </w:tc>
        <w:tc>
          <w:tcPr>
            <w:tcW w:w="1267" w:type="dxa"/>
            <w:tcBorders>
              <w:top w:val="nil"/>
              <w:left w:val="nil"/>
              <w:bottom w:val="single" w:sz="4" w:space="0" w:color="auto"/>
              <w:right w:val="single" w:sz="4" w:space="0" w:color="auto"/>
            </w:tcBorders>
            <w:shd w:val="clear" w:color="auto" w:fill="auto"/>
            <w:vAlign w:val="center"/>
            <w:hideMark/>
          </w:tcPr>
          <w:p w14:paraId="2377A4B7" w14:textId="77777777" w:rsidR="00393DDB" w:rsidRPr="00A91A09" w:rsidRDefault="00393DDB" w:rsidP="00393DDB">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100.00</w:t>
            </w:r>
          </w:p>
        </w:tc>
      </w:tr>
      <w:tr w:rsidR="00393DDB" w:rsidRPr="00A91A09" w14:paraId="45C87B85" w14:textId="77777777" w:rsidTr="00926413">
        <w:trPr>
          <w:trHeight w:val="22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77BB8027"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2015</w:t>
            </w:r>
          </w:p>
        </w:tc>
        <w:tc>
          <w:tcPr>
            <w:tcW w:w="1294" w:type="dxa"/>
            <w:tcBorders>
              <w:top w:val="nil"/>
              <w:left w:val="nil"/>
              <w:bottom w:val="single" w:sz="4" w:space="0" w:color="auto"/>
              <w:right w:val="single" w:sz="4" w:space="0" w:color="auto"/>
            </w:tcBorders>
            <w:shd w:val="clear" w:color="auto" w:fill="auto"/>
            <w:vAlign w:val="center"/>
            <w:hideMark/>
          </w:tcPr>
          <w:p w14:paraId="6F305C1D"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10.4</w:t>
            </w:r>
          </w:p>
        </w:tc>
        <w:tc>
          <w:tcPr>
            <w:tcW w:w="1124" w:type="dxa"/>
            <w:tcBorders>
              <w:top w:val="nil"/>
              <w:left w:val="nil"/>
              <w:bottom w:val="single" w:sz="4" w:space="0" w:color="auto"/>
              <w:right w:val="single" w:sz="4" w:space="0" w:color="auto"/>
            </w:tcBorders>
            <w:shd w:val="clear" w:color="auto" w:fill="auto"/>
            <w:vAlign w:val="center"/>
            <w:hideMark/>
          </w:tcPr>
          <w:p w14:paraId="2D4ABFCB"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27.5</w:t>
            </w:r>
          </w:p>
        </w:tc>
        <w:tc>
          <w:tcPr>
            <w:tcW w:w="1384" w:type="dxa"/>
            <w:tcBorders>
              <w:top w:val="nil"/>
              <w:left w:val="nil"/>
              <w:bottom w:val="single" w:sz="4" w:space="0" w:color="auto"/>
              <w:right w:val="single" w:sz="4" w:space="0" w:color="auto"/>
            </w:tcBorders>
            <w:shd w:val="clear" w:color="auto" w:fill="auto"/>
            <w:vAlign w:val="center"/>
            <w:hideMark/>
          </w:tcPr>
          <w:p w14:paraId="27ACA0F2"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11.9</w:t>
            </w:r>
          </w:p>
        </w:tc>
        <w:tc>
          <w:tcPr>
            <w:tcW w:w="1688" w:type="dxa"/>
            <w:tcBorders>
              <w:top w:val="nil"/>
              <w:left w:val="nil"/>
              <w:bottom w:val="single" w:sz="4" w:space="0" w:color="auto"/>
              <w:right w:val="single" w:sz="4" w:space="0" w:color="auto"/>
            </w:tcBorders>
            <w:shd w:val="clear" w:color="auto" w:fill="auto"/>
            <w:vAlign w:val="center"/>
            <w:hideMark/>
          </w:tcPr>
          <w:p w14:paraId="24A7215B"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12.9</w:t>
            </w:r>
          </w:p>
        </w:tc>
        <w:tc>
          <w:tcPr>
            <w:tcW w:w="1230" w:type="dxa"/>
            <w:tcBorders>
              <w:top w:val="nil"/>
              <w:left w:val="nil"/>
              <w:bottom w:val="single" w:sz="4" w:space="0" w:color="auto"/>
              <w:right w:val="single" w:sz="4" w:space="0" w:color="auto"/>
            </w:tcBorders>
            <w:shd w:val="clear" w:color="auto" w:fill="auto"/>
            <w:vAlign w:val="center"/>
            <w:hideMark/>
          </w:tcPr>
          <w:p w14:paraId="3AB777CD"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37.3</w:t>
            </w:r>
          </w:p>
        </w:tc>
        <w:tc>
          <w:tcPr>
            <w:tcW w:w="1267" w:type="dxa"/>
            <w:tcBorders>
              <w:top w:val="nil"/>
              <w:left w:val="nil"/>
              <w:bottom w:val="single" w:sz="4" w:space="0" w:color="auto"/>
              <w:right w:val="single" w:sz="4" w:space="0" w:color="auto"/>
            </w:tcBorders>
            <w:shd w:val="clear" w:color="auto" w:fill="auto"/>
            <w:vAlign w:val="center"/>
            <w:hideMark/>
          </w:tcPr>
          <w:p w14:paraId="2B7BC1D9" w14:textId="77777777" w:rsidR="00393DDB" w:rsidRPr="00A91A09" w:rsidRDefault="00393DDB" w:rsidP="00393DDB">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100.00</w:t>
            </w:r>
          </w:p>
        </w:tc>
      </w:tr>
      <w:tr w:rsidR="00393DDB" w:rsidRPr="00A91A09" w14:paraId="1B8BE001" w14:textId="77777777" w:rsidTr="00926413">
        <w:trPr>
          <w:trHeight w:val="22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737876A"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2016</w:t>
            </w:r>
          </w:p>
        </w:tc>
        <w:tc>
          <w:tcPr>
            <w:tcW w:w="1294" w:type="dxa"/>
            <w:tcBorders>
              <w:top w:val="nil"/>
              <w:left w:val="nil"/>
              <w:bottom w:val="single" w:sz="4" w:space="0" w:color="auto"/>
              <w:right w:val="single" w:sz="4" w:space="0" w:color="auto"/>
            </w:tcBorders>
            <w:shd w:val="clear" w:color="auto" w:fill="auto"/>
            <w:vAlign w:val="center"/>
            <w:hideMark/>
          </w:tcPr>
          <w:p w14:paraId="6852CF23"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13.0</w:t>
            </w:r>
          </w:p>
        </w:tc>
        <w:tc>
          <w:tcPr>
            <w:tcW w:w="1124" w:type="dxa"/>
            <w:tcBorders>
              <w:top w:val="nil"/>
              <w:left w:val="nil"/>
              <w:bottom w:val="single" w:sz="4" w:space="0" w:color="auto"/>
              <w:right w:val="single" w:sz="4" w:space="0" w:color="auto"/>
            </w:tcBorders>
            <w:shd w:val="clear" w:color="auto" w:fill="auto"/>
            <w:vAlign w:val="center"/>
            <w:hideMark/>
          </w:tcPr>
          <w:p w14:paraId="4BE1658E"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26.7</w:t>
            </w:r>
          </w:p>
        </w:tc>
        <w:tc>
          <w:tcPr>
            <w:tcW w:w="1384" w:type="dxa"/>
            <w:tcBorders>
              <w:top w:val="nil"/>
              <w:left w:val="nil"/>
              <w:bottom w:val="single" w:sz="4" w:space="0" w:color="auto"/>
              <w:right w:val="single" w:sz="4" w:space="0" w:color="auto"/>
            </w:tcBorders>
            <w:shd w:val="clear" w:color="auto" w:fill="auto"/>
            <w:vAlign w:val="center"/>
            <w:hideMark/>
          </w:tcPr>
          <w:p w14:paraId="2101CB62"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12.7</w:t>
            </w:r>
          </w:p>
        </w:tc>
        <w:tc>
          <w:tcPr>
            <w:tcW w:w="1688" w:type="dxa"/>
            <w:tcBorders>
              <w:top w:val="nil"/>
              <w:left w:val="nil"/>
              <w:bottom w:val="single" w:sz="4" w:space="0" w:color="auto"/>
              <w:right w:val="single" w:sz="4" w:space="0" w:color="auto"/>
            </w:tcBorders>
            <w:shd w:val="clear" w:color="auto" w:fill="auto"/>
            <w:vAlign w:val="center"/>
            <w:hideMark/>
          </w:tcPr>
          <w:p w14:paraId="5CE43D6D"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17.2</w:t>
            </w:r>
          </w:p>
        </w:tc>
        <w:tc>
          <w:tcPr>
            <w:tcW w:w="1230" w:type="dxa"/>
            <w:tcBorders>
              <w:top w:val="nil"/>
              <w:left w:val="nil"/>
              <w:bottom w:val="single" w:sz="4" w:space="0" w:color="auto"/>
              <w:right w:val="single" w:sz="4" w:space="0" w:color="auto"/>
            </w:tcBorders>
            <w:shd w:val="clear" w:color="auto" w:fill="auto"/>
            <w:vAlign w:val="center"/>
            <w:hideMark/>
          </w:tcPr>
          <w:p w14:paraId="3B155BBC"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30.4</w:t>
            </w:r>
          </w:p>
        </w:tc>
        <w:tc>
          <w:tcPr>
            <w:tcW w:w="1267" w:type="dxa"/>
            <w:tcBorders>
              <w:top w:val="nil"/>
              <w:left w:val="nil"/>
              <w:bottom w:val="single" w:sz="4" w:space="0" w:color="auto"/>
              <w:right w:val="single" w:sz="4" w:space="0" w:color="auto"/>
            </w:tcBorders>
            <w:shd w:val="clear" w:color="auto" w:fill="auto"/>
            <w:vAlign w:val="center"/>
            <w:hideMark/>
          </w:tcPr>
          <w:p w14:paraId="3D6D0CAB" w14:textId="77777777" w:rsidR="00393DDB" w:rsidRPr="00A91A09" w:rsidRDefault="00393DDB" w:rsidP="00393DDB">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100.00</w:t>
            </w:r>
          </w:p>
        </w:tc>
      </w:tr>
    </w:tbl>
    <w:p w14:paraId="601D3EB5" w14:textId="3B91B330" w:rsidR="00393DDB" w:rsidRPr="00A91A09" w:rsidRDefault="00393DDB" w:rsidP="00926413">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5CFB965F" w14:textId="77777777" w:rsidR="00393DDB" w:rsidRPr="00A91A09" w:rsidRDefault="00393DDB" w:rsidP="00607164">
      <w:pPr>
        <w:spacing w:after="0" w:line="240" w:lineRule="auto"/>
        <w:jc w:val="both"/>
        <w:rPr>
          <w:rFonts w:eastAsia="Times New Roman" w:cstheme="minorHAnsi"/>
          <w:sz w:val="24"/>
          <w:szCs w:val="24"/>
          <w:lang w:val="en-GB" w:eastAsia="cs-CZ"/>
        </w:rPr>
      </w:pPr>
    </w:p>
    <w:p w14:paraId="3AC49493" w14:textId="698DF14C" w:rsidR="00393DDB" w:rsidRPr="00A91A09" w:rsidRDefault="00393DDB" w:rsidP="00607164">
      <w:pPr>
        <w:tabs>
          <w:tab w:val="right" w:pos="9072"/>
        </w:tabs>
        <w:spacing w:after="40" w:line="240" w:lineRule="auto"/>
        <w:rPr>
          <w:rFonts w:cstheme="minorHAnsi"/>
          <w:b/>
          <w:sz w:val="24"/>
          <w:szCs w:val="24"/>
          <w:lang w:val="en-GB"/>
        </w:rPr>
      </w:pPr>
      <w:r w:rsidRPr="00A91A09">
        <w:rPr>
          <w:rFonts w:cstheme="minorHAnsi"/>
          <w:b/>
          <w:sz w:val="24"/>
          <w:lang w:val="en-GB" w:bidi="en-GB"/>
        </w:rPr>
        <w:t xml:space="preserve">Table 10 – Class II and class III roads according to their condition in the Liberec Region </w:t>
      </w:r>
      <w:r w:rsidRPr="00A91A09">
        <w:rPr>
          <w:rFonts w:cstheme="minorHAnsi"/>
          <w:b/>
          <w:sz w:val="24"/>
          <w:lang w:val="en-GB" w:bidi="en-GB"/>
        </w:rPr>
        <w:tab/>
        <w:t>(in km)</w:t>
      </w:r>
    </w:p>
    <w:tbl>
      <w:tblPr>
        <w:tblW w:w="9054" w:type="dxa"/>
        <w:tblLayout w:type="fixed"/>
        <w:tblCellMar>
          <w:left w:w="70" w:type="dxa"/>
          <w:right w:w="70" w:type="dxa"/>
        </w:tblCellMar>
        <w:tblLook w:val="04A0" w:firstRow="1" w:lastRow="0" w:firstColumn="1" w:lastColumn="0" w:noHBand="0" w:noVBand="1"/>
      </w:tblPr>
      <w:tblGrid>
        <w:gridCol w:w="1132"/>
        <w:gridCol w:w="1301"/>
        <w:gridCol w:w="1219"/>
        <w:gridCol w:w="1219"/>
        <w:gridCol w:w="1568"/>
        <w:gridCol w:w="1221"/>
        <w:gridCol w:w="1394"/>
      </w:tblGrid>
      <w:tr w:rsidR="00393DDB" w:rsidRPr="00A91A09" w14:paraId="6EA42847" w14:textId="77777777" w:rsidTr="00AD20F6">
        <w:trPr>
          <w:trHeight w:val="227"/>
        </w:trPr>
        <w:tc>
          <w:tcPr>
            <w:tcW w:w="1132"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2284B1FB"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Year</w:t>
            </w:r>
          </w:p>
        </w:tc>
        <w:tc>
          <w:tcPr>
            <w:tcW w:w="6528" w:type="dxa"/>
            <w:gridSpan w:val="5"/>
            <w:tcBorders>
              <w:top w:val="single" w:sz="4" w:space="0" w:color="auto"/>
              <w:left w:val="nil"/>
              <w:bottom w:val="single" w:sz="4" w:space="0" w:color="auto"/>
              <w:right w:val="single" w:sz="4" w:space="0" w:color="000000"/>
            </w:tcBorders>
            <w:shd w:val="clear" w:color="auto" w:fill="E5F1FF"/>
            <w:vAlign w:val="center"/>
            <w:hideMark/>
          </w:tcPr>
          <w:p w14:paraId="57ACB735"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Road surface condition</w:t>
            </w:r>
          </w:p>
        </w:tc>
        <w:tc>
          <w:tcPr>
            <w:tcW w:w="1394" w:type="dxa"/>
            <w:vMerge w:val="restart"/>
            <w:tcBorders>
              <w:top w:val="single" w:sz="4" w:space="0" w:color="auto"/>
              <w:left w:val="single" w:sz="4" w:space="0" w:color="auto"/>
              <w:bottom w:val="single" w:sz="4" w:space="0" w:color="000000"/>
              <w:right w:val="single" w:sz="4" w:space="0" w:color="auto"/>
            </w:tcBorders>
            <w:shd w:val="clear" w:color="auto" w:fill="E5F1FF"/>
            <w:vAlign w:val="center"/>
            <w:hideMark/>
          </w:tcPr>
          <w:p w14:paraId="17FD61F8" w14:textId="77777777" w:rsidR="00393DDB" w:rsidRPr="00A91A09" w:rsidRDefault="00393DDB"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Total</w:t>
            </w:r>
          </w:p>
        </w:tc>
      </w:tr>
      <w:tr w:rsidR="00393DDB" w:rsidRPr="00A91A09" w14:paraId="26768356" w14:textId="77777777" w:rsidTr="00AD20F6">
        <w:trPr>
          <w:trHeight w:val="227"/>
        </w:trPr>
        <w:tc>
          <w:tcPr>
            <w:tcW w:w="1132" w:type="dxa"/>
            <w:vMerge/>
            <w:tcBorders>
              <w:top w:val="single" w:sz="4" w:space="0" w:color="auto"/>
              <w:left w:val="single" w:sz="4" w:space="0" w:color="auto"/>
              <w:bottom w:val="single" w:sz="4" w:space="0" w:color="000000"/>
              <w:right w:val="single" w:sz="4" w:space="0" w:color="auto"/>
            </w:tcBorders>
            <w:shd w:val="clear" w:color="auto" w:fill="E5F1FF"/>
            <w:vAlign w:val="center"/>
            <w:hideMark/>
          </w:tcPr>
          <w:p w14:paraId="2AAA2D0C" w14:textId="77777777" w:rsidR="00393DDB" w:rsidRPr="00A91A09" w:rsidRDefault="00393DDB" w:rsidP="00393DDB">
            <w:pPr>
              <w:spacing w:after="0" w:line="240" w:lineRule="auto"/>
              <w:rPr>
                <w:rFonts w:eastAsia="Times New Roman" w:cstheme="minorHAnsi"/>
                <w:b/>
                <w:bCs/>
                <w:color w:val="000000"/>
                <w:sz w:val="20"/>
                <w:szCs w:val="20"/>
                <w:lang w:val="en-GB" w:eastAsia="cs-CZ"/>
              </w:rPr>
            </w:pPr>
          </w:p>
        </w:tc>
        <w:tc>
          <w:tcPr>
            <w:tcW w:w="1301" w:type="dxa"/>
            <w:tcBorders>
              <w:top w:val="nil"/>
              <w:left w:val="nil"/>
              <w:bottom w:val="single" w:sz="4" w:space="0" w:color="auto"/>
              <w:right w:val="single" w:sz="4" w:space="0" w:color="auto"/>
            </w:tcBorders>
            <w:shd w:val="clear" w:color="auto" w:fill="E5F1FF"/>
            <w:vAlign w:val="center"/>
            <w:hideMark/>
          </w:tcPr>
          <w:p w14:paraId="5D8EE592" w14:textId="19819EDE" w:rsidR="00393DDB" w:rsidRPr="00A91A09" w:rsidRDefault="00AD20F6"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Excellent</w:t>
            </w:r>
          </w:p>
        </w:tc>
        <w:tc>
          <w:tcPr>
            <w:tcW w:w="1219" w:type="dxa"/>
            <w:tcBorders>
              <w:top w:val="nil"/>
              <w:left w:val="nil"/>
              <w:bottom w:val="single" w:sz="4" w:space="0" w:color="auto"/>
              <w:right w:val="single" w:sz="4" w:space="0" w:color="auto"/>
            </w:tcBorders>
            <w:shd w:val="clear" w:color="auto" w:fill="E5F1FF"/>
            <w:vAlign w:val="center"/>
            <w:hideMark/>
          </w:tcPr>
          <w:p w14:paraId="4E0A056E" w14:textId="1CB8749B" w:rsidR="00393DDB" w:rsidRPr="00A91A09" w:rsidRDefault="00AD20F6"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Good</w:t>
            </w:r>
          </w:p>
        </w:tc>
        <w:tc>
          <w:tcPr>
            <w:tcW w:w="1219" w:type="dxa"/>
            <w:tcBorders>
              <w:top w:val="nil"/>
              <w:left w:val="nil"/>
              <w:bottom w:val="single" w:sz="4" w:space="0" w:color="auto"/>
              <w:right w:val="single" w:sz="4" w:space="0" w:color="auto"/>
            </w:tcBorders>
            <w:shd w:val="clear" w:color="auto" w:fill="E5F1FF"/>
            <w:vAlign w:val="center"/>
            <w:hideMark/>
          </w:tcPr>
          <w:p w14:paraId="717F1C4F" w14:textId="6B5E1C7F" w:rsidR="00393DDB" w:rsidRPr="00A91A09" w:rsidRDefault="00AD20F6"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Satisfactory</w:t>
            </w:r>
          </w:p>
        </w:tc>
        <w:tc>
          <w:tcPr>
            <w:tcW w:w="1568" w:type="dxa"/>
            <w:tcBorders>
              <w:top w:val="nil"/>
              <w:left w:val="nil"/>
              <w:bottom w:val="single" w:sz="4" w:space="0" w:color="auto"/>
              <w:right w:val="single" w:sz="4" w:space="0" w:color="auto"/>
            </w:tcBorders>
            <w:shd w:val="clear" w:color="auto" w:fill="E5F1FF"/>
            <w:vAlign w:val="center"/>
            <w:hideMark/>
          </w:tcPr>
          <w:p w14:paraId="346DEA40" w14:textId="14782B33" w:rsidR="00393DDB" w:rsidRPr="00A91A09" w:rsidRDefault="00AD20F6"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Unsatisfactory</w:t>
            </w:r>
          </w:p>
        </w:tc>
        <w:tc>
          <w:tcPr>
            <w:tcW w:w="1219" w:type="dxa"/>
            <w:tcBorders>
              <w:top w:val="nil"/>
              <w:left w:val="nil"/>
              <w:bottom w:val="single" w:sz="4" w:space="0" w:color="auto"/>
              <w:right w:val="single" w:sz="4" w:space="0" w:color="auto"/>
            </w:tcBorders>
            <w:shd w:val="clear" w:color="auto" w:fill="E5F1FF"/>
            <w:vAlign w:val="center"/>
            <w:hideMark/>
          </w:tcPr>
          <w:p w14:paraId="77C07449" w14:textId="611E0F21" w:rsidR="00393DDB" w:rsidRPr="00A91A09" w:rsidRDefault="00AD20F6" w:rsidP="00393DDB">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Disrepair</w:t>
            </w:r>
          </w:p>
        </w:tc>
        <w:tc>
          <w:tcPr>
            <w:tcW w:w="1394" w:type="dxa"/>
            <w:vMerge/>
            <w:tcBorders>
              <w:top w:val="single" w:sz="4" w:space="0" w:color="auto"/>
              <w:left w:val="single" w:sz="4" w:space="0" w:color="auto"/>
              <w:bottom w:val="single" w:sz="4" w:space="0" w:color="000000"/>
              <w:right w:val="single" w:sz="4" w:space="0" w:color="auto"/>
            </w:tcBorders>
            <w:shd w:val="clear" w:color="auto" w:fill="E5F1FF"/>
            <w:vAlign w:val="center"/>
            <w:hideMark/>
          </w:tcPr>
          <w:p w14:paraId="2D3A08F6" w14:textId="77777777" w:rsidR="00393DDB" w:rsidRPr="00A91A09" w:rsidRDefault="00393DDB" w:rsidP="00393DDB">
            <w:pPr>
              <w:spacing w:after="0" w:line="240" w:lineRule="auto"/>
              <w:rPr>
                <w:rFonts w:eastAsia="Times New Roman" w:cstheme="minorHAnsi"/>
                <w:bCs/>
                <w:color w:val="000000"/>
                <w:sz w:val="20"/>
                <w:szCs w:val="20"/>
                <w:lang w:val="en-GB" w:eastAsia="cs-CZ"/>
              </w:rPr>
            </w:pPr>
          </w:p>
        </w:tc>
      </w:tr>
      <w:tr w:rsidR="00393DDB" w:rsidRPr="00A91A09" w14:paraId="1268AFF8" w14:textId="77777777" w:rsidTr="00607164">
        <w:trPr>
          <w:trHeight w:val="227"/>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2B993609"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2013</w:t>
            </w:r>
          </w:p>
        </w:tc>
        <w:tc>
          <w:tcPr>
            <w:tcW w:w="1301" w:type="dxa"/>
            <w:tcBorders>
              <w:top w:val="nil"/>
              <w:left w:val="nil"/>
              <w:bottom w:val="single" w:sz="4" w:space="0" w:color="auto"/>
              <w:right w:val="single" w:sz="4" w:space="0" w:color="auto"/>
            </w:tcBorders>
            <w:shd w:val="clear" w:color="auto" w:fill="auto"/>
            <w:vAlign w:val="center"/>
            <w:hideMark/>
          </w:tcPr>
          <w:p w14:paraId="2FBACF29"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190.748</w:t>
            </w:r>
          </w:p>
        </w:tc>
        <w:tc>
          <w:tcPr>
            <w:tcW w:w="1219" w:type="dxa"/>
            <w:tcBorders>
              <w:top w:val="nil"/>
              <w:left w:val="nil"/>
              <w:bottom w:val="single" w:sz="4" w:space="0" w:color="auto"/>
              <w:right w:val="single" w:sz="4" w:space="0" w:color="auto"/>
            </w:tcBorders>
            <w:shd w:val="clear" w:color="auto" w:fill="auto"/>
            <w:vAlign w:val="center"/>
            <w:hideMark/>
          </w:tcPr>
          <w:p w14:paraId="2CAA3435"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554.159</w:t>
            </w:r>
          </w:p>
        </w:tc>
        <w:tc>
          <w:tcPr>
            <w:tcW w:w="1219" w:type="dxa"/>
            <w:tcBorders>
              <w:top w:val="nil"/>
              <w:left w:val="nil"/>
              <w:bottom w:val="single" w:sz="4" w:space="0" w:color="auto"/>
              <w:right w:val="single" w:sz="4" w:space="0" w:color="auto"/>
            </w:tcBorders>
            <w:shd w:val="clear" w:color="auto" w:fill="auto"/>
            <w:vAlign w:val="center"/>
            <w:hideMark/>
          </w:tcPr>
          <w:p w14:paraId="18A1A6B4"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245.938</w:t>
            </w:r>
          </w:p>
        </w:tc>
        <w:tc>
          <w:tcPr>
            <w:tcW w:w="1568" w:type="dxa"/>
            <w:tcBorders>
              <w:top w:val="nil"/>
              <w:left w:val="nil"/>
              <w:bottom w:val="single" w:sz="4" w:space="0" w:color="auto"/>
              <w:right w:val="single" w:sz="4" w:space="0" w:color="auto"/>
            </w:tcBorders>
            <w:shd w:val="clear" w:color="auto" w:fill="auto"/>
            <w:vAlign w:val="center"/>
            <w:hideMark/>
          </w:tcPr>
          <w:p w14:paraId="0C850BE1"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306.471</w:t>
            </w:r>
          </w:p>
        </w:tc>
        <w:tc>
          <w:tcPr>
            <w:tcW w:w="1219" w:type="dxa"/>
            <w:tcBorders>
              <w:top w:val="nil"/>
              <w:left w:val="nil"/>
              <w:bottom w:val="single" w:sz="4" w:space="0" w:color="auto"/>
              <w:right w:val="single" w:sz="4" w:space="0" w:color="auto"/>
            </w:tcBorders>
            <w:shd w:val="clear" w:color="auto" w:fill="auto"/>
            <w:vAlign w:val="center"/>
            <w:hideMark/>
          </w:tcPr>
          <w:p w14:paraId="67256AF6"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779.823</w:t>
            </w:r>
          </w:p>
        </w:tc>
        <w:tc>
          <w:tcPr>
            <w:tcW w:w="1394" w:type="dxa"/>
            <w:tcBorders>
              <w:top w:val="nil"/>
              <w:left w:val="nil"/>
              <w:bottom w:val="single" w:sz="4" w:space="0" w:color="auto"/>
              <w:right w:val="single" w:sz="4" w:space="0" w:color="auto"/>
            </w:tcBorders>
            <w:shd w:val="clear" w:color="auto" w:fill="auto"/>
            <w:vAlign w:val="center"/>
            <w:hideMark/>
          </w:tcPr>
          <w:p w14:paraId="2185505C" w14:textId="3D0560CF" w:rsidR="00393DDB" w:rsidRPr="00A91A09" w:rsidRDefault="00393DDB" w:rsidP="00393DDB">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2,077.139</w:t>
            </w:r>
          </w:p>
        </w:tc>
      </w:tr>
      <w:tr w:rsidR="00393DDB" w:rsidRPr="00A91A09" w14:paraId="75045E3C" w14:textId="77777777" w:rsidTr="00607164">
        <w:trPr>
          <w:trHeight w:val="227"/>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553368B3"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2014</w:t>
            </w:r>
          </w:p>
        </w:tc>
        <w:tc>
          <w:tcPr>
            <w:tcW w:w="1301" w:type="dxa"/>
            <w:tcBorders>
              <w:top w:val="nil"/>
              <w:left w:val="nil"/>
              <w:bottom w:val="single" w:sz="4" w:space="0" w:color="auto"/>
              <w:right w:val="single" w:sz="4" w:space="0" w:color="auto"/>
            </w:tcBorders>
            <w:shd w:val="clear" w:color="auto" w:fill="auto"/>
            <w:vAlign w:val="center"/>
            <w:hideMark/>
          </w:tcPr>
          <w:p w14:paraId="3044904B"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164.797</w:t>
            </w:r>
          </w:p>
        </w:tc>
        <w:tc>
          <w:tcPr>
            <w:tcW w:w="1219" w:type="dxa"/>
            <w:tcBorders>
              <w:top w:val="nil"/>
              <w:left w:val="nil"/>
              <w:bottom w:val="single" w:sz="4" w:space="0" w:color="auto"/>
              <w:right w:val="single" w:sz="4" w:space="0" w:color="auto"/>
            </w:tcBorders>
            <w:shd w:val="clear" w:color="auto" w:fill="auto"/>
            <w:vAlign w:val="center"/>
            <w:hideMark/>
          </w:tcPr>
          <w:p w14:paraId="51604AFC"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580.211</w:t>
            </w:r>
          </w:p>
        </w:tc>
        <w:tc>
          <w:tcPr>
            <w:tcW w:w="1219" w:type="dxa"/>
            <w:tcBorders>
              <w:top w:val="nil"/>
              <w:left w:val="nil"/>
              <w:bottom w:val="single" w:sz="4" w:space="0" w:color="auto"/>
              <w:right w:val="single" w:sz="4" w:space="0" w:color="auto"/>
            </w:tcBorders>
            <w:shd w:val="clear" w:color="auto" w:fill="auto"/>
            <w:vAlign w:val="center"/>
            <w:hideMark/>
          </w:tcPr>
          <w:p w14:paraId="76299929"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264.481</w:t>
            </w:r>
          </w:p>
        </w:tc>
        <w:tc>
          <w:tcPr>
            <w:tcW w:w="1568" w:type="dxa"/>
            <w:tcBorders>
              <w:top w:val="nil"/>
              <w:left w:val="nil"/>
              <w:bottom w:val="single" w:sz="4" w:space="0" w:color="auto"/>
              <w:right w:val="single" w:sz="4" w:space="0" w:color="auto"/>
            </w:tcBorders>
            <w:shd w:val="clear" w:color="auto" w:fill="auto"/>
            <w:vAlign w:val="center"/>
            <w:hideMark/>
          </w:tcPr>
          <w:p w14:paraId="34E59E26"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294.304</w:t>
            </w:r>
          </w:p>
        </w:tc>
        <w:tc>
          <w:tcPr>
            <w:tcW w:w="1219" w:type="dxa"/>
            <w:tcBorders>
              <w:top w:val="nil"/>
              <w:left w:val="nil"/>
              <w:bottom w:val="single" w:sz="4" w:space="0" w:color="auto"/>
              <w:right w:val="single" w:sz="4" w:space="0" w:color="auto"/>
            </w:tcBorders>
            <w:shd w:val="clear" w:color="auto" w:fill="auto"/>
            <w:vAlign w:val="center"/>
            <w:hideMark/>
          </w:tcPr>
          <w:p w14:paraId="67F0F324"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771.814</w:t>
            </w:r>
          </w:p>
        </w:tc>
        <w:tc>
          <w:tcPr>
            <w:tcW w:w="1394" w:type="dxa"/>
            <w:tcBorders>
              <w:top w:val="nil"/>
              <w:left w:val="nil"/>
              <w:bottom w:val="single" w:sz="4" w:space="0" w:color="auto"/>
              <w:right w:val="single" w:sz="4" w:space="0" w:color="auto"/>
            </w:tcBorders>
            <w:shd w:val="clear" w:color="auto" w:fill="auto"/>
            <w:vAlign w:val="center"/>
            <w:hideMark/>
          </w:tcPr>
          <w:p w14:paraId="21AC9607" w14:textId="77745FC4" w:rsidR="00393DDB" w:rsidRPr="00A91A09" w:rsidRDefault="00393DDB" w:rsidP="00393DDB">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2,075.607</w:t>
            </w:r>
          </w:p>
        </w:tc>
      </w:tr>
      <w:tr w:rsidR="00393DDB" w:rsidRPr="00A91A09" w14:paraId="3E12A960" w14:textId="77777777" w:rsidTr="00607164">
        <w:trPr>
          <w:trHeight w:val="227"/>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43A01FE1"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2015</w:t>
            </w:r>
          </w:p>
        </w:tc>
        <w:tc>
          <w:tcPr>
            <w:tcW w:w="1301" w:type="dxa"/>
            <w:tcBorders>
              <w:top w:val="nil"/>
              <w:left w:val="nil"/>
              <w:bottom w:val="single" w:sz="4" w:space="0" w:color="auto"/>
              <w:right w:val="single" w:sz="4" w:space="0" w:color="auto"/>
            </w:tcBorders>
            <w:shd w:val="clear" w:color="auto" w:fill="auto"/>
            <w:vAlign w:val="center"/>
            <w:hideMark/>
          </w:tcPr>
          <w:p w14:paraId="70F3CCC8"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214.904</w:t>
            </w:r>
          </w:p>
        </w:tc>
        <w:tc>
          <w:tcPr>
            <w:tcW w:w="1219" w:type="dxa"/>
            <w:tcBorders>
              <w:top w:val="nil"/>
              <w:left w:val="nil"/>
              <w:bottom w:val="single" w:sz="4" w:space="0" w:color="auto"/>
              <w:right w:val="single" w:sz="4" w:space="0" w:color="auto"/>
            </w:tcBorders>
            <w:shd w:val="clear" w:color="auto" w:fill="auto"/>
            <w:vAlign w:val="center"/>
            <w:hideMark/>
          </w:tcPr>
          <w:p w14:paraId="540410E3"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570.792</w:t>
            </w:r>
          </w:p>
        </w:tc>
        <w:tc>
          <w:tcPr>
            <w:tcW w:w="1219" w:type="dxa"/>
            <w:tcBorders>
              <w:top w:val="nil"/>
              <w:left w:val="nil"/>
              <w:bottom w:val="single" w:sz="4" w:space="0" w:color="auto"/>
              <w:right w:val="single" w:sz="4" w:space="0" w:color="auto"/>
            </w:tcBorders>
            <w:shd w:val="clear" w:color="auto" w:fill="auto"/>
            <w:vAlign w:val="center"/>
            <w:hideMark/>
          </w:tcPr>
          <w:p w14:paraId="3B08B499"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247.702</w:t>
            </w:r>
          </w:p>
        </w:tc>
        <w:tc>
          <w:tcPr>
            <w:tcW w:w="1568" w:type="dxa"/>
            <w:tcBorders>
              <w:top w:val="nil"/>
              <w:left w:val="nil"/>
              <w:bottom w:val="single" w:sz="4" w:space="0" w:color="auto"/>
              <w:right w:val="single" w:sz="4" w:space="0" w:color="auto"/>
            </w:tcBorders>
            <w:shd w:val="clear" w:color="auto" w:fill="auto"/>
            <w:vAlign w:val="center"/>
            <w:hideMark/>
          </w:tcPr>
          <w:p w14:paraId="58052D25"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267.731</w:t>
            </w:r>
          </w:p>
        </w:tc>
        <w:tc>
          <w:tcPr>
            <w:tcW w:w="1219" w:type="dxa"/>
            <w:tcBorders>
              <w:top w:val="nil"/>
              <w:left w:val="nil"/>
              <w:bottom w:val="single" w:sz="4" w:space="0" w:color="auto"/>
              <w:right w:val="single" w:sz="4" w:space="0" w:color="auto"/>
            </w:tcBorders>
            <w:shd w:val="clear" w:color="auto" w:fill="auto"/>
            <w:vAlign w:val="center"/>
            <w:hideMark/>
          </w:tcPr>
          <w:p w14:paraId="59A1BCEE"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775.521</w:t>
            </w:r>
          </w:p>
        </w:tc>
        <w:tc>
          <w:tcPr>
            <w:tcW w:w="1394" w:type="dxa"/>
            <w:tcBorders>
              <w:top w:val="nil"/>
              <w:left w:val="nil"/>
              <w:bottom w:val="single" w:sz="4" w:space="0" w:color="auto"/>
              <w:right w:val="single" w:sz="4" w:space="0" w:color="auto"/>
            </w:tcBorders>
            <w:shd w:val="clear" w:color="auto" w:fill="auto"/>
            <w:vAlign w:val="center"/>
            <w:hideMark/>
          </w:tcPr>
          <w:p w14:paraId="2CD9E428" w14:textId="2FF89961" w:rsidR="00393DDB" w:rsidRPr="00A91A09" w:rsidRDefault="00393DDB" w:rsidP="00393DDB">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2,076.650</w:t>
            </w:r>
          </w:p>
        </w:tc>
      </w:tr>
      <w:tr w:rsidR="00393DDB" w:rsidRPr="00A91A09" w14:paraId="0F6BF901" w14:textId="77777777" w:rsidTr="00607164">
        <w:trPr>
          <w:trHeight w:val="227"/>
        </w:trPr>
        <w:tc>
          <w:tcPr>
            <w:tcW w:w="1132" w:type="dxa"/>
            <w:tcBorders>
              <w:top w:val="nil"/>
              <w:left w:val="single" w:sz="4" w:space="0" w:color="auto"/>
              <w:bottom w:val="single" w:sz="4" w:space="0" w:color="auto"/>
              <w:right w:val="single" w:sz="4" w:space="0" w:color="auto"/>
            </w:tcBorders>
            <w:shd w:val="clear" w:color="auto" w:fill="auto"/>
            <w:vAlign w:val="center"/>
            <w:hideMark/>
          </w:tcPr>
          <w:p w14:paraId="6CF88F5B" w14:textId="77777777" w:rsidR="00393DDB" w:rsidRPr="00A91A09" w:rsidRDefault="00393DDB" w:rsidP="00393DDB">
            <w:pPr>
              <w:spacing w:after="0" w:line="240" w:lineRule="auto"/>
              <w:jc w:val="center"/>
              <w:rPr>
                <w:rFonts w:eastAsia="Times New Roman" w:cstheme="minorHAnsi"/>
                <w:bCs/>
                <w:color w:val="000000"/>
                <w:sz w:val="20"/>
                <w:szCs w:val="20"/>
                <w:lang w:val="en-GB" w:eastAsia="cs-CZ"/>
              </w:rPr>
            </w:pPr>
            <w:r w:rsidRPr="00A91A09">
              <w:rPr>
                <w:rFonts w:cstheme="minorHAnsi"/>
                <w:sz w:val="20"/>
                <w:lang w:val="en-GB" w:bidi="en-GB"/>
              </w:rPr>
              <w:t>2016</w:t>
            </w:r>
          </w:p>
        </w:tc>
        <w:tc>
          <w:tcPr>
            <w:tcW w:w="1301" w:type="dxa"/>
            <w:tcBorders>
              <w:top w:val="nil"/>
              <w:left w:val="nil"/>
              <w:bottom w:val="single" w:sz="4" w:space="0" w:color="auto"/>
              <w:right w:val="single" w:sz="4" w:space="0" w:color="auto"/>
            </w:tcBorders>
            <w:shd w:val="clear" w:color="auto" w:fill="auto"/>
            <w:vAlign w:val="center"/>
            <w:hideMark/>
          </w:tcPr>
          <w:p w14:paraId="16A07AD7"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268.853</w:t>
            </w:r>
          </w:p>
        </w:tc>
        <w:tc>
          <w:tcPr>
            <w:tcW w:w="1219" w:type="dxa"/>
            <w:tcBorders>
              <w:top w:val="nil"/>
              <w:left w:val="nil"/>
              <w:bottom w:val="single" w:sz="4" w:space="0" w:color="auto"/>
              <w:right w:val="single" w:sz="4" w:space="0" w:color="auto"/>
            </w:tcBorders>
            <w:shd w:val="clear" w:color="auto" w:fill="auto"/>
            <w:vAlign w:val="center"/>
            <w:hideMark/>
          </w:tcPr>
          <w:p w14:paraId="2595496C"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554.534</w:t>
            </w:r>
          </w:p>
        </w:tc>
        <w:tc>
          <w:tcPr>
            <w:tcW w:w="1219" w:type="dxa"/>
            <w:tcBorders>
              <w:top w:val="nil"/>
              <w:left w:val="nil"/>
              <w:bottom w:val="single" w:sz="4" w:space="0" w:color="auto"/>
              <w:right w:val="single" w:sz="4" w:space="0" w:color="auto"/>
            </w:tcBorders>
            <w:shd w:val="clear" w:color="auto" w:fill="auto"/>
            <w:vAlign w:val="center"/>
            <w:hideMark/>
          </w:tcPr>
          <w:p w14:paraId="6B2E7A5D"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264.000</w:t>
            </w:r>
          </w:p>
        </w:tc>
        <w:tc>
          <w:tcPr>
            <w:tcW w:w="1568" w:type="dxa"/>
            <w:tcBorders>
              <w:top w:val="nil"/>
              <w:left w:val="nil"/>
              <w:bottom w:val="single" w:sz="4" w:space="0" w:color="auto"/>
              <w:right w:val="single" w:sz="4" w:space="0" w:color="auto"/>
            </w:tcBorders>
            <w:shd w:val="clear" w:color="auto" w:fill="auto"/>
            <w:vAlign w:val="center"/>
            <w:hideMark/>
          </w:tcPr>
          <w:p w14:paraId="71194296"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357.949</w:t>
            </w:r>
          </w:p>
        </w:tc>
        <w:tc>
          <w:tcPr>
            <w:tcW w:w="1219" w:type="dxa"/>
            <w:tcBorders>
              <w:top w:val="nil"/>
              <w:left w:val="nil"/>
              <w:bottom w:val="single" w:sz="4" w:space="0" w:color="auto"/>
              <w:right w:val="single" w:sz="4" w:space="0" w:color="auto"/>
            </w:tcBorders>
            <w:shd w:val="clear" w:color="auto" w:fill="auto"/>
            <w:vAlign w:val="center"/>
            <w:hideMark/>
          </w:tcPr>
          <w:p w14:paraId="711C579F" w14:textId="77777777" w:rsidR="00393DDB" w:rsidRPr="00A91A09" w:rsidRDefault="00393DDB" w:rsidP="00393DDB">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631.475</w:t>
            </w:r>
          </w:p>
        </w:tc>
        <w:tc>
          <w:tcPr>
            <w:tcW w:w="1394" w:type="dxa"/>
            <w:tcBorders>
              <w:top w:val="nil"/>
              <w:left w:val="nil"/>
              <w:bottom w:val="single" w:sz="4" w:space="0" w:color="auto"/>
              <w:right w:val="single" w:sz="4" w:space="0" w:color="auto"/>
            </w:tcBorders>
            <w:shd w:val="clear" w:color="auto" w:fill="auto"/>
            <w:vAlign w:val="center"/>
            <w:hideMark/>
          </w:tcPr>
          <w:p w14:paraId="675A5496" w14:textId="1748F0A1" w:rsidR="00393DDB" w:rsidRPr="00A91A09" w:rsidRDefault="00393DDB" w:rsidP="00393DDB">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2,076.811</w:t>
            </w:r>
          </w:p>
        </w:tc>
      </w:tr>
    </w:tbl>
    <w:p w14:paraId="3C3C4E2A" w14:textId="4CD07383" w:rsidR="00393DDB" w:rsidRPr="00A91A09" w:rsidRDefault="00393DDB" w:rsidP="00607164">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708F80F0" w14:textId="77777777" w:rsidR="00393DDB" w:rsidRPr="00A91A09" w:rsidRDefault="00393DDB" w:rsidP="00607164">
      <w:pPr>
        <w:spacing w:after="0" w:line="240" w:lineRule="auto"/>
        <w:jc w:val="both"/>
        <w:rPr>
          <w:rFonts w:eastAsia="Times New Roman" w:cstheme="minorHAnsi"/>
          <w:sz w:val="24"/>
          <w:szCs w:val="24"/>
          <w:lang w:val="en-GB" w:eastAsia="cs-CZ"/>
        </w:rPr>
      </w:pPr>
    </w:p>
    <w:p w14:paraId="4C5275AB" w14:textId="77777777" w:rsidR="00393DDB" w:rsidRPr="00A91A09" w:rsidRDefault="00393DDB" w:rsidP="00607164">
      <w:pPr>
        <w:spacing w:after="0" w:line="240" w:lineRule="auto"/>
        <w:jc w:val="both"/>
        <w:rPr>
          <w:rFonts w:eastAsia="Times New Roman" w:cstheme="minorHAnsi"/>
          <w:sz w:val="24"/>
          <w:szCs w:val="24"/>
          <w:lang w:val="en-GB" w:eastAsia="cs-CZ"/>
        </w:rPr>
      </w:pPr>
      <w:r w:rsidRPr="00A91A09">
        <w:rPr>
          <w:rFonts w:cstheme="minorHAnsi"/>
          <w:sz w:val="24"/>
          <w:lang w:val="en-GB" w:bidi="en-GB"/>
        </w:rPr>
        <w:t>The figures in the tables show that approximately 7 % of roads (145 km) classified as being in disrepair were repaired between 2013 and 2016. On the other hand, the length of roads in unsatisfactory condition grew by about 2.5 %, i.e. by 52 km. The overall sum of roads in the unsatisfactory state or state of disrepair improved by 4.6 %, i.e. by about 96 km. The situation is illustrated by Chart 4.</w:t>
      </w:r>
    </w:p>
    <w:p w14:paraId="1278EBFA" w14:textId="77777777" w:rsidR="00520B51" w:rsidRPr="00A91A09" w:rsidRDefault="00520B51" w:rsidP="00607164">
      <w:pPr>
        <w:spacing w:after="0" w:line="240" w:lineRule="auto"/>
        <w:jc w:val="both"/>
        <w:rPr>
          <w:rFonts w:eastAsia="Times New Roman" w:cstheme="minorHAnsi"/>
          <w:sz w:val="24"/>
          <w:szCs w:val="24"/>
          <w:lang w:val="en-GB" w:eastAsia="cs-CZ"/>
        </w:rPr>
      </w:pPr>
    </w:p>
    <w:p w14:paraId="44019AE7" w14:textId="048F3EBF" w:rsidR="00393DDB" w:rsidRPr="00A91A09" w:rsidRDefault="00393DDB" w:rsidP="003E78A5">
      <w:pPr>
        <w:keepNext/>
        <w:tabs>
          <w:tab w:val="right" w:pos="9072"/>
        </w:tabs>
        <w:spacing w:after="40" w:line="240" w:lineRule="auto"/>
        <w:jc w:val="both"/>
        <w:rPr>
          <w:rFonts w:eastAsia="Times New Roman" w:cstheme="minorHAnsi"/>
          <w:b/>
          <w:sz w:val="24"/>
          <w:szCs w:val="24"/>
          <w:lang w:val="en-GB" w:eastAsia="cs-CZ"/>
        </w:rPr>
      </w:pPr>
      <w:r w:rsidRPr="00A91A09">
        <w:rPr>
          <w:rFonts w:cstheme="minorHAnsi"/>
          <w:b/>
          <w:sz w:val="24"/>
          <w:lang w:val="en-GB" w:bidi="en-GB"/>
        </w:rPr>
        <w:t>Chart 4 – State of class II and class III roads in the Liberec Region</w:t>
      </w:r>
      <w:r w:rsidRPr="00A91A09">
        <w:rPr>
          <w:rFonts w:cstheme="minorHAnsi"/>
          <w:b/>
          <w:sz w:val="24"/>
          <w:lang w:val="en-GB" w:bidi="en-GB"/>
        </w:rPr>
        <w:tab/>
        <w:t>(in %)</w:t>
      </w:r>
    </w:p>
    <w:p w14:paraId="0CA07BE5" w14:textId="2945E077" w:rsidR="00393DDB" w:rsidRPr="00A91A09" w:rsidRDefault="003E78A5" w:rsidP="00682492">
      <w:pPr>
        <w:spacing w:after="0" w:line="240" w:lineRule="auto"/>
        <w:jc w:val="center"/>
        <w:rPr>
          <w:rFonts w:eastAsia="Times New Roman" w:cstheme="minorHAnsi"/>
          <w:sz w:val="24"/>
          <w:szCs w:val="24"/>
          <w:lang w:val="en-GB" w:eastAsia="cs-CZ"/>
        </w:rPr>
      </w:pPr>
      <w:r w:rsidRPr="00A91A09">
        <w:rPr>
          <w:rFonts w:cstheme="minorHAnsi"/>
          <w:noProof/>
          <w:sz w:val="24"/>
          <w:lang w:val="cs-CZ" w:eastAsia="cs-CZ"/>
        </w:rPr>
        <w:drawing>
          <wp:inline distT="0" distB="0" distL="0" distR="0" wp14:anchorId="434ACC06" wp14:editId="0123770E">
            <wp:extent cx="5582404" cy="2880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OREKTURY\graf_4.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82404"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CC92DB9" w14:textId="77777777" w:rsidR="00AD3FDC" w:rsidRDefault="00393DDB" w:rsidP="00607164">
      <w:pPr>
        <w:spacing w:after="0" w:line="240" w:lineRule="auto"/>
        <w:jc w:val="both"/>
        <w:rPr>
          <w:rFonts w:cstheme="minorHAnsi"/>
          <w:sz w:val="24"/>
          <w:lang w:val="en-GB" w:bidi="en-GB"/>
        </w:rPr>
      </w:pPr>
      <w:r w:rsidRPr="00A91A09">
        <w:rPr>
          <w:rFonts w:cstheme="minorHAnsi"/>
          <w:sz w:val="24"/>
          <w:lang w:val="en-GB" w:bidi="en-GB"/>
        </w:rPr>
        <w:t>The condition of class II and class III roads in the Pardubice Region was monitored by the RMMPR. The PR conceptual document is the document entitled “</w:t>
      </w:r>
      <w:r w:rsidRPr="00A91A09">
        <w:rPr>
          <w:rFonts w:cstheme="minorHAnsi"/>
          <w:i/>
          <w:sz w:val="24"/>
          <w:lang w:val="en-GB" w:bidi="en-GB"/>
        </w:rPr>
        <w:t xml:space="preserve">Maintenance and development programmes for real property in the areas of transport, education, health, social affairs, culture and other” </w:t>
      </w:r>
      <w:r w:rsidRPr="00A91A09">
        <w:rPr>
          <w:rFonts w:cstheme="minorHAnsi"/>
          <w:sz w:val="24"/>
          <w:lang w:val="en-GB" w:bidi="en-GB"/>
        </w:rPr>
        <w:t xml:space="preserve">(hereinafter the “MDP in transport”), which set out basic </w:t>
      </w:r>
      <w:r w:rsidRPr="00A91A09">
        <w:rPr>
          <w:rFonts w:cstheme="minorHAnsi"/>
          <w:sz w:val="24"/>
          <w:lang w:val="en-GB" w:bidi="en-GB"/>
        </w:rPr>
        <w:lastRenderedPageBreak/>
        <w:t xml:space="preserve">objectives in the process of maintenance and development of real property of the PR for 2013-2017. The objective was to stabilise the decisive part of the backbone road network of the Pardubice Region by 2016. The PR had not set the projected number of km of the backbone network it had wanted to stabilise by 2016, so it had been unable to assess whether it had met the target. The PR further elaborated documents proving an increasing number of class II and class III roads in the unsatisfactory state or state of disrepair in the PR, and quantifying the financial difficulty of bringing these roads into </w:t>
      </w:r>
      <w:r w:rsidR="00AD3FDC">
        <w:rPr>
          <w:rFonts w:cstheme="minorHAnsi"/>
          <w:sz w:val="24"/>
          <w:lang w:val="en-GB" w:bidi="en-GB"/>
        </w:rPr>
        <w:t xml:space="preserve">a good structural and technical </w:t>
      </w:r>
      <w:r w:rsidRPr="00A91A09">
        <w:rPr>
          <w:rFonts w:cstheme="minorHAnsi"/>
          <w:sz w:val="24"/>
          <w:lang w:val="en-GB" w:bidi="en-GB"/>
        </w:rPr>
        <w:t xml:space="preserve">condition. </w:t>
      </w:r>
    </w:p>
    <w:p w14:paraId="03BDA9DB" w14:textId="00B9CC0D" w:rsidR="00393DDB" w:rsidRPr="00A91A09" w:rsidRDefault="00393DDB" w:rsidP="00607164">
      <w:pPr>
        <w:spacing w:after="0" w:line="240" w:lineRule="auto"/>
        <w:jc w:val="both"/>
        <w:rPr>
          <w:rFonts w:cstheme="minorHAnsi"/>
          <w:bCs/>
          <w:sz w:val="24"/>
          <w:szCs w:val="24"/>
          <w:lang w:val="en-GB"/>
        </w:rPr>
      </w:pPr>
      <w:r w:rsidRPr="00A91A09">
        <w:rPr>
          <w:rFonts w:cstheme="minorHAnsi"/>
          <w:sz w:val="24"/>
          <w:lang w:val="en-GB" w:bidi="en-GB"/>
        </w:rPr>
        <w:t>The data from 2016 show that a complete renovation of the road network including cyclical repairs within the ten-year planning period would include the financial need for class II roads in the PR in the amount of CZK 1.488 billion and for class III roads in the amount of CZK 7.092 billion.</w:t>
      </w:r>
    </w:p>
    <w:p w14:paraId="1E29E9BD" w14:textId="1B65BA6A" w:rsidR="00607164" w:rsidRPr="00A91A09" w:rsidRDefault="00607164" w:rsidP="00607164">
      <w:pPr>
        <w:spacing w:after="0" w:line="240" w:lineRule="auto"/>
        <w:jc w:val="both"/>
        <w:rPr>
          <w:rFonts w:cstheme="minorHAnsi"/>
          <w:bCs/>
          <w:sz w:val="24"/>
          <w:szCs w:val="24"/>
          <w:lang w:val="en-GB"/>
        </w:rPr>
      </w:pPr>
    </w:p>
    <w:p w14:paraId="48F8AD75" w14:textId="05732F16" w:rsidR="00393DDB" w:rsidRPr="00A91A09" w:rsidRDefault="00393DDB" w:rsidP="00607164">
      <w:pPr>
        <w:spacing w:after="0" w:line="240" w:lineRule="auto"/>
        <w:jc w:val="both"/>
        <w:rPr>
          <w:rFonts w:eastAsia="Times New Roman" w:cstheme="minorHAnsi"/>
          <w:b/>
          <w:sz w:val="24"/>
          <w:szCs w:val="24"/>
          <w:lang w:val="en-GB" w:eastAsia="cs-CZ"/>
        </w:rPr>
      </w:pPr>
      <w:r w:rsidRPr="00A91A09">
        <w:rPr>
          <w:rFonts w:cstheme="minorHAnsi"/>
          <w:b/>
          <w:sz w:val="24"/>
          <w:lang w:val="en-GB" w:bidi="en-GB"/>
        </w:rPr>
        <w:t>5. Composition of funds</w:t>
      </w:r>
    </w:p>
    <w:p w14:paraId="07234B62" w14:textId="312484C5" w:rsidR="00064D6C" w:rsidRPr="00A91A09" w:rsidRDefault="00064D6C" w:rsidP="00607164">
      <w:pPr>
        <w:spacing w:after="0" w:line="240" w:lineRule="auto"/>
        <w:jc w:val="both"/>
        <w:rPr>
          <w:rFonts w:eastAsia="Times New Roman" w:cstheme="minorHAnsi"/>
          <w:sz w:val="24"/>
          <w:szCs w:val="24"/>
          <w:lang w:val="en-GB" w:eastAsia="cs-CZ"/>
        </w:rPr>
      </w:pPr>
    </w:p>
    <w:p w14:paraId="700F94F6" w14:textId="28B06D13" w:rsidR="00393DDB" w:rsidRPr="00A91A09" w:rsidRDefault="00393DDB" w:rsidP="00607164">
      <w:pPr>
        <w:spacing w:after="0" w:line="240" w:lineRule="auto"/>
        <w:jc w:val="both"/>
        <w:rPr>
          <w:rFonts w:eastAsia="Times New Roman" w:cstheme="minorHAnsi"/>
          <w:sz w:val="24"/>
          <w:szCs w:val="24"/>
          <w:lang w:val="en-GB" w:eastAsia="cs-CZ"/>
        </w:rPr>
      </w:pPr>
      <w:r w:rsidRPr="00A91A09">
        <w:rPr>
          <w:rFonts w:cstheme="minorHAnsi"/>
          <w:sz w:val="24"/>
          <w:lang w:val="en-GB" w:bidi="en-GB"/>
        </w:rPr>
        <w:t>The SAO audit, where data were available, evaluated the amount of funds from resources used to repair regional roads in the period under review and in the preceding periods, a total for 2012-2016. The data are presented in tables and charts for the Liberec, Moravian-Silesian, Pardubice and Pilsen Regions.</w:t>
      </w:r>
    </w:p>
    <w:p w14:paraId="20D2A192" w14:textId="77777777" w:rsidR="00C6393E" w:rsidRPr="00A91A09" w:rsidRDefault="00C6393E" w:rsidP="00607164">
      <w:pPr>
        <w:spacing w:after="0" w:line="240" w:lineRule="auto"/>
        <w:jc w:val="both"/>
        <w:rPr>
          <w:rFonts w:eastAsia="Times New Roman" w:cstheme="minorHAnsi"/>
          <w:sz w:val="24"/>
          <w:szCs w:val="24"/>
          <w:lang w:val="en-GB" w:eastAsia="cs-CZ"/>
        </w:rPr>
      </w:pPr>
    </w:p>
    <w:p w14:paraId="4B8D2FC9" w14:textId="055E0622" w:rsidR="00393DDB" w:rsidRPr="00A91A09" w:rsidRDefault="00393DDB" w:rsidP="00607164">
      <w:pPr>
        <w:keepNext/>
        <w:spacing w:after="0" w:line="240" w:lineRule="auto"/>
        <w:jc w:val="both"/>
        <w:rPr>
          <w:rFonts w:eastAsia="Times New Roman" w:cstheme="minorHAnsi"/>
          <w:b/>
          <w:sz w:val="24"/>
          <w:szCs w:val="24"/>
          <w:lang w:val="en-GB" w:eastAsia="cs-CZ"/>
        </w:rPr>
      </w:pPr>
      <w:r w:rsidRPr="00A91A09">
        <w:rPr>
          <w:rFonts w:cstheme="minorHAnsi"/>
          <w:b/>
          <w:sz w:val="24"/>
          <w:lang w:val="en-GB" w:bidi="en-GB"/>
        </w:rPr>
        <w:t>Liberec Region</w:t>
      </w:r>
    </w:p>
    <w:p w14:paraId="026F1262" w14:textId="77777777" w:rsidR="00677716" w:rsidRPr="00A91A09" w:rsidRDefault="00677716" w:rsidP="00607164">
      <w:pPr>
        <w:keepNext/>
        <w:spacing w:after="0" w:line="240" w:lineRule="auto"/>
        <w:jc w:val="both"/>
        <w:rPr>
          <w:rFonts w:eastAsia="Times New Roman" w:cstheme="minorHAnsi"/>
          <w:b/>
          <w:sz w:val="24"/>
          <w:szCs w:val="24"/>
          <w:u w:val="single"/>
          <w:lang w:val="en-GB" w:eastAsia="cs-CZ"/>
        </w:rPr>
      </w:pPr>
    </w:p>
    <w:p w14:paraId="7A20DD57" w14:textId="0B20D84B" w:rsidR="00393DDB" w:rsidRPr="00A91A09" w:rsidRDefault="00393DDB" w:rsidP="00AD20F6">
      <w:pPr>
        <w:keepNext/>
        <w:tabs>
          <w:tab w:val="right" w:pos="9072"/>
        </w:tabs>
        <w:spacing w:after="40" w:line="240" w:lineRule="auto"/>
        <w:ind w:left="1560" w:hanging="1560"/>
        <w:jc w:val="both"/>
        <w:rPr>
          <w:rFonts w:eastAsia="Times New Roman" w:cstheme="minorHAnsi"/>
          <w:b/>
          <w:sz w:val="24"/>
          <w:szCs w:val="24"/>
          <w:lang w:val="en-GB" w:eastAsia="cs-CZ"/>
        </w:rPr>
      </w:pPr>
      <w:r w:rsidRPr="00A91A09">
        <w:rPr>
          <w:rFonts w:cstheme="minorHAnsi"/>
          <w:b/>
          <w:sz w:val="24"/>
          <w:lang w:val="en-GB" w:bidi="en-GB"/>
        </w:rPr>
        <w:t>Table 11</w:t>
      </w:r>
      <w:r w:rsidR="00BE62A0">
        <w:rPr>
          <w:rFonts w:cstheme="minorHAnsi"/>
          <w:b/>
          <w:sz w:val="24"/>
          <w:lang w:val="en-GB" w:bidi="en-GB"/>
        </w:rPr>
        <w:t xml:space="preserve"> – </w:t>
      </w:r>
      <w:r w:rsidRPr="00A91A09">
        <w:rPr>
          <w:rFonts w:cstheme="minorHAnsi"/>
          <w:b/>
          <w:sz w:val="24"/>
          <w:lang w:val="en-GB" w:bidi="en-GB"/>
        </w:rPr>
        <w:t xml:space="preserve">Funds contributed to class II and class III roads in the years 2012-2016 </w:t>
      </w:r>
      <w:r w:rsidRPr="00A91A09">
        <w:rPr>
          <w:rFonts w:cstheme="minorHAnsi"/>
          <w:b/>
          <w:sz w:val="24"/>
          <w:lang w:val="en-GB" w:bidi="en-GB"/>
        </w:rPr>
        <w:tab/>
        <w:t>(in CZK million)</w:t>
      </w:r>
    </w:p>
    <w:tbl>
      <w:tblPr>
        <w:tblW w:w="9059" w:type="dxa"/>
        <w:tblCellMar>
          <w:left w:w="70" w:type="dxa"/>
          <w:right w:w="70" w:type="dxa"/>
        </w:tblCellMar>
        <w:tblLook w:val="04A0" w:firstRow="1" w:lastRow="0" w:firstColumn="1" w:lastColumn="0" w:noHBand="0" w:noVBand="1"/>
      </w:tblPr>
      <w:tblGrid>
        <w:gridCol w:w="1382"/>
        <w:gridCol w:w="2016"/>
        <w:gridCol w:w="1773"/>
        <w:gridCol w:w="1757"/>
        <w:gridCol w:w="2131"/>
      </w:tblGrid>
      <w:tr w:rsidR="00393DDB" w:rsidRPr="00A91A09" w14:paraId="778BEC69" w14:textId="77777777" w:rsidTr="00675B8E">
        <w:trPr>
          <w:trHeight w:val="227"/>
        </w:trPr>
        <w:tc>
          <w:tcPr>
            <w:tcW w:w="1382"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59D84519" w14:textId="77777777" w:rsidR="00393DDB" w:rsidRPr="00A91A09" w:rsidRDefault="00393DDB" w:rsidP="005D6760">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Year</w:t>
            </w:r>
          </w:p>
        </w:tc>
        <w:tc>
          <w:tcPr>
            <w:tcW w:w="2016" w:type="dxa"/>
            <w:tcBorders>
              <w:top w:val="single" w:sz="4" w:space="0" w:color="auto"/>
              <w:left w:val="nil"/>
              <w:bottom w:val="single" w:sz="4" w:space="0" w:color="auto"/>
              <w:right w:val="single" w:sz="4" w:space="0" w:color="auto"/>
            </w:tcBorders>
            <w:shd w:val="clear" w:color="auto" w:fill="E5F1FF"/>
            <w:vAlign w:val="center"/>
            <w:hideMark/>
          </w:tcPr>
          <w:p w14:paraId="58DFAF9D" w14:textId="77777777" w:rsidR="00393DDB" w:rsidRPr="00A91A09" w:rsidRDefault="00393DDB" w:rsidP="005D6760">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Regional funds total</w:t>
            </w:r>
          </w:p>
        </w:tc>
        <w:tc>
          <w:tcPr>
            <w:tcW w:w="1773" w:type="dxa"/>
            <w:tcBorders>
              <w:top w:val="single" w:sz="4" w:space="0" w:color="auto"/>
              <w:left w:val="nil"/>
              <w:bottom w:val="single" w:sz="4" w:space="0" w:color="auto"/>
              <w:right w:val="single" w:sz="4" w:space="0" w:color="auto"/>
            </w:tcBorders>
            <w:shd w:val="clear" w:color="auto" w:fill="E5F1FF"/>
            <w:vAlign w:val="center"/>
            <w:hideMark/>
          </w:tcPr>
          <w:p w14:paraId="18610A95" w14:textId="77777777" w:rsidR="00393DDB" w:rsidRPr="00A91A09" w:rsidRDefault="00393DDB" w:rsidP="005D6760">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EU subsidy granted</w:t>
            </w:r>
          </w:p>
        </w:tc>
        <w:tc>
          <w:tcPr>
            <w:tcW w:w="1757" w:type="dxa"/>
            <w:tcBorders>
              <w:top w:val="single" w:sz="4" w:space="0" w:color="auto"/>
              <w:left w:val="nil"/>
              <w:bottom w:val="single" w:sz="4" w:space="0" w:color="auto"/>
              <w:right w:val="single" w:sz="4" w:space="0" w:color="auto"/>
            </w:tcBorders>
            <w:shd w:val="clear" w:color="auto" w:fill="E5F1FF"/>
            <w:vAlign w:val="center"/>
            <w:hideMark/>
          </w:tcPr>
          <w:p w14:paraId="5DDFA2DC" w14:textId="60F95016" w:rsidR="00393DDB" w:rsidRPr="00A91A09" w:rsidRDefault="004D23C2" w:rsidP="005D6760">
            <w:pPr>
              <w:keepNext/>
              <w:spacing w:after="0" w:line="240" w:lineRule="auto"/>
              <w:jc w:val="center"/>
              <w:rPr>
                <w:rFonts w:eastAsia="Times New Roman" w:cstheme="minorHAnsi"/>
                <w:b/>
                <w:bCs/>
                <w:color w:val="000000"/>
                <w:sz w:val="20"/>
                <w:szCs w:val="20"/>
                <w:lang w:val="en-GB" w:eastAsia="cs-CZ"/>
              </w:rPr>
            </w:pPr>
            <w:r>
              <w:rPr>
                <w:rFonts w:cstheme="minorHAnsi"/>
                <w:b/>
                <w:sz w:val="20"/>
                <w:lang w:val="en-GB" w:bidi="en-GB"/>
              </w:rPr>
              <w:t>SFDI</w:t>
            </w:r>
            <w:r w:rsidR="00393DDB" w:rsidRPr="00A91A09">
              <w:rPr>
                <w:rFonts w:cstheme="minorHAnsi"/>
                <w:b/>
                <w:sz w:val="20"/>
                <w:lang w:val="en-GB" w:bidi="en-GB"/>
              </w:rPr>
              <w:t xml:space="preserve"> subsidy</w:t>
            </w:r>
          </w:p>
        </w:tc>
        <w:tc>
          <w:tcPr>
            <w:tcW w:w="2131" w:type="dxa"/>
            <w:tcBorders>
              <w:top w:val="single" w:sz="4" w:space="0" w:color="auto"/>
              <w:left w:val="nil"/>
              <w:bottom w:val="single" w:sz="4" w:space="0" w:color="auto"/>
              <w:right w:val="single" w:sz="4" w:space="0" w:color="auto"/>
            </w:tcBorders>
            <w:shd w:val="clear" w:color="auto" w:fill="E5F1FF"/>
            <w:vAlign w:val="center"/>
            <w:hideMark/>
          </w:tcPr>
          <w:p w14:paraId="6777BC9E" w14:textId="77777777" w:rsidR="00393DDB" w:rsidRPr="00A91A09" w:rsidRDefault="00393DDB" w:rsidP="005D6760">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Total per year</w:t>
            </w:r>
          </w:p>
        </w:tc>
      </w:tr>
      <w:tr w:rsidR="00393DDB" w:rsidRPr="00A91A09" w14:paraId="43D7EF9F"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DF97161" w14:textId="77777777" w:rsidR="00393DDB" w:rsidRPr="00A91A09" w:rsidRDefault="00393DDB" w:rsidP="00064D6C">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2012</w:t>
            </w:r>
          </w:p>
        </w:tc>
        <w:tc>
          <w:tcPr>
            <w:tcW w:w="2016" w:type="dxa"/>
            <w:tcBorders>
              <w:top w:val="nil"/>
              <w:left w:val="nil"/>
              <w:bottom w:val="single" w:sz="4" w:space="0" w:color="auto"/>
              <w:right w:val="single" w:sz="4" w:space="0" w:color="auto"/>
            </w:tcBorders>
            <w:shd w:val="clear" w:color="auto" w:fill="auto"/>
            <w:noWrap/>
            <w:vAlign w:val="center"/>
            <w:hideMark/>
          </w:tcPr>
          <w:p w14:paraId="757F6C2E"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249.943</w:t>
            </w:r>
          </w:p>
        </w:tc>
        <w:tc>
          <w:tcPr>
            <w:tcW w:w="1773" w:type="dxa"/>
            <w:tcBorders>
              <w:top w:val="nil"/>
              <w:left w:val="nil"/>
              <w:bottom w:val="single" w:sz="4" w:space="0" w:color="auto"/>
              <w:right w:val="single" w:sz="4" w:space="0" w:color="auto"/>
            </w:tcBorders>
            <w:shd w:val="clear" w:color="auto" w:fill="auto"/>
            <w:noWrap/>
            <w:vAlign w:val="center"/>
            <w:hideMark/>
          </w:tcPr>
          <w:p w14:paraId="346607AA"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212.287</w:t>
            </w:r>
          </w:p>
        </w:tc>
        <w:tc>
          <w:tcPr>
            <w:tcW w:w="1757" w:type="dxa"/>
            <w:tcBorders>
              <w:top w:val="nil"/>
              <w:left w:val="nil"/>
              <w:bottom w:val="single" w:sz="4" w:space="0" w:color="auto"/>
              <w:right w:val="single" w:sz="4" w:space="0" w:color="auto"/>
            </w:tcBorders>
            <w:shd w:val="clear" w:color="auto" w:fill="auto"/>
            <w:noWrap/>
            <w:vAlign w:val="center"/>
            <w:hideMark/>
          </w:tcPr>
          <w:p w14:paraId="4940CE69"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2131" w:type="dxa"/>
            <w:tcBorders>
              <w:top w:val="nil"/>
              <w:left w:val="nil"/>
              <w:bottom w:val="single" w:sz="4" w:space="0" w:color="auto"/>
              <w:right w:val="single" w:sz="4" w:space="0" w:color="auto"/>
            </w:tcBorders>
            <w:shd w:val="clear" w:color="auto" w:fill="auto"/>
            <w:noWrap/>
            <w:vAlign w:val="center"/>
            <w:hideMark/>
          </w:tcPr>
          <w:p w14:paraId="563B8130"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462.230</w:t>
            </w:r>
          </w:p>
        </w:tc>
      </w:tr>
      <w:tr w:rsidR="00393DDB" w:rsidRPr="00A91A09" w14:paraId="1776F652"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E1070CA" w14:textId="77777777" w:rsidR="00393DDB" w:rsidRPr="00A91A09" w:rsidRDefault="00393DDB" w:rsidP="00064D6C">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2013</w:t>
            </w:r>
          </w:p>
        </w:tc>
        <w:tc>
          <w:tcPr>
            <w:tcW w:w="2016" w:type="dxa"/>
            <w:tcBorders>
              <w:top w:val="nil"/>
              <w:left w:val="nil"/>
              <w:bottom w:val="single" w:sz="4" w:space="0" w:color="auto"/>
              <w:right w:val="single" w:sz="4" w:space="0" w:color="auto"/>
            </w:tcBorders>
            <w:shd w:val="clear" w:color="auto" w:fill="auto"/>
            <w:noWrap/>
            <w:vAlign w:val="center"/>
            <w:hideMark/>
          </w:tcPr>
          <w:p w14:paraId="67C3E0E7"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310.457</w:t>
            </w:r>
          </w:p>
        </w:tc>
        <w:tc>
          <w:tcPr>
            <w:tcW w:w="1773" w:type="dxa"/>
            <w:tcBorders>
              <w:top w:val="nil"/>
              <w:left w:val="nil"/>
              <w:bottom w:val="single" w:sz="4" w:space="0" w:color="auto"/>
              <w:right w:val="single" w:sz="4" w:space="0" w:color="auto"/>
            </w:tcBorders>
            <w:shd w:val="clear" w:color="auto" w:fill="auto"/>
            <w:noWrap/>
            <w:vAlign w:val="center"/>
            <w:hideMark/>
          </w:tcPr>
          <w:p w14:paraId="6097F0DB"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307.107</w:t>
            </w:r>
          </w:p>
        </w:tc>
        <w:tc>
          <w:tcPr>
            <w:tcW w:w="1757" w:type="dxa"/>
            <w:tcBorders>
              <w:top w:val="nil"/>
              <w:left w:val="nil"/>
              <w:bottom w:val="single" w:sz="4" w:space="0" w:color="auto"/>
              <w:right w:val="single" w:sz="4" w:space="0" w:color="auto"/>
            </w:tcBorders>
            <w:shd w:val="clear" w:color="auto" w:fill="auto"/>
            <w:noWrap/>
            <w:vAlign w:val="center"/>
            <w:hideMark/>
          </w:tcPr>
          <w:p w14:paraId="3FFFF3D3"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36.370</w:t>
            </w:r>
          </w:p>
        </w:tc>
        <w:tc>
          <w:tcPr>
            <w:tcW w:w="2131" w:type="dxa"/>
            <w:tcBorders>
              <w:top w:val="nil"/>
              <w:left w:val="nil"/>
              <w:bottom w:val="single" w:sz="4" w:space="0" w:color="auto"/>
              <w:right w:val="single" w:sz="4" w:space="0" w:color="auto"/>
            </w:tcBorders>
            <w:shd w:val="clear" w:color="auto" w:fill="auto"/>
            <w:noWrap/>
            <w:vAlign w:val="center"/>
            <w:hideMark/>
          </w:tcPr>
          <w:p w14:paraId="5939BF91"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653.934</w:t>
            </w:r>
          </w:p>
        </w:tc>
      </w:tr>
      <w:tr w:rsidR="00393DDB" w:rsidRPr="00A91A09" w14:paraId="35D471AA"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9D456B2" w14:textId="77777777" w:rsidR="00393DDB" w:rsidRPr="00A91A09" w:rsidRDefault="00393DDB" w:rsidP="00064D6C">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2014</w:t>
            </w:r>
          </w:p>
        </w:tc>
        <w:tc>
          <w:tcPr>
            <w:tcW w:w="2016" w:type="dxa"/>
            <w:tcBorders>
              <w:top w:val="nil"/>
              <w:left w:val="nil"/>
              <w:bottom w:val="single" w:sz="4" w:space="0" w:color="auto"/>
              <w:right w:val="single" w:sz="4" w:space="0" w:color="auto"/>
            </w:tcBorders>
            <w:shd w:val="clear" w:color="auto" w:fill="auto"/>
            <w:noWrap/>
            <w:vAlign w:val="center"/>
            <w:hideMark/>
          </w:tcPr>
          <w:p w14:paraId="720EB943"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327.378</w:t>
            </w:r>
          </w:p>
        </w:tc>
        <w:tc>
          <w:tcPr>
            <w:tcW w:w="1773" w:type="dxa"/>
            <w:tcBorders>
              <w:top w:val="nil"/>
              <w:left w:val="nil"/>
              <w:bottom w:val="single" w:sz="4" w:space="0" w:color="auto"/>
              <w:right w:val="single" w:sz="4" w:space="0" w:color="auto"/>
            </w:tcBorders>
            <w:shd w:val="clear" w:color="auto" w:fill="auto"/>
            <w:noWrap/>
            <w:vAlign w:val="center"/>
            <w:hideMark/>
          </w:tcPr>
          <w:p w14:paraId="39E62DEF"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224.287</w:t>
            </w:r>
          </w:p>
        </w:tc>
        <w:tc>
          <w:tcPr>
            <w:tcW w:w="1757" w:type="dxa"/>
            <w:tcBorders>
              <w:top w:val="nil"/>
              <w:left w:val="nil"/>
              <w:bottom w:val="single" w:sz="4" w:space="0" w:color="auto"/>
              <w:right w:val="single" w:sz="4" w:space="0" w:color="auto"/>
            </w:tcBorders>
            <w:shd w:val="clear" w:color="auto" w:fill="auto"/>
            <w:noWrap/>
            <w:vAlign w:val="center"/>
            <w:hideMark/>
          </w:tcPr>
          <w:p w14:paraId="4E7D078F" w14:textId="60EE2C0A" w:rsidR="00393DDB" w:rsidRPr="00A91A09" w:rsidRDefault="00393DDB" w:rsidP="00AD20F6">
            <w:pPr>
              <w:keepNext/>
              <w:spacing w:after="0" w:line="240" w:lineRule="auto"/>
              <w:ind w:right="510"/>
              <w:jc w:val="right"/>
              <w:rPr>
                <w:rFonts w:eastAsia="Times New Roman" w:cstheme="minorHAnsi"/>
                <w:color w:val="000000"/>
                <w:sz w:val="20"/>
                <w:szCs w:val="20"/>
                <w:lang w:val="en-GB" w:eastAsia="cs-CZ"/>
              </w:rPr>
            </w:pPr>
            <w:r w:rsidRPr="00A91A09">
              <w:rPr>
                <w:rFonts w:cstheme="minorHAnsi"/>
                <w:sz w:val="20"/>
                <w:lang w:val="en-GB" w:bidi="en-GB"/>
              </w:rPr>
              <w:t>135.982*</w:t>
            </w:r>
          </w:p>
        </w:tc>
        <w:tc>
          <w:tcPr>
            <w:tcW w:w="2131" w:type="dxa"/>
            <w:tcBorders>
              <w:top w:val="nil"/>
              <w:left w:val="nil"/>
              <w:bottom w:val="single" w:sz="4" w:space="0" w:color="auto"/>
              <w:right w:val="single" w:sz="4" w:space="0" w:color="auto"/>
            </w:tcBorders>
            <w:shd w:val="clear" w:color="auto" w:fill="auto"/>
            <w:noWrap/>
            <w:vAlign w:val="center"/>
            <w:hideMark/>
          </w:tcPr>
          <w:p w14:paraId="2D97DBB5"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687.647</w:t>
            </w:r>
          </w:p>
        </w:tc>
      </w:tr>
      <w:tr w:rsidR="00393DDB" w:rsidRPr="00A91A09" w14:paraId="14BA2FD4"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32196877" w14:textId="77777777" w:rsidR="00393DDB" w:rsidRPr="00A91A09" w:rsidRDefault="00393DDB" w:rsidP="00064D6C">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2015</w:t>
            </w:r>
          </w:p>
        </w:tc>
        <w:tc>
          <w:tcPr>
            <w:tcW w:w="2016" w:type="dxa"/>
            <w:tcBorders>
              <w:top w:val="nil"/>
              <w:left w:val="nil"/>
              <w:bottom w:val="single" w:sz="4" w:space="0" w:color="auto"/>
              <w:right w:val="single" w:sz="4" w:space="0" w:color="auto"/>
            </w:tcBorders>
            <w:shd w:val="clear" w:color="auto" w:fill="auto"/>
            <w:noWrap/>
            <w:vAlign w:val="center"/>
            <w:hideMark/>
          </w:tcPr>
          <w:p w14:paraId="13C971AD"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195.892</w:t>
            </w:r>
          </w:p>
        </w:tc>
        <w:tc>
          <w:tcPr>
            <w:tcW w:w="1773" w:type="dxa"/>
            <w:tcBorders>
              <w:top w:val="nil"/>
              <w:left w:val="nil"/>
              <w:bottom w:val="single" w:sz="4" w:space="0" w:color="auto"/>
              <w:right w:val="single" w:sz="4" w:space="0" w:color="auto"/>
            </w:tcBorders>
            <w:shd w:val="clear" w:color="auto" w:fill="auto"/>
            <w:noWrap/>
            <w:vAlign w:val="center"/>
            <w:hideMark/>
          </w:tcPr>
          <w:p w14:paraId="321AC886"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704.767</w:t>
            </w:r>
          </w:p>
        </w:tc>
        <w:tc>
          <w:tcPr>
            <w:tcW w:w="1757" w:type="dxa"/>
            <w:tcBorders>
              <w:top w:val="nil"/>
              <w:left w:val="nil"/>
              <w:bottom w:val="single" w:sz="4" w:space="0" w:color="auto"/>
              <w:right w:val="single" w:sz="4" w:space="0" w:color="auto"/>
            </w:tcBorders>
            <w:shd w:val="clear" w:color="auto" w:fill="auto"/>
            <w:noWrap/>
            <w:vAlign w:val="center"/>
            <w:hideMark/>
          </w:tcPr>
          <w:p w14:paraId="488B8BE1" w14:textId="2C1C54CD" w:rsidR="00393DDB" w:rsidRPr="00A91A09" w:rsidRDefault="00393DDB" w:rsidP="00AD20F6">
            <w:pPr>
              <w:keepNext/>
              <w:spacing w:after="0" w:line="240" w:lineRule="auto"/>
              <w:ind w:right="510"/>
              <w:jc w:val="right"/>
              <w:rPr>
                <w:rFonts w:eastAsia="Times New Roman" w:cstheme="minorHAnsi"/>
                <w:color w:val="000000"/>
                <w:sz w:val="20"/>
                <w:szCs w:val="20"/>
                <w:vertAlign w:val="superscript"/>
                <w:lang w:val="en-GB" w:eastAsia="cs-CZ"/>
              </w:rPr>
            </w:pPr>
            <w:r w:rsidRPr="00A91A09">
              <w:rPr>
                <w:rFonts w:cstheme="minorHAnsi"/>
                <w:sz w:val="20"/>
                <w:lang w:val="en-GB" w:bidi="en-GB"/>
              </w:rPr>
              <w:t>197.996*</w:t>
            </w:r>
          </w:p>
        </w:tc>
        <w:tc>
          <w:tcPr>
            <w:tcW w:w="2131" w:type="dxa"/>
            <w:tcBorders>
              <w:top w:val="nil"/>
              <w:left w:val="nil"/>
              <w:bottom w:val="single" w:sz="4" w:space="0" w:color="auto"/>
              <w:right w:val="single" w:sz="4" w:space="0" w:color="auto"/>
            </w:tcBorders>
            <w:shd w:val="clear" w:color="auto" w:fill="auto"/>
            <w:noWrap/>
            <w:vAlign w:val="center"/>
            <w:hideMark/>
          </w:tcPr>
          <w:p w14:paraId="2C82105B"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1,098.655</w:t>
            </w:r>
          </w:p>
        </w:tc>
      </w:tr>
      <w:tr w:rsidR="00393DDB" w:rsidRPr="00A91A09" w14:paraId="408D0EA6"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45C99768" w14:textId="77777777" w:rsidR="00393DDB" w:rsidRPr="00A91A09" w:rsidRDefault="00393DDB" w:rsidP="00064D6C">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2016</w:t>
            </w:r>
          </w:p>
        </w:tc>
        <w:tc>
          <w:tcPr>
            <w:tcW w:w="2016" w:type="dxa"/>
            <w:tcBorders>
              <w:top w:val="nil"/>
              <w:left w:val="nil"/>
              <w:bottom w:val="single" w:sz="4" w:space="0" w:color="auto"/>
              <w:right w:val="single" w:sz="4" w:space="0" w:color="auto"/>
            </w:tcBorders>
            <w:shd w:val="clear" w:color="auto" w:fill="auto"/>
            <w:noWrap/>
            <w:vAlign w:val="center"/>
            <w:hideMark/>
          </w:tcPr>
          <w:p w14:paraId="61C23DE1"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275.809</w:t>
            </w:r>
          </w:p>
        </w:tc>
        <w:tc>
          <w:tcPr>
            <w:tcW w:w="1773" w:type="dxa"/>
            <w:tcBorders>
              <w:top w:val="nil"/>
              <w:left w:val="nil"/>
              <w:bottom w:val="single" w:sz="4" w:space="0" w:color="auto"/>
              <w:right w:val="single" w:sz="4" w:space="0" w:color="auto"/>
            </w:tcBorders>
            <w:shd w:val="clear" w:color="auto" w:fill="auto"/>
            <w:noWrap/>
            <w:vAlign w:val="center"/>
            <w:hideMark/>
          </w:tcPr>
          <w:p w14:paraId="73CCDD6B"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757" w:type="dxa"/>
            <w:tcBorders>
              <w:top w:val="nil"/>
              <w:left w:val="nil"/>
              <w:bottom w:val="single" w:sz="4" w:space="0" w:color="auto"/>
              <w:right w:val="single" w:sz="4" w:space="0" w:color="auto"/>
            </w:tcBorders>
            <w:shd w:val="clear" w:color="auto" w:fill="auto"/>
            <w:noWrap/>
            <w:vAlign w:val="center"/>
            <w:hideMark/>
          </w:tcPr>
          <w:p w14:paraId="1557354E" w14:textId="77777777" w:rsidR="00393DDB" w:rsidRPr="00A91A09" w:rsidRDefault="00393DDB" w:rsidP="005D6760">
            <w:pPr>
              <w:keepNext/>
              <w:spacing w:after="0" w:line="240" w:lineRule="auto"/>
              <w:ind w:right="636"/>
              <w:jc w:val="right"/>
              <w:rPr>
                <w:rFonts w:eastAsia="Times New Roman" w:cstheme="minorHAnsi"/>
                <w:color w:val="000000"/>
                <w:sz w:val="20"/>
                <w:szCs w:val="20"/>
                <w:lang w:val="en-GB" w:eastAsia="cs-CZ"/>
              </w:rPr>
            </w:pPr>
            <w:r w:rsidRPr="00A91A09">
              <w:rPr>
                <w:rFonts w:cstheme="minorHAnsi"/>
                <w:sz w:val="20"/>
                <w:lang w:val="en-GB" w:bidi="en-GB"/>
              </w:rPr>
              <w:t>128.764</w:t>
            </w:r>
          </w:p>
        </w:tc>
        <w:tc>
          <w:tcPr>
            <w:tcW w:w="2131" w:type="dxa"/>
            <w:tcBorders>
              <w:top w:val="nil"/>
              <w:left w:val="nil"/>
              <w:bottom w:val="single" w:sz="4" w:space="0" w:color="auto"/>
              <w:right w:val="single" w:sz="4" w:space="0" w:color="auto"/>
            </w:tcBorders>
            <w:shd w:val="clear" w:color="auto" w:fill="auto"/>
            <w:noWrap/>
            <w:vAlign w:val="center"/>
            <w:hideMark/>
          </w:tcPr>
          <w:p w14:paraId="4DA4A64F"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404.573</w:t>
            </w:r>
          </w:p>
        </w:tc>
      </w:tr>
      <w:tr w:rsidR="00393DDB" w:rsidRPr="00A91A09" w14:paraId="1C8764EF" w14:textId="77777777" w:rsidTr="005D6760">
        <w:trPr>
          <w:trHeight w:val="227"/>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7E77C9FF" w14:textId="77777777" w:rsidR="00393DDB" w:rsidRPr="00A91A09" w:rsidRDefault="00393DDB" w:rsidP="00064D6C">
            <w:pPr>
              <w:keepNext/>
              <w:spacing w:after="0" w:line="240" w:lineRule="auto"/>
              <w:rPr>
                <w:rFonts w:eastAsia="Times New Roman" w:cstheme="minorHAnsi"/>
                <w:b/>
                <w:color w:val="000000"/>
                <w:sz w:val="20"/>
                <w:szCs w:val="20"/>
                <w:lang w:val="en-GB" w:eastAsia="cs-CZ"/>
              </w:rPr>
            </w:pPr>
            <w:r w:rsidRPr="00A91A09">
              <w:rPr>
                <w:rFonts w:cstheme="minorHAnsi"/>
                <w:b/>
                <w:sz w:val="20"/>
                <w:lang w:val="en-GB" w:bidi="en-GB"/>
              </w:rPr>
              <w:t>Total</w:t>
            </w:r>
          </w:p>
        </w:tc>
        <w:tc>
          <w:tcPr>
            <w:tcW w:w="2016" w:type="dxa"/>
            <w:tcBorders>
              <w:top w:val="nil"/>
              <w:left w:val="nil"/>
              <w:bottom w:val="single" w:sz="4" w:space="0" w:color="auto"/>
              <w:right w:val="single" w:sz="4" w:space="0" w:color="auto"/>
            </w:tcBorders>
            <w:shd w:val="clear" w:color="auto" w:fill="auto"/>
            <w:noWrap/>
            <w:vAlign w:val="center"/>
            <w:hideMark/>
          </w:tcPr>
          <w:p w14:paraId="548D37B8"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1,359.479</w:t>
            </w:r>
          </w:p>
        </w:tc>
        <w:tc>
          <w:tcPr>
            <w:tcW w:w="1773" w:type="dxa"/>
            <w:tcBorders>
              <w:top w:val="nil"/>
              <w:left w:val="nil"/>
              <w:bottom w:val="single" w:sz="4" w:space="0" w:color="auto"/>
              <w:right w:val="single" w:sz="4" w:space="0" w:color="auto"/>
            </w:tcBorders>
            <w:shd w:val="clear" w:color="auto" w:fill="auto"/>
            <w:noWrap/>
            <w:vAlign w:val="center"/>
            <w:hideMark/>
          </w:tcPr>
          <w:p w14:paraId="489F5FE4"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1,448.448</w:t>
            </w:r>
          </w:p>
        </w:tc>
        <w:tc>
          <w:tcPr>
            <w:tcW w:w="1757" w:type="dxa"/>
            <w:tcBorders>
              <w:top w:val="nil"/>
              <w:left w:val="nil"/>
              <w:bottom w:val="single" w:sz="4" w:space="0" w:color="auto"/>
              <w:right w:val="single" w:sz="4" w:space="0" w:color="auto"/>
            </w:tcBorders>
            <w:shd w:val="clear" w:color="auto" w:fill="auto"/>
            <w:noWrap/>
            <w:vAlign w:val="center"/>
            <w:hideMark/>
          </w:tcPr>
          <w:p w14:paraId="252E83B3"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499.112</w:t>
            </w:r>
          </w:p>
        </w:tc>
        <w:tc>
          <w:tcPr>
            <w:tcW w:w="2131" w:type="dxa"/>
            <w:tcBorders>
              <w:top w:val="nil"/>
              <w:left w:val="nil"/>
              <w:bottom w:val="single" w:sz="4" w:space="0" w:color="auto"/>
              <w:right w:val="single" w:sz="4" w:space="0" w:color="auto"/>
            </w:tcBorders>
            <w:shd w:val="clear" w:color="auto" w:fill="auto"/>
            <w:noWrap/>
            <w:vAlign w:val="center"/>
            <w:hideMark/>
          </w:tcPr>
          <w:p w14:paraId="047F23A7" w14:textId="77777777" w:rsidR="00393DDB" w:rsidRPr="00A91A09" w:rsidRDefault="00393DDB" w:rsidP="005D6760">
            <w:pPr>
              <w:keepNext/>
              <w:spacing w:after="0" w:line="240" w:lineRule="auto"/>
              <w:ind w:right="636"/>
              <w:jc w:val="right"/>
              <w:rPr>
                <w:rFonts w:eastAsia="Times New Roman" w:cstheme="minorHAnsi"/>
                <w:b/>
                <w:color w:val="000000"/>
                <w:sz w:val="20"/>
                <w:szCs w:val="20"/>
                <w:lang w:val="en-GB" w:eastAsia="cs-CZ"/>
              </w:rPr>
            </w:pPr>
            <w:r w:rsidRPr="00A91A09">
              <w:rPr>
                <w:rFonts w:cstheme="minorHAnsi"/>
                <w:b/>
                <w:sz w:val="20"/>
                <w:lang w:val="en-GB" w:bidi="en-GB"/>
              </w:rPr>
              <w:t>3,307.039</w:t>
            </w:r>
          </w:p>
        </w:tc>
      </w:tr>
    </w:tbl>
    <w:p w14:paraId="1137DF32" w14:textId="47A97F8F" w:rsidR="00393DDB" w:rsidRPr="00A91A09" w:rsidRDefault="00393DDB" w:rsidP="00607164">
      <w:pPr>
        <w:keepNext/>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277A47C0" w14:textId="24FB44DD" w:rsidR="00393DDB" w:rsidRPr="00A91A09" w:rsidRDefault="00393DDB" w:rsidP="00607164">
      <w:pPr>
        <w:keepNext/>
        <w:spacing w:after="0" w:line="240" w:lineRule="auto"/>
        <w:jc w:val="both"/>
        <w:rPr>
          <w:rFonts w:eastAsia="Times New Roman" w:cstheme="minorHAnsi"/>
          <w:sz w:val="20"/>
          <w:szCs w:val="20"/>
          <w:lang w:val="en-GB" w:eastAsia="cs-CZ"/>
        </w:rPr>
      </w:pPr>
      <w:r w:rsidRPr="00A91A09">
        <w:rPr>
          <w:rFonts w:cstheme="minorHAnsi"/>
          <w:sz w:val="20"/>
          <w:lang w:val="en-GB" w:bidi="en-GB"/>
        </w:rPr>
        <w:t xml:space="preserve">* These were purposefully provided funds for the removal of flood damage. </w:t>
      </w:r>
    </w:p>
    <w:p w14:paraId="191F4846" w14:textId="15EA062E" w:rsidR="00C6393E" w:rsidRPr="00A91A09" w:rsidRDefault="00C6393E" w:rsidP="00393DDB">
      <w:pPr>
        <w:spacing w:after="0" w:line="240" w:lineRule="auto"/>
        <w:jc w:val="both"/>
        <w:rPr>
          <w:rFonts w:eastAsia="Times New Roman" w:cstheme="minorHAnsi"/>
          <w:sz w:val="24"/>
          <w:szCs w:val="24"/>
          <w:lang w:val="en-GB" w:eastAsia="cs-CZ"/>
        </w:rPr>
      </w:pPr>
    </w:p>
    <w:p w14:paraId="60246FC2" w14:textId="072827E9" w:rsidR="00393DDB" w:rsidRDefault="00393DDB" w:rsidP="001C4C5F">
      <w:pPr>
        <w:tabs>
          <w:tab w:val="right" w:pos="9072"/>
        </w:tabs>
        <w:spacing w:after="40" w:line="240" w:lineRule="auto"/>
        <w:jc w:val="both"/>
        <w:rPr>
          <w:rFonts w:cstheme="minorHAnsi"/>
          <w:b/>
          <w:sz w:val="24"/>
          <w:lang w:val="en-GB" w:bidi="en-GB"/>
        </w:rPr>
      </w:pPr>
      <w:r w:rsidRPr="00A91A09">
        <w:rPr>
          <w:rFonts w:cstheme="minorHAnsi"/>
          <w:b/>
          <w:sz w:val="24"/>
          <w:lang w:val="en-GB" w:bidi="en-GB"/>
        </w:rPr>
        <w:t>Chart 5 – Overview of funds by source – Liberec Region</w:t>
      </w:r>
      <w:r w:rsidR="00AD3FDC">
        <w:rPr>
          <w:rFonts w:cstheme="minorHAnsi"/>
          <w:b/>
          <w:sz w:val="24"/>
          <w:lang w:val="en-GB" w:bidi="en-GB"/>
        </w:rPr>
        <w:t xml:space="preserve"> </w:t>
      </w:r>
      <w:r w:rsidR="002224D7">
        <w:rPr>
          <w:rFonts w:cstheme="minorHAnsi"/>
          <w:b/>
          <w:sz w:val="24"/>
          <w:lang w:val="en-GB" w:bidi="en-GB"/>
        </w:rPr>
        <w:t xml:space="preserve">                                     </w:t>
      </w:r>
      <w:r w:rsidRPr="00A91A09">
        <w:rPr>
          <w:rFonts w:cstheme="minorHAnsi"/>
          <w:b/>
          <w:sz w:val="24"/>
          <w:lang w:val="en-GB" w:bidi="en-GB"/>
        </w:rPr>
        <w:t>(in CZK million)</w:t>
      </w:r>
    </w:p>
    <w:p w14:paraId="5F0FA09C" w14:textId="664B47B4" w:rsidR="00AD3FDC" w:rsidRPr="00A91A09" w:rsidRDefault="00136A70" w:rsidP="00682492">
      <w:pPr>
        <w:tabs>
          <w:tab w:val="right" w:pos="9072"/>
        </w:tabs>
        <w:spacing w:after="40" w:line="240" w:lineRule="auto"/>
        <w:jc w:val="center"/>
        <w:rPr>
          <w:rFonts w:eastAsia="Times New Roman" w:cstheme="minorHAnsi"/>
          <w:b/>
          <w:sz w:val="24"/>
          <w:szCs w:val="24"/>
          <w:lang w:val="en-GB" w:eastAsia="cs-CZ"/>
        </w:rPr>
      </w:pPr>
      <w:r>
        <w:rPr>
          <w:rFonts w:eastAsia="Times New Roman" w:cstheme="minorHAnsi"/>
          <w:b/>
          <w:noProof/>
          <w:sz w:val="24"/>
          <w:szCs w:val="24"/>
          <w:lang w:val="cs-CZ" w:eastAsia="cs-CZ"/>
        </w:rPr>
        <w:drawing>
          <wp:inline distT="0" distB="0" distL="0" distR="0" wp14:anchorId="7DC1116A" wp14:editId="6EDDBD9B">
            <wp:extent cx="5684957" cy="26955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_5.png"/>
                    <pic:cNvPicPr/>
                  </pic:nvPicPr>
                  <pic:blipFill rotWithShape="1">
                    <a:blip r:embed="rId16">
                      <a:extLst>
                        <a:ext uri="{28A0092B-C50C-407E-A947-70E740481C1C}">
                          <a14:useLocalDpi xmlns:a14="http://schemas.microsoft.com/office/drawing/2010/main" val="0"/>
                        </a:ext>
                      </a:extLst>
                    </a:blip>
                    <a:srcRect t="4863" b="2150"/>
                    <a:stretch/>
                  </pic:blipFill>
                  <pic:spPr bwMode="auto">
                    <a:xfrm>
                      <a:off x="0" y="0"/>
                      <a:ext cx="5687725" cy="2696888"/>
                    </a:xfrm>
                    <a:prstGeom prst="rect">
                      <a:avLst/>
                    </a:prstGeom>
                    <a:ln>
                      <a:noFill/>
                    </a:ln>
                    <a:extLst>
                      <a:ext uri="{53640926-AAD7-44D8-BBD7-CCE9431645EC}">
                        <a14:shadowObscured xmlns:a14="http://schemas.microsoft.com/office/drawing/2010/main"/>
                      </a:ext>
                    </a:extLst>
                  </pic:spPr>
                </pic:pic>
              </a:graphicData>
            </a:graphic>
          </wp:inline>
        </w:drawing>
      </w:r>
    </w:p>
    <w:p w14:paraId="317BC620" w14:textId="66B4457C" w:rsidR="00393DDB" w:rsidRPr="00A91A09" w:rsidRDefault="00393DDB" w:rsidP="00607164">
      <w:pPr>
        <w:keepNext/>
        <w:spacing w:after="0" w:line="240" w:lineRule="auto"/>
        <w:jc w:val="both"/>
        <w:rPr>
          <w:rFonts w:eastAsia="Times New Roman" w:cstheme="minorHAnsi"/>
          <w:b/>
          <w:sz w:val="24"/>
          <w:szCs w:val="24"/>
          <w:lang w:val="en-GB" w:eastAsia="cs-CZ"/>
        </w:rPr>
      </w:pPr>
      <w:r w:rsidRPr="00A91A09">
        <w:rPr>
          <w:rFonts w:cstheme="minorHAnsi"/>
          <w:b/>
          <w:sz w:val="24"/>
          <w:lang w:val="en-GB" w:bidi="en-GB"/>
        </w:rPr>
        <w:lastRenderedPageBreak/>
        <w:t>Moravian-Silesian Region</w:t>
      </w:r>
    </w:p>
    <w:p w14:paraId="746C9363" w14:textId="77777777" w:rsidR="00677716" w:rsidRPr="00A91A09" w:rsidRDefault="00677716" w:rsidP="00607164">
      <w:pPr>
        <w:keepNext/>
        <w:spacing w:after="0" w:line="240" w:lineRule="auto"/>
        <w:jc w:val="both"/>
        <w:rPr>
          <w:rFonts w:eastAsia="Times New Roman" w:cstheme="minorHAnsi"/>
          <w:b/>
          <w:sz w:val="24"/>
          <w:szCs w:val="24"/>
          <w:u w:val="single"/>
          <w:lang w:val="en-GB" w:eastAsia="cs-CZ"/>
        </w:rPr>
      </w:pPr>
    </w:p>
    <w:p w14:paraId="045F2E09" w14:textId="6B51B6D2" w:rsidR="00393DDB" w:rsidRPr="00A91A09" w:rsidRDefault="00286878" w:rsidP="0011424E">
      <w:pPr>
        <w:keepNext/>
        <w:tabs>
          <w:tab w:val="right" w:pos="9072"/>
        </w:tabs>
        <w:spacing w:after="0" w:line="240" w:lineRule="auto"/>
        <w:ind w:left="1560" w:hanging="1560"/>
        <w:jc w:val="both"/>
        <w:rPr>
          <w:rFonts w:eastAsia="Times New Roman" w:cstheme="minorHAnsi"/>
          <w:b/>
          <w:sz w:val="24"/>
          <w:szCs w:val="24"/>
          <w:lang w:val="en-GB" w:eastAsia="cs-CZ"/>
        </w:rPr>
      </w:pPr>
      <w:r w:rsidRPr="00A91A09">
        <w:rPr>
          <w:rFonts w:cstheme="minorHAnsi"/>
          <w:b/>
          <w:sz w:val="24"/>
          <w:lang w:val="en-GB" w:bidi="en-GB"/>
        </w:rPr>
        <w:t>Table 12</w:t>
      </w:r>
      <w:r w:rsidR="00BE62A0">
        <w:rPr>
          <w:rFonts w:cstheme="minorHAnsi"/>
          <w:b/>
          <w:sz w:val="24"/>
          <w:lang w:val="en-GB" w:bidi="en-GB"/>
        </w:rPr>
        <w:t xml:space="preserve"> </w:t>
      </w:r>
      <w:r w:rsidRPr="00A91A09">
        <w:rPr>
          <w:rFonts w:cstheme="minorHAnsi"/>
          <w:b/>
          <w:sz w:val="24"/>
          <w:lang w:val="en-GB" w:bidi="en-GB"/>
        </w:rPr>
        <w:t>–</w:t>
      </w:r>
      <w:r w:rsidR="00BE62A0">
        <w:rPr>
          <w:rFonts w:cstheme="minorHAnsi"/>
          <w:b/>
          <w:sz w:val="24"/>
          <w:lang w:val="en-GB" w:bidi="en-GB"/>
        </w:rPr>
        <w:t xml:space="preserve"> </w:t>
      </w:r>
      <w:r w:rsidRPr="00A91A09">
        <w:rPr>
          <w:rFonts w:cstheme="minorHAnsi"/>
          <w:b/>
          <w:sz w:val="24"/>
          <w:lang w:val="en-GB" w:bidi="en-GB"/>
        </w:rPr>
        <w:t>Funds contributed to class II and class III roads in the years 2012-2016</w:t>
      </w:r>
      <w:r w:rsidRPr="00A91A09">
        <w:rPr>
          <w:rFonts w:cstheme="minorHAnsi"/>
          <w:b/>
          <w:sz w:val="24"/>
          <w:lang w:val="en-GB" w:bidi="en-GB"/>
        </w:rPr>
        <w:tab/>
      </w:r>
      <w:r w:rsidR="00AD3FDC">
        <w:rPr>
          <w:rFonts w:cstheme="minorHAnsi"/>
          <w:b/>
          <w:sz w:val="24"/>
          <w:lang w:val="en-GB" w:bidi="en-GB"/>
        </w:rPr>
        <w:t xml:space="preserve"> </w:t>
      </w:r>
      <w:r w:rsidRPr="00A91A09">
        <w:rPr>
          <w:rFonts w:cstheme="minorHAnsi"/>
          <w:b/>
          <w:sz w:val="24"/>
          <w:lang w:val="en-GB" w:bidi="en-GB"/>
        </w:rPr>
        <w:t>(in CZK million)</w:t>
      </w:r>
    </w:p>
    <w:tbl>
      <w:tblPr>
        <w:tblW w:w="9100" w:type="dxa"/>
        <w:tblCellMar>
          <w:left w:w="70" w:type="dxa"/>
          <w:right w:w="70" w:type="dxa"/>
        </w:tblCellMar>
        <w:tblLook w:val="04A0" w:firstRow="1" w:lastRow="0" w:firstColumn="1" w:lastColumn="0" w:noHBand="0" w:noVBand="1"/>
      </w:tblPr>
      <w:tblGrid>
        <w:gridCol w:w="1166"/>
        <w:gridCol w:w="1701"/>
        <w:gridCol w:w="1496"/>
        <w:gridCol w:w="1457"/>
        <w:gridCol w:w="1482"/>
        <w:gridCol w:w="1798"/>
      </w:tblGrid>
      <w:tr w:rsidR="00393DDB" w:rsidRPr="00A91A09" w14:paraId="52D6C49F" w14:textId="77777777" w:rsidTr="0011424E">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5275C67E" w14:textId="77777777" w:rsidR="00393DDB" w:rsidRPr="00A91A09" w:rsidRDefault="00393DDB" w:rsidP="00607164">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Year</w:t>
            </w:r>
          </w:p>
        </w:tc>
        <w:tc>
          <w:tcPr>
            <w:tcW w:w="1701" w:type="dxa"/>
            <w:tcBorders>
              <w:top w:val="single" w:sz="4" w:space="0" w:color="auto"/>
              <w:left w:val="nil"/>
              <w:bottom w:val="single" w:sz="4" w:space="0" w:color="auto"/>
              <w:right w:val="single" w:sz="4" w:space="0" w:color="auto"/>
            </w:tcBorders>
            <w:shd w:val="clear" w:color="auto" w:fill="E5F1FF"/>
            <w:vAlign w:val="center"/>
            <w:hideMark/>
          </w:tcPr>
          <w:p w14:paraId="0B4CA499" w14:textId="77777777" w:rsidR="00393DDB" w:rsidRPr="00A91A09" w:rsidRDefault="00393DDB" w:rsidP="00607164">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Regional funds total</w:t>
            </w:r>
          </w:p>
        </w:tc>
        <w:tc>
          <w:tcPr>
            <w:tcW w:w="1496" w:type="dxa"/>
            <w:tcBorders>
              <w:top w:val="single" w:sz="4" w:space="0" w:color="auto"/>
              <w:left w:val="nil"/>
              <w:bottom w:val="single" w:sz="4" w:space="0" w:color="auto"/>
              <w:right w:val="single" w:sz="4" w:space="0" w:color="auto"/>
            </w:tcBorders>
            <w:shd w:val="clear" w:color="auto" w:fill="E5F1FF"/>
            <w:vAlign w:val="center"/>
            <w:hideMark/>
          </w:tcPr>
          <w:p w14:paraId="16532660" w14:textId="77777777" w:rsidR="00393DDB" w:rsidRPr="00A91A09" w:rsidRDefault="00393DDB" w:rsidP="00607164">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EU subsidy granted</w:t>
            </w:r>
          </w:p>
        </w:tc>
        <w:tc>
          <w:tcPr>
            <w:tcW w:w="1457" w:type="dxa"/>
            <w:tcBorders>
              <w:top w:val="single" w:sz="4" w:space="0" w:color="auto"/>
              <w:left w:val="nil"/>
              <w:bottom w:val="single" w:sz="4" w:space="0" w:color="auto"/>
              <w:right w:val="single" w:sz="4" w:space="0" w:color="auto"/>
            </w:tcBorders>
            <w:shd w:val="clear" w:color="auto" w:fill="E5F1FF"/>
            <w:vAlign w:val="center"/>
            <w:hideMark/>
          </w:tcPr>
          <w:p w14:paraId="0EF3EB79" w14:textId="22D184CC" w:rsidR="00393DDB" w:rsidRPr="00A91A09" w:rsidRDefault="004D23C2" w:rsidP="00607164">
            <w:pPr>
              <w:keepNext/>
              <w:spacing w:after="0" w:line="240" w:lineRule="auto"/>
              <w:jc w:val="center"/>
              <w:rPr>
                <w:rFonts w:eastAsia="Times New Roman" w:cstheme="minorHAnsi"/>
                <w:b/>
                <w:bCs/>
                <w:color w:val="000000"/>
                <w:sz w:val="20"/>
                <w:szCs w:val="20"/>
                <w:lang w:val="en-GB" w:eastAsia="cs-CZ"/>
              </w:rPr>
            </w:pPr>
            <w:r>
              <w:rPr>
                <w:rFonts w:cstheme="minorHAnsi"/>
                <w:b/>
                <w:sz w:val="20"/>
                <w:lang w:val="en-GB" w:bidi="en-GB"/>
              </w:rPr>
              <w:t>SFDI</w:t>
            </w:r>
            <w:r w:rsidR="00393DDB" w:rsidRPr="00A91A09">
              <w:rPr>
                <w:rFonts w:cstheme="minorHAnsi"/>
                <w:b/>
                <w:sz w:val="20"/>
                <w:lang w:val="en-GB" w:bidi="en-GB"/>
              </w:rPr>
              <w:t xml:space="preserve"> subsidy</w:t>
            </w:r>
          </w:p>
        </w:tc>
        <w:tc>
          <w:tcPr>
            <w:tcW w:w="1482" w:type="dxa"/>
            <w:tcBorders>
              <w:top w:val="single" w:sz="4" w:space="0" w:color="auto"/>
              <w:left w:val="nil"/>
              <w:bottom w:val="single" w:sz="4" w:space="0" w:color="auto"/>
              <w:right w:val="single" w:sz="4" w:space="0" w:color="auto"/>
            </w:tcBorders>
            <w:shd w:val="clear" w:color="auto" w:fill="E5F1FF"/>
            <w:vAlign w:val="center"/>
            <w:hideMark/>
          </w:tcPr>
          <w:p w14:paraId="3E9D3615" w14:textId="77777777" w:rsidR="00393DDB" w:rsidRPr="00A91A09" w:rsidRDefault="00393DDB" w:rsidP="00607164">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Subsidies from the Ministry for Regional Development</w:t>
            </w:r>
          </w:p>
        </w:tc>
        <w:tc>
          <w:tcPr>
            <w:tcW w:w="1798" w:type="dxa"/>
            <w:tcBorders>
              <w:top w:val="single" w:sz="4" w:space="0" w:color="auto"/>
              <w:left w:val="nil"/>
              <w:bottom w:val="single" w:sz="4" w:space="0" w:color="auto"/>
              <w:right w:val="single" w:sz="4" w:space="0" w:color="auto"/>
            </w:tcBorders>
            <w:shd w:val="clear" w:color="auto" w:fill="E5F1FF"/>
            <w:vAlign w:val="center"/>
            <w:hideMark/>
          </w:tcPr>
          <w:p w14:paraId="30309527" w14:textId="77777777" w:rsidR="00393DDB" w:rsidRPr="00A91A09" w:rsidRDefault="00393DDB" w:rsidP="00607164">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Total per year</w:t>
            </w:r>
          </w:p>
        </w:tc>
      </w:tr>
      <w:tr w:rsidR="00393DDB" w:rsidRPr="00A91A09" w14:paraId="77EB6968"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1441DE3B" w14:textId="77777777" w:rsidR="00393DDB" w:rsidRPr="00A91A09" w:rsidRDefault="00393DDB" w:rsidP="00607164">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3DF74870"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314.791</w:t>
            </w:r>
          </w:p>
        </w:tc>
        <w:tc>
          <w:tcPr>
            <w:tcW w:w="1496" w:type="dxa"/>
            <w:tcBorders>
              <w:top w:val="nil"/>
              <w:left w:val="nil"/>
              <w:bottom w:val="single" w:sz="4" w:space="0" w:color="auto"/>
              <w:right w:val="single" w:sz="4" w:space="0" w:color="auto"/>
            </w:tcBorders>
            <w:shd w:val="clear" w:color="auto" w:fill="auto"/>
            <w:noWrap/>
            <w:vAlign w:val="bottom"/>
            <w:hideMark/>
          </w:tcPr>
          <w:p w14:paraId="52A2C3B5"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767.297</w:t>
            </w:r>
          </w:p>
        </w:tc>
        <w:tc>
          <w:tcPr>
            <w:tcW w:w="1457" w:type="dxa"/>
            <w:tcBorders>
              <w:top w:val="nil"/>
              <w:left w:val="nil"/>
              <w:bottom w:val="single" w:sz="4" w:space="0" w:color="auto"/>
              <w:right w:val="single" w:sz="4" w:space="0" w:color="auto"/>
            </w:tcBorders>
            <w:shd w:val="clear" w:color="auto" w:fill="auto"/>
            <w:noWrap/>
            <w:vAlign w:val="bottom"/>
            <w:hideMark/>
          </w:tcPr>
          <w:p w14:paraId="493ADA7C"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4.260</w:t>
            </w:r>
          </w:p>
        </w:tc>
        <w:tc>
          <w:tcPr>
            <w:tcW w:w="1482" w:type="dxa"/>
            <w:tcBorders>
              <w:top w:val="nil"/>
              <w:left w:val="nil"/>
              <w:bottom w:val="single" w:sz="4" w:space="0" w:color="auto"/>
              <w:right w:val="single" w:sz="4" w:space="0" w:color="auto"/>
            </w:tcBorders>
            <w:shd w:val="clear" w:color="auto" w:fill="auto"/>
            <w:noWrap/>
            <w:vAlign w:val="bottom"/>
            <w:hideMark/>
          </w:tcPr>
          <w:p w14:paraId="71DC97D1"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8.587</w:t>
            </w:r>
          </w:p>
        </w:tc>
        <w:tc>
          <w:tcPr>
            <w:tcW w:w="1798" w:type="dxa"/>
            <w:tcBorders>
              <w:top w:val="nil"/>
              <w:left w:val="nil"/>
              <w:bottom w:val="single" w:sz="4" w:space="0" w:color="auto"/>
              <w:right w:val="single" w:sz="4" w:space="0" w:color="auto"/>
            </w:tcBorders>
            <w:shd w:val="clear" w:color="auto" w:fill="auto"/>
            <w:noWrap/>
            <w:vAlign w:val="bottom"/>
            <w:hideMark/>
          </w:tcPr>
          <w:p w14:paraId="36B925C9" w14:textId="77777777" w:rsidR="00393DDB" w:rsidRPr="00A91A09" w:rsidRDefault="00393DDB" w:rsidP="0011424E">
            <w:pPr>
              <w:keepNext/>
              <w:spacing w:after="0" w:line="240" w:lineRule="auto"/>
              <w:ind w:right="394"/>
              <w:jc w:val="right"/>
              <w:rPr>
                <w:rFonts w:eastAsia="Times New Roman" w:cstheme="minorHAnsi"/>
                <w:b/>
                <w:color w:val="000000"/>
                <w:sz w:val="20"/>
                <w:szCs w:val="20"/>
                <w:lang w:val="en-GB" w:eastAsia="cs-CZ"/>
              </w:rPr>
            </w:pPr>
            <w:r w:rsidRPr="00A91A09">
              <w:rPr>
                <w:rFonts w:cstheme="minorHAnsi"/>
                <w:b/>
                <w:sz w:val="20"/>
                <w:lang w:val="en-GB" w:bidi="en-GB"/>
              </w:rPr>
              <w:t>1,094.935</w:t>
            </w:r>
          </w:p>
        </w:tc>
      </w:tr>
      <w:tr w:rsidR="00393DDB" w:rsidRPr="00A91A09" w14:paraId="44255352"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1D37AF5F" w14:textId="77777777" w:rsidR="00393DDB" w:rsidRPr="00A91A09" w:rsidRDefault="00393DDB" w:rsidP="00607164">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7C4F9B43"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284.877</w:t>
            </w:r>
          </w:p>
        </w:tc>
        <w:tc>
          <w:tcPr>
            <w:tcW w:w="1496" w:type="dxa"/>
            <w:tcBorders>
              <w:top w:val="nil"/>
              <w:left w:val="nil"/>
              <w:bottom w:val="single" w:sz="4" w:space="0" w:color="auto"/>
              <w:right w:val="single" w:sz="4" w:space="0" w:color="auto"/>
            </w:tcBorders>
            <w:shd w:val="clear" w:color="auto" w:fill="auto"/>
            <w:noWrap/>
            <w:vAlign w:val="bottom"/>
            <w:hideMark/>
          </w:tcPr>
          <w:p w14:paraId="15044BAF"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602.527</w:t>
            </w:r>
          </w:p>
        </w:tc>
        <w:tc>
          <w:tcPr>
            <w:tcW w:w="1457" w:type="dxa"/>
            <w:tcBorders>
              <w:top w:val="nil"/>
              <w:left w:val="nil"/>
              <w:bottom w:val="single" w:sz="4" w:space="0" w:color="auto"/>
              <w:right w:val="single" w:sz="4" w:space="0" w:color="auto"/>
            </w:tcBorders>
            <w:shd w:val="clear" w:color="auto" w:fill="auto"/>
            <w:noWrap/>
            <w:vAlign w:val="bottom"/>
            <w:hideMark/>
          </w:tcPr>
          <w:p w14:paraId="60D8333E"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37.651</w:t>
            </w:r>
          </w:p>
        </w:tc>
        <w:tc>
          <w:tcPr>
            <w:tcW w:w="1482" w:type="dxa"/>
            <w:tcBorders>
              <w:top w:val="nil"/>
              <w:left w:val="nil"/>
              <w:bottom w:val="single" w:sz="4" w:space="0" w:color="auto"/>
              <w:right w:val="single" w:sz="4" w:space="0" w:color="auto"/>
            </w:tcBorders>
            <w:shd w:val="clear" w:color="auto" w:fill="auto"/>
            <w:noWrap/>
            <w:vAlign w:val="bottom"/>
            <w:hideMark/>
          </w:tcPr>
          <w:p w14:paraId="6132B3FA"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798" w:type="dxa"/>
            <w:tcBorders>
              <w:top w:val="nil"/>
              <w:left w:val="nil"/>
              <w:bottom w:val="single" w:sz="4" w:space="0" w:color="auto"/>
              <w:right w:val="single" w:sz="4" w:space="0" w:color="auto"/>
            </w:tcBorders>
            <w:shd w:val="clear" w:color="auto" w:fill="auto"/>
            <w:noWrap/>
            <w:vAlign w:val="bottom"/>
            <w:hideMark/>
          </w:tcPr>
          <w:p w14:paraId="712F7195" w14:textId="77777777" w:rsidR="00393DDB" w:rsidRPr="00A91A09" w:rsidRDefault="00393DDB" w:rsidP="0011424E">
            <w:pPr>
              <w:keepNext/>
              <w:spacing w:after="0" w:line="240" w:lineRule="auto"/>
              <w:ind w:right="394"/>
              <w:jc w:val="right"/>
              <w:rPr>
                <w:rFonts w:eastAsia="Times New Roman" w:cstheme="minorHAnsi"/>
                <w:b/>
                <w:color w:val="000000"/>
                <w:sz w:val="20"/>
                <w:szCs w:val="20"/>
                <w:lang w:val="en-GB" w:eastAsia="cs-CZ"/>
              </w:rPr>
            </w:pPr>
            <w:r w:rsidRPr="00A91A09">
              <w:rPr>
                <w:rFonts w:cstheme="minorHAnsi"/>
                <w:b/>
                <w:sz w:val="20"/>
                <w:lang w:val="en-GB" w:bidi="en-GB"/>
              </w:rPr>
              <w:t>925.055</w:t>
            </w:r>
          </w:p>
        </w:tc>
      </w:tr>
      <w:tr w:rsidR="00393DDB" w:rsidRPr="00A91A09" w14:paraId="6D1713C1"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66FA43BC" w14:textId="77777777" w:rsidR="00393DDB" w:rsidRPr="00A91A09" w:rsidRDefault="00393DDB" w:rsidP="00607164">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2A05600F"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149.376</w:t>
            </w:r>
          </w:p>
        </w:tc>
        <w:tc>
          <w:tcPr>
            <w:tcW w:w="1496" w:type="dxa"/>
            <w:tcBorders>
              <w:top w:val="nil"/>
              <w:left w:val="nil"/>
              <w:bottom w:val="single" w:sz="4" w:space="0" w:color="auto"/>
              <w:right w:val="single" w:sz="4" w:space="0" w:color="auto"/>
            </w:tcBorders>
            <w:shd w:val="clear" w:color="auto" w:fill="auto"/>
            <w:noWrap/>
            <w:vAlign w:val="bottom"/>
            <w:hideMark/>
          </w:tcPr>
          <w:p w14:paraId="2B42F458"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831.498</w:t>
            </w:r>
          </w:p>
        </w:tc>
        <w:tc>
          <w:tcPr>
            <w:tcW w:w="1457" w:type="dxa"/>
            <w:tcBorders>
              <w:top w:val="nil"/>
              <w:left w:val="nil"/>
              <w:bottom w:val="single" w:sz="4" w:space="0" w:color="auto"/>
              <w:right w:val="single" w:sz="4" w:space="0" w:color="auto"/>
            </w:tcBorders>
            <w:shd w:val="clear" w:color="auto" w:fill="auto"/>
            <w:noWrap/>
            <w:vAlign w:val="bottom"/>
            <w:hideMark/>
          </w:tcPr>
          <w:p w14:paraId="42A4A617"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482" w:type="dxa"/>
            <w:tcBorders>
              <w:top w:val="nil"/>
              <w:left w:val="nil"/>
              <w:bottom w:val="single" w:sz="4" w:space="0" w:color="auto"/>
              <w:right w:val="single" w:sz="4" w:space="0" w:color="auto"/>
            </w:tcBorders>
            <w:shd w:val="clear" w:color="auto" w:fill="auto"/>
            <w:noWrap/>
            <w:vAlign w:val="bottom"/>
            <w:hideMark/>
          </w:tcPr>
          <w:p w14:paraId="41849D31"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798" w:type="dxa"/>
            <w:tcBorders>
              <w:top w:val="nil"/>
              <w:left w:val="nil"/>
              <w:bottom w:val="single" w:sz="4" w:space="0" w:color="auto"/>
              <w:right w:val="single" w:sz="4" w:space="0" w:color="auto"/>
            </w:tcBorders>
            <w:shd w:val="clear" w:color="auto" w:fill="auto"/>
            <w:noWrap/>
            <w:vAlign w:val="bottom"/>
            <w:hideMark/>
          </w:tcPr>
          <w:p w14:paraId="178F3CAA" w14:textId="77777777" w:rsidR="00393DDB" w:rsidRPr="00A91A09" w:rsidRDefault="00393DDB" w:rsidP="0011424E">
            <w:pPr>
              <w:keepNext/>
              <w:spacing w:after="0" w:line="240" w:lineRule="auto"/>
              <w:ind w:right="394"/>
              <w:jc w:val="right"/>
              <w:rPr>
                <w:rFonts w:eastAsia="Times New Roman" w:cstheme="minorHAnsi"/>
                <w:b/>
                <w:color w:val="000000"/>
                <w:sz w:val="20"/>
                <w:szCs w:val="20"/>
                <w:lang w:val="en-GB" w:eastAsia="cs-CZ"/>
              </w:rPr>
            </w:pPr>
            <w:r w:rsidRPr="00A91A09">
              <w:rPr>
                <w:rFonts w:cstheme="minorHAnsi"/>
                <w:b/>
                <w:sz w:val="20"/>
                <w:lang w:val="en-GB" w:bidi="en-GB"/>
              </w:rPr>
              <w:t>980.874</w:t>
            </w:r>
          </w:p>
        </w:tc>
      </w:tr>
      <w:tr w:rsidR="00393DDB" w:rsidRPr="00A91A09" w14:paraId="6969422E"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295DD6B0" w14:textId="77777777" w:rsidR="00393DDB" w:rsidRPr="00A91A09" w:rsidRDefault="00393DDB" w:rsidP="00607164">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1001F648"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199.795</w:t>
            </w:r>
          </w:p>
        </w:tc>
        <w:tc>
          <w:tcPr>
            <w:tcW w:w="1496" w:type="dxa"/>
            <w:tcBorders>
              <w:top w:val="nil"/>
              <w:left w:val="nil"/>
              <w:bottom w:val="single" w:sz="4" w:space="0" w:color="auto"/>
              <w:right w:val="single" w:sz="4" w:space="0" w:color="auto"/>
            </w:tcBorders>
            <w:shd w:val="clear" w:color="auto" w:fill="auto"/>
            <w:noWrap/>
            <w:vAlign w:val="bottom"/>
            <w:hideMark/>
          </w:tcPr>
          <w:p w14:paraId="3651E18D"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970.454</w:t>
            </w:r>
          </w:p>
        </w:tc>
        <w:tc>
          <w:tcPr>
            <w:tcW w:w="1457" w:type="dxa"/>
            <w:tcBorders>
              <w:top w:val="nil"/>
              <w:left w:val="nil"/>
              <w:bottom w:val="single" w:sz="4" w:space="0" w:color="auto"/>
              <w:right w:val="single" w:sz="4" w:space="0" w:color="auto"/>
            </w:tcBorders>
            <w:shd w:val="clear" w:color="auto" w:fill="auto"/>
            <w:noWrap/>
            <w:vAlign w:val="bottom"/>
            <w:hideMark/>
          </w:tcPr>
          <w:p w14:paraId="7E46BD4E"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247.280</w:t>
            </w:r>
          </w:p>
        </w:tc>
        <w:tc>
          <w:tcPr>
            <w:tcW w:w="1482" w:type="dxa"/>
            <w:tcBorders>
              <w:top w:val="nil"/>
              <w:left w:val="nil"/>
              <w:bottom w:val="single" w:sz="4" w:space="0" w:color="auto"/>
              <w:right w:val="single" w:sz="4" w:space="0" w:color="auto"/>
            </w:tcBorders>
            <w:shd w:val="clear" w:color="auto" w:fill="auto"/>
            <w:noWrap/>
            <w:vAlign w:val="bottom"/>
            <w:hideMark/>
          </w:tcPr>
          <w:p w14:paraId="7AD9466E"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798" w:type="dxa"/>
            <w:tcBorders>
              <w:top w:val="nil"/>
              <w:left w:val="nil"/>
              <w:bottom w:val="single" w:sz="4" w:space="0" w:color="auto"/>
              <w:right w:val="single" w:sz="4" w:space="0" w:color="auto"/>
            </w:tcBorders>
            <w:shd w:val="clear" w:color="auto" w:fill="auto"/>
            <w:noWrap/>
            <w:vAlign w:val="bottom"/>
            <w:hideMark/>
          </w:tcPr>
          <w:p w14:paraId="7C6FD5C8" w14:textId="77777777" w:rsidR="00393DDB" w:rsidRPr="00A91A09" w:rsidRDefault="00393DDB" w:rsidP="0011424E">
            <w:pPr>
              <w:keepNext/>
              <w:spacing w:after="0" w:line="240" w:lineRule="auto"/>
              <w:ind w:right="394"/>
              <w:jc w:val="right"/>
              <w:rPr>
                <w:rFonts w:eastAsia="Times New Roman" w:cstheme="minorHAnsi"/>
                <w:b/>
                <w:color w:val="000000"/>
                <w:sz w:val="20"/>
                <w:szCs w:val="20"/>
                <w:lang w:val="en-GB" w:eastAsia="cs-CZ"/>
              </w:rPr>
            </w:pPr>
            <w:r w:rsidRPr="00A91A09">
              <w:rPr>
                <w:rFonts w:cstheme="minorHAnsi"/>
                <w:b/>
                <w:sz w:val="20"/>
                <w:lang w:val="en-GB" w:bidi="en-GB"/>
              </w:rPr>
              <w:t>1,417.529</w:t>
            </w:r>
          </w:p>
        </w:tc>
      </w:tr>
      <w:tr w:rsidR="00393DDB" w:rsidRPr="00A91A09" w14:paraId="000ABCE9"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061CC78A" w14:textId="77777777" w:rsidR="00393DDB" w:rsidRPr="00A91A09" w:rsidRDefault="00393DDB" w:rsidP="00607164">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191FB108"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287.814</w:t>
            </w:r>
          </w:p>
        </w:tc>
        <w:tc>
          <w:tcPr>
            <w:tcW w:w="1496" w:type="dxa"/>
            <w:tcBorders>
              <w:top w:val="nil"/>
              <w:left w:val="nil"/>
              <w:bottom w:val="single" w:sz="4" w:space="0" w:color="auto"/>
              <w:right w:val="single" w:sz="4" w:space="0" w:color="auto"/>
            </w:tcBorders>
            <w:shd w:val="clear" w:color="auto" w:fill="auto"/>
            <w:noWrap/>
            <w:vAlign w:val="bottom"/>
            <w:hideMark/>
          </w:tcPr>
          <w:p w14:paraId="6FD746B6"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0.100</w:t>
            </w:r>
          </w:p>
        </w:tc>
        <w:tc>
          <w:tcPr>
            <w:tcW w:w="1457" w:type="dxa"/>
            <w:tcBorders>
              <w:top w:val="nil"/>
              <w:left w:val="nil"/>
              <w:bottom w:val="single" w:sz="4" w:space="0" w:color="auto"/>
              <w:right w:val="single" w:sz="4" w:space="0" w:color="auto"/>
            </w:tcBorders>
            <w:shd w:val="clear" w:color="auto" w:fill="auto"/>
            <w:noWrap/>
            <w:vAlign w:val="bottom"/>
            <w:hideMark/>
          </w:tcPr>
          <w:p w14:paraId="30C0A6E9"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168.417</w:t>
            </w:r>
          </w:p>
        </w:tc>
        <w:tc>
          <w:tcPr>
            <w:tcW w:w="1482" w:type="dxa"/>
            <w:tcBorders>
              <w:top w:val="nil"/>
              <w:left w:val="nil"/>
              <w:bottom w:val="single" w:sz="4" w:space="0" w:color="auto"/>
              <w:right w:val="single" w:sz="4" w:space="0" w:color="auto"/>
            </w:tcBorders>
            <w:shd w:val="clear" w:color="auto" w:fill="auto"/>
            <w:noWrap/>
            <w:vAlign w:val="bottom"/>
            <w:hideMark/>
          </w:tcPr>
          <w:p w14:paraId="69CFF69C" w14:textId="77777777" w:rsidR="00393DDB" w:rsidRPr="00A91A09" w:rsidRDefault="00393DDB" w:rsidP="0011424E">
            <w:pPr>
              <w:keepNext/>
              <w:spacing w:after="0" w:line="240" w:lineRule="auto"/>
              <w:ind w:right="395"/>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798" w:type="dxa"/>
            <w:tcBorders>
              <w:top w:val="nil"/>
              <w:left w:val="nil"/>
              <w:bottom w:val="single" w:sz="4" w:space="0" w:color="auto"/>
              <w:right w:val="single" w:sz="4" w:space="0" w:color="auto"/>
            </w:tcBorders>
            <w:shd w:val="clear" w:color="auto" w:fill="auto"/>
            <w:noWrap/>
            <w:vAlign w:val="bottom"/>
            <w:hideMark/>
          </w:tcPr>
          <w:p w14:paraId="6A34A0D3" w14:textId="77777777" w:rsidR="00393DDB" w:rsidRPr="00A91A09" w:rsidRDefault="00393DDB" w:rsidP="0011424E">
            <w:pPr>
              <w:keepNext/>
              <w:spacing w:after="0" w:line="240" w:lineRule="auto"/>
              <w:ind w:right="394"/>
              <w:jc w:val="right"/>
              <w:rPr>
                <w:rFonts w:eastAsia="Times New Roman" w:cstheme="minorHAnsi"/>
                <w:b/>
                <w:color w:val="000000"/>
                <w:sz w:val="20"/>
                <w:szCs w:val="20"/>
                <w:lang w:val="en-GB" w:eastAsia="cs-CZ"/>
              </w:rPr>
            </w:pPr>
            <w:r w:rsidRPr="00A91A09">
              <w:rPr>
                <w:rFonts w:cstheme="minorHAnsi"/>
                <w:b/>
                <w:sz w:val="20"/>
                <w:lang w:val="en-GB" w:bidi="en-GB"/>
              </w:rPr>
              <w:t>456.331</w:t>
            </w:r>
          </w:p>
        </w:tc>
      </w:tr>
      <w:tr w:rsidR="00393DDB" w:rsidRPr="00A91A09" w14:paraId="313F616B" w14:textId="77777777" w:rsidTr="00607164">
        <w:trPr>
          <w:trHeight w:val="227"/>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14:paraId="36FDEC98" w14:textId="77777777" w:rsidR="00393DDB" w:rsidRPr="00A91A09" w:rsidRDefault="00393DDB" w:rsidP="00607164">
            <w:pPr>
              <w:keepNext/>
              <w:spacing w:after="0" w:line="240" w:lineRule="auto"/>
              <w:rPr>
                <w:rFonts w:eastAsia="Times New Roman" w:cstheme="minorHAnsi"/>
                <w:b/>
                <w:color w:val="000000"/>
                <w:sz w:val="20"/>
                <w:szCs w:val="20"/>
                <w:lang w:val="en-GB" w:eastAsia="cs-CZ"/>
              </w:rPr>
            </w:pPr>
            <w:r w:rsidRPr="00A91A09">
              <w:rPr>
                <w:rFonts w:cstheme="minorHAnsi"/>
                <w:b/>
                <w:sz w:val="20"/>
                <w:lang w:val="en-GB" w:bidi="en-GB"/>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466A54AB" w14:textId="77777777" w:rsidR="00393DDB" w:rsidRPr="00A91A09" w:rsidRDefault="00393DDB" w:rsidP="0011424E">
            <w:pPr>
              <w:keepNext/>
              <w:spacing w:after="0" w:line="240" w:lineRule="auto"/>
              <w:ind w:right="395"/>
              <w:jc w:val="right"/>
              <w:rPr>
                <w:rFonts w:eastAsia="Times New Roman" w:cstheme="minorHAnsi"/>
                <w:b/>
                <w:color w:val="000000"/>
                <w:sz w:val="20"/>
                <w:szCs w:val="20"/>
                <w:lang w:val="en-GB" w:eastAsia="cs-CZ"/>
              </w:rPr>
            </w:pPr>
            <w:r w:rsidRPr="00A91A09">
              <w:rPr>
                <w:rFonts w:cstheme="minorHAnsi"/>
                <w:b/>
                <w:sz w:val="20"/>
                <w:lang w:val="en-GB" w:bidi="en-GB"/>
              </w:rPr>
              <w:t>1,236.653</w:t>
            </w:r>
          </w:p>
        </w:tc>
        <w:tc>
          <w:tcPr>
            <w:tcW w:w="1496" w:type="dxa"/>
            <w:tcBorders>
              <w:top w:val="nil"/>
              <w:left w:val="nil"/>
              <w:bottom w:val="single" w:sz="4" w:space="0" w:color="auto"/>
              <w:right w:val="single" w:sz="4" w:space="0" w:color="auto"/>
            </w:tcBorders>
            <w:shd w:val="clear" w:color="auto" w:fill="auto"/>
            <w:noWrap/>
            <w:vAlign w:val="bottom"/>
            <w:hideMark/>
          </w:tcPr>
          <w:p w14:paraId="783EF63D" w14:textId="77777777" w:rsidR="00393DDB" w:rsidRPr="00A91A09" w:rsidRDefault="00393DDB" w:rsidP="0011424E">
            <w:pPr>
              <w:keepNext/>
              <w:spacing w:after="0" w:line="240" w:lineRule="auto"/>
              <w:ind w:right="395"/>
              <w:jc w:val="right"/>
              <w:rPr>
                <w:rFonts w:eastAsia="Times New Roman" w:cstheme="minorHAnsi"/>
                <w:b/>
                <w:color w:val="000000"/>
                <w:sz w:val="20"/>
                <w:szCs w:val="20"/>
                <w:lang w:val="en-GB" w:eastAsia="cs-CZ"/>
              </w:rPr>
            </w:pPr>
            <w:r w:rsidRPr="00A91A09">
              <w:rPr>
                <w:rFonts w:cstheme="minorHAnsi"/>
                <w:b/>
                <w:sz w:val="20"/>
                <w:lang w:val="en-GB" w:bidi="en-GB"/>
              </w:rPr>
              <w:t>3,171.876</w:t>
            </w:r>
          </w:p>
        </w:tc>
        <w:tc>
          <w:tcPr>
            <w:tcW w:w="1457" w:type="dxa"/>
            <w:tcBorders>
              <w:top w:val="nil"/>
              <w:left w:val="nil"/>
              <w:bottom w:val="single" w:sz="4" w:space="0" w:color="auto"/>
              <w:right w:val="single" w:sz="4" w:space="0" w:color="auto"/>
            </w:tcBorders>
            <w:shd w:val="clear" w:color="auto" w:fill="auto"/>
            <w:noWrap/>
            <w:vAlign w:val="bottom"/>
            <w:hideMark/>
          </w:tcPr>
          <w:p w14:paraId="2279855D" w14:textId="77777777" w:rsidR="00393DDB" w:rsidRPr="00A91A09" w:rsidRDefault="00393DDB" w:rsidP="0011424E">
            <w:pPr>
              <w:keepNext/>
              <w:spacing w:after="0" w:line="240" w:lineRule="auto"/>
              <w:ind w:right="395"/>
              <w:jc w:val="right"/>
              <w:rPr>
                <w:rFonts w:eastAsia="Times New Roman" w:cstheme="minorHAnsi"/>
                <w:b/>
                <w:color w:val="000000"/>
                <w:sz w:val="20"/>
                <w:szCs w:val="20"/>
                <w:lang w:val="en-GB" w:eastAsia="cs-CZ"/>
              </w:rPr>
            </w:pPr>
            <w:r w:rsidRPr="00A91A09">
              <w:rPr>
                <w:rFonts w:cstheme="minorHAnsi"/>
                <w:b/>
                <w:sz w:val="20"/>
                <w:lang w:val="en-GB" w:bidi="en-GB"/>
              </w:rPr>
              <w:t>457.608</w:t>
            </w:r>
          </w:p>
        </w:tc>
        <w:tc>
          <w:tcPr>
            <w:tcW w:w="1482" w:type="dxa"/>
            <w:tcBorders>
              <w:top w:val="nil"/>
              <w:left w:val="nil"/>
              <w:bottom w:val="single" w:sz="4" w:space="0" w:color="auto"/>
              <w:right w:val="single" w:sz="4" w:space="0" w:color="auto"/>
            </w:tcBorders>
            <w:shd w:val="clear" w:color="auto" w:fill="auto"/>
            <w:noWrap/>
            <w:vAlign w:val="bottom"/>
            <w:hideMark/>
          </w:tcPr>
          <w:p w14:paraId="2AFDF65C" w14:textId="77777777" w:rsidR="00393DDB" w:rsidRPr="00A91A09" w:rsidRDefault="00393DDB" w:rsidP="0011424E">
            <w:pPr>
              <w:keepNext/>
              <w:spacing w:after="0" w:line="240" w:lineRule="auto"/>
              <w:ind w:right="395"/>
              <w:jc w:val="right"/>
              <w:rPr>
                <w:rFonts w:eastAsia="Times New Roman" w:cstheme="minorHAnsi"/>
                <w:b/>
                <w:color w:val="000000"/>
                <w:sz w:val="20"/>
                <w:szCs w:val="20"/>
                <w:lang w:val="en-GB" w:eastAsia="cs-CZ"/>
              </w:rPr>
            </w:pPr>
            <w:r w:rsidRPr="00A91A09">
              <w:rPr>
                <w:rFonts w:cstheme="minorHAnsi"/>
                <w:b/>
                <w:sz w:val="20"/>
                <w:lang w:val="en-GB" w:bidi="en-GB"/>
              </w:rPr>
              <w:t>8.587</w:t>
            </w:r>
          </w:p>
        </w:tc>
        <w:tc>
          <w:tcPr>
            <w:tcW w:w="1798" w:type="dxa"/>
            <w:tcBorders>
              <w:top w:val="nil"/>
              <w:left w:val="nil"/>
              <w:bottom w:val="single" w:sz="4" w:space="0" w:color="auto"/>
              <w:right w:val="single" w:sz="4" w:space="0" w:color="auto"/>
            </w:tcBorders>
            <w:shd w:val="clear" w:color="auto" w:fill="auto"/>
            <w:noWrap/>
            <w:vAlign w:val="bottom"/>
            <w:hideMark/>
          </w:tcPr>
          <w:p w14:paraId="6BE0FC63" w14:textId="77777777" w:rsidR="00393DDB" w:rsidRPr="00A91A09" w:rsidRDefault="00393DDB" w:rsidP="0011424E">
            <w:pPr>
              <w:keepNext/>
              <w:spacing w:after="0" w:line="240" w:lineRule="auto"/>
              <w:ind w:right="394"/>
              <w:jc w:val="right"/>
              <w:rPr>
                <w:rFonts w:eastAsia="Times New Roman" w:cstheme="minorHAnsi"/>
                <w:b/>
                <w:color w:val="000000"/>
                <w:sz w:val="20"/>
                <w:szCs w:val="20"/>
                <w:lang w:val="en-GB" w:eastAsia="cs-CZ"/>
              </w:rPr>
            </w:pPr>
            <w:r w:rsidRPr="00A91A09">
              <w:rPr>
                <w:rFonts w:cstheme="minorHAnsi"/>
                <w:b/>
                <w:sz w:val="20"/>
                <w:lang w:val="en-GB" w:bidi="en-GB"/>
              </w:rPr>
              <w:t>4,874.724</w:t>
            </w:r>
          </w:p>
        </w:tc>
      </w:tr>
    </w:tbl>
    <w:p w14:paraId="67891EA9" w14:textId="3437621C" w:rsidR="00393DDB" w:rsidRPr="00A91A09" w:rsidRDefault="00393DDB" w:rsidP="00607164">
      <w:pPr>
        <w:keepNext/>
        <w:spacing w:before="40" w:after="0" w:line="240" w:lineRule="auto"/>
        <w:ind w:left="567" w:hanging="567"/>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b/>
          <w:sz w:val="20"/>
          <w:lang w:val="en-GB" w:bidi="en-GB"/>
        </w:rPr>
        <w:tab/>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 data on the EU subsidies were obtained from the website of the Regional Council of the Northeast Cohesion Region.</w:t>
      </w:r>
    </w:p>
    <w:p w14:paraId="126A1C9A" w14:textId="4DDD0F75" w:rsidR="00064D6C" w:rsidRPr="00A91A09" w:rsidRDefault="00064D6C" w:rsidP="00393DDB">
      <w:pPr>
        <w:spacing w:after="0" w:line="240" w:lineRule="auto"/>
        <w:jc w:val="both"/>
        <w:rPr>
          <w:rFonts w:eastAsia="Times New Roman" w:cstheme="minorHAnsi"/>
          <w:sz w:val="24"/>
          <w:szCs w:val="24"/>
          <w:lang w:val="en-GB" w:eastAsia="cs-CZ"/>
        </w:rPr>
      </w:pPr>
    </w:p>
    <w:p w14:paraId="0BD8064E" w14:textId="117C699F" w:rsidR="00393DDB" w:rsidRPr="00A91A09" w:rsidRDefault="00393DDB" w:rsidP="007225B6">
      <w:pPr>
        <w:keepNext/>
        <w:tabs>
          <w:tab w:val="right" w:pos="9072"/>
        </w:tabs>
        <w:spacing w:after="0" w:line="240" w:lineRule="auto"/>
        <w:ind w:left="1134" w:hanging="1134"/>
        <w:jc w:val="both"/>
        <w:rPr>
          <w:rFonts w:eastAsia="Times New Roman" w:cstheme="minorHAnsi"/>
          <w:b/>
          <w:sz w:val="24"/>
          <w:szCs w:val="24"/>
          <w:lang w:val="en-GB" w:eastAsia="cs-CZ"/>
        </w:rPr>
      </w:pPr>
      <w:r w:rsidRPr="00A91A09">
        <w:rPr>
          <w:rFonts w:cstheme="minorHAnsi"/>
          <w:b/>
          <w:sz w:val="24"/>
          <w:lang w:val="en-GB" w:bidi="en-GB"/>
        </w:rPr>
        <w:t>Chart 6 –</w:t>
      </w:r>
      <w:r w:rsidR="00BE62A0">
        <w:rPr>
          <w:rFonts w:cstheme="minorHAnsi"/>
          <w:b/>
          <w:sz w:val="24"/>
          <w:lang w:val="en-GB" w:bidi="en-GB"/>
        </w:rPr>
        <w:t xml:space="preserve"> </w:t>
      </w:r>
      <w:r w:rsidRPr="00A91A09">
        <w:rPr>
          <w:rFonts w:cstheme="minorHAnsi"/>
          <w:b/>
          <w:sz w:val="24"/>
          <w:lang w:val="en-GB" w:bidi="en-GB"/>
        </w:rPr>
        <w:t>Overview of funds by source – Moravian-Silesian Region</w:t>
      </w:r>
      <w:r w:rsidRPr="00A91A09">
        <w:rPr>
          <w:rFonts w:cstheme="minorHAnsi"/>
          <w:b/>
          <w:sz w:val="24"/>
          <w:lang w:val="en-GB" w:bidi="en-GB"/>
        </w:rPr>
        <w:tab/>
        <w:t>(in CZK million)</w:t>
      </w:r>
    </w:p>
    <w:p w14:paraId="7976A750" w14:textId="33B3F55E" w:rsidR="00393DDB" w:rsidRPr="00A91A09" w:rsidRDefault="00136A70" w:rsidP="00607164">
      <w:pPr>
        <w:keepNext/>
        <w:spacing w:after="0" w:line="240" w:lineRule="auto"/>
        <w:jc w:val="both"/>
        <w:rPr>
          <w:rFonts w:eastAsia="Times New Roman" w:cstheme="minorHAnsi"/>
          <w:sz w:val="24"/>
          <w:szCs w:val="24"/>
          <w:lang w:val="en-GB" w:eastAsia="cs-CZ"/>
        </w:rPr>
      </w:pPr>
      <w:r>
        <w:rPr>
          <w:rFonts w:eastAsia="Times New Roman" w:cstheme="minorHAnsi"/>
          <w:noProof/>
          <w:sz w:val="24"/>
          <w:szCs w:val="24"/>
          <w:lang w:val="cs-CZ" w:eastAsia="cs-CZ"/>
        </w:rPr>
        <w:drawing>
          <wp:inline distT="0" distB="0" distL="0" distR="0" wp14:anchorId="19D8D531" wp14:editId="0F790637">
            <wp:extent cx="5760720" cy="28771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_6.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877185"/>
                    </a:xfrm>
                    <a:prstGeom prst="rect">
                      <a:avLst/>
                    </a:prstGeom>
                  </pic:spPr>
                </pic:pic>
              </a:graphicData>
            </a:graphic>
          </wp:inline>
        </w:drawing>
      </w:r>
    </w:p>
    <w:p w14:paraId="02245E47" w14:textId="77777777" w:rsidR="002521D7" w:rsidRPr="00A91A09" w:rsidRDefault="002521D7" w:rsidP="00607164">
      <w:pPr>
        <w:spacing w:after="0" w:line="240" w:lineRule="auto"/>
        <w:jc w:val="both"/>
        <w:rPr>
          <w:rFonts w:cstheme="minorHAnsi"/>
          <w:b/>
          <w:sz w:val="24"/>
          <w:lang w:val="en-GB" w:bidi="en-GB"/>
        </w:rPr>
      </w:pPr>
    </w:p>
    <w:p w14:paraId="38B44FE2" w14:textId="79D882F1" w:rsidR="00393DDB" w:rsidRPr="00A91A09" w:rsidRDefault="00393DDB" w:rsidP="00607164">
      <w:pPr>
        <w:spacing w:after="0" w:line="240" w:lineRule="auto"/>
        <w:jc w:val="both"/>
        <w:rPr>
          <w:rFonts w:eastAsia="Times New Roman" w:cstheme="minorHAnsi"/>
          <w:b/>
          <w:sz w:val="24"/>
          <w:szCs w:val="24"/>
          <w:lang w:val="en-GB" w:eastAsia="cs-CZ"/>
        </w:rPr>
      </w:pPr>
      <w:r w:rsidRPr="00A91A09">
        <w:rPr>
          <w:rFonts w:cstheme="minorHAnsi"/>
          <w:b/>
          <w:sz w:val="24"/>
          <w:lang w:val="en-GB" w:bidi="en-GB"/>
        </w:rPr>
        <w:t>Pardubice Region</w:t>
      </w:r>
    </w:p>
    <w:p w14:paraId="78695EB9" w14:textId="77777777" w:rsidR="00677716" w:rsidRPr="00A91A09" w:rsidRDefault="00677716" w:rsidP="00607164">
      <w:pPr>
        <w:spacing w:after="0" w:line="240" w:lineRule="auto"/>
        <w:jc w:val="both"/>
        <w:rPr>
          <w:rFonts w:eastAsia="Times New Roman" w:cstheme="minorHAnsi"/>
          <w:b/>
          <w:sz w:val="24"/>
          <w:szCs w:val="24"/>
          <w:u w:val="single"/>
          <w:lang w:val="en-GB" w:eastAsia="cs-CZ"/>
        </w:rPr>
      </w:pPr>
    </w:p>
    <w:p w14:paraId="7D63E64D" w14:textId="7022E108" w:rsidR="00393DDB" w:rsidRPr="00A91A09" w:rsidRDefault="00286878" w:rsidP="00BF34F6">
      <w:pPr>
        <w:tabs>
          <w:tab w:val="right" w:pos="9072"/>
        </w:tabs>
        <w:spacing w:after="40" w:line="240" w:lineRule="auto"/>
        <w:ind w:left="1560" w:hanging="1560"/>
        <w:jc w:val="both"/>
        <w:rPr>
          <w:rFonts w:eastAsia="Times New Roman" w:cstheme="minorHAnsi"/>
          <w:b/>
          <w:sz w:val="24"/>
          <w:szCs w:val="24"/>
          <w:lang w:val="en-GB" w:eastAsia="cs-CZ"/>
        </w:rPr>
      </w:pPr>
      <w:r w:rsidRPr="00A91A09">
        <w:rPr>
          <w:rFonts w:cstheme="minorHAnsi"/>
          <w:b/>
          <w:sz w:val="24"/>
          <w:lang w:val="en-GB" w:bidi="en-GB"/>
        </w:rPr>
        <w:t>Table 13 –</w:t>
      </w:r>
      <w:r w:rsidR="00BE62A0">
        <w:rPr>
          <w:rFonts w:cstheme="minorHAnsi"/>
          <w:b/>
          <w:sz w:val="24"/>
          <w:lang w:val="en-GB" w:bidi="en-GB"/>
        </w:rPr>
        <w:t xml:space="preserve"> </w:t>
      </w:r>
      <w:r w:rsidRPr="00A91A09">
        <w:rPr>
          <w:rFonts w:cstheme="minorHAnsi"/>
          <w:b/>
          <w:sz w:val="24"/>
          <w:lang w:val="en-GB" w:bidi="en-GB"/>
        </w:rPr>
        <w:t xml:space="preserve">Funds contributed to class II and class III roads in the years 2012-2016 </w:t>
      </w:r>
      <w:r w:rsidRPr="00A91A09">
        <w:rPr>
          <w:rFonts w:cstheme="minorHAnsi"/>
          <w:b/>
          <w:sz w:val="24"/>
          <w:lang w:val="en-GB" w:bidi="en-GB"/>
        </w:rPr>
        <w:tab/>
        <w:t>(in CZK million)</w:t>
      </w:r>
    </w:p>
    <w:tbl>
      <w:tblPr>
        <w:tblW w:w="9051" w:type="dxa"/>
        <w:tblCellMar>
          <w:left w:w="70" w:type="dxa"/>
          <w:right w:w="70" w:type="dxa"/>
        </w:tblCellMar>
        <w:tblLook w:val="04A0" w:firstRow="1" w:lastRow="0" w:firstColumn="1" w:lastColumn="0" w:noHBand="0" w:noVBand="1"/>
      </w:tblPr>
      <w:tblGrid>
        <w:gridCol w:w="1316"/>
        <w:gridCol w:w="1920"/>
        <w:gridCol w:w="2112"/>
        <w:gridCol w:w="1673"/>
        <w:gridCol w:w="2030"/>
      </w:tblGrid>
      <w:tr w:rsidR="00393DDB" w:rsidRPr="00A91A09" w14:paraId="5B746201" w14:textId="77777777" w:rsidTr="00BF34F6">
        <w:trPr>
          <w:trHeight w:val="227"/>
        </w:trPr>
        <w:tc>
          <w:tcPr>
            <w:tcW w:w="1316"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7C8704FD" w14:textId="77777777" w:rsidR="00393DDB" w:rsidRPr="00A91A09" w:rsidRDefault="00393DDB" w:rsidP="00607164">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Year</w:t>
            </w:r>
          </w:p>
        </w:tc>
        <w:tc>
          <w:tcPr>
            <w:tcW w:w="1920" w:type="dxa"/>
            <w:tcBorders>
              <w:top w:val="single" w:sz="4" w:space="0" w:color="auto"/>
              <w:left w:val="nil"/>
              <w:bottom w:val="single" w:sz="4" w:space="0" w:color="auto"/>
              <w:right w:val="single" w:sz="4" w:space="0" w:color="auto"/>
            </w:tcBorders>
            <w:shd w:val="clear" w:color="auto" w:fill="E5F1FF"/>
            <w:vAlign w:val="center"/>
            <w:hideMark/>
          </w:tcPr>
          <w:p w14:paraId="62D76933" w14:textId="77777777" w:rsidR="00393DDB" w:rsidRPr="00A91A09" w:rsidRDefault="00393DDB" w:rsidP="00607164">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Regional funds total</w:t>
            </w:r>
          </w:p>
        </w:tc>
        <w:tc>
          <w:tcPr>
            <w:tcW w:w="2112" w:type="dxa"/>
            <w:tcBorders>
              <w:top w:val="single" w:sz="4" w:space="0" w:color="auto"/>
              <w:left w:val="nil"/>
              <w:bottom w:val="single" w:sz="4" w:space="0" w:color="auto"/>
              <w:right w:val="single" w:sz="4" w:space="0" w:color="auto"/>
            </w:tcBorders>
            <w:shd w:val="clear" w:color="auto" w:fill="E5F1FF"/>
            <w:vAlign w:val="center"/>
            <w:hideMark/>
          </w:tcPr>
          <w:p w14:paraId="7CEBBD23" w14:textId="77777777" w:rsidR="00393DDB" w:rsidRPr="00A91A09" w:rsidRDefault="00393DDB" w:rsidP="00607164">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EU subsidy granted</w:t>
            </w:r>
          </w:p>
        </w:tc>
        <w:tc>
          <w:tcPr>
            <w:tcW w:w="1673" w:type="dxa"/>
            <w:tcBorders>
              <w:top w:val="single" w:sz="4" w:space="0" w:color="auto"/>
              <w:left w:val="nil"/>
              <w:bottom w:val="single" w:sz="4" w:space="0" w:color="auto"/>
              <w:right w:val="single" w:sz="4" w:space="0" w:color="auto"/>
            </w:tcBorders>
            <w:shd w:val="clear" w:color="auto" w:fill="E5F1FF"/>
            <w:vAlign w:val="center"/>
            <w:hideMark/>
          </w:tcPr>
          <w:p w14:paraId="7AC3F254" w14:textId="7903C066" w:rsidR="00393DDB" w:rsidRPr="00A91A09" w:rsidRDefault="004D23C2" w:rsidP="00607164">
            <w:pPr>
              <w:spacing w:after="0" w:line="240" w:lineRule="auto"/>
              <w:jc w:val="center"/>
              <w:rPr>
                <w:rFonts w:eastAsia="Times New Roman" w:cstheme="minorHAnsi"/>
                <w:b/>
                <w:bCs/>
                <w:color w:val="000000"/>
                <w:sz w:val="20"/>
                <w:szCs w:val="20"/>
                <w:lang w:val="en-GB" w:eastAsia="cs-CZ"/>
              </w:rPr>
            </w:pPr>
            <w:r>
              <w:rPr>
                <w:rFonts w:cstheme="minorHAnsi"/>
                <w:b/>
                <w:sz w:val="20"/>
                <w:lang w:val="en-GB" w:bidi="en-GB"/>
              </w:rPr>
              <w:t>SFDI</w:t>
            </w:r>
            <w:r w:rsidR="00393DDB" w:rsidRPr="00A91A09">
              <w:rPr>
                <w:rFonts w:cstheme="minorHAnsi"/>
                <w:b/>
                <w:sz w:val="20"/>
                <w:lang w:val="en-GB" w:bidi="en-GB"/>
              </w:rPr>
              <w:t xml:space="preserve"> subsidy</w:t>
            </w:r>
          </w:p>
        </w:tc>
        <w:tc>
          <w:tcPr>
            <w:tcW w:w="2030" w:type="dxa"/>
            <w:tcBorders>
              <w:top w:val="single" w:sz="4" w:space="0" w:color="auto"/>
              <w:left w:val="nil"/>
              <w:bottom w:val="single" w:sz="4" w:space="0" w:color="auto"/>
              <w:right w:val="single" w:sz="4" w:space="0" w:color="auto"/>
            </w:tcBorders>
            <w:shd w:val="clear" w:color="auto" w:fill="E5F1FF"/>
            <w:vAlign w:val="center"/>
            <w:hideMark/>
          </w:tcPr>
          <w:p w14:paraId="4A348237" w14:textId="77777777" w:rsidR="00393DDB" w:rsidRPr="00A91A09" w:rsidRDefault="00393DDB" w:rsidP="00607164">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Total per year</w:t>
            </w:r>
          </w:p>
        </w:tc>
      </w:tr>
      <w:tr w:rsidR="00393DDB" w:rsidRPr="00A91A09" w14:paraId="5045C71E"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AE09B07" w14:textId="77777777" w:rsidR="00393DDB" w:rsidRPr="00A91A09" w:rsidRDefault="00393DDB" w:rsidP="007C0B10">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2012</w:t>
            </w:r>
          </w:p>
        </w:tc>
        <w:tc>
          <w:tcPr>
            <w:tcW w:w="1920" w:type="dxa"/>
            <w:tcBorders>
              <w:top w:val="nil"/>
              <w:left w:val="nil"/>
              <w:bottom w:val="single" w:sz="4" w:space="0" w:color="auto"/>
              <w:right w:val="single" w:sz="4" w:space="0" w:color="auto"/>
            </w:tcBorders>
            <w:shd w:val="clear" w:color="auto" w:fill="auto"/>
            <w:noWrap/>
            <w:vAlign w:val="center"/>
            <w:hideMark/>
          </w:tcPr>
          <w:p w14:paraId="35A82D24"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383.737</w:t>
            </w:r>
          </w:p>
        </w:tc>
        <w:tc>
          <w:tcPr>
            <w:tcW w:w="2112" w:type="dxa"/>
            <w:tcBorders>
              <w:top w:val="nil"/>
              <w:left w:val="nil"/>
              <w:bottom w:val="single" w:sz="4" w:space="0" w:color="auto"/>
              <w:right w:val="single" w:sz="4" w:space="0" w:color="auto"/>
            </w:tcBorders>
            <w:shd w:val="clear" w:color="auto" w:fill="auto"/>
            <w:noWrap/>
            <w:vAlign w:val="center"/>
            <w:hideMark/>
          </w:tcPr>
          <w:p w14:paraId="0FD89081"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255.916</w:t>
            </w:r>
          </w:p>
        </w:tc>
        <w:tc>
          <w:tcPr>
            <w:tcW w:w="1673" w:type="dxa"/>
            <w:tcBorders>
              <w:top w:val="nil"/>
              <w:left w:val="nil"/>
              <w:bottom w:val="single" w:sz="4" w:space="0" w:color="auto"/>
              <w:right w:val="single" w:sz="4" w:space="0" w:color="auto"/>
            </w:tcBorders>
            <w:shd w:val="clear" w:color="auto" w:fill="auto"/>
            <w:noWrap/>
            <w:vAlign w:val="center"/>
            <w:hideMark/>
          </w:tcPr>
          <w:p w14:paraId="022C50DA"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2030" w:type="dxa"/>
            <w:tcBorders>
              <w:top w:val="nil"/>
              <w:left w:val="nil"/>
              <w:bottom w:val="single" w:sz="4" w:space="0" w:color="auto"/>
              <w:right w:val="single" w:sz="4" w:space="0" w:color="auto"/>
            </w:tcBorders>
            <w:shd w:val="clear" w:color="auto" w:fill="auto"/>
            <w:noWrap/>
            <w:vAlign w:val="center"/>
            <w:hideMark/>
          </w:tcPr>
          <w:p w14:paraId="79266035"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639.653</w:t>
            </w:r>
          </w:p>
        </w:tc>
      </w:tr>
      <w:tr w:rsidR="00393DDB" w:rsidRPr="00A91A09" w14:paraId="440F33A2"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FF4B007" w14:textId="77777777" w:rsidR="00393DDB" w:rsidRPr="00A91A09" w:rsidRDefault="00393DDB" w:rsidP="007C0B10">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2013</w:t>
            </w:r>
          </w:p>
        </w:tc>
        <w:tc>
          <w:tcPr>
            <w:tcW w:w="1920" w:type="dxa"/>
            <w:tcBorders>
              <w:top w:val="nil"/>
              <w:left w:val="nil"/>
              <w:bottom w:val="single" w:sz="4" w:space="0" w:color="auto"/>
              <w:right w:val="single" w:sz="4" w:space="0" w:color="auto"/>
            </w:tcBorders>
            <w:shd w:val="clear" w:color="auto" w:fill="auto"/>
            <w:noWrap/>
            <w:vAlign w:val="center"/>
            <w:hideMark/>
          </w:tcPr>
          <w:p w14:paraId="0911C620"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393.886</w:t>
            </w:r>
          </w:p>
        </w:tc>
        <w:tc>
          <w:tcPr>
            <w:tcW w:w="2112" w:type="dxa"/>
            <w:tcBorders>
              <w:top w:val="nil"/>
              <w:left w:val="nil"/>
              <w:bottom w:val="single" w:sz="4" w:space="0" w:color="auto"/>
              <w:right w:val="single" w:sz="4" w:space="0" w:color="auto"/>
            </w:tcBorders>
            <w:shd w:val="clear" w:color="auto" w:fill="auto"/>
            <w:noWrap/>
            <w:vAlign w:val="center"/>
            <w:hideMark/>
          </w:tcPr>
          <w:p w14:paraId="09EA7B57"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673" w:type="dxa"/>
            <w:tcBorders>
              <w:top w:val="nil"/>
              <w:left w:val="nil"/>
              <w:bottom w:val="single" w:sz="4" w:space="0" w:color="auto"/>
              <w:right w:val="single" w:sz="4" w:space="0" w:color="auto"/>
            </w:tcBorders>
            <w:shd w:val="clear" w:color="auto" w:fill="auto"/>
            <w:noWrap/>
            <w:vAlign w:val="center"/>
            <w:hideMark/>
          </w:tcPr>
          <w:p w14:paraId="038A778D"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2030" w:type="dxa"/>
            <w:tcBorders>
              <w:top w:val="nil"/>
              <w:left w:val="nil"/>
              <w:bottom w:val="single" w:sz="4" w:space="0" w:color="auto"/>
              <w:right w:val="single" w:sz="4" w:space="0" w:color="auto"/>
            </w:tcBorders>
            <w:shd w:val="clear" w:color="auto" w:fill="auto"/>
            <w:noWrap/>
            <w:vAlign w:val="center"/>
            <w:hideMark/>
          </w:tcPr>
          <w:p w14:paraId="7218FF83"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393.886</w:t>
            </w:r>
          </w:p>
        </w:tc>
      </w:tr>
      <w:tr w:rsidR="00393DDB" w:rsidRPr="00A91A09" w14:paraId="31E95297"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63CAF30" w14:textId="77777777" w:rsidR="00393DDB" w:rsidRPr="00A91A09" w:rsidRDefault="00393DDB" w:rsidP="007C0B10">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2014</w:t>
            </w:r>
          </w:p>
        </w:tc>
        <w:tc>
          <w:tcPr>
            <w:tcW w:w="1920" w:type="dxa"/>
            <w:tcBorders>
              <w:top w:val="nil"/>
              <w:left w:val="nil"/>
              <w:bottom w:val="single" w:sz="4" w:space="0" w:color="auto"/>
              <w:right w:val="single" w:sz="4" w:space="0" w:color="auto"/>
            </w:tcBorders>
            <w:shd w:val="clear" w:color="auto" w:fill="auto"/>
            <w:noWrap/>
            <w:vAlign w:val="center"/>
            <w:hideMark/>
          </w:tcPr>
          <w:p w14:paraId="3119760B"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439.862</w:t>
            </w:r>
          </w:p>
        </w:tc>
        <w:tc>
          <w:tcPr>
            <w:tcW w:w="2112" w:type="dxa"/>
            <w:tcBorders>
              <w:top w:val="nil"/>
              <w:left w:val="nil"/>
              <w:bottom w:val="single" w:sz="4" w:space="0" w:color="auto"/>
              <w:right w:val="single" w:sz="4" w:space="0" w:color="auto"/>
            </w:tcBorders>
            <w:shd w:val="clear" w:color="auto" w:fill="auto"/>
            <w:noWrap/>
            <w:vAlign w:val="center"/>
            <w:hideMark/>
          </w:tcPr>
          <w:p w14:paraId="38D240EA"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544.709</w:t>
            </w:r>
          </w:p>
        </w:tc>
        <w:tc>
          <w:tcPr>
            <w:tcW w:w="1673" w:type="dxa"/>
            <w:tcBorders>
              <w:top w:val="nil"/>
              <w:left w:val="nil"/>
              <w:bottom w:val="single" w:sz="4" w:space="0" w:color="auto"/>
              <w:right w:val="single" w:sz="4" w:space="0" w:color="auto"/>
            </w:tcBorders>
            <w:shd w:val="clear" w:color="auto" w:fill="auto"/>
            <w:noWrap/>
            <w:vAlign w:val="center"/>
            <w:hideMark/>
          </w:tcPr>
          <w:p w14:paraId="75111E55"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2030" w:type="dxa"/>
            <w:tcBorders>
              <w:top w:val="nil"/>
              <w:left w:val="nil"/>
              <w:bottom w:val="single" w:sz="4" w:space="0" w:color="auto"/>
              <w:right w:val="single" w:sz="4" w:space="0" w:color="auto"/>
            </w:tcBorders>
            <w:shd w:val="clear" w:color="auto" w:fill="auto"/>
            <w:noWrap/>
            <w:vAlign w:val="center"/>
            <w:hideMark/>
          </w:tcPr>
          <w:p w14:paraId="2CC58E1A"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984.571</w:t>
            </w:r>
          </w:p>
        </w:tc>
      </w:tr>
      <w:tr w:rsidR="00393DDB" w:rsidRPr="00A91A09" w14:paraId="4CE9A6F7"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5F1227D8" w14:textId="77777777" w:rsidR="00393DDB" w:rsidRPr="00A91A09" w:rsidRDefault="00393DDB" w:rsidP="007C0B10">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2015</w:t>
            </w:r>
          </w:p>
        </w:tc>
        <w:tc>
          <w:tcPr>
            <w:tcW w:w="1920" w:type="dxa"/>
            <w:tcBorders>
              <w:top w:val="nil"/>
              <w:left w:val="nil"/>
              <w:bottom w:val="single" w:sz="4" w:space="0" w:color="auto"/>
              <w:right w:val="single" w:sz="4" w:space="0" w:color="auto"/>
            </w:tcBorders>
            <w:shd w:val="clear" w:color="auto" w:fill="auto"/>
            <w:noWrap/>
            <w:vAlign w:val="center"/>
            <w:hideMark/>
          </w:tcPr>
          <w:p w14:paraId="568F8420"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447.937</w:t>
            </w:r>
          </w:p>
        </w:tc>
        <w:tc>
          <w:tcPr>
            <w:tcW w:w="2112" w:type="dxa"/>
            <w:tcBorders>
              <w:top w:val="nil"/>
              <w:left w:val="nil"/>
              <w:bottom w:val="single" w:sz="4" w:space="0" w:color="auto"/>
              <w:right w:val="single" w:sz="4" w:space="0" w:color="auto"/>
            </w:tcBorders>
            <w:shd w:val="clear" w:color="auto" w:fill="auto"/>
            <w:noWrap/>
            <w:vAlign w:val="center"/>
            <w:hideMark/>
          </w:tcPr>
          <w:p w14:paraId="5ACCA6BA"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186.063</w:t>
            </w:r>
          </w:p>
        </w:tc>
        <w:tc>
          <w:tcPr>
            <w:tcW w:w="1673" w:type="dxa"/>
            <w:tcBorders>
              <w:top w:val="nil"/>
              <w:left w:val="nil"/>
              <w:bottom w:val="single" w:sz="4" w:space="0" w:color="auto"/>
              <w:right w:val="single" w:sz="4" w:space="0" w:color="auto"/>
            </w:tcBorders>
            <w:shd w:val="clear" w:color="auto" w:fill="auto"/>
            <w:noWrap/>
            <w:vAlign w:val="center"/>
            <w:hideMark/>
          </w:tcPr>
          <w:p w14:paraId="78250502"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285.068</w:t>
            </w:r>
          </w:p>
        </w:tc>
        <w:tc>
          <w:tcPr>
            <w:tcW w:w="2030" w:type="dxa"/>
            <w:tcBorders>
              <w:top w:val="nil"/>
              <w:left w:val="nil"/>
              <w:bottom w:val="single" w:sz="4" w:space="0" w:color="auto"/>
              <w:right w:val="single" w:sz="4" w:space="0" w:color="auto"/>
            </w:tcBorders>
            <w:shd w:val="clear" w:color="auto" w:fill="auto"/>
            <w:noWrap/>
            <w:vAlign w:val="center"/>
            <w:hideMark/>
          </w:tcPr>
          <w:p w14:paraId="3F3E1CF5"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919.068</w:t>
            </w:r>
          </w:p>
        </w:tc>
      </w:tr>
      <w:tr w:rsidR="00393DDB" w:rsidRPr="00A91A09" w14:paraId="70A5AC1B"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3AB721E8" w14:textId="77777777" w:rsidR="00393DDB" w:rsidRPr="00A91A09" w:rsidRDefault="00393DDB" w:rsidP="007C0B10">
            <w:pPr>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2016</w:t>
            </w:r>
          </w:p>
        </w:tc>
        <w:tc>
          <w:tcPr>
            <w:tcW w:w="1920" w:type="dxa"/>
            <w:tcBorders>
              <w:top w:val="nil"/>
              <w:left w:val="nil"/>
              <w:bottom w:val="single" w:sz="4" w:space="0" w:color="auto"/>
              <w:right w:val="single" w:sz="4" w:space="0" w:color="auto"/>
            </w:tcBorders>
            <w:shd w:val="clear" w:color="auto" w:fill="auto"/>
            <w:noWrap/>
            <w:vAlign w:val="center"/>
            <w:hideMark/>
          </w:tcPr>
          <w:p w14:paraId="1E9C8265"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554.762</w:t>
            </w:r>
          </w:p>
        </w:tc>
        <w:tc>
          <w:tcPr>
            <w:tcW w:w="2112" w:type="dxa"/>
            <w:tcBorders>
              <w:top w:val="nil"/>
              <w:left w:val="nil"/>
              <w:bottom w:val="single" w:sz="4" w:space="0" w:color="auto"/>
              <w:right w:val="single" w:sz="4" w:space="0" w:color="auto"/>
            </w:tcBorders>
            <w:shd w:val="clear" w:color="auto" w:fill="auto"/>
            <w:noWrap/>
            <w:vAlign w:val="center"/>
            <w:hideMark/>
          </w:tcPr>
          <w:p w14:paraId="7543309C"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673" w:type="dxa"/>
            <w:tcBorders>
              <w:top w:val="nil"/>
              <w:left w:val="nil"/>
              <w:bottom w:val="single" w:sz="4" w:space="0" w:color="auto"/>
              <w:right w:val="single" w:sz="4" w:space="0" w:color="auto"/>
            </w:tcBorders>
            <w:shd w:val="clear" w:color="auto" w:fill="auto"/>
            <w:noWrap/>
            <w:vAlign w:val="center"/>
            <w:hideMark/>
          </w:tcPr>
          <w:p w14:paraId="2DACBB4C" w14:textId="77777777" w:rsidR="00393DDB" w:rsidRPr="00A91A09" w:rsidRDefault="00393DDB" w:rsidP="007C0B10">
            <w:pPr>
              <w:spacing w:after="0" w:line="240" w:lineRule="auto"/>
              <w:ind w:right="474"/>
              <w:jc w:val="right"/>
              <w:rPr>
                <w:rFonts w:eastAsia="Times New Roman" w:cstheme="minorHAnsi"/>
                <w:color w:val="000000"/>
                <w:sz w:val="20"/>
                <w:szCs w:val="20"/>
                <w:lang w:val="en-GB" w:eastAsia="cs-CZ"/>
              </w:rPr>
            </w:pPr>
            <w:r w:rsidRPr="00A91A09">
              <w:rPr>
                <w:rFonts w:cstheme="minorHAnsi"/>
                <w:sz w:val="20"/>
                <w:lang w:val="en-GB" w:bidi="en-GB"/>
              </w:rPr>
              <w:t>196.696</w:t>
            </w:r>
          </w:p>
        </w:tc>
        <w:tc>
          <w:tcPr>
            <w:tcW w:w="2030" w:type="dxa"/>
            <w:tcBorders>
              <w:top w:val="nil"/>
              <w:left w:val="nil"/>
              <w:bottom w:val="single" w:sz="4" w:space="0" w:color="auto"/>
              <w:right w:val="single" w:sz="4" w:space="0" w:color="auto"/>
            </w:tcBorders>
            <w:shd w:val="clear" w:color="auto" w:fill="auto"/>
            <w:noWrap/>
            <w:vAlign w:val="center"/>
            <w:hideMark/>
          </w:tcPr>
          <w:p w14:paraId="569A185E"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751.458</w:t>
            </w:r>
          </w:p>
        </w:tc>
      </w:tr>
      <w:tr w:rsidR="00393DDB" w:rsidRPr="00A91A09" w14:paraId="1F07FFB1" w14:textId="77777777" w:rsidTr="007C0B10">
        <w:trPr>
          <w:trHeight w:val="227"/>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1EC87F79" w14:textId="77777777" w:rsidR="00393DDB" w:rsidRPr="00A91A09" w:rsidRDefault="00393DDB" w:rsidP="007C0B10">
            <w:pPr>
              <w:spacing w:after="0" w:line="240" w:lineRule="auto"/>
              <w:jc w:val="center"/>
              <w:rPr>
                <w:rFonts w:eastAsia="Times New Roman" w:cstheme="minorHAnsi"/>
                <w:b/>
                <w:color w:val="000000"/>
                <w:sz w:val="20"/>
                <w:szCs w:val="20"/>
                <w:lang w:val="en-GB" w:eastAsia="cs-CZ"/>
              </w:rPr>
            </w:pPr>
            <w:r w:rsidRPr="00A91A09">
              <w:rPr>
                <w:rFonts w:cstheme="minorHAnsi"/>
                <w:b/>
                <w:sz w:val="20"/>
                <w:lang w:val="en-GB" w:bidi="en-GB"/>
              </w:rPr>
              <w:t>Total</w:t>
            </w:r>
          </w:p>
        </w:tc>
        <w:tc>
          <w:tcPr>
            <w:tcW w:w="1920" w:type="dxa"/>
            <w:tcBorders>
              <w:top w:val="nil"/>
              <w:left w:val="nil"/>
              <w:bottom w:val="single" w:sz="4" w:space="0" w:color="auto"/>
              <w:right w:val="single" w:sz="4" w:space="0" w:color="auto"/>
            </w:tcBorders>
            <w:shd w:val="clear" w:color="auto" w:fill="auto"/>
            <w:noWrap/>
            <w:vAlign w:val="center"/>
            <w:hideMark/>
          </w:tcPr>
          <w:p w14:paraId="0CCEFB95"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2,220.184</w:t>
            </w:r>
          </w:p>
        </w:tc>
        <w:tc>
          <w:tcPr>
            <w:tcW w:w="2112" w:type="dxa"/>
            <w:tcBorders>
              <w:top w:val="nil"/>
              <w:left w:val="nil"/>
              <w:bottom w:val="single" w:sz="4" w:space="0" w:color="auto"/>
              <w:right w:val="single" w:sz="4" w:space="0" w:color="auto"/>
            </w:tcBorders>
            <w:shd w:val="clear" w:color="auto" w:fill="auto"/>
            <w:noWrap/>
            <w:vAlign w:val="center"/>
            <w:hideMark/>
          </w:tcPr>
          <w:p w14:paraId="7B964690"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986.688</w:t>
            </w:r>
          </w:p>
        </w:tc>
        <w:tc>
          <w:tcPr>
            <w:tcW w:w="1673" w:type="dxa"/>
            <w:tcBorders>
              <w:top w:val="nil"/>
              <w:left w:val="nil"/>
              <w:bottom w:val="single" w:sz="4" w:space="0" w:color="auto"/>
              <w:right w:val="single" w:sz="4" w:space="0" w:color="auto"/>
            </w:tcBorders>
            <w:shd w:val="clear" w:color="auto" w:fill="auto"/>
            <w:noWrap/>
            <w:vAlign w:val="center"/>
            <w:hideMark/>
          </w:tcPr>
          <w:p w14:paraId="4F1DEE6F"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481.764</w:t>
            </w:r>
          </w:p>
        </w:tc>
        <w:tc>
          <w:tcPr>
            <w:tcW w:w="2030" w:type="dxa"/>
            <w:tcBorders>
              <w:top w:val="nil"/>
              <w:left w:val="nil"/>
              <w:bottom w:val="single" w:sz="4" w:space="0" w:color="auto"/>
              <w:right w:val="single" w:sz="4" w:space="0" w:color="auto"/>
            </w:tcBorders>
            <w:shd w:val="clear" w:color="auto" w:fill="auto"/>
            <w:noWrap/>
            <w:vAlign w:val="center"/>
            <w:hideMark/>
          </w:tcPr>
          <w:p w14:paraId="4A50F65C" w14:textId="77777777" w:rsidR="00393DDB" w:rsidRPr="00A91A09" w:rsidRDefault="00393DDB" w:rsidP="007C0B10">
            <w:pPr>
              <w:spacing w:after="0" w:line="240" w:lineRule="auto"/>
              <w:ind w:right="474"/>
              <w:jc w:val="right"/>
              <w:rPr>
                <w:rFonts w:eastAsia="Times New Roman" w:cstheme="minorHAnsi"/>
                <w:b/>
                <w:color w:val="000000"/>
                <w:sz w:val="20"/>
                <w:szCs w:val="20"/>
                <w:lang w:val="en-GB" w:eastAsia="cs-CZ"/>
              </w:rPr>
            </w:pPr>
            <w:r w:rsidRPr="00A91A09">
              <w:rPr>
                <w:rFonts w:cstheme="minorHAnsi"/>
                <w:b/>
                <w:sz w:val="20"/>
                <w:lang w:val="en-GB" w:bidi="en-GB"/>
              </w:rPr>
              <w:t>3,688.636</w:t>
            </w:r>
          </w:p>
        </w:tc>
      </w:tr>
    </w:tbl>
    <w:p w14:paraId="10E8DBBB" w14:textId="76083359" w:rsidR="00393DDB" w:rsidRPr="00A91A09" w:rsidRDefault="00393DDB" w:rsidP="007C0B10">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504251C6"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1B4805A7" w14:textId="170FE086" w:rsidR="00393DDB" w:rsidRPr="00A91A09" w:rsidRDefault="00393DDB" w:rsidP="007225B6">
      <w:pPr>
        <w:keepNext/>
        <w:tabs>
          <w:tab w:val="right" w:pos="9072"/>
        </w:tabs>
        <w:spacing w:after="0" w:line="240" w:lineRule="auto"/>
        <w:ind w:left="1134" w:hanging="1134"/>
        <w:jc w:val="both"/>
        <w:rPr>
          <w:rFonts w:eastAsia="Times New Roman" w:cstheme="minorHAnsi"/>
          <w:b/>
          <w:sz w:val="24"/>
          <w:szCs w:val="24"/>
          <w:lang w:val="en-GB" w:eastAsia="cs-CZ"/>
        </w:rPr>
      </w:pPr>
      <w:r w:rsidRPr="00A91A09">
        <w:rPr>
          <w:rFonts w:cstheme="minorHAnsi"/>
          <w:b/>
          <w:sz w:val="24"/>
          <w:lang w:val="en-GB" w:bidi="en-GB"/>
        </w:rPr>
        <w:lastRenderedPageBreak/>
        <w:t>Chart 7 –</w:t>
      </w:r>
      <w:r w:rsidR="00BE62A0">
        <w:rPr>
          <w:rFonts w:cstheme="minorHAnsi"/>
          <w:b/>
          <w:sz w:val="24"/>
          <w:lang w:val="en-GB" w:bidi="en-GB"/>
        </w:rPr>
        <w:t xml:space="preserve"> </w:t>
      </w:r>
      <w:r w:rsidRPr="00A91A09">
        <w:rPr>
          <w:rFonts w:cstheme="minorHAnsi"/>
          <w:b/>
          <w:sz w:val="24"/>
          <w:lang w:val="en-GB" w:bidi="en-GB"/>
        </w:rPr>
        <w:t>Overview of funds by source – Pardubice Region</w:t>
      </w:r>
      <w:r w:rsidRPr="00A91A09">
        <w:rPr>
          <w:rFonts w:cstheme="minorHAnsi"/>
          <w:b/>
          <w:sz w:val="24"/>
          <w:lang w:val="en-GB" w:bidi="en-GB"/>
        </w:rPr>
        <w:tab/>
        <w:t>(in CZK million)</w:t>
      </w:r>
    </w:p>
    <w:p w14:paraId="350DA0A6" w14:textId="056D09BF" w:rsidR="00393DDB" w:rsidRPr="00A91A09" w:rsidRDefault="00136A70" w:rsidP="00FC2838">
      <w:pPr>
        <w:keepNext/>
        <w:spacing w:after="0" w:line="240" w:lineRule="auto"/>
        <w:jc w:val="center"/>
        <w:rPr>
          <w:rFonts w:eastAsia="Times New Roman" w:cstheme="minorHAnsi"/>
          <w:sz w:val="24"/>
          <w:szCs w:val="24"/>
          <w:lang w:val="en-GB" w:eastAsia="cs-CZ"/>
        </w:rPr>
      </w:pPr>
      <w:r>
        <w:rPr>
          <w:rFonts w:cstheme="minorHAnsi"/>
          <w:noProof/>
          <w:sz w:val="24"/>
          <w:lang w:val="cs-CZ" w:eastAsia="cs-CZ"/>
        </w:rPr>
        <w:drawing>
          <wp:inline distT="0" distB="0" distL="0" distR="0" wp14:anchorId="6620C404" wp14:editId="1DA6C714">
            <wp:extent cx="5760720" cy="28498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_7.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849880"/>
                    </a:xfrm>
                    <a:prstGeom prst="rect">
                      <a:avLst/>
                    </a:prstGeom>
                  </pic:spPr>
                </pic:pic>
              </a:graphicData>
            </a:graphic>
          </wp:inline>
        </w:drawing>
      </w:r>
    </w:p>
    <w:p w14:paraId="002A1245" w14:textId="77777777" w:rsidR="002521D7" w:rsidRPr="00A91A09" w:rsidRDefault="002521D7" w:rsidP="00FC2838">
      <w:pPr>
        <w:keepNext/>
        <w:spacing w:after="0" w:line="240" w:lineRule="auto"/>
        <w:jc w:val="center"/>
        <w:rPr>
          <w:rFonts w:eastAsia="Times New Roman" w:cstheme="minorHAnsi"/>
          <w:sz w:val="24"/>
          <w:szCs w:val="24"/>
          <w:lang w:val="en-GB" w:eastAsia="cs-CZ"/>
        </w:rPr>
      </w:pPr>
    </w:p>
    <w:p w14:paraId="66D8D6FF"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27BCD48C" w14:textId="77777777" w:rsidR="00393DDB" w:rsidRPr="00A91A09" w:rsidRDefault="00393DDB" w:rsidP="007C0B10">
      <w:pPr>
        <w:keepNext/>
        <w:spacing w:after="0" w:line="240" w:lineRule="auto"/>
        <w:jc w:val="both"/>
        <w:rPr>
          <w:rFonts w:eastAsia="Times New Roman" w:cstheme="minorHAnsi"/>
          <w:b/>
          <w:sz w:val="24"/>
          <w:szCs w:val="24"/>
          <w:lang w:val="en-GB" w:eastAsia="cs-CZ"/>
        </w:rPr>
      </w:pPr>
      <w:r w:rsidRPr="00A91A09">
        <w:rPr>
          <w:rFonts w:cstheme="minorHAnsi"/>
          <w:b/>
          <w:sz w:val="24"/>
          <w:lang w:val="en-GB" w:bidi="en-GB"/>
        </w:rPr>
        <w:t>Pilsen Region</w:t>
      </w:r>
    </w:p>
    <w:p w14:paraId="1232C585" w14:textId="77777777" w:rsidR="003F714E" w:rsidRPr="00A91A09" w:rsidRDefault="003F714E" w:rsidP="007C0B10">
      <w:pPr>
        <w:keepNext/>
        <w:spacing w:after="0" w:line="240" w:lineRule="auto"/>
        <w:jc w:val="both"/>
        <w:rPr>
          <w:rFonts w:eastAsia="Times New Roman" w:cstheme="minorHAnsi"/>
          <w:b/>
          <w:sz w:val="24"/>
          <w:szCs w:val="24"/>
          <w:lang w:val="en-GB" w:eastAsia="cs-CZ"/>
        </w:rPr>
      </w:pPr>
    </w:p>
    <w:p w14:paraId="40D03DCF" w14:textId="1FDE233C" w:rsidR="00393DDB" w:rsidRPr="00A91A09" w:rsidRDefault="00286878" w:rsidP="00BF34F6">
      <w:pPr>
        <w:keepNext/>
        <w:tabs>
          <w:tab w:val="right" w:pos="9072"/>
        </w:tabs>
        <w:spacing w:after="40" w:line="240" w:lineRule="auto"/>
        <w:ind w:left="1560" w:hanging="1560"/>
        <w:jc w:val="both"/>
        <w:rPr>
          <w:rFonts w:eastAsia="Times New Roman" w:cstheme="minorHAnsi"/>
          <w:b/>
          <w:sz w:val="24"/>
          <w:szCs w:val="24"/>
          <w:lang w:val="en-GB" w:eastAsia="cs-CZ"/>
        </w:rPr>
      </w:pPr>
      <w:r w:rsidRPr="00A91A09">
        <w:rPr>
          <w:rFonts w:cstheme="minorHAnsi"/>
          <w:b/>
          <w:sz w:val="24"/>
          <w:lang w:val="en-GB" w:bidi="en-GB"/>
        </w:rPr>
        <w:t>Table 14 –</w:t>
      </w:r>
      <w:r w:rsidR="00BE62A0">
        <w:rPr>
          <w:rFonts w:cstheme="minorHAnsi"/>
          <w:b/>
          <w:sz w:val="24"/>
          <w:lang w:val="en-GB" w:bidi="en-GB"/>
        </w:rPr>
        <w:t xml:space="preserve"> </w:t>
      </w:r>
      <w:r w:rsidRPr="00A91A09">
        <w:rPr>
          <w:rFonts w:cstheme="minorHAnsi"/>
          <w:b/>
          <w:sz w:val="24"/>
          <w:lang w:val="en-GB" w:bidi="en-GB"/>
        </w:rPr>
        <w:t xml:space="preserve">Funds contributed to class II and class III roads in the years 2012-2016 </w:t>
      </w:r>
      <w:r w:rsidRPr="00A91A09">
        <w:rPr>
          <w:rFonts w:cstheme="minorHAnsi"/>
          <w:b/>
          <w:sz w:val="24"/>
          <w:lang w:val="en-GB" w:bidi="en-GB"/>
        </w:rPr>
        <w:tab/>
        <w:t>(in CZK million)</w:t>
      </w:r>
    </w:p>
    <w:tbl>
      <w:tblPr>
        <w:tblW w:w="9237" w:type="dxa"/>
        <w:tblCellMar>
          <w:left w:w="70" w:type="dxa"/>
          <w:right w:w="70" w:type="dxa"/>
        </w:tblCellMar>
        <w:tblLook w:val="04A0" w:firstRow="1" w:lastRow="0" w:firstColumn="1" w:lastColumn="0" w:noHBand="0" w:noVBand="1"/>
      </w:tblPr>
      <w:tblGrid>
        <w:gridCol w:w="1637"/>
        <w:gridCol w:w="1900"/>
        <w:gridCol w:w="1900"/>
        <w:gridCol w:w="1900"/>
        <w:gridCol w:w="1900"/>
      </w:tblGrid>
      <w:tr w:rsidR="00393DDB" w:rsidRPr="00A91A09" w14:paraId="7DCE44C6" w14:textId="77777777" w:rsidTr="00BF34F6">
        <w:trPr>
          <w:trHeight w:val="227"/>
        </w:trPr>
        <w:tc>
          <w:tcPr>
            <w:tcW w:w="1637" w:type="dxa"/>
            <w:tcBorders>
              <w:top w:val="single" w:sz="4" w:space="0" w:color="auto"/>
              <w:left w:val="single" w:sz="4" w:space="0" w:color="auto"/>
              <w:bottom w:val="single" w:sz="4" w:space="0" w:color="auto"/>
              <w:right w:val="single" w:sz="4" w:space="0" w:color="auto"/>
            </w:tcBorders>
            <w:shd w:val="clear" w:color="auto" w:fill="E5F1FF"/>
            <w:vAlign w:val="center"/>
            <w:hideMark/>
          </w:tcPr>
          <w:p w14:paraId="0FDFF469" w14:textId="77777777" w:rsidR="00393DDB" w:rsidRPr="00A91A09" w:rsidRDefault="00393DDB" w:rsidP="007C0B10">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Year</w:t>
            </w:r>
          </w:p>
        </w:tc>
        <w:tc>
          <w:tcPr>
            <w:tcW w:w="1900" w:type="dxa"/>
            <w:tcBorders>
              <w:top w:val="single" w:sz="4" w:space="0" w:color="auto"/>
              <w:left w:val="nil"/>
              <w:bottom w:val="single" w:sz="4" w:space="0" w:color="auto"/>
              <w:right w:val="single" w:sz="4" w:space="0" w:color="auto"/>
            </w:tcBorders>
            <w:shd w:val="clear" w:color="auto" w:fill="E5F1FF"/>
            <w:vAlign w:val="center"/>
            <w:hideMark/>
          </w:tcPr>
          <w:p w14:paraId="1DB01B31" w14:textId="77777777" w:rsidR="00393DDB" w:rsidRPr="00A91A09" w:rsidRDefault="00393DDB" w:rsidP="007C0B10">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Regional funds total</w:t>
            </w:r>
          </w:p>
        </w:tc>
        <w:tc>
          <w:tcPr>
            <w:tcW w:w="1900" w:type="dxa"/>
            <w:tcBorders>
              <w:top w:val="single" w:sz="4" w:space="0" w:color="auto"/>
              <w:left w:val="nil"/>
              <w:bottom w:val="single" w:sz="4" w:space="0" w:color="auto"/>
              <w:right w:val="single" w:sz="4" w:space="0" w:color="auto"/>
            </w:tcBorders>
            <w:shd w:val="clear" w:color="auto" w:fill="E5F1FF"/>
            <w:vAlign w:val="center"/>
            <w:hideMark/>
          </w:tcPr>
          <w:p w14:paraId="080FDF60" w14:textId="77777777" w:rsidR="00393DDB" w:rsidRPr="00A91A09" w:rsidRDefault="00393DDB" w:rsidP="007C0B10">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EU subsidy granted</w:t>
            </w:r>
          </w:p>
        </w:tc>
        <w:tc>
          <w:tcPr>
            <w:tcW w:w="1900" w:type="dxa"/>
            <w:tcBorders>
              <w:top w:val="single" w:sz="4" w:space="0" w:color="auto"/>
              <w:left w:val="nil"/>
              <w:bottom w:val="single" w:sz="4" w:space="0" w:color="auto"/>
              <w:right w:val="single" w:sz="4" w:space="0" w:color="auto"/>
            </w:tcBorders>
            <w:shd w:val="clear" w:color="auto" w:fill="E5F1FF"/>
            <w:vAlign w:val="center"/>
            <w:hideMark/>
          </w:tcPr>
          <w:p w14:paraId="63F91EAB" w14:textId="558096D7" w:rsidR="00393DDB" w:rsidRPr="00A91A09" w:rsidRDefault="004D23C2" w:rsidP="007C0B10">
            <w:pPr>
              <w:keepNext/>
              <w:spacing w:after="0" w:line="240" w:lineRule="auto"/>
              <w:jc w:val="center"/>
              <w:rPr>
                <w:rFonts w:eastAsia="Times New Roman" w:cstheme="minorHAnsi"/>
                <w:b/>
                <w:bCs/>
                <w:color w:val="000000"/>
                <w:sz w:val="20"/>
                <w:szCs w:val="20"/>
                <w:lang w:val="en-GB" w:eastAsia="cs-CZ"/>
              </w:rPr>
            </w:pPr>
            <w:r>
              <w:rPr>
                <w:rFonts w:cstheme="minorHAnsi"/>
                <w:b/>
                <w:sz w:val="20"/>
                <w:lang w:val="en-GB" w:bidi="en-GB"/>
              </w:rPr>
              <w:t>SFDI</w:t>
            </w:r>
            <w:r w:rsidR="00393DDB" w:rsidRPr="00A91A09">
              <w:rPr>
                <w:rFonts w:cstheme="minorHAnsi"/>
                <w:b/>
                <w:sz w:val="20"/>
                <w:lang w:val="en-GB" w:bidi="en-GB"/>
              </w:rPr>
              <w:t xml:space="preserve"> subsidy</w:t>
            </w:r>
          </w:p>
        </w:tc>
        <w:tc>
          <w:tcPr>
            <w:tcW w:w="1900" w:type="dxa"/>
            <w:tcBorders>
              <w:top w:val="single" w:sz="4" w:space="0" w:color="auto"/>
              <w:left w:val="nil"/>
              <w:bottom w:val="single" w:sz="4" w:space="0" w:color="auto"/>
              <w:right w:val="single" w:sz="4" w:space="0" w:color="auto"/>
            </w:tcBorders>
            <w:shd w:val="clear" w:color="auto" w:fill="E5F1FF"/>
            <w:vAlign w:val="center"/>
            <w:hideMark/>
          </w:tcPr>
          <w:p w14:paraId="671A7A2F" w14:textId="77777777" w:rsidR="00393DDB" w:rsidRPr="00A91A09" w:rsidRDefault="00393DDB" w:rsidP="007C0B10">
            <w:pPr>
              <w:keepNext/>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Total per year</w:t>
            </w:r>
          </w:p>
        </w:tc>
      </w:tr>
      <w:tr w:rsidR="00393DDB" w:rsidRPr="00A91A09" w14:paraId="7D12A03E"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6D3148C0" w14:textId="77777777" w:rsidR="00393DDB" w:rsidRPr="00A91A09" w:rsidRDefault="00393DDB" w:rsidP="007C0B10">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2012</w:t>
            </w:r>
          </w:p>
        </w:tc>
        <w:tc>
          <w:tcPr>
            <w:tcW w:w="1900" w:type="dxa"/>
            <w:tcBorders>
              <w:top w:val="nil"/>
              <w:left w:val="nil"/>
              <w:bottom w:val="single" w:sz="4" w:space="0" w:color="auto"/>
              <w:right w:val="single" w:sz="4" w:space="0" w:color="auto"/>
            </w:tcBorders>
            <w:shd w:val="clear" w:color="auto" w:fill="auto"/>
            <w:noWrap/>
            <w:vAlign w:val="center"/>
            <w:hideMark/>
          </w:tcPr>
          <w:p w14:paraId="16C0F273"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259.000</w:t>
            </w:r>
          </w:p>
        </w:tc>
        <w:tc>
          <w:tcPr>
            <w:tcW w:w="1900" w:type="dxa"/>
            <w:tcBorders>
              <w:top w:val="nil"/>
              <w:left w:val="nil"/>
              <w:bottom w:val="single" w:sz="4" w:space="0" w:color="auto"/>
              <w:right w:val="single" w:sz="4" w:space="0" w:color="auto"/>
            </w:tcBorders>
            <w:shd w:val="clear" w:color="auto" w:fill="auto"/>
            <w:noWrap/>
            <w:vAlign w:val="center"/>
            <w:hideMark/>
          </w:tcPr>
          <w:p w14:paraId="0321F3A2"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764.000</w:t>
            </w:r>
          </w:p>
        </w:tc>
        <w:tc>
          <w:tcPr>
            <w:tcW w:w="1900" w:type="dxa"/>
            <w:tcBorders>
              <w:top w:val="nil"/>
              <w:left w:val="nil"/>
              <w:bottom w:val="single" w:sz="4" w:space="0" w:color="auto"/>
              <w:right w:val="single" w:sz="4" w:space="0" w:color="auto"/>
            </w:tcBorders>
            <w:shd w:val="clear" w:color="auto" w:fill="auto"/>
            <w:noWrap/>
            <w:vAlign w:val="center"/>
            <w:hideMark/>
          </w:tcPr>
          <w:p w14:paraId="488C36C3"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900" w:type="dxa"/>
            <w:tcBorders>
              <w:top w:val="nil"/>
              <w:left w:val="nil"/>
              <w:bottom w:val="single" w:sz="4" w:space="0" w:color="auto"/>
              <w:right w:val="single" w:sz="4" w:space="0" w:color="auto"/>
            </w:tcBorders>
            <w:shd w:val="clear" w:color="auto" w:fill="auto"/>
            <w:noWrap/>
            <w:vAlign w:val="center"/>
            <w:hideMark/>
          </w:tcPr>
          <w:p w14:paraId="461DB76D"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1,023.000</w:t>
            </w:r>
          </w:p>
        </w:tc>
      </w:tr>
      <w:tr w:rsidR="00393DDB" w:rsidRPr="00A91A09" w14:paraId="038C46EB"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4E9A6DF2" w14:textId="77777777" w:rsidR="00393DDB" w:rsidRPr="00A91A09" w:rsidRDefault="00393DDB" w:rsidP="007C0B10">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2013</w:t>
            </w:r>
          </w:p>
        </w:tc>
        <w:tc>
          <w:tcPr>
            <w:tcW w:w="1900" w:type="dxa"/>
            <w:tcBorders>
              <w:top w:val="nil"/>
              <w:left w:val="nil"/>
              <w:bottom w:val="single" w:sz="4" w:space="0" w:color="auto"/>
              <w:right w:val="single" w:sz="4" w:space="0" w:color="auto"/>
            </w:tcBorders>
            <w:shd w:val="clear" w:color="auto" w:fill="auto"/>
            <w:noWrap/>
            <w:vAlign w:val="center"/>
            <w:hideMark/>
          </w:tcPr>
          <w:p w14:paraId="1578CDD5"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68.000</w:t>
            </w:r>
          </w:p>
        </w:tc>
        <w:tc>
          <w:tcPr>
            <w:tcW w:w="1900" w:type="dxa"/>
            <w:tcBorders>
              <w:top w:val="nil"/>
              <w:left w:val="nil"/>
              <w:bottom w:val="single" w:sz="4" w:space="0" w:color="auto"/>
              <w:right w:val="single" w:sz="4" w:space="0" w:color="auto"/>
            </w:tcBorders>
            <w:shd w:val="clear" w:color="auto" w:fill="auto"/>
            <w:noWrap/>
            <w:vAlign w:val="center"/>
            <w:hideMark/>
          </w:tcPr>
          <w:p w14:paraId="567D33F4"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939.000</w:t>
            </w:r>
          </w:p>
        </w:tc>
        <w:tc>
          <w:tcPr>
            <w:tcW w:w="1900" w:type="dxa"/>
            <w:tcBorders>
              <w:top w:val="nil"/>
              <w:left w:val="nil"/>
              <w:bottom w:val="single" w:sz="4" w:space="0" w:color="auto"/>
              <w:right w:val="single" w:sz="4" w:space="0" w:color="auto"/>
            </w:tcBorders>
            <w:shd w:val="clear" w:color="auto" w:fill="auto"/>
            <w:noWrap/>
            <w:vAlign w:val="center"/>
            <w:hideMark/>
          </w:tcPr>
          <w:p w14:paraId="1C3EEDBC"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92.000</w:t>
            </w:r>
          </w:p>
        </w:tc>
        <w:tc>
          <w:tcPr>
            <w:tcW w:w="1900" w:type="dxa"/>
            <w:tcBorders>
              <w:top w:val="nil"/>
              <w:left w:val="nil"/>
              <w:bottom w:val="single" w:sz="4" w:space="0" w:color="auto"/>
              <w:right w:val="single" w:sz="4" w:space="0" w:color="auto"/>
            </w:tcBorders>
            <w:shd w:val="clear" w:color="auto" w:fill="auto"/>
            <w:noWrap/>
            <w:vAlign w:val="center"/>
            <w:hideMark/>
          </w:tcPr>
          <w:p w14:paraId="353313D3"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1,099.000</w:t>
            </w:r>
          </w:p>
        </w:tc>
      </w:tr>
      <w:tr w:rsidR="00393DDB" w:rsidRPr="00A91A09" w14:paraId="640168C2"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378960DD" w14:textId="77777777" w:rsidR="00393DDB" w:rsidRPr="00A91A09" w:rsidRDefault="00393DDB" w:rsidP="007C0B10">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2014</w:t>
            </w:r>
          </w:p>
        </w:tc>
        <w:tc>
          <w:tcPr>
            <w:tcW w:w="1900" w:type="dxa"/>
            <w:tcBorders>
              <w:top w:val="nil"/>
              <w:left w:val="nil"/>
              <w:bottom w:val="single" w:sz="4" w:space="0" w:color="auto"/>
              <w:right w:val="single" w:sz="4" w:space="0" w:color="auto"/>
            </w:tcBorders>
            <w:shd w:val="clear" w:color="auto" w:fill="auto"/>
            <w:noWrap/>
            <w:vAlign w:val="center"/>
            <w:hideMark/>
          </w:tcPr>
          <w:p w14:paraId="2C55E0AB"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77.000</w:t>
            </w:r>
          </w:p>
        </w:tc>
        <w:tc>
          <w:tcPr>
            <w:tcW w:w="1900" w:type="dxa"/>
            <w:tcBorders>
              <w:top w:val="nil"/>
              <w:left w:val="nil"/>
              <w:bottom w:val="single" w:sz="4" w:space="0" w:color="auto"/>
              <w:right w:val="single" w:sz="4" w:space="0" w:color="auto"/>
            </w:tcBorders>
            <w:shd w:val="clear" w:color="auto" w:fill="auto"/>
            <w:noWrap/>
            <w:vAlign w:val="center"/>
            <w:hideMark/>
          </w:tcPr>
          <w:p w14:paraId="7598C68D"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773.000</w:t>
            </w:r>
          </w:p>
        </w:tc>
        <w:tc>
          <w:tcPr>
            <w:tcW w:w="1900" w:type="dxa"/>
            <w:tcBorders>
              <w:top w:val="nil"/>
              <w:left w:val="nil"/>
              <w:bottom w:val="single" w:sz="4" w:space="0" w:color="auto"/>
              <w:right w:val="single" w:sz="4" w:space="0" w:color="auto"/>
            </w:tcBorders>
            <w:shd w:val="clear" w:color="auto" w:fill="auto"/>
            <w:noWrap/>
            <w:vAlign w:val="center"/>
            <w:hideMark/>
          </w:tcPr>
          <w:p w14:paraId="0106058A"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900" w:type="dxa"/>
            <w:tcBorders>
              <w:top w:val="nil"/>
              <w:left w:val="nil"/>
              <w:bottom w:val="single" w:sz="4" w:space="0" w:color="auto"/>
              <w:right w:val="single" w:sz="4" w:space="0" w:color="auto"/>
            </w:tcBorders>
            <w:shd w:val="clear" w:color="auto" w:fill="auto"/>
            <w:noWrap/>
            <w:vAlign w:val="center"/>
            <w:hideMark/>
          </w:tcPr>
          <w:p w14:paraId="5F0F2B6A"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850.000</w:t>
            </w:r>
          </w:p>
        </w:tc>
      </w:tr>
      <w:tr w:rsidR="00393DDB" w:rsidRPr="00A91A09" w14:paraId="400A9C45"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251CCB52" w14:textId="77777777" w:rsidR="00393DDB" w:rsidRPr="00A91A09" w:rsidRDefault="00393DDB" w:rsidP="007C0B10">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2015</w:t>
            </w:r>
          </w:p>
        </w:tc>
        <w:tc>
          <w:tcPr>
            <w:tcW w:w="1900" w:type="dxa"/>
            <w:tcBorders>
              <w:top w:val="nil"/>
              <w:left w:val="nil"/>
              <w:bottom w:val="single" w:sz="4" w:space="0" w:color="auto"/>
              <w:right w:val="single" w:sz="4" w:space="0" w:color="auto"/>
            </w:tcBorders>
            <w:shd w:val="clear" w:color="auto" w:fill="auto"/>
            <w:noWrap/>
            <w:vAlign w:val="center"/>
            <w:hideMark/>
          </w:tcPr>
          <w:p w14:paraId="5CB0D165"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129.000</w:t>
            </w:r>
          </w:p>
        </w:tc>
        <w:tc>
          <w:tcPr>
            <w:tcW w:w="1900" w:type="dxa"/>
            <w:tcBorders>
              <w:top w:val="nil"/>
              <w:left w:val="nil"/>
              <w:bottom w:val="single" w:sz="4" w:space="0" w:color="auto"/>
              <w:right w:val="single" w:sz="4" w:space="0" w:color="auto"/>
            </w:tcBorders>
            <w:shd w:val="clear" w:color="auto" w:fill="auto"/>
            <w:noWrap/>
            <w:vAlign w:val="center"/>
            <w:hideMark/>
          </w:tcPr>
          <w:p w14:paraId="065DE9E9"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449.000</w:t>
            </w:r>
          </w:p>
        </w:tc>
        <w:tc>
          <w:tcPr>
            <w:tcW w:w="1900" w:type="dxa"/>
            <w:tcBorders>
              <w:top w:val="nil"/>
              <w:left w:val="nil"/>
              <w:bottom w:val="single" w:sz="4" w:space="0" w:color="auto"/>
              <w:right w:val="single" w:sz="4" w:space="0" w:color="auto"/>
            </w:tcBorders>
            <w:shd w:val="clear" w:color="auto" w:fill="auto"/>
            <w:noWrap/>
            <w:vAlign w:val="center"/>
            <w:hideMark/>
          </w:tcPr>
          <w:p w14:paraId="5BE3376E"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394.000</w:t>
            </w:r>
          </w:p>
        </w:tc>
        <w:tc>
          <w:tcPr>
            <w:tcW w:w="1900" w:type="dxa"/>
            <w:tcBorders>
              <w:top w:val="nil"/>
              <w:left w:val="nil"/>
              <w:bottom w:val="single" w:sz="4" w:space="0" w:color="auto"/>
              <w:right w:val="single" w:sz="4" w:space="0" w:color="auto"/>
            </w:tcBorders>
            <w:shd w:val="clear" w:color="auto" w:fill="auto"/>
            <w:noWrap/>
            <w:vAlign w:val="center"/>
            <w:hideMark/>
          </w:tcPr>
          <w:p w14:paraId="36D2621C"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972.000</w:t>
            </w:r>
          </w:p>
        </w:tc>
      </w:tr>
      <w:tr w:rsidR="00393DDB" w:rsidRPr="00A91A09" w14:paraId="3A116AAA"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7219E392" w14:textId="77777777" w:rsidR="00393DDB" w:rsidRPr="00A91A09" w:rsidRDefault="00393DDB" w:rsidP="007C0B10">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2016</w:t>
            </w:r>
          </w:p>
        </w:tc>
        <w:tc>
          <w:tcPr>
            <w:tcW w:w="1900" w:type="dxa"/>
            <w:tcBorders>
              <w:top w:val="nil"/>
              <w:left w:val="nil"/>
              <w:bottom w:val="single" w:sz="4" w:space="0" w:color="auto"/>
              <w:right w:val="single" w:sz="4" w:space="0" w:color="auto"/>
            </w:tcBorders>
            <w:shd w:val="clear" w:color="auto" w:fill="auto"/>
            <w:noWrap/>
            <w:vAlign w:val="center"/>
            <w:hideMark/>
          </w:tcPr>
          <w:p w14:paraId="663C5671"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395.000</w:t>
            </w:r>
          </w:p>
        </w:tc>
        <w:tc>
          <w:tcPr>
            <w:tcW w:w="1900" w:type="dxa"/>
            <w:tcBorders>
              <w:top w:val="nil"/>
              <w:left w:val="nil"/>
              <w:bottom w:val="single" w:sz="4" w:space="0" w:color="auto"/>
              <w:right w:val="single" w:sz="4" w:space="0" w:color="auto"/>
            </w:tcBorders>
            <w:shd w:val="clear" w:color="auto" w:fill="auto"/>
            <w:noWrap/>
            <w:vAlign w:val="center"/>
            <w:hideMark/>
          </w:tcPr>
          <w:p w14:paraId="33CD1760"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0.000</w:t>
            </w:r>
          </w:p>
        </w:tc>
        <w:tc>
          <w:tcPr>
            <w:tcW w:w="1900" w:type="dxa"/>
            <w:tcBorders>
              <w:top w:val="nil"/>
              <w:left w:val="nil"/>
              <w:bottom w:val="single" w:sz="4" w:space="0" w:color="auto"/>
              <w:right w:val="single" w:sz="4" w:space="0" w:color="auto"/>
            </w:tcBorders>
            <w:shd w:val="clear" w:color="auto" w:fill="auto"/>
            <w:noWrap/>
            <w:vAlign w:val="center"/>
            <w:hideMark/>
          </w:tcPr>
          <w:p w14:paraId="5E068E0C"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317.000</w:t>
            </w:r>
          </w:p>
        </w:tc>
        <w:tc>
          <w:tcPr>
            <w:tcW w:w="1900" w:type="dxa"/>
            <w:tcBorders>
              <w:top w:val="nil"/>
              <w:left w:val="nil"/>
              <w:bottom w:val="single" w:sz="4" w:space="0" w:color="auto"/>
              <w:right w:val="single" w:sz="4" w:space="0" w:color="auto"/>
            </w:tcBorders>
            <w:shd w:val="clear" w:color="auto" w:fill="auto"/>
            <w:noWrap/>
            <w:vAlign w:val="center"/>
            <w:hideMark/>
          </w:tcPr>
          <w:p w14:paraId="3C8449D6"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712.000</w:t>
            </w:r>
          </w:p>
        </w:tc>
      </w:tr>
      <w:tr w:rsidR="00393DDB" w:rsidRPr="00A91A09" w14:paraId="4101CA98" w14:textId="77777777" w:rsidTr="007C0B10">
        <w:trPr>
          <w:trHeight w:val="227"/>
        </w:trPr>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4935C004" w14:textId="77777777" w:rsidR="00393DDB" w:rsidRPr="00A91A09" w:rsidRDefault="00393DDB" w:rsidP="007C0B10">
            <w:pPr>
              <w:keepNext/>
              <w:spacing w:after="0" w:line="240" w:lineRule="auto"/>
              <w:jc w:val="center"/>
              <w:rPr>
                <w:rFonts w:eastAsia="Times New Roman" w:cstheme="minorHAnsi"/>
                <w:color w:val="000000"/>
                <w:sz w:val="20"/>
                <w:szCs w:val="20"/>
                <w:lang w:val="en-GB" w:eastAsia="cs-CZ"/>
              </w:rPr>
            </w:pPr>
            <w:r w:rsidRPr="00A91A09">
              <w:rPr>
                <w:rFonts w:cstheme="minorHAnsi"/>
                <w:sz w:val="20"/>
                <w:lang w:val="en-GB" w:bidi="en-GB"/>
              </w:rPr>
              <w:t>Total</w:t>
            </w:r>
          </w:p>
        </w:tc>
        <w:tc>
          <w:tcPr>
            <w:tcW w:w="1900" w:type="dxa"/>
            <w:tcBorders>
              <w:top w:val="nil"/>
              <w:left w:val="nil"/>
              <w:bottom w:val="single" w:sz="4" w:space="0" w:color="auto"/>
              <w:right w:val="single" w:sz="4" w:space="0" w:color="auto"/>
            </w:tcBorders>
            <w:shd w:val="clear" w:color="auto" w:fill="auto"/>
            <w:noWrap/>
            <w:vAlign w:val="center"/>
            <w:hideMark/>
          </w:tcPr>
          <w:p w14:paraId="2E144580"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928.000</w:t>
            </w:r>
          </w:p>
        </w:tc>
        <w:tc>
          <w:tcPr>
            <w:tcW w:w="1900" w:type="dxa"/>
            <w:tcBorders>
              <w:top w:val="nil"/>
              <w:left w:val="nil"/>
              <w:bottom w:val="single" w:sz="4" w:space="0" w:color="auto"/>
              <w:right w:val="single" w:sz="4" w:space="0" w:color="auto"/>
            </w:tcBorders>
            <w:shd w:val="clear" w:color="auto" w:fill="auto"/>
            <w:noWrap/>
            <w:vAlign w:val="center"/>
            <w:hideMark/>
          </w:tcPr>
          <w:p w14:paraId="5ABB167E"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2,925.000</w:t>
            </w:r>
          </w:p>
        </w:tc>
        <w:tc>
          <w:tcPr>
            <w:tcW w:w="1900" w:type="dxa"/>
            <w:tcBorders>
              <w:top w:val="nil"/>
              <w:left w:val="nil"/>
              <w:bottom w:val="single" w:sz="4" w:space="0" w:color="auto"/>
              <w:right w:val="single" w:sz="4" w:space="0" w:color="auto"/>
            </w:tcBorders>
            <w:shd w:val="clear" w:color="auto" w:fill="auto"/>
            <w:noWrap/>
            <w:vAlign w:val="center"/>
            <w:hideMark/>
          </w:tcPr>
          <w:p w14:paraId="565AB531"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803.000</w:t>
            </w:r>
          </w:p>
        </w:tc>
        <w:tc>
          <w:tcPr>
            <w:tcW w:w="1900" w:type="dxa"/>
            <w:tcBorders>
              <w:top w:val="nil"/>
              <w:left w:val="nil"/>
              <w:bottom w:val="single" w:sz="4" w:space="0" w:color="auto"/>
              <w:right w:val="single" w:sz="4" w:space="0" w:color="auto"/>
            </w:tcBorders>
            <w:shd w:val="clear" w:color="auto" w:fill="auto"/>
            <w:noWrap/>
            <w:vAlign w:val="center"/>
            <w:hideMark/>
          </w:tcPr>
          <w:p w14:paraId="70E5F556" w14:textId="77777777" w:rsidR="00393DDB" w:rsidRPr="00A91A09" w:rsidRDefault="00393DDB" w:rsidP="007C0B10">
            <w:pPr>
              <w:keepNext/>
              <w:spacing w:after="0" w:line="240" w:lineRule="auto"/>
              <w:ind w:right="349"/>
              <w:jc w:val="right"/>
              <w:rPr>
                <w:rFonts w:eastAsia="Times New Roman" w:cstheme="minorHAnsi"/>
                <w:color w:val="000000"/>
                <w:sz w:val="20"/>
                <w:szCs w:val="20"/>
                <w:lang w:val="en-GB" w:eastAsia="cs-CZ"/>
              </w:rPr>
            </w:pPr>
            <w:r w:rsidRPr="00A91A09">
              <w:rPr>
                <w:rFonts w:cstheme="minorHAnsi"/>
                <w:sz w:val="20"/>
                <w:lang w:val="en-GB" w:bidi="en-GB"/>
              </w:rPr>
              <w:t>4,656.000</w:t>
            </w:r>
          </w:p>
        </w:tc>
      </w:tr>
    </w:tbl>
    <w:p w14:paraId="7CC607DA" w14:textId="23E3DEA3" w:rsidR="00393DDB" w:rsidRPr="00A91A09" w:rsidRDefault="00393DDB" w:rsidP="007C0B10">
      <w:pPr>
        <w:keepNext/>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54281FD8" w14:textId="77777777" w:rsidR="00C6393E" w:rsidRPr="00A91A09" w:rsidRDefault="00C6393E" w:rsidP="00393DDB">
      <w:pPr>
        <w:spacing w:after="0" w:line="240" w:lineRule="auto"/>
        <w:jc w:val="both"/>
        <w:rPr>
          <w:rFonts w:eastAsia="Times New Roman" w:cstheme="minorHAnsi"/>
          <w:sz w:val="24"/>
          <w:szCs w:val="24"/>
          <w:lang w:val="en-GB" w:eastAsia="cs-CZ"/>
        </w:rPr>
      </w:pPr>
    </w:p>
    <w:p w14:paraId="225A7FCE" w14:textId="77777777" w:rsidR="00393DDB" w:rsidRPr="00A91A09" w:rsidRDefault="00393DDB" w:rsidP="00AC3F93">
      <w:pPr>
        <w:keepNext/>
        <w:tabs>
          <w:tab w:val="right" w:pos="9072"/>
        </w:tabs>
        <w:spacing w:after="0" w:line="240" w:lineRule="auto"/>
        <w:jc w:val="both"/>
        <w:rPr>
          <w:rFonts w:eastAsia="Times New Roman" w:cstheme="minorHAnsi"/>
          <w:b/>
          <w:sz w:val="24"/>
          <w:szCs w:val="24"/>
          <w:lang w:val="en-GB" w:eastAsia="cs-CZ"/>
        </w:rPr>
      </w:pPr>
      <w:r w:rsidRPr="00A91A09">
        <w:rPr>
          <w:rFonts w:cstheme="minorHAnsi"/>
          <w:b/>
          <w:sz w:val="24"/>
          <w:lang w:val="en-GB" w:bidi="en-GB"/>
        </w:rPr>
        <w:t>Chart 8 – Overview of funds by source – Pilsen Region</w:t>
      </w:r>
      <w:r w:rsidRPr="00A91A09">
        <w:rPr>
          <w:rFonts w:cstheme="minorHAnsi"/>
          <w:b/>
          <w:sz w:val="24"/>
          <w:lang w:val="en-GB" w:bidi="en-GB"/>
        </w:rPr>
        <w:tab/>
        <w:t>(in CZK million)</w:t>
      </w:r>
    </w:p>
    <w:p w14:paraId="04E5CF9E" w14:textId="2F17C8FC" w:rsidR="00393DDB" w:rsidRPr="00A91A09" w:rsidRDefault="00136A70" w:rsidP="00032477">
      <w:pPr>
        <w:keepNext/>
        <w:spacing w:after="0" w:line="240" w:lineRule="auto"/>
        <w:jc w:val="center"/>
        <w:rPr>
          <w:rFonts w:eastAsia="Times New Roman" w:cstheme="minorHAnsi"/>
          <w:sz w:val="24"/>
          <w:szCs w:val="24"/>
          <w:lang w:val="en-GB" w:eastAsia="cs-CZ"/>
        </w:rPr>
      </w:pPr>
      <w:r>
        <w:rPr>
          <w:rFonts w:cstheme="minorHAnsi"/>
          <w:noProof/>
          <w:sz w:val="24"/>
          <w:lang w:val="cs-CZ" w:eastAsia="cs-CZ"/>
        </w:rPr>
        <w:drawing>
          <wp:inline distT="0" distB="0" distL="0" distR="0" wp14:anchorId="19DA38D4" wp14:editId="613D6460">
            <wp:extent cx="5621951" cy="2646342"/>
            <wp:effectExtent l="0" t="0" r="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_8.png"/>
                    <pic:cNvPicPr/>
                  </pic:nvPicPr>
                  <pic:blipFill>
                    <a:blip r:embed="rId19">
                      <a:extLst>
                        <a:ext uri="{28A0092B-C50C-407E-A947-70E740481C1C}">
                          <a14:useLocalDpi xmlns:a14="http://schemas.microsoft.com/office/drawing/2010/main" val="0"/>
                        </a:ext>
                      </a:extLst>
                    </a:blip>
                    <a:stretch>
                      <a:fillRect/>
                    </a:stretch>
                  </pic:blipFill>
                  <pic:spPr>
                    <a:xfrm>
                      <a:off x="0" y="0"/>
                      <a:ext cx="5621951" cy="2646342"/>
                    </a:xfrm>
                    <a:prstGeom prst="rect">
                      <a:avLst/>
                    </a:prstGeom>
                  </pic:spPr>
                </pic:pic>
              </a:graphicData>
            </a:graphic>
          </wp:inline>
        </w:drawing>
      </w:r>
    </w:p>
    <w:p w14:paraId="7F5A8256" w14:textId="77777777" w:rsidR="007C0B10" w:rsidRPr="00A91A09" w:rsidRDefault="007C0B10" w:rsidP="00393DDB">
      <w:pPr>
        <w:spacing w:after="0" w:line="240" w:lineRule="auto"/>
        <w:jc w:val="both"/>
        <w:rPr>
          <w:rFonts w:eastAsia="Times New Roman" w:cstheme="minorHAnsi"/>
          <w:sz w:val="24"/>
          <w:szCs w:val="24"/>
          <w:lang w:val="en-GB" w:eastAsia="cs-CZ"/>
        </w:rPr>
      </w:pPr>
    </w:p>
    <w:p w14:paraId="4E47284F" w14:textId="2C00715C" w:rsidR="00393DDB" w:rsidRPr="00A91A09" w:rsidRDefault="00393DDB" w:rsidP="007C0B10">
      <w:pPr>
        <w:spacing w:after="0" w:line="240" w:lineRule="auto"/>
        <w:jc w:val="both"/>
        <w:rPr>
          <w:rFonts w:eastAsia="Times New Roman" w:cstheme="minorHAnsi"/>
          <w:sz w:val="24"/>
          <w:szCs w:val="24"/>
          <w:lang w:val="en-GB" w:eastAsia="cs-CZ"/>
        </w:rPr>
      </w:pPr>
      <w:r w:rsidRPr="00A91A09">
        <w:rPr>
          <w:rFonts w:cstheme="minorHAnsi"/>
          <w:sz w:val="24"/>
          <w:lang w:val="en-GB" w:bidi="en-GB"/>
        </w:rPr>
        <w:lastRenderedPageBreak/>
        <w:t>From the above data it is clear that for the period 2012-2016, most funds were put into its roads by the Moravian-Silesian Region, totalling CZK 4.87 billion, of which CZK 1.24 billion (i.e. 25.5 %) came from the regional funds. In the same period, the Liberec Region put the least amount of funds into its roads, totalling CZK 3.31 billion. The share of own funds in the region of CZK 1.36 billion was 41.1 % for the Liberec Region.</w:t>
      </w:r>
    </w:p>
    <w:p w14:paraId="1AE23D56" w14:textId="77777777" w:rsidR="005E4B02" w:rsidRPr="00A91A09" w:rsidRDefault="005E4B02" w:rsidP="007C0B10">
      <w:pPr>
        <w:spacing w:after="0" w:line="240" w:lineRule="auto"/>
        <w:jc w:val="both"/>
        <w:rPr>
          <w:rFonts w:eastAsia="Times New Roman" w:cstheme="minorHAnsi"/>
          <w:sz w:val="24"/>
          <w:szCs w:val="24"/>
          <w:lang w:val="en-GB" w:eastAsia="cs-CZ"/>
        </w:rPr>
      </w:pPr>
    </w:p>
    <w:p w14:paraId="7457CF86" w14:textId="28099F54" w:rsidR="00393DDB" w:rsidRPr="00A91A09" w:rsidRDefault="00393DDB" w:rsidP="007C0B10">
      <w:pPr>
        <w:spacing w:after="0" w:line="240" w:lineRule="auto"/>
        <w:jc w:val="both"/>
        <w:rPr>
          <w:rFonts w:eastAsia="Times New Roman" w:cstheme="minorHAnsi"/>
          <w:sz w:val="24"/>
          <w:szCs w:val="24"/>
          <w:lang w:val="en-GB" w:eastAsia="cs-CZ"/>
        </w:rPr>
      </w:pPr>
      <w:r w:rsidRPr="00A91A09">
        <w:rPr>
          <w:rFonts w:cstheme="minorHAnsi"/>
          <w:sz w:val="24"/>
          <w:lang w:val="en-GB" w:bidi="en-GB"/>
        </w:rPr>
        <w:t>The largest share of own funds was put in class II and class III roads by the Pardubice Region. In the given period, its share was 60.2 %. By contrast, the smallest share of own funds was spent by the Pilsen Region in the period 2012-2016, i.e. 19.9 %.</w:t>
      </w:r>
    </w:p>
    <w:p w14:paraId="67C14C3A" w14:textId="77777777" w:rsidR="00B64F63" w:rsidRPr="00A91A09" w:rsidRDefault="00B64F63" w:rsidP="007C0B10">
      <w:pPr>
        <w:spacing w:after="0" w:line="240" w:lineRule="auto"/>
        <w:jc w:val="both"/>
        <w:rPr>
          <w:rFonts w:eastAsia="Times New Roman" w:cstheme="minorHAnsi"/>
          <w:sz w:val="24"/>
          <w:szCs w:val="24"/>
          <w:lang w:val="en-GB" w:eastAsia="cs-CZ"/>
        </w:rPr>
      </w:pPr>
    </w:p>
    <w:p w14:paraId="7D963358" w14:textId="77777777" w:rsidR="000C6DE3" w:rsidRPr="00A91A09" w:rsidRDefault="000C6DE3" w:rsidP="007C0B10">
      <w:pPr>
        <w:spacing w:after="0" w:line="240" w:lineRule="auto"/>
        <w:rPr>
          <w:rFonts w:eastAsia="Times New Roman" w:cstheme="minorHAnsi"/>
          <w:sz w:val="24"/>
          <w:szCs w:val="24"/>
          <w:lang w:val="en-GB" w:eastAsia="cs-CZ"/>
        </w:rPr>
      </w:pPr>
      <w:r w:rsidRPr="00A91A09">
        <w:rPr>
          <w:rFonts w:cstheme="minorHAnsi"/>
          <w:sz w:val="24"/>
          <w:lang w:val="en-GB" w:bidi="en-GB"/>
        </w:rPr>
        <w:br w:type="page"/>
      </w:r>
    </w:p>
    <w:p w14:paraId="063CB4DA" w14:textId="77777777" w:rsidR="00393DDB" w:rsidRPr="00A91A09" w:rsidRDefault="00393DDB" w:rsidP="006826FA">
      <w:pPr>
        <w:spacing w:after="0" w:line="240" w:lineRule="auto"/>
        <w:jc w:val="right"/>
        <w:rPr>
          <w:rFonts w:eastAsia="Times New Roman" w:cstheme="minorHAnsi"/>
          <w:b/>
          <w:sz w:val="24"/>
          <w:szCs w:val="24"/>
          <w:lang w:val="en-GB" w:eastAsia="cs-CZ"/>
        </w:rPr>
      </w:pPr>
      <w:r w:rsidRPr="00A91A09">
        <w:rPr>
          <w:rFonts w:cstheme="minorHAnsi"/>
          <w:b/>
          <w:sz w:val="24"/>
          <w:lang w:val="en-GB" w:bidi="en-GB"/>
        </w:rPr>
        <w:lastRenderedPageBreak/>
        <w:t>Annex 1</w:t>
      </w:r>
    </w:p>
    <w:p w14:paraId="61F2C8AA" w14:textId="77777777" w:rsidR="003F714E" w:rsidRPr="00A91A09" w:rsidRDefault="003F714E" w:rsidP="006826FA">
      <w:pPr>
        <w:spacing w:after="0" w:line="240" w:lineRule="auto"/>
        <w:jc w:val="right"/>
        <w:rPr>
          <w:rFonts w:eastAsia="Times New Roman" w:cstheme="minorHAnsi"/>
          <w:b/>
          <w:sz w:val="24"/>
          <w:szCs w:val="24"/>
          <w:lang w:val="en-GB" w:eastAsia="cs-CZ"/>
        </w:rPr>
      </w:pPr>
    </w:p>
    <w:p w14:paraId="3A0907D0" w14:textId="5F0F5640" w:rsidR="00393DDB" w:rsidRPr="00A91A09" w:rsidRDefault="00393DDB" w:rsidP="005E4B02">
      <w:pPr>
        <w:spacing w:after="0" w:line="240" w:lineRule="auto"/>
        <w:jc w:val="both"/>
        <w:rPr>
          <w:rFonts w:eastAsia="Times New Roman" w:cstheme="minorHAnsi"/>
          <w:b/>
          <w:sz w:val="24"/>
          <w:szCs w:val="32"/>
          <w:lang w:val="en-GB" w:eastAsia="cs-CZ"/>
        </w:rPr>
      </w:pPr>
      <w:r w:rsidRPr="00A91A09">
        <w:rPr>
          <w:rFonts w:cstheme="minorHAnsi"/>
          <w:b/>
          <w:sz w:val="24"/>
          <w:lang w:val="en-GB" w:bidi="en-GB"/>
        </w:rPr>
        <w:t>Comparison with the results of a similarly focused audit carried out by the SAO SR in 2014</w:t>
      </w:r>
    </w:p>
    <w:p w14:paraId="077D792D" w14:textId="77777777" w:rsidR="005E4B02" w:rsidRPr="00A91A09" w:rsidRDefault="005E4B02" w:rsidP="005E4B02">
      <w:pPr>
        <w:autoSpaceDE w:val="0"/>
        <w:autoSpaceDN w:val="0"/>
        <w:adjustRightInd w:val="0"/>
        <w:spacing w:after="0" w:line="240" w:lineRule="auto"/>
        <w:jc w:val="both"/>
        <w:rPr>
          <w:rFonts w:cstheme="minorHAnsi"/>
          <w:color w:val="000000"/>
          <w:sz w:val="24"/>
          <w:szCs w:val="24"/>
          <w:lang w:val="en-GB"/>
        </w:rPr>
      </w:pPr>
    </w:p>
    <w:p w14:paraId="739E792E" w14:textId="0AA56741" w:rsidR="00393DDB" w:rsidRPr="00A91A09" w:rsidRDefault="00393DDB" w:rsidP="005E4B02">
      <w:pPr>
        <w:autoSpaceDE w:val="0"/>
        <w:autoSpaceDN w:val="0"/>
        <w:adjustRightInd w:val="0"/>
        <w:spacing w:after="0" w:line="240" w:lineRule="auto"/>
        <w:jc w:val="both"/>
        <w:rPr>
          <w:rFonts w:cstheme="minorHAnsi"/>
          <w:color w:val="000000"/>
          <w:sz w:val="24"/>
          <w:szCs w:val="24"/>
          <w:lang w:val="en-GB"/>
        </w:rPr>
      </w:pPr>
      <w:r w:rsidRPr="00A91A09">
        <w:rPr>
          <w:rFonts w:cstheme="minorHAnsi"/>
          <w:sz w:val="24"/>
          <w:lang w:val="en-GB" w:bidi="en-GB"/>
        </w:rPr>
        <w:t xml:space="preserve">The Supreme Audit Office of the Slovak Republic carried out an audit in 2014 focused on the processes related to the maintenance, repair and development of networks of class II and class III roads managed by higher territorial self-governing units in Slovakia (hereinafter “SR”). The period under review was 2010-2012 with a possible overlap in the context of previous or subsequent periods. The </w:t>
      </w:r>
      <w:r w:rsidR="00C566C3">
        <w:rPr>
          <w:rFonts w:cstheme="minorHAnsi"/>
          <w:sz w:val="24"/>
          <w:lang w:val="en-GB" w:bidi="en-GB"/>
        </w:rPr>
        <w:t>auditees</w:t>
      </w:r>
      <w:r w:rsidRPr="00A91A09">
        <w:rPr>
          <w:rFonts w:cstheme="minorHAnsi"/>
          <w:sz w:val="24"/>
          <w:lang w:val="en-GB" w:bidi="en-GB"/>
        </w:rPr>
        <w:t xml:space="preserve"> were all regions and organisations established by them, which carried out maintenance, repairs and development of class II and class III roads. The Summary Report entitled </w:t>
      </w:r>
      <w:r w:rsidRPr="00A91A09">
        <w:rPr>
          <w:rFonts w:cstheme="minorHAnsi"/>
          <w:i/>
          <w:sz w:val="24"/>
          <w:lang w:val="en-GB" w:bidi="en-GB"/>
        </w:rPr>
        <w:t>Summary report on the outcome of the audit of the economy, efficiency and effectiveness of the funds spent on the construction, repair and maintenance of the roads managed by HTU and the tasks resulting for the HTU therefrom</w:t>
      </w:r>
      <w:r w:rsidRPr="00A91A09">
        <w:rPr>
          <w:rFonts w:cstheme="minorHAnsi"/>
          <w:sz w:val="24"/>
          <w:lang w:val="en-GB" w:bidi="en-GB"/>
        </w:rPr>
        <w:t xml:space="preserve"> was prepared and published after the audit, and the comparison uses the data provided in that Summary Report.</w:t>
      </w:r>
    </w:p>
    <w:p w14:paraId="219BBEA4" w14:textId="77777777" w:rsidR="006826FA" w:rsidRPr="00A91A09" w:rsidRDefault="006826FA" w:rsidP="005E4B02">
      <w:pPr>
        <w:autoSpaceDE w:val="0"/>
        <w:autoSpaceDN w:val="0"/>
        <w:adjustRightInd w:val="0"/>
        <w:spacing w:after="0" w:line="240" w:lineRule="auto"/>
        <w:jc w:val="both"/>
        <w:rPr>
          <w:rFonts w:cstheme="minorHAnsi"/>
          <w:color w:val="000000"/>
          <w:sz w:val="24"/>
          <w:szCs w:val="24"/>
          <w:u w:val="single"/>
          <w:lang w:val="en-GB"/>
        </w:rPr>
      </w:pPr>
    </w:p>
    <w:p w14:paraId="6EED66D4" w14:textId="77777777" w:rsidR="00393DDB" w:rsidRPr="00A91A09" w:rsidRDefault="00393DDB" w:rsidP="005E4B02">
      <w:pPr>
        <w:autoSpaceDE w:val="0"/>
        <w:autoSpaceDN w:val="0"/>
        <w:adjustRightInd w:val="0"/>
        <w:spacing w:after="0" w:line="240" w:lineRule="auto"/>
        <w:jc w:val="both"/>
        <w:rPr>
          <w:rFonts w:cstheme="minorHAnsi"/>
          <w:b/>
          <w:color w:val="000000"/>
          <w:sz w:val="24"/>
          <w:szCs w:val="24"/>
          <w:lang w:val="en-GB"/>
        </w:rPr>
      </w:pPr>
      <w:r w:rsidRPr="00A91A09">
        <w:rPr>
          <w:rFonts w:cstheme="minorHAnsi"/>
          <w:b/>
          <w:sz w:val="24"/>
          <w:lang w:val="en-GB" w:bidi="en-GB"/>
        </w:rPr>
        <w:t>1. Area of expenditure and costs of class II and class III roads</w:t>
      </w:r>
    </w:p>
    <w:p w14:paraId="248EB746" w14:textId="77777777" w:rsidR="005E4B02" w:rsidRPr="00A91A09" w:rsidRDefault="005E4B02" w:rsidP="005E4B02">
      <w:pPr>
        <w:spacing w:after="0" w:line="240" w:lineRule="auto"/>
        <w:jc w:val="both"/>
        <w:rPr>
          <w:rFonts w:eastAsia="Times New Roman" w:cstheme="minorHAnsi"/>
          <w:sz w:val="24"/>
          <w:szCs w:val="24"/>
          <w:lang w:val="en-GB" w:eastAsia="cs-CZ"/>
        </w:rPr>
      </w:pPr>
    </w:p>
    <w:p w14:paraId="1219AD68" w14:textId="4F2CA693" w:rsidR="008379DC" w:rsidRPr="00A91A09" w:rsidRDefault="00393DDB" w:rsidP="005E4B02">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The main benchmark was the cost of repairs and reconstruction of 1 km of regional roads, which, according to the Summary Report, reached values from approximately EUR 70,000 to EUR 230,000 for Slovak regions, as can be seen from Chart 9. At the exchange rate of CZK 25/EUR 1, these prices expressed in Czech crowns are between CZK 1,750,000 and CZK 5,750,000. </w:t>
      </w:r>
    </w:p>
    <w:p w14:paraId="7E1E325D" w14:textId="77777777" w:rsidR="008379DC" w:rsidRPr="00A91A09" w:rsidRDefault="008379DC" w:rsidP="005E4B02">
      <w:pPr>
        <w:spacing w:after="0" w:line="240" w:lineRule="auto"/>
        <w:jc w:val="both"/>
        <w:rPr>
          <w:rFonts w:eastAsia="Times New Roman" w:cstheme="minorHAnsi"/>
          <w:sz w:val="24"/>
          <w:szCs w:val="24"/>
          <w:lang w:val="en-GB" w:eastAsia="cs-CZ"/>
        </w:rPr>
      </w:pPr>
    </w:p>
    <w:p w14:paraId="677F13D7" w14:textId="71737C17" w:rsidR="008379DC" w:rsidRPr="00A91A09" w:rsidRDefault="008379DC" w:rsidP="00BE62A0">
      <w:pPr>
        <w:tabs>
          <w:tab w:val="right" w:pos="9072"/>
        </w:tabs>
        <w:spacing w:after="120" w:line="240" w:lineRule="auto"/>
        <w:ind w:left="993" w:hanging="993"/>
        <w:jc w:val="both"/>
        <w:rPr>
          <w:rFonts w:eastAsia="Times New Roman" w:cstheme="minorHAnsi"/>
          <w:b/>
          <w:sz w:val="24"/>
          <w:szCs w:val="24"/>
          <w:lang w:val="en-GB" w:eastAsia="cs-CZ"/>
        </w:rPr>
      </w:pPr>
      <w:r w:rsidRPr="00A91A09">
        <w:rPr>
          <w:rFonts w:cstheme="minorHAnsi"/>
          <w:b/>
          <w:sz w:val="24"/>
          <w:lang w:val="en-GB" w:bidi="en-GB"/>
        </w:rPr>
        <w:t>Chart 9</w:t>
      </w:r>
      <w:r w:rsidR="00BE62A0">
        <w:rPr>
          <w:rFonts w:cstheme="minorHAnsi"/>
          <w:b/>
          <w:sz w:val="24"/>
          <w:lang w:val="en-GB" w:bidi="en-GB"/>
        </w:rPr>
        <w:t xml:space="preserve"> </w:t>
      </w:r>
      <w:r w:rsidRPr="00A91A09">
        <w:rPr>
          <w:rFonts w:cstheme="minorHAnsi"/>
          <w:b/>
          <w:sz w:val="24"/>
          <w:lang w:val="en-GB" w:bidi="en-GB"/>
        </w:rPr>
        <w:t>–</w:t>
      </w:r>
      <w:r w:rsidR="00BE62A0">
        <w:rPr>
          <w:rFonts w:cstheme="minorHAnsi"/>
          <w:b/>
          <w:sz w:val="24"/>
          <w:lang w:val="en-GB" w:bidi="en-GB"/>
        </w:rPr>
        <w:t xml:space="preserve"> </w:t>
      </w:r>
      <w:r w:rsidRPr="00A91A09">
        <w:rPr>
          <w:rFonts w:cstheme="minorHAnsi"/>
          <w:b/>
          <w:sz w:val="24"/>
          <w:lang w:val="en-GB" w:bidi="en-GB"/>
        </w:rPr>
        <w:t>Average costs of reconstruction of 1 km of class II and class III roads in thousands of euros – Slovakia</w:t>
      </w:r>
      <w:r w:rsidRPr="00A91A09">
        <w:rPr>
          <w:rFonts w:cstheme="minorHAnsi"/>
          <w:b/>
          <w:sz w:val="24"/>
          <w:lang w:val="en-GB" w:bidi="en-GB"/>
        </w:rPr>
        <w:tab/>
      </w:r>
    </w:p>
    <w:p w14:paraId="11291B44" w14:textId="6A62A06F" w:rsidR="008379DC" w:rsidRPr="00A91A09" w:rsidRDefault="008379DC" w:rsidP="00393DDB">
      <w:pPr>
        <w:spacing w:after="120" w:line="240" w:lineRule="auto"/>
        <w:jc w:val="both"/>
        <w:rPr>
          <w:rFonts w:eastAsia="Times New Roman" w:cstheme="minorHAnsi"/>
          <w:sz w:val="24"/>
          <w:szCs w:val="24"/>
          <w:lang w:val="en-GB" w:eastAsia="cs-CZ"/>
        </w:rPr>
      </w:pPr>
      <w:r w:rsidRPr="00A91A09">
        <w:rPr>
          <w:rFonts w:cstheme="minorHAnsi"/>
          <w:noProof/>
          <w:lang w:val="cs-CZ" w:eastAsia="cs-CZ"/>
        </w:rPr>
        <w:drawing>
          <wp:inline distT="0" distB="0" distL="0" distR="0" wp14:anchorId="0B5CBDE6" wp14:editId="240F6648">
            <wp:extent cx="5760720" cy="2392163"/>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392163"/>
                    </a:xfrm>
                    <a:prstGeom prst="rect">
                      <a:avLst/>
                    </a:prstGeom>
                    <a:ln>
                      <a:noFill/>
                    </a:ln>
                    <a:effectLst>
                      <a:softEdge rad="112500"/>
                    </a:effectLst>
                  </pic:spPr>
                </pic:pic>
              </a:graphicData>
            </a:graphic>
          </wp:inline>
        </w:drawing>
      </w:r>
    </w:p>
    <w:p w14:paraId="7107B25A" w14:textId="3D474176" w:rsidR="008379DC" w:rsidRPr="00A91A09" w:rsidRDefault="008379DC" w:rsidP="00BE62A0">
      <w:pPr>
        <w:spacing w:after="0" w:line="240" w:lineRule="auto"/>
        <w:ind w:left="709" w:hanging="709"/>
        <w:jc w:val="both"/>
        <w:rPr>
          <w:rFonts w:cstheme="minorHAnsi"/>
          <w:color w:val="000000"/>
          <w:sz w:val="20"/>
          <w:szCs w:val="20"/>
          <w:lang w:val="en-GB"/>
        </w:rPr>
      </w:pPr>
      <w:r w:rsidRPr="00A91A09">
        <w:rPr>
          <w:rFonts w:cstheme="minorHAnsi"/>
          <w:b/>
          <w:sz w:val="20"/>
          <w:lang w:val="en-GB" w:bidi="en-GB"/>
        </w:rPr>
        <w:t xml:space="preserve">Source: </w:t>
      </w:r>
      <w:r w:rsidRPr="00A91A09">
        <w:rPr>
          <w:rFonts w:cstheme="minorHAnsi"/>
          <w:b/>
          <w:sz w:val="20"/>
          <w:lang w:val="en-GB" w:bidi="en-GB"/>
        </w:rPr>
        <w:tab/>
      </w:r>
      <w:r w:rsidRPr="00A91A09">
        <w:rPr>
          <w:rFonts w:cstheme="minorHAnsi"/>
          <w:i/>
          <w:sz w:val="20"/>
          <w:lang w:val="en-GB" w:bidi="en-GB"/>
        </w:rPr>
        <w:t>Summary report on the outcome of the audit of the economy, efficiency and effectiveness of the funds spent on the construction, repair and maintenance of the roads managed by HTU and the tasks resulting for the HTU therefrom</w:t>
      </w:r>
      <w:r w:rsidRPr="00A91A09">
        <w:rPr>
          <w:rFonts w:cstheme="minorHAnsi"/>
          <w:sz w:val="20"/>
          <w:lang w:val="en-GB" w:bidi="en-GB"/>
        </w:rPr>
        <w:t>, SAO of the Slovak Republic 2014.</w:t>
      </w:r>
    </w:p>
    <w:p w14:paraId="0D43E98F" w14:textId="77777777" w:rsidR="00E079E1" w:rsidRPr="00A91A09" w:rsidRDefault="00E079E1" w:rsidP="008379DC">
      <w:pPr>
        <w:spacing w:after="0" w:line="240" w:lineRule="auto"/>
        <w:jc w:val="both"/>
        <w:rPr>
          <w:rFonts w:cstheme="minorHAnsi"/>
          <w:color w:val="000000"/>
          <w:sz w:val="20"/>
          <w:szCs w:val="20"/>
          <w:lang w:val="en-GB"/>
        </w:rPr>
      </w:pPr>
    </w:p>
    <w:p w14:paraId="4F521ECE" w14:textId="0163DD82" w:rsidR="008379DC" w:rsidRPr="00A91A09" w:rsidRDefault="002E05ED" w:rsidP="008379DC">
      <w:pPr>
        <w:spacing w:after="0" w:line="240" w:lineRule="auto"/>
        <w:jc w:val="both"/>
        <w:rPr>
          <w:rFonts w:cstheme="minorHAnsi"/>
          <w:color w:val="000000"/>
          <w:sz w:val="20"/>
          <w:szCs w:val="20"/>
          <w:lang w:val="en-GB"/>
        </w:rPr>
      </w:pPr>
      <w:r w:rsidRPr="00A91A09">
        <w:rPr>
          <w:rFonts w:cstheme="minorHAnsi"/>
          <w:sz w:val="20"/>
          <w:lang w:val="en-GB" w:bidi="en-GB"/>
        </w:rPr>
        <w:t>Explanatory notes:</w:t>
      </w:r>
    </w:p>
    <w:p w14:paraId="1C74A545" w14:textId="1FACF782" w:rsidR="008379DC" w:rsidRPr="00A91A09" w:rsidRDefault="008379DC" w:rsidP="008379DC">
      <w:pPr>
        <w:spacing w:after="0" w:line="240" w:lineRule="auto"/>
        <w:jc w:val="both"/>
        <w:rPr>
          <w:rFonts w:eastAsia="Times New Roman" w:cstheme="minorHAnsi"/>
          <w:sz w:val="20"/>
          <w:szCs w:val="20"/>
          <w:lang w:val="en-GB" w:eastAsia="cs-CZ"/>
        </w:rPr>
      </w:pPr>
      <w:r w:rsidRPr="00A91A09">
        <w:rPr>
          <w:rFonts w:cstheme="minorHAnsi"/>
          <w:sz w:val="20"/>
          <w:lang w:val="en-GB" w:bidi="en-GB"/>
        </w:rPr>
        <w:t>BSK – Bratislava self-governing region, TTSK – Trnava self-governing region, TSK – Trenčín self-governing region, NSK – Nitra self-governing region, ŽSK – Žilina self-governing region, BBSK – Banská Bystrica self-governing region, KSK – Košice self-governing region, PSK – Prešov self-governing region.</w:t>
      </w:r>
    </w:p>
    <w:p w14:paraId="41F51924" w14:textId="77777777" w:rsidR="008379DC" w:rsidRPr="00A91A09" w:rsidRDefault="008379DC" w:rsidP="005D6760">
      <w:pPr>
        <w:spacing w:after="0" w:line="240" w:lineRule="auto"/>
        <w:jc w:val="both"/>
        <w:rPr>
          <w:rFonts w:eastAsia="Times New Roman" w:cstheme="minorHAnsi"/>
          <w:sz w:val="24"/>
          <w:szCs w:val="24"/>
          <w:lang w:val="en-GB" w:eastAsia="cs-CZ"/>
        </w:rPr>
      </w:pPr>
    </w:p>
    <w:p w14:paraId="72D24215" w14:textId="4BED7ED4" w:rsidR="006826FA" w:rsidRDefault="00393DDB" w:rsidP="005D6760">
      <w:pPr>
        <w:spacing w:after="0" w:line="240" w:lineRule="auto"/>
        <w:jc w:val="both"/>
        <w:rPr>
          <w:rFonts w:cstheme="minorHAnsi"/>
          <w:sz w:val="24"/>
          <w:lang w:val="en-GB" w:bidi="en-GB"/>
        </w:rPr>
      </w:pPr>
      <w:r w:rsidRPr="00A91A09">
        <w:rPr>
          <w:rFonts w:cstheme="minorHAnsi"/>
          <w:sz w:val="24"/>
          <w:lang w:val="en-GB" w:bidi="en-GB"/>
        </w:rPr>
        <w:lastRenderedPageBreak/>
        <w:t xml:space="preserve">The SAO CR audit found average values from about CZK 1,470,000 to CZK 14,000,000 for the </w:t>
      </w:r>
      <w:r w:rsidR="00C566C3">
        <w:rPr>
          <w:rFonts w:cstheme="minorHAnsi"/>
          <w:sz w:val="24"/>
          <w:lang w:val="en-GB" w:bidi="en-GB"/>
        </w:rPr>
        <w:t>auditees</w:t>
      </w:r>
      <w:r w:rsidRPr="00A91A09">
        <w:rPr>
          <w:rFonts w:cstheme="minorHAnsi"/>
          <w:sz w:val="24"/>
          <w:lang w:val="en-GB" w:bidi="en-GB"/>
        </w:rPr>
        <w:t xml:space="preserve"> in the period under review, see Table 15. </w:t>
      </w:r>
    </w:p>
    <w:p w14:paraId="7127714A" w14:textId="77777777" w:rsidR="00C47267" w:rsidRPr="00A91A09" w:rsidRDefault="00C47267" w:rsidP="005D6760">
      <w:pPr>
        <w:spacing w:after="0" w:line="240" w:lineRule="auto"/>
        <w:jc w:val="both"/>
        <w:rPr>
          <w:rFonts w:eastAsia="Times New Roman" w:cstheme="minorHAnsi"/>
          <w:sz w:val="24"/>
          <w:szCs w:val="24"/>
          <w:lang w:val="en-GB" w:eastAsia="cs-CZ"/>
        </w:rPr>
      </w:pPr>
    </w:p>
    <w:p w14:paraId="72CB7D68" w14:textId="6A71FC66" w:rsidR="007950F9" w:rsidRPr="00A91A09" w:rsidRDefault="007950F9" w:rsidP="005D6760">
      <w:pPr>
        <w:spacing w:after="40" w:line="240" w:lineRule="auto"/>
        <w:jc w:val="both"/>
        <w:rPr>
          <w:rFonts w:eastAsia="Times New Roman" w:cstheme="minorHAnsi"/>
          <w:b/>
          <w:sz w:val="24"/>
          <w:szCs w:val="24"/>
          <w:lang w:val="en-GB" w:eastAsia="cs-CZ"/>
        </w:rPr>
      </w:pPr>
      <w:r w:rsidRPr="00A91A09">
        <w:rPr>
          <w:rFonts w:cstheme="minorHAnsi"/>
          <w:b/>
          <w:sz w:val="24"/>
          <w:lang w:val="en-GB" w:bidi="en-GB"/>
        </w:rPr>
        <w:t>Table 15 – Costs per 1 km of repaired roads</w:t>
      </w:r>
    </w:p>
    <w:tbl>
      <w:tblPr>
        <w:tblW w:w="9067" w:type="dxa"/>
        <w:tblCellMar>
          <w:left w:w="70" w:type="dxa"/>
          <w:right w:w="70" w:type="dxa"/>
        </w:tblCellMar>
        <w:tblLook w:val="04A0" w:firstRow="1" w:lastRow="0" w:firstColumn="1" w:lastColumn="0" w:noHBand="0" w:noVBand="1"/>
      </w:tblPr>
      <w:tblGrid>
        <w:gridCol w:w="2405"/>
        <w:gridCol w:w="2268"/>
        <w:gridCol w:w="2268"/>
        <w:gridCol w:w="2126"/>
      </w:tblGrid>
      <w:tr w:rsidR="00BF34F6" w:rsidRPr="00A91A09" w14:paraId="0561C593" w14:textId="77777777" w:rsidTr="005F4712">
        <w:trPr>
          <w:trHeight w:val="227"/>
        </w:trPr>
        <w:tc>
          <w:tcPr>
            <w:tcW w:w="2405" w:type="dxa"/>
            <w:vMerge w:val="restart"/>
            <w:tcBorders>
              <w:top w:val="single" w:sz="4" w:space="0" w:color="auto"/>
              <w:left w:val="single" w:sz="4" w:space="0" w:color="auto"/>
              <w:right w:val="single" w:sz="4" w:space="0" w:color="auto"/>
            </w:tcBorders>
            <w:shd w:val="clear" w:color="auto" w:fill="E5F1FF"/>
            <w:noWrap/>
            <w:vAlign w:val="center"/>
            <w:hideMark/>
          </w:tcPr>
          <w:p w14:paraId="0396E6F0" w14:textId="2268EFB5" w:rsidR="00BF34F6" w:rsidRPr="00A91A09" w:rsidRDefault="00BF34F6" w:rsidP="007C0B10">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Beneficiary</w:t>
            </w:r>
          </w:p>
        </w:tc>
        <w:tc>
          <w:tcPr>
            <w:tcW w:w="6662" w:type="dxa"/>
            <w:gridSpan w:val="3"/>
            <w:tcBorders>
              <w:top w:val="single" w:sz="4" w:space="0" w:color="auto"/>
              <w:left w:val="nil"/>
              <w:bottom w:val="single" w:sz="4" w:space="0" w:color="auto"/>
              <w:right w:val="single" w:sz="4" w:space="0" w:color="000000"/>
            </w:tcBorders>
            <w:shd w:val="clear" w:color="auto" w:fill="E5F1FF"/>
            <w:vAlign w:val="center"/>
            <w:hideMark/>
          </w:tcPr>
          <w:p w14:paraId="4F2624E2" w14:textId="13AB56E4" w:rsidR="00BF34F6" w:rsidRPr="00A91A09" w:rsidRDefault="00BF34F6" w:rsidP="007C0B10">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Costs per 1 km of overall road repairs (in CZK exclusive of VAT)</w:t>
            </w:r>
          </w:p>
        </w:tc>
      </w:tr>
      <w:tr w:rsidR="00BF34F6" w:rsidRPr="00A91A09" w14:paraId="6F848811" w14:textId="77777777" w:rsidTr="005F4712">
        <w:trPr>
          <w:trHeight w:val="227"/>
        </w:trPr>
        <w:tc>
          <w:tcPr>
            <w:tcW w:w="2405" w:type="dxa"/>
            <w:vMerge/>
            <w:tcBorders>
              <w:left w:val="single" w:sz="4" w:space="0" w:color="auto"/>
              <w:bottom w:val="single" w:sz="4" w:space="0" w:color="auto"/>
              <w:right w:val="single" w:sz="4" w:space="0" w:color="auto"/>
            </w:tcBorders>
            <w:shd w:val="clear" w:color="auto" w:fill="E5F1FF"/>
            <w:noWrap/>
            <w:vAlign w:val="center"/>
            <w:hideMark/>
          </w:tcPr>
          <w:p w14:paraId="12E55938" w14:textId="178347DF" w:rsidR="00BF34F6" w:rsidRPr="00A91A09" w:rsidRDefault="00BF34F6" w:rsidP="007C0B10">
            <w:pPr>
              <w:spacing w:after="0" w:line="240" w:lineRule="auto"/>
              <w:jc w:val="center"/>
              <w:rPr>
                <w:rFonts w:eastAsia="Times New Roman" w:cstheme="minorHAnsi"/>
                <w:b/>
                <w:bCs/>
                <w:color w:val="000000"/>
                <w:sz w:val="20"/>
                <w:szCs w:val="20"/>
                <w:lang w:val="en-GB" w:eastAsia="cs-CZ"/>
              </w:rPr>
            </w:pPr>
          </w:p>
        </w:tc>
        <w:tc>
          <w:tcPr>
            <w:tcW w:w="2268" w:type="dxa"/>
            <w:tcBorders>
              <w:top w:val="nil"/>
              <w:left w:val="nil"/>
              <w:bottom w:val="single" w:sz="4" w:space="0" w:color="auto"/>
              <w:right w:val="single" w:sz="4" w:space="0" w:color="auto"/>
            </w:tcBorders>
            <w:shd w:val="clear" w:color="auto" w:fill="E5F1FF"/>
            <w:noWrap/>
            <w:vAlign w:val="center"/>
            <w:hideMark/>
          </w:tcPr>
          <w:p w14:paraId="039C7165" w14:textId="31ECD2A3" w:rsidR="00BF34F6" w:rsidRPr="00A91A09" w:rsidRDefault="00BF34F6" w:rsidP="007C0B10">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Min.</w:t>
            </w:r>
          </w:p>
        </w:tc>
        <w:tc>
          <w:tcPr>
            <w:tcW w:w="2268" w:type="dxa"/>
            <w:tcBorders>
              <w:top w:val="nil"/>
              <w:left w:val="nil"/>
              <w:bottom w:val="single" w:sz="4" w:space="0" w:color="auto"/>
              <w:right w:val="single" w:sz="4" w:space="0" w:color="auto"/>
            </w:tcBorders>
            <w:shd w:val="clear" w:color="auto" w:fill="E5F1FF"/>
            <w:noWrap/>
            <w:vAlign w:val="center"/>
            <w:hideMark/>
          </w:tcPr>
          <w:p w14:paraId="23B6DE13" w14:textId="65597B2C" w:rsidR="00BF34F6" w:rsidRPr="00A91A09" w:rsidRDefault="00BF34F6" w:rsidP="007C0B10">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Max.</w:t>
            </w:r>
          </w:p>
        </w:tc>
        <w:tc>
          <w:tcPr>
            <w:tcW w:w="2126" w:type="dxa"/>
            <w:tcBorders>
              <w:top w:val="nil"/>
              <w:left w:val="nil"/>
              <w:bottom w:val="single" w:sz="4" w:space="0" w:color="auto"/>
              <w:right w:val="single" w:sz="4" w:space="0" w:color="auto"/>
            </w:tcBorders>
            <w:shd w:val="clear" w:color="auto" w:fill="E5F1FF"/>
            <w:noWrap/>
            <w:vAlign w:val="center"/>
            <w:hideMark/>
          </w:tcPr>
          <w:p w14:paraId="39724316" w14:textId="3DBE85AB" w:rsidR="00BF34F6" w:rsidRPr="00A91A09" w:rsidRDefault="00BF34F6" w:rsidP="00BF34F6">
            <w:pPr>
              <w:spacing w:after="0" w:line="240" w:lineRule="auto"/>
              <w:jc w:val="center"/>
              <w:rPr>
                <w:rFonts w:eastAsia="Times New Roman" w:cstheme="minorHAnsi"/>
                <w:b/>
                <w:bCs/>
                <w:color w:val="000000"/>
                <w:sz w:val="20"/>
                <w:szCs w:val="20"/>
                <w:lang w:val="en-GB" w:eastAsia="cs-CZ"/>
              </w:rPr>
            </w:pPr>
            <w:r w:rsidRPr="00A91A09">
              <w:rPr>
                <w:rFonts w:cstheme="minorHAnsi"/>
                <w:b/>
                <w:sz w:val="20"/>
                <w:lang w:val="en-GB" w:bidi="en-GB"/>
              </w:rPr>
              <w:t>Diameter*</w:t>
            </w:r>
          </w:p>
        </w:tc>
      </w:tr>
      <w:tr w:rsidR="007950F9" w:rsidRPr="00A91A09" w14:paraId="4061262A"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A64F5A7" w14:textId="77777777" w:rsidR="007950F9" w:rsidRPr="00A91A09" w:rsidRDefault="001C0690" w:rsidP="007C0B10">
            <w:pPr>
              <w:spacing w:after="0" w:line="240" w:lineRule="auto"/>
              <w:rPr>
                <w:rFonts w:eastAsia="Times New Roman" w:cstheme="minorHAnsi"/>
                <w:color w:val="000000"/>
                <w:sz w:val="20"/>
                <w:szCs w:val="20"/>
                <w:lang w:val="en-GB" w:eastAsia="cs-CZ"/>
              </w:rPr>
            </w:pPr>
            <w:r w:rsidRPr="00A91A09">
              <w:rPr>
                <w:rFonts w:cstheme="minorHAnsi"/>
                <w:sz w:val="20"/>
                <w:lang w:val="en-GB" w:bidi="en-GB"/>
              </w:rPr>
              <w:t>SBR</w:t>
            </w:r>
          </w:p>
        </w:tc>
        <w:tc>
          <w:tcPr>
            <w:tcW w:w="2268" w:type="dxa"/>
            <w:tcBorders>
              <w:top w:val="nil"/>
              <w:left w:val="nil"/>
              <w:bottom w:val="single" w:sz="4" w:space="0" w:color="auto"/>
              <w:right w:val="single" w:sz="4" w:space="0" w:color="auto"/>
            </w:tcBorders>
            <w:shd w:val="clear" w:color="auto" w:fill="auto"/>
            <w:noWrap/>
            <w:vAlign w:val="center"/>
            <w:hideMark/>
          </w:tcPr>
          <w:p w14:paraId="1E30DCB7"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1,227,844.76</w:t>
            </w:r>
          </w:p>
        </w:tc>
        <w:tc>
          <w:tcPr>
            <w:tcW w:w="2268" w:type="dxa"/>
            <w:tcBorders>
              <w:top w:val="nil"/>
              <w:left w:val="nil"/>
              <w:bottom w:val="single" w:sz="4" w:space="0" w:color="auto"/>
              <w:right w:val="single" w:sz="4" w:space="0" w:color="auto"/>
            </w:tcBorders>
            <w:shd w:val="clear" w:color="auto" w:fill="auto"/>
            <w:noWrap/>
            <w:vAlign w:val="center"/>
            <w:hideMark/>
          </w:tcPr>
          <w:p w14:paraId="5390122D"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1,687,526.60</w:t>
            </w:r>
          </w:p>
        </w:tc>
        <w:tc>
          <w:tcPr>
            <w:tcW w:w="2126" w:type="dxa"/>
            <w:tcBorders>
              <w:top w:val="nil"/>
              <w:left w:val="nil"/>
              <w:bottom w:val="single" w:sz="4" w:space="0" w:color="auto"/>
              <w:right w:val="single" w:sz="4" w:space="0" w:color="auto"/>
            </w:tcBorders>
            <w:shd w:val="clear" w:color="auto" w:fill="auto"/>
            <w:noWrap/>
            <w:vAlign w:val="center"/>
            <w:hideMark/>
          </w:tcPr>
          <w:p w14:paraId="59161CF1"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1,472,978.41</w:t>
            </w:r>
          </w:p>
        </w:tc>
      </w:tr>
      <w:tr w:rsidR="007950F9" w:rsidRPr="00A91A09" w14:paraId="3606D41F"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01E036" w14:textId="77777777" w:rsidR="007950F9" w:rsidRPr="00A91A09" w:rsidRDefault="001C0690" w:rsidP="007C0B10">
            <w:pPr>
              <w:spacing w:after="0" w:line="240" w:lineRule="auto"/>
              <w:rPr>
                <w:rFonts w:eastAsia="Times New Roman" w:cstheme="minorHAnsi"/>
                <w:color w:val="000000"/>
                <w:sz w:val="20"/>
                <w:szCs w:val="20"/>
                <w:lang w:val="en-GB" w:eastAsia="cs-CZ"/>
              </w:rPr>
            </w:pPr>
            <w:r w:rsidRPr="00A91A09">
              <w:rPr>
                <w:rFonts w:cstheme="minorHAnsi"/>
                <w:sz w:val="20"/>
                <w:lang w:val="en-GB" w:bidi="en-GB"/>
              </w:rPr>
              <w:t>LR</w:t>
            </w:r>
          </w:p>
        </w:tc>
        <w:tc>
          <w:tcPr>
            <w:tcW w:w="2268" w:type="dxa"/>
            <w:tcBorders>
              <w:top w:val="nil"/>
              <w:left w:val="nil"/>
              <w:bottom w:val="single" w:sz="4" w:space="0" w:color="auto"/>
              <w:right w:val="single" w:sz="4" w:space="0" w:color="auto"/>
            </w:tcBorders>
            <w:shd w:val="clear" w:color="auto" w:fill="auto"/>
            <w:noWrap/>
            <w:vAlign w:val="center"/>
            <w:hideMark/>
          </w:tcPr>
          <w:p w14:paraId="65037858"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6,872,612.18</w:t>
            </w:r>
          </w:p>
        </w:tc>
        <w:tc>
          <w:tcPr>
            <w:tcW w:w="2268" w:type="dxa"/>
            <w:tcBorders>
              <w:top w:val="nil"/>
              <w:left w:val="nil"/>
              <w:bottom w:val="single" w:sz="4" w:space="0" w:color="auto"/>
              <w:right w:val="single" w:sz="4" w:space="0" w:color="auto"/>
            </w:tcBorders>
            <w:shd w:val="clear" w:color="auto" w:fill="auto"/>
            <w:noWrap/>
            <w:vAlign w:val="center"/>
            <w:hideMark/>
          </w:tcPr>
          <w:p w14:paraId="512CA40E"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9,987,354.43</w:t>
            </w:r>
          </w:p>
        </w:tc>
        <w:tc>
          <w:tcPr>
            <w:tcW w:w="2126" w:type="dxa"/>
            <w:tcBorders>
              <w:top w:val="nil"/>
              <w:left w:val="nil"/>
              <w:bottom w:val="single" w:sz="4" w:space="0" w:color="auto"/>
              <w:right w:val="single" w:sz="4" w:space="0" w:color="auto"/>
            </w:tcBorders>
            <w:shd w:val="clear" w:color="auto" w:fill="auto"/>
            <w:noWrap/>
            <w:vAlign w:val="center"/>
            <w:hideMark/>
          </w:tcPr>
          <w:p w14:paraId="389E8FFE"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8,357,246.69</w:t>
            </w:r>
          </w:p>
        </w:tc>
      </w:tr>
      <w:tr w:rsidR="007950F9" w:rsidRPr="00A91A09" w14:paraId="22DE9815"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0482BA" w14:textId="77777777" w:rsidR="007950F9" w:rsidRPr="00A91A09" w:rsidRDefault="007950F9" w:rsidP="007C0B10">
            <w:pPr>
              <w:spacing w:after="0" w:line="240" w:lineRule="auto"/>
              <w:rPr>
                <w:rFonts w:eastAsia="Times New Roman" w:cstheme="minorHAnsi"/>
                <w:color w:val="000000"/>
                <w:sz w:val="20"/>
                <w:szCs w:val="20"/>
                <w:lang w:val="en-GB" w:eastAsia="cs-CZ"/>
              </w:rPr>
            </w:pPr>
            <w:r w:rsidRPr="00A91A09">
              <w:rPr>
                <w:rFonts w:cstheme="minorHAnsi"/>
                <w:sz w:val="20"/>
                <w:lang w:val="en-GB" w:bidi="en-GB"/>
              </w:rPr>
              <w:t>MSR</w:t>
            </w:r>
          </w:p>
        </w:tc>
        <w:tc>
          <w:tcPr>
            <w:tcW w:w="2268" w:type="dxa"/>
            <w:tcBorders>
              <w:top w:val="nil"/>
              <w:left w:val="nil"/>
              <w:bottom w:val="single" w:sz="4" w:space="0" w:color="auto"/>
              <w:right w:val="single" w:sz="4" w:space="0" w:color="auto"/>
            </w:tcBorders>
            <w:shd w:val="clear" w:color="auto" w:fill="auto"/>
            <w:noWrap/>
            <w:vAlign w:val="center"/>
            <w:hideMark/>
          </w:tcPr>
          <w:p w14:paraId="2B17EEC4"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10,025,919.32</w:t>
            </w:r>
          </w:p>
        </w:tc>
        <w:tc>
          <w:tcPr>
            <w:tcW w:w="2268" w:type="dxa"/>
            <w:tcBorders>
              <w:top w:val="nil"/>
              <w:left w:val="nil"/>
              <w:bottom w:val="single" w:sz="4" w:space="0" w:color="auto"/>
              <w:right w:val="single" w:sz="4" w:space="0" w:color="auto"/>
            </w:tcBorders>
            <w:shd w:val="clear" w:color="auto" w:fill="auto"/>
            <w:noWrap/>
            <w:vAlign w:val="center"/>
            <w:hideMark/>
          </w:tcPr>
          <w:p w14:paraId="502F9CD5"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17,965,641.85</w:t>
            </w:r>
          </w:p>
        </w:tc>
        <w:tc>
          <w:tcPr>
            <w:tcW w:w="2126" w:type="dxa"/>
            <w:tcBorders>
              <w:top w:val="nil"/>
              <w:left w:val="nil"/>
              <w:bottom w:val="single" w:sz="4" w:space="0" w:color="auto"/>
              <w:right w:val="single" w:sz="4" w:space="0" w:color="auto"/>
            </w:tcBorders>
            <w:shd w:val="clear" w:color="auto" w:fill="auto"/>
            <w:noWrap/>
            <w:vAlign w:val="center"/>
            <w:hideMark/>
          </w:tcPr>
          <w:p w14:paraId="4DA08A18"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13,995,780.58</w:t>
            </w:r>
          </w:p>
        </w:tc>
      </w:tr>
      <w:tr w:rsidR="007950F9" w:rsidRPr="00A91A09" w14:paraId="2D7FA9DE"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7D1D8B" w14:textId="77777777" w:rsidR="007950F9" w:rsidRPr="00A91A09" w:rsidRDefault="001C0690" w:rsidP="007C0B10">
            <w:pPr>
              <w:spacing w:after="0" w:line="240" w:lineRule="auto"/>
              <w:rPr>
                <w:rFonts w:eastAsia="Times New Roman" w:cstheme="minorHAnsi"/>
                <w:color w:val="000000"/>
                <w:sz w:val="20"/>
                <w:szCs w:val="20"/>
                <w:lang w:val="en-GB" w:eastAsia="cs-CZ"/>
              </w:rPr>
            </w:pPr>
            <w:r w:rsidRPr="00A91A09">
              <w:rPr>
                <w:rFonts w:cstheme="minorHAnsi"/>
                <w:sz w:val="20"/>
                <w:lang w:val="en-GB" w:bidi="en-GB"/>
              </w:rPr>
              <w:t>PR</w:t>
            </w:r>
          </w:p>
        </w:tc>
        <w:tc>
          <w:tcPr>
            <w:tcW w:w="2268" w:type="dxa"/>
            <w:tcBorders>
              <w:top w:val="nil"/>
              <w:left w:val="nil"/>
              <w:bottom w:val="single" w:sz="4" w:space="0" w:color="auto"/>
              <w:right w:val="single" w:sz="4" w:space="0" w:color="auto"/>
            </w:tcBorders>
            <w:shd w:val="clear" w:color="auto" w:fill="auto"/>
            <w:noWrap/>
            <w:vAlign w:val="center"/>
            <w:hideMark/>
          </w:tcPr>
          <w:p w14:paraId="6AE33503"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7,643,007.25</w:t>
            </w:r>
          </w:p>
        </w:tc>
        <w:tc>
          <w:tcPr>
            <w:tcW w:w="2268" w:type="dxa"/>
            <w:tcBorders>
              <w:top w:val="nil"/>
              <w:left w:val="nil"/>
              <w:bottom w:val="single" w:sz="4" w:space="0" w:color="auto"/>
              <w:right w:val="single" w:sz="4" w:space="0" w:color="auto"/>
            </w:tcBorders>
            <w:shd w:val="clear" w:color="auto" w:fill="auto"/>
            <w:noWrap/>
            <w:vAlign w:val="center"/>
            <w:hideMark/>
          </w:tcPr>
          <w:p w14:paraId="297593ED"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10,216,177.78</w:t>
            </w:r>
          </w:p>
        </w:tc>
        <w:tc>
          <w:tcPr>
            <w:tcW w:w="2126" w:type="dxa"/>
            <w:tcBorders>
              <w:top w:val="nil"/>
              <w:left w:val="nil"/>
              <w:bottom w:val="single" w:sz="4" w:space="0" w:color="auto"/>
              <w:right w:val="single" w:sz="4" w:space="0" w:color="auto"/>
            </w:tcBorders>
            <w:shd w:val="clear" w:color="auto" w:fill="auto"/>
            <w:noWrap/>
            <w:vAlign w:val="center"/>
            <w:hideMark/>
          </w:tcPr>
          <w:p w14:paraId="1EB8AADD"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8,929,592.51</w:t>
            </w:r>
          </w:p>
        </w:tc>
      </w:tr>
      <w:tr w:rsidR="007950F9" w:rsidRPr="00A91A09" w14:paraId="0C5C0DEF"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A46B5D" w14:textId="77777777" w:rsidR="007950F9" w:rsidRPr="00A91A09" w:rsidRDefault="007950F9" w:rsidP="007C0B10">
            <w:pPr>
              <w:spacing w:after="0" w:line="240" w:lineRule="auto"/>
              <w:rPr>
                <w:rFonts w:eastAsia="Times New Roman" w:cstheme="minorHAnsi"/>
                <w:color w:val="000000"/>
                <w:sz w:val="20"/>
                <w:szCs w:val="20"/>
                <w:lang w:val="en-GB" w:eastAsia="cs-CZ"/>
              </w:rPr>
            </w:pPr>
            <w:r w:rsidRPr="00A91A09">
              <w:rPr>
                <w:rFonts w:cstheme="minorHAnsi"/>
                <w:sz w:val="20"/>
                <w:lang w:val="en-GB" w:bidi="en-GB"/>
              </w:rPr>
              <w:t>RMMSR</w:t>
            </w:r>
          </w:p>
        </w:tc>
        <w:tc>
          <w:tcPr>
            <w:tcW w:w="2268" w:type="dxa"/>
            <w:tcBorders>
              <w:top w:val="nil"/>
              <w:left w:val="nil"/>
              <w:bottom w:val="single" w:sz="4" w:space="0" w:color="auto"/>
              <w:right w:val="single" w:sz="4" w:space="0" w:color="auto"/>
            </w:tcBorders>
            <w:shd w:val="clear" w:color="auto" w:fill="auto"/>
            <w:noWrap/>
            <w:vAlign w:val="center"/>
            <w:hideMark/>
          </w:tcPr>
          <w:p w14:paraId="5FB78DB9"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1,425,266.16</w:t>
            </w:r>
          </w:p>
        </w:tc>
        <w:tc>
          <w:tcPr>
            <w:tcW w:w="2268" w:type="dxa"/>
            <w:tcBorders>
              <w:top w:val="nil"/>
              <w:left w:val="nil"/>
              <w:bottom w:val="single" w:sz="4" w:space="0" w:color="auto"/>
              <w:right w:val="single" w:sz="4" w:space="0" w:color="auto"/>
            </w:tcBorders>
            <w:shd w:val="clear" w:color="auto" w:fill="auto"/>
            <w:noWrap/>
            <w:vAlign w:val="center"/>
            <w:hideMark/>
          </w:tcPr>
          <w:p w14:paraId="1FC4E23A"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2,407,256.41</w:t>
            </w:r>
          </w:p>
        </w:tc>
        <w:tc>
          <w:tcPr>
            <w:tcW w:w="2126" w:type="dxa"/>
            <w:tcBorders>
              <w:top w:val="nil"/>
              <w:left w:val="nil"/>
              <w:bottom w:val="single" w:sz="4" w:space="0" w:color="auto"/>
              <w:right w:val="single" w:sz="4" w:space="0" w:color="auto"/>
            </w:tcBorders>
            <w:shd w:val="clear" w:color="auto" w:fill="auto"/>
            <w:noWrap/>
            <w:vAlign w:val="center"/>
            <w:hideMark/>
          </w:tcPr>
          <w:p w14:paraId="5F2793C0"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2,039,613.09</w:t>
            </w:r>
          </w:p>
        </w:tc>
      </w:tr>
      <w:tr w:rsidR="007950F9" w:rsidRPr="00A91A09" w14:paraId="6C2C8FA0"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8F53DB" w14:textId="77777777" w:rsidR="007950F9" w:rsidRPr="00A91A09" w:rsidRDefault="007950F9" w:rsidP="007C0B10">
            <w:pPr>
              <w:spacing w:after="0" w:line="240" w:lineRule="auto"/>
              <w:rPr>
                <w:rFonts w:eastAsia="Times New Roman" w:cstheme="minorHAnsi"/>
                <w:color w:val="000000"/>
                <w:sz w:val="20"/>
                <w:szCs w:val="20"/>
                <w:lang w:val="en-GB" w:eastAsia="cs-CZ"/>
              </w:rPr>
            </w:pPr>
            <w:r w:rsidRPr="00A91A09">
              <w:rPr>
                <w:rFonts w:cstheme="minorHAnsi"/>
                <w:sz w:val="20"/>
                <w:lang w:val="en-GB" w:bidi="en-GB"/>
              </w:rPr>
              <w:t>RMMPR</w:t>
            </w:r>
          </w:p>
        </w:tc>
        <w:tc>
          <w:tcPr>
            <w:tcW w:w="2268" w:type="dxa"/>
            <w:tcBorders>
              <w:top w:val="nil"/>
              <w:left w:val="nil"/>
              <w:bottom w:val="single" w:sz="4" w:space="0" w:color="auto"/>
              <w:right w:val="single" w:sz="4" w:space="0" w:color="auto"/>
            </w:tcBorders>
            <w:shd w:val="clear" w:color="auto" w:fill="auto"/>
            <w:noWrap/>
            <w:vAlign w:val="center"/>
            <w:hideMark/>
          </w:tcPr>
          <w:p w14:paraId="0F90BDB8"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5,379,030.37</w:t>
            </w:r>
          </w:p>
        </w:tc>
        <w:tc>
          <w:tcPr>
            <w:tcW w:w="2268" w:type="dxa"/>
            <w:tcBorders>
              <w:top w:val="nil"/>
              <w:left w:val="nil"/>
              <w:bottom w:val="single" w:sz="4" w:space="0" w:color="auto"/>
              <w:right w:val="single" w:sz="4" w:space="0" w:color="auto"/>
            </w:tcBorders>
            <w:shd w:val="clear" w:color="auto" w:fill="auto"/>
            <w:noWrap/>
            <w:vAlign w:val="center"/>
            <w:hideMark/>
          </w:tcPr>
          <w:p w14:paraId="3ECB086C"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5,379,030.37</w:t>
            </w:r>
          </w:p>
        </w:tc>
        <w:tc>
          <w:tcPr>
            <w:tcW w:w="2126" w:type="dxa"/>
            <w:tcBorders>
              <w:top w:val="nil"/>
              <w:left w:val="nil"/>
              <w:bottom w:val="single" w:sz="4" w:space="0" w:color="auto"/>
              <w:right w:val="single" w:sz="4" w:space="0" w:color="auto"/>
            </w:tcBorders>
            <w:shd w:val="clear" w:color="auto" w:fill="auto"/>
            <w:noWrap/>
            <w:vAlign w:val="center"/>
            <w:hideMark/>
          </w:tcPr>
          <w:p w14:paraId="0E0EE324"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5,379,030.37</w:t>
            </w:r>
          </w:p>
        </w:tc>
      </w:tr>
      <w:tr w:rsidR="007950F9" w:rsidRPr="00A91A09" w14:paraId="28457651" w14:textId="77777777" w:rsidTr="005D6760">
        <w:trPr>
          <w:trHeight w:val="22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48EEC22" w14:textId="77777777" w:rsidR="007950F9" w:rsidRPr="00A91A09" w:rsidRDefault="007950F9" w:rsidP="007C0B10">
            <w:pPr>
              <w:spacing w:after="0" w:line="240" w:lineRule="auto"/>
              <w:rPr>
                <w:rFonts w:eastAsia="Times New Roman" w:cstheme="minorHAnsi"/>
                <w:color w:val="000000"/>
                <w:sz w:val="20"/>
                <w:szCs w:val="20"/>
                <w:lang w:val="en-GB" w:eastAsia="cs-CZ"/>
              </w:rPr>
            </w:pPr>
            <w:r w:rsidRPr="00A91A09">
              <w:rPr>
                <w:rFonts w:cstheme="minorHAnsi"/>
                <w:sz w:val="20"/>
                <w:lang w:val="en-GB" w:bidi="en-GB"/>
              </w:rPr>
              <w:t>RMMPilR</w:t>
            </w:r>
          </w:p>
        </w:tc>
        <w:tc>
          <w:tcPr>
            <w:tcW w:w="2268" w:type="dxa"/>
            <w:tcBorders>
              <w:top w:val="nil"/>
              <w:left w:val="nil"/>
              <w:bottom w:val="single" w:sz="4" w:space="0" w:color="auto"/>
              <w:right w:val="single" w:sz="4" w:space="0" w:color="auto"/>
            </w:tcBorders>
            <w:shd w:val="clear" w:color="auto" w:fill="auto"/>
            <w:noWrap/>
            <w:vAlign w:val="center"/>
            <w:hideMark/>
          </w:tcPr>
          <w:p w14:paraId="7A058354"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2,455,476.86</w:t>
            </w:r>
          </w:p>
        </w:tc>
        <w:tc>
          <w:tcPr>
            <w:tcW w:w="2268" w:type="dxa"/>
            <w:tcBorders>
              <w:top w:val="nil"/>
              <w:left w:val="nil"/>
              <w:bottom w:val="single" w:sz="4" w:space="0" w:color="auto"/>
              <w:right w:val="single" w:sz="4" w:space="0" w:color="auto"/>
            </w:tcBorders>
            <w:shd w:val="clear" w:color="auto" w:fill="auto"/>
            <w:noWrap/>
            <w:vAlign w:val="center"/>
            <w:hideMark/>
          </w:tcPr>
          <w:p w14:paraId="408C2973"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8,274,386.76</w:t>
            </w:r>
          </w:p>
        </w:tc>
        <w:tc>
          <w:tcPr>
            <w:tcW w:w="2126" w:type="dxa"/>
            <w:tcBorders>
              <w:top w:val="nil"/>
              <w:left w:val="nil"/>
              <w:bottom w:val="single" w:sz="4" w:space="0" w:color="auto"/>
              <w:right w:val="single" w:sz="4" w:space="0" w:color="auto"/>
            </w:tcBorders>
            <w:shd w:val="clear" w:color="auto" w:fill="auto"/>
            <w:noWrap/>
            <w:vAlign w:val="center"/>
            <w:hideMark/>
          </w:tcPr>
          <w:p w14:paraId="5C1EE509" w14:textId="77777777" w:rsidR="007950F9" w:rsidRPr="00A91A09" w:rsidRDefault="007950F9" w:rsidP="005D6760">
            <w:pPr>
              <w:spacing w:after="0" w:line="240" w:lineRule="auto"/>
              <w:ind w:right="497"/>
              <w:jc w:val="right"/>
              <w:rPr>
                <w:rFonts w:eastAsia="Times New Roman" w:cstheme="minorHAnsi"/>
                <w:color w:val="000000"/>
                <w:sz w:val="20"/>
                <w:szCs w:val="20"/>
                <w:lang w:val="en-GB" w:eastAsia="cs-CZ"/>
              </w:rPr>
            </w:pPr>
            <w:r w:rsidRPr="00A91A09">
              <w:rPr>
                <w:rFonts w:cstheme="minorHAnsi"/>
                <w:sz w:val="20"/>
                <w:lang w:val="en-GB" w:bidi="en-GB"/>
              </w:rPr>
              <w:t>5,037,650.71</w:t>
            </w:r>
          </w:p>
        </w:tc>
      </w:tr>
    </w:tbl>
    <w:p w14:paraId="0BD8D86C" w14:textId="14B4F4B3" w:rsidR="007950F9" w:rsidRPr="00A91A09" w:rsidRDefault="007950F9" w:rsidP="007C0B10">
      <w:pPr>
        <w:spacing w:before="40" w:after="0" w:line="240" w:lineRule="auto"/>
        <w:jc w:val="both"/>
        <w:rPr>
          <w:rFonts w:eastAsia="Times New Roman" w:cstheme="minorHAnsi"/>
          <w:sz w:val="20"/>
          <w:szCs w:val="20"/>
          <w:lang w:val="en-GB" w:eastAsia="cs-CZ"/>
        </w:rPr>
      </w:pPr>
      <w:r w:rsidRPr="00A91A09">
        <w:rPr>
          <w:rFonts w:cstheme="minorHAnsi"/>
          <w:b/>
          <w:sz w:val="20"/>
          <w:lang w:val="en-GB" w:bidi="en-GB"/>
        </w:rPr>
        <w:t xml:space="preserve">Source: </w:t>
      </w:r>
      <w:r w:rsidRPr="00A91A09">
        <w:rPr>
          <w:rFonts w:cstheme="minorHAnsi"/>
          <w:sz w:val="20"/>
          <w:lang w:val="en-GB" w:bidi="en-GB"/>
        </w:rPr>
        <w:t xml:space="preserve">data obtained from the </w:t>
      </w:r>
      <w:r w:rsidR="00C566C3">
        <w:rPr>
          <w:rFonts w:cstheme="minorHAnsi"/>
          <w:sz w:val="20"/>
          <w:lang w:val="en-GB" w:bidi="en-GB"/>
        </w:rPr>
        <w:t>auditees</w:t>
      </w:r>
      <w:r w:rsidRPr="00A91A09">
        <w:rPr>
          <w:rFonts w:cstheme="minorHAnsi"/>
          <w:sz w:val="20"/>
          <w:lang w:val="en-GB" w:bidi="en-GB"/>
        </w:rPr>
        <w:t>.</w:t>
      </w:r>
    </w:p>
    <w:p w14:paraId="18F3564B" w14:textId="4EC0BD98" w:rsidR="007950F9" w:rsidRPr="00A91A09" w:rsidRDefault="007950F9" w:rsidP="007950F9">
      <w:pPr>
        <w:spacing w:after="0" w:line="240" w:lineRule="auto"/>
        <w:jc w:val="both"/>
        <w:rPr>
          <w:rFonts w:eastAsia="Times New Roman" w:cstheme="minorHAnsi"/>
          <w:sz w:val="20"/>
          <w:szCs w:val="20"/>
          <w:lang w:val="en-GB" w:eastAsia="cs-CZ"/>
        </w:rPr>
      </w:pPr>
      <w:r w:rsidRPr="00A91A09">
        <w:rPr>
          <w:rFonts w:cstheme="minorHAnsi"/>
          <w:sz w:val="20"/>
          <w:lang w:val="en-GB" w:bidi="en-GB"/>
        </w:rPr>
        <w:t xml:space="preserve">* The average values were calculated for all the audited projects of the </w:t>
      </w:r>
      <w:r w:rsidR="00C566C3">
        <w:rPr>
          <w:rFonts w:cstheme="minorHAnsi"/>
          <w:sz w:val="20"/>
          <w:lang w:val="en-GB" w:bidi="en-GB"/>
        </w:rPr>
        <w:t>auditee</w:t>
      </w:r>
      <w:r w:rsidRPr="00A91A09">
        <w:rPr>
          <w:rFonts w:cstheme="minorHAnsi"/>
          <w:sz w:val="20"/>
          <w:lang w:val="en-GB" w:bidi="en-GB"/>
        </w:rPr>
        <w:t xml:space="preserve"> in question.</w:t>
      </w:r>
    </w:p>
    <w:p w14:paraId="4A42316B" w14:textId="77777777" w:rsidR="007950F9" w:rsidRPr="00A91A09" w:rsidRDefault="007950F9" w:rsidP="005D6760">
      <w:pPr>
        <w:spacing w:after="0" w:line="240" w:lineRule="auto"/>
        <w:jc w:val="both"/>
        <w:rPr>
          <w:rFonts w:eastAsia="Times New Roman" w:cstheme="minorHAnsi"/>
          <w:sz w:val="24"/>
          <w:szCs w:val="24"/>
          <w:lang w:val="en-GB" w:eastAsia="cs-CZ"/>
        </w:rPr>
      </w:pPr>
    </w:p>
    <w:p w14:paraId="686EBC39" w14:textId="165F3DC5" w:rsidR="00227F69" w:rsidRPr="00A91A09" w:rsidRDefault="00211230" w:rsidP="005D6760">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The spread of the cost of repairs and modernisation of 1 km of regional roads in the Czech Republic and Slovakia is partly due to the fact that the data from the SR are presented in the form of average values for the whole individual regions, while in the case of the Czech Republic only for 23 actions in 5 regions; a certain impact is also caused by similar effects reported by the colleagues from the SAO SR in their Summary Report, for example the comparison does not take into account sections with different parameters of fragmentation, in some cases with newly built connections to existing roads, with different requirements for the rehabilitation of the base layers etc. </w:t>
      </w:r>
    </w:p>
    <w:p w14:paraId="7B37B530" w14:textId="77777777" w:rsidR="007C0B10" w:rsidRPr="00A91A09" w:rsidRDefault="007C0B10" w:rsidP="005D6760">
      <w:pPr>
        <w:spacing w:after="0" w:line="240" w:lineRule="auto"/>
        <w:jc w:val="both"/>
        <w:rPr>
          <w:rFonts w:eastAsia="Times New Roman" w:cstheme="minorHAnsi"/>
          <w:sz w:val="24"/>
          <w:szCs w:val="24"/>
          <w:lang w:val="en-GB" w:eastAsia="cs-CZ"/>
        </w:rPr>
      </w:pPr>
    </w:p>
    <w:p w14:paraId="232EF484" w14:textId="0F0DAE30" w:rsidR="00393DDB" w:rsidRPr="00A91A09" w:rsidRDefault="00393DDB" w:rsidP="005D6760">
      <w:pPr>
        <w:spacing w:after="0" w:line="240" w:lineRule="auto"/>
        <w:jc w:val="both"/>
        <w:rPr>
          <w:rFonts w:eastAsia="Times New Roman" w:cstheme="minorHAnsi"/>
          <w:sz w:val="24"/>
          <w:szCs w:val="24"/>
          <w:lang w:val="en-GB" w:eastAsia="cs-CZ"/>
        </w:rPr>
      </w:pPr>
      <w:r w:rsidRPr="00A91A09">
        <w:rPr>
          <w:rFonts w:cstheme="minorHAnsi"/>
          <w:sz w:val="24"/>
          <w:lang w:val="en-GB" w:bidi="en-GB"/>
        </w:rPr>
        <w:t>New road sections, rehabilitation of flood damage and repairs of bridge objects were not included in the comparison, as they were not included in the cost calculation in the SAO SR Summary Report. A graphical representation of costs is shown in Chart 10.</w:t>
      </w:r>
    </w:p>
    <w:p w14:paraId="5B672C04" w14:textId="77777777" w:rsidR="007C0B10" w:rsidRPr="00A91A09" w:rsidRDefault="007C0B10" w:rsidP="005D6760">
      <w:pPr>
        <w:spacing w:after="0" w:line="240" w:lineRule="auto"/>
        <w:jc w:val="both"/>
        <w:rPr>
          <w:rFonts w:eastAsia="Times New Roman" w:cstheme="minorHAnsi"/>
          <w:sz w:val="24"/>
          <w:szCs w:val="24"/>
          <w:lang w:val="en-GB" w:eastAsia="cs-CZ"/>
        </w:rPr>
      </w:pPr>
    </w:p>
    <w:p w14:paraId="20107AE9" w14:textId="1A78C32D" w:rsidR="00796121" w:rsidRPr="00A91A09" w:rsidRDefault="001A4511" w:rsidP="00BE62A0">
      <w:pPr>
        <w:tabs>
          <w:tab w:val="right" w:pos="9072"/>
        </w:tabs>
        <w:spacing w:after="40" w:line="240" w:lineRule="auto"/>
        <w:ind w:left="1191" w:hanging="1191"/>
        <w:jc w:val="both"/>
        <w:rPr>
          <w:rFonts w:eastAsia="Times New Roman" w:cstheme="minorHAnsi"/>
          <w:b/>
          <w:sz w:val="24"/>
          <w:szCs w:val="24"/>
          <w:lang w:val="en-GB" w:eastAsia="cs-CZ"/>
        </w:rPr>
      </w:pPr>
      <w:r w:rsidRPr="00A91A09">
        <w:rPr>
          <w:rFonts w:cstheme="minorHAnsi"/>
          <w:noProof/>
          <w:sz w:val="24"/>
          <w:u w:val="single"/>
          <w:lang w:val="cs-CZ" w:eastAsia="cs-CZ"/>
        </w:rPr>
        <w:drawing>
          <wp:anchor distT="0" distB="0" distL="114300" distR="114300" simplePos="0" relativeHeight="251652096" behindDoc="0" locked="0" layoutInCell="1" allowOverlap="1" wp14:anchorId="43C7EBE2" wp14:editId="43BE9BE3">
            <wp:simplePos x="0" y="0"/>
            <wp:positionH relativeFrom="column">
              <wp:posOffset>-25400</wp:posOffset>
            </wp:positionH>
            <wp:positionV relativeFrom="paragraph">
              <wp:posOffset>442595</wp:posOffset>
            </wp:positionV>
            <wp:extent cx="5717540" cy="2571750"/>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1754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121" w:rsidRPr="00A91A09">
        <w:rPr>
          <w:rFonts w:cstheme="minorHAnsi"/>
          <w:b/>
          <w:sz w:val="24"/>
          <w:lang w:val="en-GB" w:bidi="en-GB"/>
        </w:rPr>
        <w:t>Chart 10 –</w:t>
      </w:r>
      <w:r w:rsidR="00BE62A0">
        <w:rPr>
          <w:rFonts w:cstheme="minorHAnsi"/>
          <w:b/>
          <w:sz w:val="24"/>
          <w:lang w:val="en-GB" w:bidi="en-GB"/>
        </w:rPr>
        <w:t xml:space="preserve"> </w:t>
      </w:r>
      <w:r w:rsidR="00796121" w:rsidRPr="00A91A09">
        <w:rPr>
          <w:rFonts w:cstheme="minorHAnsi"/>
          <w:b/>
          <w:sz w:val="24"/>
          <w:lang w:val="en-GB" w:bidi="en-GB"/>
        </w:rPr>
        <w:t>Comparison of average costs of reconstruction of 1 km of class II and class III roads in the Czech Republic and Slovakia</w:t>
      </w:r>
    </w:p>
    <w:p w14:paraId="653F1222" w14:textId="77777777" w:rsidR="00C47267" w:rsidRDefault="00C47267" w:rsidP="005D6760">
      <w:pPr>
        <w:autoSpaceDE w:val="0"/>
        <w:autoSpaceDN w:val="0"/>
        <w:adjustRightInd w:val="0"/>
        <w:spacing w:after="0" w:line="240" w:lineRule="auto"/>
        <w:jc w:val="both"/>
        <w:rPr>
          <w:rFonts w:cstheme="minorHAnsi"/>
          <w:b/>
          <w:sz w:val="24"/>
          <w:lang w:val="en-GB" w:bidi="en-GB"/>
        </w:rPr>
      </w:pPr>
    </w:p>
    <w:p w14:paraId="17C7304D" w14:textId="77777777" w:rsidR="00C47267" w:rsidRDefault="00C47267">
      <w:pPr>
        <w:rPr>
          <w:rFonts w:cstheme="minorHAnsi"/>
          <w:b/>
          <w:sz w:val="24"/>
          <w:lang w:val="en-GB" w:bidi="en-GB"/>
        </w:rPr>
      </w:pPr>
      <w:r>
        <w:rPr>
          <w:rFonts w:cstheme="minorHAnsi"/>
          <w:b/>
          <w:sz w:val="24"/>
          <w:lang w:val="en-GB" w:bidi="en-GB"/>
        </w:rPr>
        <w:br w:type="page"/>
      </w:r>
    </w:p>
    <w:p w14:paraId="697D6AD0" w14:textId="3FA77F30" w:rsidR="00393DDB" w:rsidRPr="00A91A09" w:rsidRDefault="00393DDB" w:rsidP="005D6760">
      <w:pPr>
        <w:autoSpaceDE w:val="0"/>
        <w:autoSpaceDN w:val="0"/>
        <w:adjustRightInd w:val="0"/>
        <w:spacing w:after="0" w:line="240" w:lineRule="auto"/>
        <w:jc w:val="both"/>
        <w:rPr>
          <w:rFonts w:cstheme="minorHAnsi"/>
          <w:b/>
          <w:color w:val="000000"/>
          <w:sz w:val="24"/>
          <w:szCs w:val="24"/>
          <w:lang w:val="en-GB"/>
        </w:rPr>
      </w:pPr>
      <w:r w:rsidRPr="00A91A09">
        <w:rPr>
          <w:rFonts w:cstheme="minorHAnsi"/>
          <w:b/>
          <w:sz w:val="24"/>
          <w:lang w:val="en-GB" w:bidi="en-GB"/>
        </w:rPr>
        <w:lastRenderedPageBreak/>
        <w:t>2. Area of funding sources</w:t>
      </w:r>
    </w:p>
    <w:p w14:paraId="0B778F7F" w14:textId="77777777" w:rsidR="005E4B02" w:rsidRPr="00A91A09" w:rsidRDefault="005E4B02" w:rsidP="005D6760">
      <w:pPr>
        <w:spacing w:after="0" w:line="240" w:lineRule="auto"/>
        <w:jc w:val="both"/>
        <w:rPr>
          <w:rFonts w:eastAsia="Times New Roman" w:cstheme="minorHAnsi"/>
          <w:sz w:val="24"/>
          <w:szCs w:val="24"/>
          <w:lang w:val="en-GB" w:eastAsia="cs-CZ"/>
        </w:rPr>
      </w:pPr>
    </w:p>
    <w:p w14:paraId="04C8BE20" w14:textId="4E911EC8" w:rsidR="00393DDB" w:rsidRDefault="00393DDB" w:rsidP="005D6760">
      <w:pPr>
        <w:spacing w:after="0" w:line="240" w:lineRule="auto"/>
        <w:jc w:val="both"/>
        <w:rPr>
          <w:rFonts w:cstheme="minorHAnsi"/>
          <w:sz w:val="24"/>
          <w:lang w:val="en-GB" w:bidi="en-GB"/>
        </w:rPr>
      </w:pPr>
      <w:r w:rsidRPr="00A91A09">
        <w:rPr>
          <w:rFonts w:cstheme="minorHAnsi"/>
          <w:sz w:val="24"/>
          <w:lang w:val="en-GB" w:bidi="en-GB"/>
        </w:rPr>
        <w:t>The comparison of the sources of financing showed a different situation between the Czech Republic and Slovakia both in the area of subsidies and in the area of own funds of regions. The situation in the Slovak Republic is shown in Chart 11, which shows that the largest share of funding for regional roads (including summer and winter maintenance) can be attributed to own funds. These include the tax on motor vehicles, which constitutes the income of regions in the SR. The EU subsidies accounted for 27 % of the funds spent on regional roads in the period under review.</w:t>
      </w:r>
    </w:p>
    <w:p w14:paraId="3056CF80" w14:textId="77777777" w:rsidR="00C47267" w:rsidRPr="00A91A09" w:rsidRDefault="00C47267" w:rsidP="005D6760">
      <w:pPr>
        <w:spacing w:after="0" w:line="240" w:lineRule="auto"/>
        <w:jc w:val="both"/>
        <w:rPr>
          <w:rFonts w:eastAsia="Times New Roman" w:cstheme="minorHAnsi"/>
          <w:sz w:val="24"/>
          <w:szCs w:val="24"/>
          <w:lang w:val="en-GB" w:eastAsia="cs-CZ"/>
        </w:rPr>
      </w:pPr>
    </w:p>
    <w:p w14:paraId="43622E83" w14:textId="5972DA5A" w:rsidR="00393DDB" w:rsidRPr="00A91A09" w:rsidRDefault="00393DDB" w:rsidP="003B4789">
      <w:pPr>
        <w:keepNext/>
        <w:tabs>
          <w:tab w:val="right" w:pos="9072"/>
        </w:tabs>
        <w:spacing w:after="40" w:line="240" w:lineRule="auto"/>
        <w:ind w:left="1276" w:hanging="1276"/>
        <w:jc w:val="both"/>
        <w:rPr>
          <w:rFonts w:eastAsia="Times New Roman" w:cstheme="minorHAnsi"/>
          <w:b/>
          <w:sz w:val="24"/>
          <w:szCs w:val="24"/>
          <w:lang w:val="en-GB" w:eastAsia="cs-CZ"/>
        </w:rPr>
      </w:pPr>
      <w:r w:rsidRPr="00A91A09">
        <w:rPr>
          <w:rFonts w:cstheme="minorHAnsi"/>
          <w:b/>
          <w:sz w:val="24"/>
          <w:lang w:val="en-GB" w:bidi="en-GB"/>
        </w:rPr>
        <w:t>Chart 11 –</w:t>
      </w:r>
      <w:r w:rsidR="00BE62A0">
        <w:rPr>
          <w:rFonts w:cstheme="minorHAnsi"/>
          <w:b/>
          <w:sz w:val="24"/>
          <w:lang w:val="en-GB" w:bidi="en-GB"/>
        </w:rPr>
        <w:t xml:space="preserve"> </w:t>
      </w:r>
      <w:r w:rsidRPr="00A91A09">
        <w:rPr>
          <w:rFonts w:cstheme="minorHAnsi"/>
          <w:b/>
          <w:sz w:val="24"/>
          <w:lang w:val="en-GB" w:bidi="en-GB"/>
        </w:rPr>
        <w:t>Structure of sources of financing in the Slovak Republic in 2010-2012</w:t>
      </w:r>
      <w:r w:rsidRPr="00A91A09">
        <w:rPr>
          <w:rFonts w:cstheme="minorHAnsi"/>
          <w:b/>
          <w:sz w:val="24"/>
          <w:lang w:val="en-GB" w:bidi="en-GB"/>
        </w:rPr>
        <w:tab/>
      </w:r>
    </w:p>
    <w:p w14:paraId="6E828755" w14:textId="48293C9E" w:rsidR="002521D7" w:rsidRPr="00A91A09" w:rsidRDefault="00136A70" w:rsidP="007C0B10">
      <w:pPr>
        <w:keepNext/>
        <w:spacing w:after="0" w:line="240" w:lineRule="auto"/>
        <w:jc w:val="both"/>
        <w:rPr>
          <w:rFonts w:eastAsia="Times New Roman" w:cstheme="minorHAnsi"/>
          <w:sz w:val="24"/>
          <w:szCs w:val="24"/>
          <w:lang w:val="en-GB" w:eastAsia="cs-CZ"/>
        </w:rPr>
      </w:pPr>
      <w:r>
        <w:rPr>
          <w:rFonts w:eastAsia="Times New Roman" w:cstheme="minorHAnsi"/>
          <w:noProof/>
          <w:sz w:val="24"/>
          <w:szCs w:val="24"/>
          <w:lang w:val="cs-CZ" w:eastAsia="cs-CZ"/>
        </w:rPr>
        <w:drawing>
          <wp:inline distT="0" distB="0" distL="0" distR="0" wp14:anchorId="71075435" wp14:editId="5C5E282F">
            <wp:extent cx="5701220" cy="2878049"/>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rt_11.png"/>
                    <pic:cNvPicPr/>
                  </pic:nvPicPr>
                  <pic:blipFill>
                    <a:blip r:embed="rId22">
                      <a:extLst>
                        <a:ext uri="{28A0092B-C50C-407E-A947-70E740481C1C}">
                          <a14:useLocalDpi xmlns:a14="http://schemas.microsoft.com/office/drawing/2010/main" val="0"/>
                        </a:ext>
                      </a:extLst>
                    </a:blip>
                    <a:stretch>
                      <a:fillRect/>
                    </a:stretch>
                  </pic:blipFill>
                  <pic:spPr>
                    <a:xfrm>
                      <a:off x="0" y="0"/>
                      <a:ext cx="5701220" cy="2878049"/>
                    </a:xfrm>
                    <a:prstGeom prst="rect">
                      <a:avLst/>
                    </a:prstGeom>
                  </pic:spPr>
                </pic:pic>
              </a:graphicData>
            </a:graphic>
          </wp:inline>
        </w:drawing>
      </w:r>
    </w:p>
    <w:p w14:paraId="7C9A2D41" w14:textId="77777777" w:rsidR="00393DDB" w:rsidRPr="00A91A09" w:rsidRDefault="00393DDB" w:rsidP="005D6760">
      <w:pPr>
        <w:spacing w:after="0" w:line="240" w:lineRule="auto"/>
        <w:jc w:val="both"/>
        <w:rPr>
          <w:rFonts w:eastAsia="Times New Roman" w:cstheme="minorHAnsi"/>
          <w:sz w:val="24"/>
          <w:szCs w:val="24"/>
          <w:lang w:val="en-GB" w:eastAsia="cs-CZ"/>
        </w:rPr>
      </w:pPr>
    </w:p>
    <w:p w14:paraId="41C701FC" w14:textId="7626C5B4" w:rsidR="008379DC" w:rsidRPr="00A91A09" w:rsidRDefault="00393DDB" w:rsidP="005D6760">
      <w:pPr>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The situation in the Czech Republic was not audited in nationwide terms, therefore the structure of sources of funds spent on repairs and modernisation of the regional roads constitutes a sum for 4 regions – the Liberec, Moravian-Silesian, Pardubice and Pilsen Regions, i.e. regions from which data were collected for the whole region. It can be seen from Chart 12 that almost ⅔ of the funds spent came from subsidies from the EU (51.6 %), the </w:t>
      </w:r>
      <w:r w:rsidR="004D23C2">
        <w:rPr>
          <w:rFonts w:cstheme="minorHAnsi"/>
          <w:sz w:val="24"/>
          <w:lang w:val="en-GB" w:bidi="en-GB"/>
        </w:rPr>
        <w:t>SFDI</w:t>
      </w:r>
      <w:r w:rsidRPr="00A91A09">
        <w:rPr>
          <w:rFonts w:cstheme="minorHAnsi"/>
          <w:sz w:val="24"/>
          <w:lang w:val="en-GB" w:bidi="en-GB"/>
        </w:rPr>
        <w:t xml:space="preserve"> (13.5 %) and the Ministry for Regional Development (0.1 %). The regions’ own resources covered 34.8 % of the expenditure. </w:t>
      </w:r>
    </w:p>
    <w:p w14:paraId="0AA405A1" w14:textId="77777777" w:rsidR="007C0B10" w:rsidRPr="00A91A09" w:rsidRDefault="007C0B10" w:rsidP="005D6760">
      <w:pPr>
        <w:spacing w:after="0" w:line="240" w:lineRule="auto"/>
        <w:jc w:val="both"/>
        <w:rPr>
          <w:rFonts w:eastAsia="Times New Roman" w:cstheme="minorHAnsi"/>
          <w:sz w:val="24"/>
          <w:szCs w:val="24"/>
          <w:lang w:val="en-GB" w:eastAsia="cs-CZ"/>
        </w:rPr>
      </w:pPr>
    </w:p>
    <w:p w14:paraId="5178A63D" w14:textId="77777777" w:rsidR="00393DDB" w:rsidRPr="00A91A09" w:rsidRDefault="00393DDB" w:rsidP="005D6760">
      <w:pPr>
        <w:spacing w:after="0" w:line="240" w:lineRule="auto"/>
        <w:jc w:val="both"/>
        <w:rPr>
          <w:rFonts w:eastAsia="Times New Roman" w:cstheme="minorHAnsi"/>
          <w:sz w:val="24"/>
          <w:szCs w:val="24"/>
          <w:lang w:val="en-GB" w:eastAsia="cs-CZ"/>
        </w:rPr>
      </w:pPr>
      <w:r w:rsidRPr="00A91A09">
        <w:rPr>
          <w:rFonts w:cstheme="minorHAnsi"/>
          <w:sz w:val="24"/>
          <w:lang w:val="en-GB" w:bidi="en-GB"/>
        </w:rPr>
        <w:t>These sums did not include funds spent on summer and winter road maintenance, which was not subject to Audit No. 17/09.</w:t>
      </w:r>
    </w:p>
    <w:p w14:paraId="38E88499" w14:textId="77777777" w:rsidR="002D1EE4" w:rsidRPr="00A91A09" w:rsidRDefault="002D1EE4" w:rsidP="003B4789">
      <w:pPr>
        <w:tabs>
          <w:tab w:val="right" w:pos="9072"/>
        </w:tabs>
        <w:spacing w:after="40" w:line="240" w:lineRule="auto"/>
        <w:ind w:left="1276" w:hanging="1276"/>
        <w:jc w:val="both"/>
        <w:rPr>
          <w:rFonts w:eastAsia="Times New Roman" w:cstheme="minorHAnsi"/>
          <w:b/>
          <w:sz w:val="24"/>
          <w:szCs w:val="24"/>
          <w:lang w:val="en-GB" w:eastAsia="cs-CZ"/>
        </w:rPr>
      </w:pPr>
    </w:p>
    <w:p w14:paraId="4224526F" w14:textId="77777777" w:rsidR="00C47267" w:rsidRDefault="00C47267">
      <w:pPr>
        <w:rPr>
          <w:rFonts w:cstheme="minorHAnsi"/>
          <w:b/>
          <w:sz w:val="24"/>
          <w:lang w:val="en-GB" w:bidi="en-GB"/>
        </w:rPr>
      </w:pPr>
      <w:r>
        <w:rPr>
          <w:rFonts w:cstheme="minorHAnsi"/>
          <w:b/>
          <w:sz w:val="24"/>
          <w:lang w:val="en-GB" w:bidi="en-GB"/>
        </w:rPr>
        <w:br w:type="page"/>
      </w:r>
    </w:p>
    <w:p w14:paraId="194E75F4" w14:textId="5F413B5B" w:rsidR="00393DDB" w:rsidRPr="00A91A09" w:rsidRDefault="00393DDB" w:rsidP="00344093">
      <w:pPr>
        <w:tabs>
          <w:tab w:val="right" w:pos="9072"/>
        </w:tabs>
        <w:spacing w:after="40" w:line="240" w:lineRule="auto"/>
        <w:ind w:left="1134" w:hanging="1134"/>
        <w:jc w:val="both"/>
        <w:rPr>
          <w:rFonts w:eastAsia="Times New Roman" w:cstheme="minorHAnsi"/>
          <w:b/>
          <w:sz w:val="24"/>
          <w:szCs w:val="24"/>
          <w:lang w:val="en-GB" w:eastAsia="cs-CZ"/>
        </w:rPr>
      </w:pPr>
      <w:r w:rsidRPr="00A91A09">
        <w:rPr>
          <w:rFonts w:cstheme="minorHAnsi"/>
          <w:b/>
          <w:sz w:val="24"/>
          <w:lang w:val="en-GB" w:bidi="en-GB"/>
        </w:rPr>
        <w:lastRenderedPageBreak/>
        <w:t>Chart 12</w:t>
      </w:r>
      <w:r w:rsidR="00344093">
        <w:rPr>
          <w:rFonts w:cstheme="minorHAnsi"/>
          <w:b/>
          <w:sz w:val="24"/>
          <w:lang w:val="en-GB" w:bidi="en-GB"/>
        </w:rPr>
        <w:t xml:space="preserve"> </w:t>
      </w:r>
      <w:r w:rsidRPr="00A91A09">
        <w:rPr>
          <w:rFonts w:cstheme="minorHAnsi"/>
          <w:b/>
          <w:sz w:val="24"/>
          <w:lang w:val="en-GB" w:bidi="en-GB"/>
        </w:rPr>
        <w:t>–</w:t>
      </w:r>
      <w:r w:rsidR="00344093">
        <w:rPr>
          <w:rFonts w:cstheme="minorHAnsi"/>
          <w:b/>
          <w:sz w:val="24"/>
          <w:lang w:val="en-GB" w:bidi="en-GB"/>
        </w:rPr>
        <w:t xml:space="preserve"> </w:t>
      </w:r>
      <w:r w:rsidRPr="00A91A09">
        <w:rPr>
          <w:rFonts w:cstheme="minorHAnsi"/>
          <w:b/>
          <w:sz w:val="24"/>
          <w:lang w:val="en-GB" w:bidi="en-GB"/>
        </w:rPr>
        <w:t>Structure of sources of financing in 2012-2016 – selected regions of the Czech Republic</w:t>
      </w:r>
      <w:r w:rsidRPr="00A91A09">
        <w:rPr>
          <w:rFonts w:cstheme="minorHAnsi"/>
          <w:b/>
          <w:sz w:val="24"/>
          <w:lang w:val="en-GB" w:bidi="en-GB"/>
        </w:rPr>
        <w:tab/>
      </w:r>
    </w:p>
    <w:p w14:paraId="720FBFDE" w14:textId="4A41767C" w:rsidR="00393DDB" w:rsidRPr="00A91A09" w:rsidRDefault="00136A70" w:rsidP="00393DDB">
      <w:pPr>
        <w:spacing w:after="0" w:line="240" w:lineRule="auto"/>
        <w:jc w:val="both"/>
        <w:rPr>
          <w:rFonts w:eastAsia="Times New Roman" w:cstheme="minorHAnsi"/>
          <w:sz w:val="24"/>
          <w:szCs w:val="24"/>
          <w:lang w:val="en-GB" w:eastAsia="cs-CZ"/>
        </w:rPr>
      </w:pPr>
      <w:r>
        <w:rPr>
          <w:rFonts w:eastAsia="Times New Roman" w:cstheme="minorHAnsi"/>
          <w:noProof/>
          <w:sz w:val="24"/>
          <w:szCs w:val="24"/>
          <w:lang w:val="cs-CZ" w:eastAsia="cs-CZ"/>
        </w:rPr>
        <w:drawing>
          <wp:inline distT="0" distB="0" distL="0" distR="0" wp14:anchorId="0B9EC21F" wp14:editId="5DC1E4B7">
            <wp:extent cx="5760720" cy="2874010"/>
            <wp:effectExtent l="0" t="0" r="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rt_12.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2874010"/>
                    </a:xfrm>
                    <a:prstGeom prst="rect">
                      <a:avLst/>
                    </a:prstGeom>
                  </pic:spPr>
                </pic:pic>
              </a:graphicData>
            </a:graphic>
          </wp:inline>
        </w:drawing>
      </w:r>
    </w:p>
    <w:p w14:paraId="6140AA9F" w14:textId="77777777" w:rsidR="007C0B10" w:rsidRPr="00A91A09" w:rsidRDefault="007C0B10" w:rsidP="005D6760">
      <w:pPr>
        <w:spacing w:after="0" w:line="240" w:lineRule="auto"/>
        <w:jc w:val="both"/>
        <w:rPr>
          <w:rFonts w:eastAsia="Times New Roman" w:cstheme="minorHAnsi"/>
          <w:sz w:val="24"/>
          <w:szCs w:val="24"/>
          <w:lang w:val="en-GB" w:eastAsia="cs-CZ"/>
        </w:rPr>
      </w:pPr>
    </w:p>
    <w:p w14:paraId="08DE8316" w14:textId="77777777" w:rsidR="00393DDB" w:rsidRPr="00A91A09" w:rsidRDefault="00393DDB" w:rsidP="00FC2838">
      <w:pPr>
        <w:keepNext/>
        <w:autoSpaceDE w:val="0"/>
        <w:autoSpaceDN w:val="0"/>
        <w:adjustRightInd w:val="0"/>
        <w:spacing w:after="0" w:line="240" w:lineRule="auto"/>
        <w:jc w:val="both"/>
        <w:rPr>
          <w:rFonts w:cstheme="minorHAnsi"/>
          <w:b/>
          <w:color w:val="000000"/>
          <w:sz w:val="24"/>
          <w:szCs w:val="24"/>
          <w:lang w:val="en-GB"/>
        </w:rPr>
      </w:pPr>
      <w:r w:rsidRPr="00A91A09">
        <w:rPr>
          <w:rFonts w:cstheme="minorHAnsi"/>
          <w:b/>
          <w:sz w:val="24"/>
          <w:lang w:val="en-GB" w:bidi="en-GB"/>
        </w:rPr>
        <w:t>3. State of class II and class III roads</w:t>
      </w:r>
    </w:p>
    <w:p w14:paraId="5B5796FE" w14:textId="77777777" w:rsidR="005D6760" w:rsidRPr="00A91A09" w:rsidRDefault="005D6760" w:rsidP="00FC2838">
      <w:pPr>
        <w:keepNext/>
        <w:spacing w:after="0" w:line="240" w:lineRule="auto"/>
        <w:jc w:val="both"/>
        <w:rPr>
          <w:rFonts w:eastAsia="Times New Roman" w:cstheme="minorHAnsi"/>
          <w:sz w:val="24"/>
          <w:szCs w:val="24"/>
          <w:lang w:val="en-GB" w:eastAsia="cs-CZ"/>
        </w:rPr>
      </w:pPr>
    </w:p>
    <w:p w14:paraId="4A486A5C" w14:textId="41B2A213" w:rsidR="00EB4966" w:rsidRPr="00A91A09" w:rsidRDefault="00393DDB" w:rsidP="00FC2838">
      <w:pPr>
        <w:keepNext/>
        <w:spacing w:after="0" w:line="240" w:lineRule="auto"/>
        <w:jc w:val="both"/>
        <w:rPr>
          <w:rFonts w:eastAsia="Times New Roman" w:cstheme="minorHAnsi"/>
          <w:sz w:val="24"/>
          <w:szCs w:val="24"/>
          <w:lang w:val="en-GB" w:eastAsia="cs-CZ"/>
        </w:rPr>
      </w:pPr>
      <w:r w:rsidRPr="00A91A09">
        <w:rPr>
          <w:rFonts w:cstheme="minorHAnsi"/>
          <w:sz w:val="24"/>
          <w:lang w:val="en-GB" w:bidi="en-GB"/>
        </w:rPr>
        <w:t xml:space="preserve">In the period 2010-2012, 60 % of the costs of reconstruction and maintenance of class II and class III roads were covered in the SR from the regions’ own resources. The EU funds covered 27 % of the expenditure, and the remaining 13 % were covered from the state budget and other sources. The structure of resources in the audited regions in the Czech Republic was different; the largest part of the expenditures amounting to 51.6 % was covered by the EU subsidies, 13.6 % were covered by subsidies from the state budget, and the regions’ own resources covered 34.8 % of the expenditure. Subsidies thus covered nearly ⅔ of the expenditure on repair and modernisation of class II and class III roads. This result shows the efforts of the regions in the Czech Republic to use the EU resources to improve the state of the roads. </w:t>
      </w:r>
    </w:p>
    <w:p w14:paraId="57252E53" w14:textId="77777777" w:rsidR="006826FA" w:rsidRPr="00A91A09" w:rsidRDefault="006826FA" w:rsidP="005D6760">
      <w:pPr>
        <w:spacing w:after="0" w:line="240" w:lineRule="auto"/>
        <w:jc w:val="both"/>
        <w:rPr>
          <w:rFonts w:eastAsia="Times New Roman" w:cstheme="minorHAnsi"/>
          <w:sz w:val="24"/>
          <w:szCs w:val="24"/>
          <w:lang w:val="en-GB" w:eastAsia="cs-CZ"/>
        </w:rPr>
      </w:pPr>
    </w:p>
    <w:p w14:paraId="486F1D5D" w14:textId="46FB4681" w:rsidR="00393DDB" w:rsidRPr="00A91A09" w:rsidRDefault="00393DDB" w:rsidP="005D6760">
      <w:pPr>
        <w:spacing w:after="0" w:line="240" w:lineRule="auto"/>
        <w:jc w:val="both"/>
        <w:rPr>
          <w:rFonts w:eastAsia="Times New Roman" w:cstheme="minorHAnsi"/>
          <w:sz w:val="24"/>
          <w:szCs w:val="24"/>
          <w:lang w:val="en-GB" w:eastAsia="cs-CZ"/>
        </w:rPr>
      </w:pPr>
      <w:r w:rsidRPr="00A91A09">
        <w:rPr>
          <w:rFonts w:cstheme="minorHAnsi"/>
          <w:sz w:val="24"/>
          <w:lang w:val="en-GB" w:bidi="en-GB"/>
        </w:rPr>
        <w:t>However, the results of the audit as regards improving the percentage of roads in good technical condition are not convincing in all cases. Progress was identified in the Pilsen Region, while the improvement in the Liberec Region was minimal in the period under review (see Chapter IV(4) of this Audit Conclusion). Given that the EU subsidies have been and are limited in time, it should be in the interest of the regions to use these resources to put their roads in good shape in the shortest possible time. Their own limited funds would then be better spent on repairs and maintenance.</w:t>
      </w:r>
    </w:p>
    <w:p w14:paraId="69C6523F" w14:textId="77777777" w:rsidR="006826FA" w:rsidRPr="00A91A09" w:rsidRDefault="006826FA" w:rsidP="005D6760">
      <w:pPr>
        <w:spacing w:after="0" w:line="240" w:lineRule="auto"/>
        <w:jc w:val="both"/>
        <w:rPr>
          <w:rFonts w:eastAsia="Times New Roman" w:cstheme="minorHAnsi"/>
          <w:sz w:val="24"/>
          <w:szCs w:val="24"/>
          <w:lang w:val="en-GB" w:eastAsia="cs-CZ"/>
        </w:rPr>
      </w:pPr>
    </w:p>
    <w:p w14:paraId="784E3671" w14:textId="77777777" w:rsidR="00393DDB" w:rsidRPr="00A91A09" w:rsidRDefault="00393DDB" w:rsidP="005D6760">
      <w:pPr>
        <w:spacing w:after="0" w:line="240" w:lineRule="auto"/>
        <w:jc w:val="both"/>
        <w:rPr>
          <w:rFonts w:eastAsia="Times New Roman" w:cstheme="minorHAnsi"/>
          <w:sz w:val="24"/>
          <w:szCs w:val="24"/>
          <w:lang w:val="en-GB" w:eastAsia="cs-CZ"/>
        </w:rPr>
      </w:pPr>
      <w:r w:rsidRPr="00A91A09">
        <w:rPr>
          <w:rFonts w:cstheme="minorHAnsi"/>
          <w:sz w:val="24"/>
          <w:lang w:val="en-GB" w:bidi="en-GB"/>
        </w:rPr>
        <w:t>The SAO SR stated in its Summary Report that, from the nationwide point of view and in relation to the amount of funds spent on the reconstruction of class II and class III roads in the individual regions, spending these funds did not seem to be the most efficient, as the state of the roads in 2013 had not differed fundamentally from the situation in 2004. The situation in the SR is documented in Charts 13 and 14, separately for class II and class III roads.</w:t>
      </w:r>
    </w:p>
    <w:p w14:paraId="6B8B7B0B" w14:textId="77777777" w:rsidR="00393DDB" w:rsidRPr="00A91A09" w:rsidRDefault="00393DDB" w:rsidP="005D6760">
      <w:pPr>
        <w:spacing w:after="0" w:line="240" w:lineRule="auto"/>
        <w:jc w:val="both"/>
        <w:rPr>
          <w:rFonts w:eastAsia="Times New Roman" w:cstheme="minorHAnsi"/>
          <w:sz w:val="24"/>
          <w:szCs w:val="24"/>
          <w:lang w:val="en-GB" w:eastAsia="cs-CZ"/>
        </w:rPr>
      </w:pPr>
    </w:p>
    <w:p w14:paraId="5A6BA680" w14:textId="77777777" w:rsidR="00C47267" w:rsidRDefault="00C47267">
      <w:pPr>
        <w:rPr>
          <w:rFonts w:cstheme="minorHAnsi"/>
          <w:b/>
          <w:sz w:val="24"/>
          <w:lang w:val="en-GB" w:bidi="en-GB"/>
        </w:rPr>
      </w:pPr>
      <w:r>
        <w:rPr>
          <w:rFonts w:cstheme="minorHAnsi"/>
          <w:b/>
          <w:sz w:val="24"/>
          <w:lang w:val="en-GB" w:bidi="en-GB"/>
        </w:rPr>
        <w:br w:type="page"/>
      </w:r>
    </w:p>
    <w:p w14:paraId="60FC47B6" w14:textId="24DD5752" w:rsidR="00393DDB" w:rsidRPr="00A91A09" w:rsidRDefault="00393DDB" w:rsidP="005D6760">
      <w:pPr>
        <w:spacing w:after="40" w:line="240" w:lineRule="auto"/>
        <w:jc w:val="both"/>
        <w:rPr>
          <w:rFonts w:eastAsia="Times New Roman" w:cstheme="minorHAnsi"/>
          <w:b/>
          <w:sz w:val="24"/>
          <w:szCs w:val="24"/>
          <w:lang w:val="en-GB" w:eastAsia="cs-CZ"/>
        </w:rPr>
      </w:pPr>
      <w:r w:rsidRPr="00A91A09">
        <w:rPr>
          <w:rFonts w:cstheme="minorHAnsi"/>
          <w:b/>
          <w:sz w:val="24"/>
          <w:lang w:val="en-GB" w:bidi="en-GB"/>
        </w:rPr>
        <w:lastRenderedPageBreak/>
        <w:t>Chart 13 – Overview of state of class II roads – Slovakia</w:t>
      </w:r>
    </w:p>
    <w:p w14:paraId="4957EE8D" w14:textId="61C73A0F" w:rsidR="00393DDB" w:rsidRPr="00A91A09" w:rsidRDefault="00136A70" w:rsidP="00393DDB">
      <w:pPr>
        <w:spacing w:after="0" w:line="240" w:lineRule="auto"/>
        <w:jc w:val="both"/>
        <w:rPr>
          <w:rFonts w:eastAsia="Times New Roman" w:cstheme="minorHAnsi"/>
          <w:sz w:val="24"/>
          <w:szCs w:val="24"/>
          <w:lang w:val="en-GB" w:eastAsia="cs-CZ"/>
        </w:rPr>
      </w:pPr>
      <w:r>
        <w:rPr>
          <w:rFonts w:eastAsia="Times New Roman" w:cstheme="minorHAnsi"/>
          <w:noProof/>
          <w:sz w:val="24"/>
          <w:szCs w:val="24"/>
          <w:lang w:val="cs-CZ" w:eastAsia="cs-CZ"/>
        </w:rPr>
        <w:drawing>
          <wp:inline distT="0" distB="0" distL="0" distR="0" wp14:anchorId="0EE18D7A" wp14:editId="4FCF8E98">
            <wp:extent cx="5760720" cy="1993265"/>
            <wp:effectExtent l="0" t="0" r="0" b="698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_13.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1993265"/>
                    </a:xfrm>
                    <a:prstGeom prst="rect">
                      <a:avLst/>
                    </a:prstGeom>
                  </pic:spPr>
                </pic:pic>
              </a:graphicData>
            </a:graphic>
          </wp:inline>
        </w:drawing>
      </w:r>
    </w:p>
    <w:p w14:paraId="47279E4F" w14:textId="4C3485B2" w:rsidR="002D1EE4" w:rsidRPr="00A91A09" w:rsidRDefault="002D1EE4" w:rsidP="00393DDB">
      <w:pPr>
        <w:spacing w:after="0" w:line="240" w:lineRule="auto"/>
        <w:jc w:val="both"/>
        <w:rPr>
          <w:rFonts w:eastAsia="Times New Roman" w:cstheme="minorHAnsi"/>
          <w:sz w:val="24"/>
          <w:szCs w:val="24"/>
          <w:lang w:val="en-GB" w:eastAsia="cs-CZ"/>
        </w:rPr>
      </w:pPr>
    </w:p>
    <w:p w14:paraId="4D678478" w14:textId="55E989AE" w:rsidR="00393DDB" w:rsidRPr="00A91A09" w:rsidRDefault="008C14AF" w:rsidP="00136A70">
      <w:pPr>
        <w:spacing w:after="0" w:line="240" w:lineRule="auto"/>
        <w:ind w:left="709" w:hanging="709"/>
        <w:jc w:val="both"/>
        <w:rPr>
          <w:rFonts w:eastAsia="Times New Roman" w:cstheme="minorHAnsi"/>
          <w:sz w:val="20"/>
          <w:szCs w:val="16"/>
          <w:lang w:val="en-GB" w:eastAsia="cs-CZ"/>
        </w:rPr>
      </w:pPr>
      <w:r w:rsidRPr="00A91A09">
        <w:rPr>
          <w:rFonts w:cstheme="minorHAnsi"/>
          <w:b/>
          <w:sz w:val="20"/>
          <w:lang w:val="en-GB" w:bidi="en-GB"/>
        </w:rPr>
        <w:t xml:space="preserve">Source: </w:t>
      </w:r>
      <w:r w:rsidRPr="00A91A09">
        <w:rPr>
          <w:rFonts w:cstheme="minorHAnsi"/>
          <w:b/>
          <w:sz w:val="20"/>
          <w:lang w:val="en-GB" w:bidi="en-GB"/>
        </w:rPr>
        <w:tab/>
      </w:r>
      <w:r w:rsidRPr="00A91A09">
        <w:rPr>
          <w:rFonts w:cstheme="minorHAnsi"/>
          <w:i/>
          <w:sz w:val="20"/>
          <w:lang w:val="en-GB" w:bidi="en-GB"/>
        </w:rPr>
        <w:t>Summary report on the outcome of the audit of the economy, efficiency and effectiveness of the funds spent on the construction, repair and maintenance of the roads managed by HTU and the tasks resulting for the HTU therefrom</w:t>
      </w:r>
      <w:r w:rsidRPr="00A91A09">
        <w:rPr>
          <w:rFonts w:cstheme="minorHAnsi"/>
          <w:sz w:val="20"/>
          <w:lang w:val="en-GB" w:bidi="en-GB"/>
        </w:rPr>
        <w:t>, SAO of the Slovak Republic 2014.</w:t>
      </w:r>
    </w:p>
    <w:p w14:paraId="1751C2FE" w14:textId="52CB8DAA" w:rsidR="00393DDB" w:rsidRDefault="00393DDB" w:rsidP="00393DDB">
      <w:pPr>
        <w:spacing w:after="0" w:line="240" w:lineRule="auto"/>
        <w:jc w:val="both"/>
        <w:rPr>
          <w:rFonts w:eastAsia="Times New Roman" w:cstheme="minorHAnsi"/>
          <w:sz w:val="24"/>
          <w:szCs w:val="24"/>
          <w:lang w:val="en-GB" w:eastAsia="cs-CZ"/>
        </w:rPr>
      </w:pPr>
    </w:p>
    <w:p w14:paraId="66068387" w14:textId="77777777" w:rsidR="00344093" w:rsidRPr="00A91A09" w:rsidRDefault="00344093" w:rsidP="00393DDB">
      <w:pPr>
        <w:spacing w:after="0" w:line="240" w:lineRule="auto"/>
        <w:jc w:val="both"/>
        <w:rPr>
          <w:rFonts w:eastAsia="Times New Roman" w:cstheme="minorHAnsi"/>
          <w:sz w:val="24"/>
          <w:szCs w:val="24"/>
          <w:lang w:val="en-GB" w:eastAsia="cs-CZ"/>
        </w:rPr>
      </w:pPr>
    </w:p>
    <w:p w14:paraId="36B2441E" w14:textId="1B75ADD2" w:rsidR="00393DDB" w:rsidRPr="00A91A09" w:rsidRDefault="00393DDB" w:rsidP="007765FC">
      <w:pPr>
        <w:keepNext/>
        <w:spacing w:after="0" w:line="240" w:lineRule="auto"/>
        <w:jc w:val="both"/>
        <w:rPr>
          <w:rFonts w:eastAsia="Times New Roman" w:cstheme="minorHAnsi"/>
          <w:b/>
          <w:sz w:val="24"/>
          <w:szCs w:val="24"/>
          <w:lang w:val="en-GB" w:eastAsia="cs-CZ"/>
        </w:rPr>
      </w:pPr>
      <w:r w:rsidRPr="00A91A09">
        <w:rPr>
          <w:rFonts w:cstheme="minorHAnsi"/>
          <w:b/>
          <w:sz w:val="24"/>
          <w:lang w:val="en-GB" w:bidi="en-GB"/>
        </w:rPr>
        <w:t>Chart 14 – Overview of development in the state of class III roads – Slovakia</w:t>
      </w:r>
    </w:p>
    <w:p w14:paraId="6FEC156D" w14:textId="77AA0EFA" w:rsidR="00393DDB" w:rsidRPr="00A91A09" w:rsidRDefault="00136A70" w:rsidP="007765FC">
      <w:pPr>
        <w:keepNext/>
        <w:spacing w:after="0" w:line="240" w:lineRule="auto"/>
        <w:jc w:val="both"/>
        <w:rPr>
          <w:rFonts w:eastAsia="Times New Roman" w:cstheme="minorHAnsi"/>
          <w:sz w:val="24"/>
          <w:szCs w:val="24"/>
          <w:lang w:val="en-GB" w:eastAsia="cs-CZ"/>
        </w:rPr>
      </w:pPr>
      <w:r w:rsidRPr="00A91A09">
        <w:rPr>
          <w:rFonts w:cstheme="minorHAnsi"/>
          <w:noProof/>
          <w:sz w:val="24"/>
          <w:lang w:val="cs-CZ" w:eastAsia="cs-CZ"/>
        </w:rPr>
        <w:drawing>
          <wp:inline distT="0" distB="0" distL="0" distR="0" wp14:anchorId="520D8C7F" wp14:editId="1681B6C2">
            <wp:extent cx="5760720" cy="2266315"/>
            <wp:effectExtent l="0" t="0" r="0"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02055" name="2330u.jpg"/>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60720" cy="2266315"/>
                    </a:xfrm>
                    <a:prstGeom prst="rect">
                      <a:avLst/>
                    </a:prstGeom>
                    <a:ln>
                      <a:noFill/>
                    </a:ln>
                    <a:extLst>
                      <a:ext uri="{53640926-AAD7-44D8-BBD7-CCE9431645EC}">
                        <a14:shadowObscured xmlns:a14="http://schemas.microsoft.com/office/drawing/2010/main"/>
                      </a:ext>
                    </a:extLst>
                  </pic:spPr>
                </pic:pic>
              </a:graphicData>
            </a:graphic>
          </wp:inline>
        </w:drawing>
      </w:r>
    </w:p>
    <w:p w14:paraId="70A53A40" w14:textId="77777777" w:rsidR="00344093" w:rsidRDefault="00344093" w:rsidP="00136A70">
      <w:pPr>
        <w:keepNext/>
        <w:spacing w:after="0" w:line="240" w:lineRule="auto"/>
        <w:ind w:left="709" w:hanging="709"/>
        <w:jc w:val="both"/>
        <w:rPr>
          <w:rFonts w:cstheme="minorHAnsi"/>
          <w:b/>
          <w:sz w:val="20"/>
          <w:lang w:val="en-GB" w:bidi="en-GB"/>
        </w:rPr>
      </w:pPr>
    </w:p>
    <w:p w14:paraId="4EFEF154" w14:textId="17033216" w:rsidR="00393DDB" w:rsidRPr="00A91A09" w:rsidRDefault="008C14AF" w:rsidP="00136A70">
      <w:pPr>
        <w:keepNext/>
        <w:spacing w:after="0" w:line="240" w:lineRule="auto"/>
        <w:ind w:left="709" w:hanging="709"/>
        <w:jc w:val="both"/>
        <w:rPr>
          <w:rFonts w:cstheme="minorHAnsi"/>
          <w:color w:val="000000"/>
          <w:sz w:val="20"/>
          <w:szCs w:val="16"/>
          <w:lang w:val="en-GB"/>
        </w:rPr>
      </w:pPr>
      <w:r w:rsidRPr="00A91A09">
        <w:rPr>
          <w:rFonts w:cstheme="minorHAnsi"/>
          <w:b/>
          <w:sz w:val="20"/>
          <w:lang w:val="en-GB" w:bidi="en-GB"/>
        </w:rPr>
        <w:t xml:space="preserve">Source: </w:t>
      </w:r>
      <w:r w:rsidRPr="00A91A09">
        <w:rPr>
          <w:rFonts w:cstheme="minorHAnsi"/>
          <w:b/>
          <w:sz w:val="20"/>
          <w:lang w:val="en-GB" w:bidi="en-GB"/>
        </w:rPr>
        <w:tab/>
      </w:r>
      <w:r w:rsidRPr="00A91A09">
        <w:rPr>
          <w:rFonts w:cstheme="minorHAnsi"/>
          <w:i/>
          <w:sz w:val="20"/>
          <w:lang w:val="en-GB" w:bidi="en-GB"/>
        </w:rPr>
        <w:t>Summary report on the outcome of the audit of the economy, efficiency and effectiveness of the funds spent on the construction, repair and maintenance of the roads managed by HTU and the tasks resulting for the HTU therefrom</w:t>
      </w:r>
      <w:r w:rsidRPr="00A91A09">
        <w:rPr>
          <w:rFonts w:cstheme="minorHAnsi"/>
          <w:sz w:val="20"/>
          <w:lang w:val="en-GB" w:bidi="en-GB"/>
        </w:rPr>
        <w:t>, SAO of the Slovak Republic 2014.</w:t>
      </w:r>
    </w:p>
    <w:p w14:paraId="094EE7BA" w14:textId="331C8EC2" w:rsidR="00EF75E4" w:rsidRPr="00A91A09" w:rsidRDefault="00EF75E4" w:rsidP="007765FC">
      <w:pPr>
        <w:keepNext/>
        <w:spacing w:after="0" w:line="240" w:lineRule="auto"/>
        <w:ind w:left="567" w:hanging="567"/>
        <w:jc w:val="both"/>
        <w:rPr>
          <w:rFonts w:cstheme="minorHAnsi"/>
          <w:color w:val="000000"/>
          <w:sz w:val="20"/>
          <w:szCs w:val="16"/>
          <w:lang w:val="en-GB"/>
        </w:rPr>
      </w:pPr>
    </w:p>
    <w:p w14:paraId="699D6730" w14:textId="77777777" w:rsidR="00EF75E4" w:rsidRPr="00A91A09" w:rsidRDefault="00EF75E4" w:rsidP="007765FC">
      <w:pPr>
        <w:keepNext/>
        <w:spacing w:after="0" w:line="240" w:lineRule="auto"/>
        <w:ind w:left="567" w:hanging="567"/>
        <w:jc w:val="both"/>
        <w:rPr>
          <w:rFonts w:cstheme="minorHAnsi"/>
          <w:color w:val="000000"/>
          <w:sz w:val="20"/>
          <w:szCs w:val="16"/>
          <w:lang w:val="en-GB"/>
        </w:rPr>
      </w:pPr>
    </w:p>
    <w:p w14:paraId="4A1E3A8E" w14:textId="77777777" w:rsidR="00393DDB" w:rsidRPr="00A91A09" w:rsidRDefault="00393DDB" w:rsidP="007765FC">
      <w:pPr>
        <w:autoSpaceDE w:val="0"/>
        <w:autoSpaceDN w:val="0"/>
        <w:adjustRightInd w:val="0"/>
        <w:spacing w:after="0" w:line="240" w:lineRule="auto"/>
        <w:jc w:val="both"/>
        <w:rPr>
          <w:rFonts w:cstheme="minorHAnsi"/>
          <w:b/>
          <w:color w:val="000000"/>
          <w:sz w:val="24"/>
          <w:szCs w:val="24"/>
          <w:lang w:val="en-GB"/>
        </w:rPr>
      </w:pPr>
      <w:r w:rsidRPr="00A91A09">
        <w:rPr>
          <w:rFonts w:cstheme="minorHAnsi"/>
          <w:b/>
          <w:sz w:val="24"/>
          <w:lang w:val="en-GB" w:bidi="en-GB"/>
        </w:rPr>
        <w:t>4. Public procurement</w:t>
      </w:r>
    </w:p>
    <w:p w14:paraId="04B92A96" w14:textId="77777777" w:rsidR="007765FC" w:rsidRPr="00A91A09" w:rsidRDefault="007765FC" w:rsidP="007765FC">
      <w:pPr>
        <w:spacing w:after="0" w:line="240" w:lineRule="auto"/>
        <w:jc w:val="both"/>
        <w:rPr>
          <w:rFonts w:eastAsia="Times New Roman" w:cstheme="minorHAnsi"/>
          <w:sz w:val="24"/>
          <w:szCs w:val="24"/>
          <w:lang w:val="en-GB" w:eastAsia="cs-CZ"/>
        </w:rPr>
      </w:pPr>
    </w:p>
    <w:p w14:paraId="4EA37D88" w14:textId="77777777" w:rsidR="00393DDB" w:rsidRPr="00A91A09" w:rsidRDefault="00A20C10" w:rsidP="007765FC">
      <w:pPr>
        <w:spacing w:after="0" w:line="240" w:lineRule="auto"/>
        <w:jc w:val="both"/>
        <w:rPr>
          <w:rFonts w:eastAsia="Times New Roman" w:cstheme="minorHAnsi"/>
          <w:sz w:val="24"/>
          <w:szCs w:val="24"/>
          <w:lang w:val="en-GB" w:eastAsia="cs-CZ"/>
        </w:rPr>
      </w:pPr>
      <w:r w:rsidRPr="00A91A09">
        <w:rPr>
          <w:rFonts w:cstheme="minorHAnsi"/>
          <w:sz w:val="24"/>
          <w:lang w:val="en-GB" w:bidi="en-GB"/>
        </w:rPr>
        <w:t>The SAO CR audit identified cases of minor breaches related to public procurement. The issue concerned determining the estimated value of public contracts and the conclusion of amendments to agreements with contractors in the case of additional and cancelled work.</w:t>
      </w:r>
    </w:p>
    <w:p w14:paraId="7113975B" w14:textId="77777777" w:rsidR="00A20C10" w:rsidRPr="00A91A09" w:rsidRDefault="00A20C10" w:rsidP="007765FC">
      <w:pPr>
        <w:spacing w:after="0" w:line="240" w:lineRule="auto"/>
        <w:jc w:val="both"/>
        <w:rPr>
          <w:rFonts w:eastAsia="Times New Roman" w:cstheme="minorHAnsi"/>
          <w:sz w:val="24"/>
          <w:szCs w:val="24"/>
          <w:lang w:val="en-GB" w:eastAsia="cs-CZ"/>
        </w:rPr>
      </w:pPr>
    </w:p>
    <w:p w14:paraId="17A26CCE" w14:textId="77777777" w:rsidR="00393DDB" w:rsidRPr="00A91A09" w:rsidRDefault="00393DDB" w:rsidP="007765FC">
      <w:pPr>
        <w:spacing w:after="0" w:line="240" w:lineRule="auto"/>
        <w:jc w:val="both"/>
        <w:rPr>
          <w:rFonts w:eastAsia="Times New Roman" w:cstheme="minorHAnsi"/>
          <w:sz w:val="24"/>
          <w:szCs w:val="24"/>
          <w:lang w:val="en-GB" w:eastAsia="cs-CZ"/>
        </w:rPr>
      </w:pPr>
      <w:r w:rsidRPr="00A91A09">
        <w:rPr>
          <w:rFonts w:cstheme="minorHAnsi"/>
          <w:sz w:val="24"/>
          <w:lang w:val="en-GB" w:bidi="en-GB"/>
        </w:rPr>
        <w:t>Similar findings are given by the SAO SR in its Summary Report; in addition to the problems with establishing the estimated value of the contract, it identified cases of conclusion of an agreement with a price different than the winning bid, exclusion of tenderers from the competition without giving any reason, a late release of the security, and entering into amendments to agreements for activities which had not been the subject-matter of the original contract without a tendering procedure.</w:t>
      </w:r>
    </w:p>
    <w:p w14:paraId="4D34E04B" w14:textId="77777777" w:rsidR="00393DDB" w:rsidRPr="00A91A09" w:rsidRDefault="00393DDB" w:rsidP="00393DDB">
      <w:pPr>
        <w:spacing w:after="0" w:line="240" w:lineRule="auto"/>
        <w:jc w:val="both"/>
        <w:rPr>
          <w:rFonts w:eastAsia="Times New Roman" w:cstheme="minorHAnsi"/>
          <w:sz w:val="24"/>
          <w:szCs w:val="24"/>
          <w:lang w:val="en-GB" w:eastAsia="cs-CZ"/>
        </w:rPr>
      </w:pPr>
    </w:p>
    <w:p w14:paraId="7CDEF3D3" w14:textId="77777777" w:rsidR="00C53E74" w:rsidRPr="00A91A09" w:rsidRDefault="00C53E74" w:rsidP="00C53E74">
      <w:pPr>
        <w:spacing w:line="240" w:lineRule="auto"/>
        <w:contextualSpacing/>
        <w:jc w:val="right"/>
        <w:rPr>
          <w:rFonts w:cstheme="minorHAnsi"/>
          <w:b/>
          <w:sz w:val="24"/>
          <w:szCs w:val="24"/>
          <w:lang w:val="en-GB"/>
        </w:rPr>
      </w:pPr>
      <w:r w:rsidRPr="00A91A09">
        <w:rPr>
          <w:rFonts w:cstheme="minorHAnsi"/>
          <w:b/>
          <w:sz w:val="24"/>
          <w:lang w:val="en-GB" w:bidi="en-GB"/>
        </w:rPr>
        <w:t>Annex 2</w:t>
      </w:r>
    </w:p>
    <w:p w14:paraId="103CE209" w14:textId="77777777" w:rsidR="00C53E74" w:rsidRPr="00A91A09" w:rsidRDefault="00C53E74" w:rsidP="00C53E74">
      <w:pPr>
        <w:spacing w:line="240" w:lineRule="auto"/>
        <w:contextualSpacing/>
        <w:jc w:val="both"/>
        <w:rPr>
          <w:rFonts w:cstheme="minorHAnsi"/>
          <w:sz w:val="24"/>
          <w:szCs w:val="24"/>
          <w:lang w:val="en-GB"/>
        </w:rPr>
      </w:pPr>
    </w:p>
    <w:p w14:paraId="0AB83AD4" w14:textId="2F78CF0C" w:rsidR="00C53E74" w:rsidRPr="00A91A09" w:rsidRDefault="00C53E74" w:rsidP="005E4B02">
      <w:pPr>
        <w:spacing w:line="240" w:lineRule="auto"/>
        <w:ind w:right="141"/>
        <w:contextualSpacing/>
        <w:jc w:val="center"/>
        <w:rPr>
          <w:rFonts w:cstheme="minorHAnsi"/>
          <w:sz w:val="24"/>
          <w:szCs w:val="28"/>
          <w:lang w:val="en-GB"/>
        </w:rPr>
      </w:pPr>
      <w:r w:rsidRPr="00A91A09">
        <w:rPr>
          <w:rFonts w:cstheme="minorHAnsi"/>
          <w:b/>
          <w:sz w:val="24"/>
          <w:lang w:val="en-GB" w:bidi="en-GB"/>
        </w:rPr>
        <w:t xml:space="preserve">Database of data on bridge objects on class II and class III roads </w:t>
      </w:r>
      <w:r w:rsidR="00344093">
        <w:rPr>
          <w:rFonts w:cstheme="minorHAnsi"/>
          <w:b/>
          <w:sz w:val="24"/>
          <w:lang w:val="en-GB" w:bidi="en-GB"/>
        </w:rPr>
        <w:br/>
      </w:r>
      <w:r w:rsidRPr="00A91A09">
        <w:rPr>
          <w:rFonts w:cstheme="minorHAnsi"/>
          <w:b/>
          <w:sz w:val="24"/>
          <w:lang w:val="en-GB" w:bidi="en-GB"/>
        </w:rPr>
        <w:t xml:space="preserve">audited under Audit No. 17/09 </w:t>
      </w:r>
      <w:r w:rsidRPr="00A91A09">
        <w:rPr>
          <w:rFonts w:cstheme="minorHAnsi"/>
          <w:b/>
          <w:sz w:val="24"/>
          <w:lang w:val="en-GB" w:bidi="en-GB"/>
        </w:rPr>
        <w:br/>
      </w:r>
    </w:p>
    <w:p w14:paraId="58B59C66" w14:textId="77777777" w:rsidR="00C53E74" w:rsidRPr="00A91A09" w:rsidRDefault="00C53E74" w:rsidP="00C53E74">
      <w:pPr>
        <w:spacing w:line="240" w:lineRule="auto"/>
        <w:contextualSpacing/>
        <w:jc w:val="both"/>
        <w:rPr>
          <w:rFonts w:cstheme="minorHAnsi"/>
          <w:sz w:val="24"/>
          <w:szCs w:val="24"/>
          <w:lang w:val="en-GB"/>
        </w:rPr>
      </w:pPr>
    </w:p>
    <w:p w14:paraId="4A3DD689" w14:textId="34B6281B" w:rsidR="00C53E74" w:rsidRPr="00A91A09" w:rsidRDefault="00C53E74" w:rsidP="00C53E74">
      <w:pPr>
        <w:spacing w:line="240" w:lineRule="auto"/>
        <w:contextualSpacing/>
        <w:jc w:val="both"/>
        <w:rPr>
          <w:rFonts w:cstheme="minorHAnsi"/>
          <w:sz w:val="24"/>
          <w:szCs w:val="24"/>
          <w:lang w:val="en-GB"/>
        </w:rPr>
      </w:pPr>
      <w:r w:rsidRPr="00A91A09">
        <w:rPr>
          <w:rFonts w:cstheme="minorHAnsi"/>
          <w:sz w:val="24"/>
          <w:lang w:val="en-GB" w:bidi="en-GB"/>
        </w:rPr>
        <w:t xml:space="preserve">The database of data on 5 bridge objects on class II and class III roads whose repairs and reconstructions were audited under Audit No. 17/09 contains data on the construction works executed, financial costs, selected technical data on the given bridge and the 10 most important items of the winning bid budget in the procurement procedure for the contractor. Further information on the aforesaid bridges can be found in the Bridge Management System at </w:t>
      </w:r>
      <w:r w:rsidR="00664A98" w:rsidRPr="00A91A09">
        <w:rPr>
          <w:rFonts w:cstheme="minorHAnsi"/>
          <w:color w:val="0563C1"/>
          <w:sz w:val="24"/>
          <w:u w:val="single"/>
          <w:lang w:val="en-GB" w:bidi="en-GB"/>
        </w:rPr>
        <w:t>www.bms.vars.cz</w:t>
      </w:r>
      <w:r w:rsidRPr="00A91A09">
        <w:rPr>
          <w:rFonts w:cstheme="minorHAnsi"/>
          <w:sz w:val="24"/>
          <w:lang w:val="en-GB" w:bidi="en-GB"/>
        </w:rPr>
        <w:t xml:space="preserve"> or </w:t>
      </w:r>
      <w:r w:rsidR="00664A98" w:rsidRPr="00A91A09">
        <w:rPr>
          <w:rFonts w:cstheme="minorHAnsi"/>
          <w:color w:val="0563C1"/>
          <w:sz w:val="24"/>
          <w:u w:val="single"/>
          <w:lang w:val="en-GB" w:bidi="en-GB"/>
        </w:rPr>
        <w:t>www.bms.clevera.cz</w:t>
      </w:r>
      <w:r w:rsidRPr="00A91A09">
        <w:rPr>
          <w:rFonts w:cstheme="minorHAnsi"/>
          <w:sz w:val="24"/>
          <w:lang w:val="en-GB" w:bidi="en-GB"/>
        </w:rPr>
        <w:t>.</w:t>
      </w:r>
      <w:r w:rsidRPr="00A91A09">
        <w:rPr>
          <w:rFonts w:cstheme="minorHAnsi"/>
          <w:sz w:val="24"/>
          <w:vertAlign w:val="superscript"/>
          <w:lang w:val="en-GB" w:bidi="en-GB"/>
        </w:rPr>
        <w:footnoteReference w:id="10"/>
      </w:r>
    </w:p>
    <w:p w14:paraId="415C2BAC" w14:textId="77777777" w:rsidR="00C53E74" w:rsidRPr="00A91A09" w:rsidRDefault="00C53E74" w:rsidP="00C53E74">
      <w:pPr>
        <w:spacing w:line="240" w:lineRule="auto"/>
        <w:contextualSpacing/>
        <w:jc w:val="both"/>
        <w:rPr>
          <w:rFonts w:cstheme="minorHAnsi"/>
          <w:sz w:val="24"/>
          <w:szCs w:val="24"/>
          <w:lang w:val="en-GB"/>
        </w:rPr>
      </w:pPr>
    </w:p>
    <w:p w14:paraId="08044087" w14:textId="4B3C58BD" w:rsidR="00C53E74" w:rsidRPr="00A91A09" w:rsidRDefault="00C53E74" w:rsidP="00C53E74">
      <w:pPr>
        <w:spacing w:line="240" w:lineRule="auto"/>
        <w:contextualSpacing/>
        <w:rPr>
          <w:rFonts w:cstheme="minorHAnsi"/>
          <w:sz w:val="24"/>
          <w:szCs w:val="24"/>
          <w:lang w:val="en-GB"/>
        </w:rPr>
      </w:pPr>
      <w:r w:rsidRPr="00A91A09">
        <w:rPr>
          <w:rFonts w:cstheme="minorHAnsi"/>
          <w:sz w:val="24"/>
          <w:lang w:val="en-GB" w:bidi="en-GB"/>
        </w:rPr>
        <w:t>The database has been published on the SAO website at:</w:t>
      </w:r>
    </w:p>
    <w:p w14:paraId="262C22C2" w14:textId="2BF39873" w:rsidR="00C53E74" w:rsidRPr="00A91A09" w:rsidRDefault="008C2536" w:rsidP="00C53E74">
      <w:pPr>
        <w:rPr>
          <w:rFonts w:cstheme="minorHAnsi"/>
          <w:lang w:val="en-GB"/>
        </w:rPr>
      </w:pPr>
      <w:hyperlink r:id="rId26" w:history="1">
        <w:r w:rsidR="00C53E74" w:rsidRPr="00A91A09">
          <w:rPr>
            <w:rFonts w:cstheme="minorHAnsi"/>
            <w:color w:val="0563C1"/>
            <w:sz w:val="24"/>
            <w:u w:val="single"/>
            <w:lang w:val="en-GB" w:bidi="en-GB"/>
          </w:rPr>
          <w:t>http://data.nku.cz/download/vystupy-z-kontrol/ka-17-09/databaze-udaju-mosty.xlsx</w:t>
        </w:r>
      </w:hyperlink>
      <w:r w:rsidR="00BF34F6" w:rsidRPr="00A91A09">
        <w:rPr>
          <w:rFonts w:cstheme="minorHAnsi"/>
          <w:color w:val="0563C1"/>
          <w:sz w:val="24"/>
          <w:lang w:val="en-GB" w:bidi="en-GB"/>
        </w:rPr>
        <w:t>.</w:t>
      </w:r>
    </w:p>
    <w:p w14:paraId="063E2A4C" w14:textId="77777777" w:rsidR="00C53E74" w:rsidRPr="00A91A09" w:rsidRDefault="00C53E74" w:rsidP="00C53E74">
      <w:pPr>
        <w:spacing w:line="240" w:lineRule="auto"/>
        <w:contextualSpacing/>
        <w:jc w:val="both"/>
        <w:rPr>
          <w:rFonts w:cstheme="minorHAnsi"/>
          <w:sz w:val="24"/>
          <w:szCs w:val="24"/>
          <w:lang w:val="en-GB"/>
        </w:rPr>
      </w:pPr>
    </w:p>
    <w:p w14:paraId="19E95378" w14:textId="77777777" w:rsidR="00C53E74" w:rsidRPr="00A91A09" w:rsidRDefault="00C53E74" w:rsidP="00C53E74">
      <w:pPr>
        <w:spacing w:line="240" w:lineRule="auto"/>
        <w:contextualSpacing/>
        <w:jc w:val="both"/>
        <w:rPr>
          <w:rFonts w:cstheme="minorHAnsi"/>
          <w:sz w:val="24"/>
          <w:szCs w:val="24"/>
          <w:lang w:val="en-GB"/>
        </w:rPr>
      </w:pPr>
      <w:r w:rsidRPr="00A91A09">
        <w:rPr>
          <w:rFonts w:cstheme="minorHAnsi"/>
          <w:sz w:val="24"/>
          <w:lang w:val="en-GB" w:bidi="en-GB"/>
        </w:rPr>
        <w:t>Bridge objects in the database:</w:t>
      </w:r>
    </w:p>
    <w:p w14:paraId="2733DC5E" w14:textId="77777777" w:rsidR="00C53E74" w:rsidRPr="00A91A09" w:rsidRDefault="00C53E74" w:rsidP="00C53E74">
      <w:pPr>
        <w:spacing w:line="240" w:lineRule="auto"/>
        <w:contextualSpacing/>
        <w:jc w:val="both"/>
        <w:rPr>
          <w:rFonts w:cstheme="minorHAnsi"/>
          <w:sz w:val="24"/>
          <w:szCs w:val="24"/>
          <w:lang w:val="en-GB"/>
        </w:rPr>
      </w:pPr>
    </w:p>
    <w:p w14:paraId="0B99B75A" w14:textId="77777777" w:rsidR="00C53E74" w:rsidRPr="00A91A09" w:rsidRDefault="00C53E74" w:rsidP="00C53E74">
      <w:pPr>
        <w:spacing w:line="240" w:lineRule="auto"/>
        <w:ind w:left="284" w:hanging="284"/>
        <w:contextualSpacing/>
        <w:jc w:val="both"/>
        <w:rPr>
          <w:rFonts w:cstheme="minorHAnsi"/>
          <w:b/>
          <w:sz w:val="24"/>
          <w:szCs w:val="24"/>
          <w:lang w:val="en-GB"/>
        </w:rPr>
      </w:pPr>
      <w:r w:rsidRPr="00A91A09">
        <w:rPr>
          <w:rFonts w:cstheme="minorHAnsi"/>
          <w:b/>
          <w:sz w:val="24"/>
          <w:lang w:val="en-GB" w:bidi="en-GB"/>
        </w:rPr>
        <w:t xml:space="preserve">1. </w:t>
      </w:r>
      <w:r w:rsidRPr="00A91A09">
        <w:rPr>
          <w:rFonts w:cstheme="minorHAnsi"/>
          <w:b/>
          <w:sz w:val="24"/>
          <w:lang w:val="en-GB" w:bidi="en-GB"/>
        </w:rPr>
        <w:tab/>
        <w:t>Bridge reg. No. 230-007 Stod on road No. II./230</w:t>
      </w:r>
    </w:p>
    <w:p w14:paraId="231BA9D3" w14:textId="00458661" w:rsidR="00C53E74" w:rsidRPr="00A91A09" w:rsidRDefault="00C53E74" w:rsidP="00C53E74">
      <w:pPr>
        <w:spacing w:line="240" w:lineRule="auto"/>
        <w:ind w:left="284"/>
        <w:contextualSpacing/>
        <w:jc w:val="both"/>
        <w:rPr>
          <w:rFonts w:cstheme="minorHAnsi"/>
          <w:sz w:val="24"/>
          <w:szCs w:val="24"/>
          <w:lang w:val="en-GB"/>
        </w:rPr>
      </w:pPr>
      <w:r w:rsidRPr="00A91A09">
        <w:rPr>
          <w:rFonts w:cstheme="minorHAnsi"/>
          <w:sz w:val="24"/>
          <w:lang w:val="en-GB" w:bidi="en-GB"/>
        </w:rPr>
        <w:t>Total repair costs: CZK 2.3 million exclusive of VAT.</w:t>
      </w:r>
    </w:p>
    <w:p w14:paraId="774ECAFB" w14:textId="77777777" w:rsidR="00C53E74" w:rsidRPr="00A91A09" w:rsidRDefault="00C53E74" w:rsidP="00C53E74">
      <w:pPr>
        <w:spacing w:line="240" w:lineRule="auto"/>
        <w:ind w:left="284"/>
        <w:contextualSpacing/>
        <w:jc w:val="both"/>
        <w:rPr>
          <w:rFonts w:cstheme="minorHAnsi"/>
          <w:color w:val="000000" w:themeColor="text1"/>
          <w:sz w:val="24"/>
          <w:szCs w:val="24"/>
          <w:lang w:val="en-GB"/>
        </w:rPr>
      </w:pPr>
    </w:p>
    <w:p w14:paraId="24CDFC64" w14:textId="77777777" w:rsidR="00C53E74" w:rsidRPr="00A91A09" w:rsidRDefault="00C53E74" w:rsidP="00C53E74">
      <w:pPr>
        <w:spacing w:line="240" w:lineRule="auto"/>
        <w:ind w:left="284" w:hanging="284"/>
        <w:contextualSpacing/>
        <w:jc w:val="both"/>
        <w:rPr>
          <w:rFonts w:cstheme="minorHAnsi"/>
          <w:b/>
          <w:sz w:val="24"/>
          <w:szCs w:val="24"/>
          <w:lang w:val="en-GB"/>
        </w:rPr>
      </w:pPr>
      <w:r w:rsidRPr="00A91A09">
        <w:rPr>
          <w:rFonts w:cstheme="minorHAnsi"/>
          <w:b/>
          <w:sz w:val="24"/>
          <w:lang w:val="en-GB" w:bidi="en-GB"/>
        </w:rPr>
        <w:t>2. Bridge reg. No. 30516-2 Radhošť – Janovičky on road No. III./30516</w:t>
      </w:r>
    </w:p>
    <w:p w14:paraId="0D584FE3" w14:textId="3E382145" w:rsidR="00C53E74" w:rsidRPr="00A91A09" w:rsidRDefault="00C53E74" w:rsidP="00C53E74">
      <w:pPr>
        <w:spacing w:line="240" w:lineRule="auto"/>
        <w:ind w:left="284"/>
        <w:contextualSpacing/>
        <w:jc w:val="both"/>
        <w:rPr>
          <w:rFonts w:cstheme="minorHAnsi"/>
          <w:sz w:val="24"/>
          <w:szCs w:val="24"/>
          <w:lang w:val="en-GB"/>
        </w:rPr>
      </w:pPr>
      <w:r w:rsidRPr="00A91A09">
        <w:rPr>
          <w:rFonts w:cstheme="minorHAnsi"/>
          <w:sz w:val="24"/>
          <w:lang w:val="en-GB" w:bidi="en-GB"/>
        </w:rPr>
        <w:t>Total repair costs: CZK 8.8 million exclusive of VAT.</w:t>
      </w:r>
    </w:p>
    <w:p w14:paraId="0FFD7CDA" w14:textId="77777777" w:rsidR="00C53E74" w:rsidRPr="00A91A09" w:rsidRDefault="00C53E74" w:rsidP="00C53E74">
      <w:pPr>
        <w:spacing w:line="240" w:lineRule="auto"/>
        <w:ind w:left="284"/>
        <w:contextualSpacing/>
        <w:jc w:val="both"/>
        <w:rPr>
          <w:rFonts w:cstheme="minorHAnsi"/>
          <w:sz w:val="24"/>
          <w:szCs w:val="24"/>
          <w:lang w:val="en-GB"/>
        </w:rPr>
      </w:pPr>
      <w:r w:rsidRPr="00A91A09">
        <w:rPr>
          <w:rFonts w:cstheme="minorHAnsi"/>
          <w:sz w:val="24"/>
          <w:lang w:val="en-GB" w:bidi="en-GB"/>
        </w:rPr>
        <w:t xml:space="preserve"> </w:t>
      </w:r>
    </w:p>
    <w:p w14:paraId="0AAB7251" w14:textId="77777777" w:rsidR="00C53E74" w:rsidRPr="00A91A09" w:rsidRDefault="00C53E74" w:rsidP="00C53E74">
      <w:pPr>
        <w:spacing w:line="240" w:lineRule="auto"/>
        <w:ind w:left="284" w:hanging="284"/>
        <w:contextualSpacing/>
        <w:jc w:val="both"/>
        <w:rPr>
          <w:rFonts w:cstheme="minorHAnsi"/>
          <w:b/>
          <w:sz w:val="24"/>
          <w:szCs w:val="24"/>
          <w:lang w:val="en-GB"/>
        </w:rPr>
      </w:pPr>
      <w:r w:rsidRPr="00A91A09">
        <w:rPr>
          <w:rFonts w:cstheme="minorHAnsi"/>
          <w:b/>
          <w:sz w:val="24"/>
          <w:lang w:val="en-GB" w:bidi="en-GB"/>
        </w:rPr>
        <w:t>3. Bridge reg. No. 286-027 Vítkovice on road No. II./286</w:t>
      </w:r>
    </w:p>
    <w:p w14:paraId="6E4D4CF6" w14:textId="5DEB6309" w:rsidR="00C53E74" w:rsidRPr="00A91A09" w:rsidRDefault="00C53E74" w:rsidP="00C53E74">
      <w:pPr>
        <w:spacing w:line="240" w:lineRule="auto"/>
        <w:ind w:left="284"/>
        <w:contextualSpacing/>
        <w:jc w:val="both"/>
        <w:rPr>
          <w:rFonts w:cstheme="minorHAnsi"/>
          <w:sz w:val="24"/>
          <w:szCs w:val="24"/>
          <w:lang w:val="en-GB"/>
        </w:rPr>
      </w:pPr>
      <w:r w:rsidRPr="00A91A09">
        <w:rPr>
          <w:rFonts w:cstheme="minorHAnsi"/>
          <w:sz w:val="24"/>
          <w:lang w:val="en-GB" w:bidi="en-GB"/>
        </w:rPr>
        <w:t>Total repair costs: CZK 2.1 million exclusive of VAT.</w:t>
      </w:r>
    </w:p>
    <w:p w14:paraId="268E7AC5" w14:textId="77777777" w:rsidR="00C53E74" w:rsidRPr="00A91A09" w:rsidRDefault="00C53E74" w:rsidP="00C53E74">
      <w:pPr>
        <w:spacing w:line="240" w:lineRule="auto"/>
        <w:ind w:left="284"/>
        <w:contextualSpacing/>
        <w:jc w:val="both"/>
        <w:rPr>
          <w:rFonts w:cstheme="minorHAnsi"/>
          <w:sz w:val="24"/>
          <w:szCs w:val="24"/>
          <w:lang w:val="en-GB"/>
        </w:rPr>
      </w:pPr>
    </w:p>
    <w:p w14:paraId="4308A5B7" w14:textId="77777777" w:rsidR="00C53E74" w:rsidRPr="00A91A09" w:rsidRDefault="00C53E74" w:rsidP="00C53E74">
      <w:pPr>
        <w:spacing w:line="240" w:lineRule="auto"/>
        <w:ind w:left="284" w:hanging="284"/>
        <w:contextualSpacing/>
        <w:jc w:val="both"/>
        <w:rPr>
          <w:rFonts w:cstheme="minorHAnsi"/>
          <w:b/>
          <w:sz w:val="24"/>
          <w:szCs w:val="24"/>
          <w:lang w:val="en-GB"/>
        </w:rPr>
      </w:pPr>
      <w:r w:rsidRPr="00A91A09">
        <w:rPr>
          <w:rFonts w:cstheme="minorHAnsi"/>
          <w:b/>
          <w:sz w:val="24"/>
          <w:lang w:val="en-GB" w:bidi="en-GB"/>
        </w:rPr>
        <w:t>4. Bridge reg. No. 286-031 Vítkovice on road No. II./286</w:t>
      </w:r>
    </w:p>
    <w:p w14:paraId="3DCA48A1" w14:textId="74FF3218" w:rsidR="00C53E74" w:rsidRPr="00A91A09" w:rsidRDefault="00C53E74" w:rsidP="00C53E74">
      <w:pPr>
        <w:spacing w:line="240" w:lineRule="auto"/>
        <w:ind w:left="284"/>
        <w:contextualSpacing/>
        <w:jc w:val="both"/>
        <w:rPr>
          <w:rFonts w:cstheme="minorHAnsi"/>
          <w:sz w:val="24"/>
          <w:szCs w:val="24"/>
          <w:lang w:val="en-GB"/>
        </w:rPr>
      </w:pPr>
      <w:r w:rsidRPr="00A91A09">
        <w:rPr>
          <w:rFonts w:cstheme="minorHAnsi"/>
          <w:sz w:val="24"/>
          <w:lang w:val="en-GB" w:bidi="en-GB"/>
        </w:rPr>
        <w:t>Total repair costs: CZK 4.4 million exclusive of VAT.</w:t>
      </w:r>
    </w:p>
    <w:p w14:paraId="14511897" w14:textId="77777777" w:rsidR="00C53E74" w:rsidRPr="00A91A09" w:rsidRDefault="00C53E74" w:rsidP="00C53E74">
      <w:pPr>
        <w:spacing w:line="240" w:lineRule="auto"/>
        <w:ind w:left="284"/>
        <w:contextualSpacing/>
        <w:jc w:val="both"/>
        <w:rPr>
          <w:rFonts w:cstheme="minorHAnsi"/>
          <w:sz w:val="24"/>
          <w:szCs w:val="24"/>
          <w:lang w:val="en-GB"/>
        </w:rPr>
      </w:pPr>
    </w:p>
    <w:p w14:paraId="06291301" w14:textId="77777777" w:rsidR="00C53E74" w:rsidRPr="00A91A09" w:rsidRDefault="00C53E74" w:rsidP="00C53E74">
      <w:pPr>
        <w:spacing w:line="240" w:lineRule="auto"/>
        <w:ind w:left="284" w:hanging="284"/>
        <w:contextualSpacing/>
        <w:jc w:val="both"/>
        <w:rPr>
          <w:rFonts w:cstheme="minorHAnsi"/>
          <w:b/>
          <w:sz w:val="24"/>
          <w:szCs w:val="24"/>
          <w:lang w:val="en-GB"/>
        </w:rPr>
      </w:pPr>
      <w:r w:rsidRPr="00A91A09">
        <w:rPr>
          <w:rFonts w:cstheme="minorHAnsi"/>
          <w:b/>
          <w:sz w:val="24"/>
          <w:lang w:val="en-GB" w:bidi="en-GB"/>
        </w:rPr>
        <w:t>5. Bridge reg. No. 459-006 Krnov on road No. II./459</w:t>
      </w:r>
    </w:p>
    <w:p w14:paraId="70CABF0A" w14:textId="7DE1FD2B" w:rsidR="00C53E74" w:rsidRPr="00A91A09" w:rsidRDefault="00C53E74" w:rsidP="00C53E74">
      <w:pPr>
        <w:spacing w:line="240" w:lineRule="auto"/>
        <w:ind w:left="284"/>
        <w:contextualSpacing/>
        <w:jc w:val="both"/>
        <w:rPr>
          <w:rFonts w:cstheme="minorHAnsi"/>
          <w:sz w:val="24"/>
          <w:szCs w:val="24"/>
          <w:lang w:val="en-GB"/>
        </w:rPr>
      </w:pPr>
      <w:r w:rsidRPr="00A91A09">
        <w:rPr>
          <w:rFonts w:cstheme="minorHAnsi"/>
          <w:sz w:val="24"/>
          <w:lang w:val="en-GB" w:bidi="en-GB"/>
        </w:rPr>
        <w:t>Total repair costs: CZK 6.2 million exclusive of VAT.</w:t>
      </w:r>
    </w:p>
    <w:p w14:paraId="2D0FCCE2" w14:textId="77777777" w:rsidR="00C53E74" w:rsidRPr="00A91A09" w:rsidRDefault="00C53E74" w:rsidP="00C53E74">
      <w:pPr>
        <w:spacing w:line="240" w:lineRule="auto"/>
        <w:contextualSpacing/>
        <w:jc w:val="both"/>
        <w:rPr>
          <w:rFonts w:cstheme="minorHAnsi"/>
          <w:sz w:val="24"/>
          <w:szCs w:val="24"/>
          <w:lang w:val="en-GB"/>
        </w:rPr>
      </w:pPr>
    </w:p>
    <w:p w14:paraId="5233C375" w14:textId="77777777" w:rsidR="000C6DE3" w:rsidRPr="00A91A09" w:rsidRDefault="000C6DE3">
      <w:pPr>
        <w:rPr>
          <w:rFonts w:eastAsia="Times New Roman" w:cstheme="minorHAnsi"/>
          <w:sz w:val="24"/>
          <w:szCs w:val="24"/>
          <w:lang w:val="en-GB" w:eastAsia="cs-CZ"/>
        </w:rPr>
      </w:pPr>
      <w:r w:rsidRPr="00A91A09">
        <w:rPr>
          <w:rFonts w:cstheme="minorHAnsi"/>
          <w:sz w:val="24"/>
          <w:lang w:val="en-GB" w:bidi="en-GB"/>
        </w:rPr>
        <w:br w:type="page"/>
      </w:r>
    </w:p>
    <w:p w14:paraId="26DE32AD" w14:textId="77777777" w:rsidR="00393DDB" w:rsidRPr="00A91A09" w:rsidRDefault="00393DDB" w:rsidP="007B2260">
      <w:pPr>
        <w:spacing w:after="0" w:line="240" w:lineRule="auto"/>
        <w:jc w:val="both"/>
        <w:rPr>
          <w:rFonts w:cstheme="minorHAnsi"/>
          <w:b/>
          <w:sz w:val="28"/>
          <w:szCs w:val="28"/>
          <w:lang w:val="en-GB"/>
        </w:rPr>
      </w:pPr>
      <w:r w:rsidRPr="00A91A09">
        <w:rPr>
          <w:rFonts w:cstheme="minorHAnsi"/>
          <w:b/>
          <w:sz w:val="28"/>
          <w:lang w:val="en-GB" w:bidi="en-GB"/>
        </w:rPr>
        <w:lastRenderedPageBreak/>
        <w:t>List of abbreviations used</w:t>
      </w:r>
    </w:p>
    <w:p w14:paraId="354AE227" w14:textId="77777777" w:rsidR="007B2260" w:rsidRPr="00A91A09" w:rsidRDefault="007B2260" w:rsidP="007B2260">
      <w:pPr>
        <w:tabs>
          <w:tab w:val="left" w:pos="1985"/>
        </w:tabs>
        <w:spacing w:after="0" w:line="240" w:lineRule="auto"/>
        <w:ind w:left="1985" w:hanging="1985"/>
        <w:rPr>
          <w:rFonts w:cstheme="minorHAnsi"/>
          <w:sz w:val="24"/>
          <w:szCs w:val="24"/>
          <w:lang w:val="en-GB"/>
        </w:rPr>
      </w:pPr>
    </w:p>
    <w:p w14:paraId="034CE34E" w14:textId="77777777" w:rsidR="005F4712" w:rsidRPr="00A91A09" w:rsidRDefault="005F4712"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3E</w:t>
      </w:r>
      <w:r w:rsidRPr="00A91A09">
        <w:rPr>
          <w:rFonts w:cstheme="minorHAnsi"/>
          <w:sz w:val="24"/>
          <w:lang w:val="en-GB" w:bidi="en-GB"/>
        </w:rPr>
        <w:tab/>
        <w:t>Principles of efficiency, effectiveness and economy</w:t>
      </w:r>
    </w:p>
    <w:p w14:paraId="14D2BAB4"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AR CR</w:t>
      </w:r>
      <w:r w:rsidRPr="00A91A09">
        <w:rPr>
          <w:rFonts w:cstheme="minorHAnsi"/>
          <w:sz w:val="24"/>
          <w:lang w:val="en-GB" w:bidi="en-GB"/>
        </w:rPr>
        <w:tab/>
        <w:t>Association of Regions of the Czech Republic</w:t>
      </w:r>
    </w:p>
    <w:p w14:paraId="73513845" w14:textId="47DD69CA"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CC MT</w:t>
      </w:r>
      <w:r w:rsidRPr="00A91A09">
        <w:rPr>
          <w:rFonts w:cstheme="minorHAnsi"/>
          <w:sz w:val="24"/>
          <w:lang w:val="en-GB" w:bidi="en-GB"/>
        </w:rPr>
        <w:tab/>
        <w:t>Central Committee of the Ministry of Transport</w:t>
      </w:r>
    </w:p>
    <w:p w14:paraId="0DE8A7B4" w14:textId="77777777" w:rsidR="0093316E" w:rsidRPr="00A91A09" w:rsidRDefault="0093316E"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CR (Czech Republic)</w:t>
      </w:r>
      <w:r w:rsidRPr="00A91A09">
        <w:rPr>
          <w:rFonts w:cstheme="minorHAnsi"/>
          <w:sz w:val="24"/>
          <w:lang w:val="en-GB" w:bidi="en-GB"/>
        </w:rPr>
        <w:tab/>
        <w:t>Czech Republic</w:t>
      </w:r>
    </w:p>
    <w:p w14:paraId="317668F4" w14:textId="1430560F"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EU</w:t>
      </w:r>
      <w:r w:rsidRPr="00A91A09">
        <w:rPr>
          <w:rFonts w:cstheme="minorHAnsi"/>
          <w:sz w:val="24"/>
          <w:lang w:val="en-GB" w:bidi="en-GB"/>
        </w:rPr>
        <w:tab/>
        <w:t>European Union</w:t>
      </w:r>
    </w:p>
    <w:p w14:paraId="26A513D6" w14:textId="77777777" w:rsidR="00393DDB" w:rsidRPr="00A91A09" w:rsidRDefault="001C0690"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SBR</w:t>
      </w:r>
      <w:r w:rsidRPr="00A91A09">
        <w:rPr>
          <w:rFonts w:cstheme="minorHAnsi"/>
          <w:sz w:val="24"/>
          <w:lang w:val="en-GB" w:bidi="en-GB"/>
        </w:rPr>
        <w:tab/>
        <w:t>South Bohemian Region</w:t>
      </w:r>
    </w:p>
    <w:p w14:paraId="25F6BF40"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Audit</w:t>
      </w:r>
      <w:r w:rsidRPr="00A91A09">
        <w:rPr>
          <w:rFonts w:cstheme="minorHAnsi"/>
          <w:sz w:val="24"/>
          <w:lang w:val="en-GB" w:bidi="en-GB"/>
        </w:rPr>
        <w:tab/>
        <w:t>SAO audit</w:t>
      </w:r>
    </w:p>
    <w:p w14:paraId="0613D12C" w14:textId="6221FACD" w:rsidR="00393DDB" w:rsidRDefault="001C0690" w:rsidP="005F4712">
      <w:pPr>
        <w:tabs>
          <w:tab w:val="left" w:pos="1985"/>
        </w:tabs>
        <w:spacing w:before="40" w:after="40" w:line="240" w:lineRule="auto"/>
        <w:ind w:left="1985" w:hanging="1985"/>
        <w:rPr>
          <w:rFonts w:cstheme="minorHAnsi"/>
          <w:sz w:val="24"/>
          <w:lang w:val="en-GB" w:bidi="en-GB"/>
        </w:rPr>
      </w:pPr>
      <w:r w:rsidRPr="00A91A09">
        <w:rPr>
          <w:rFonts w:cstheme="minorHAnsi"/>
          <w:sz w:val="24"/>
          <w:lang w:val="en-GB" w:bidi="en-GB"/>
        </w:rPr>
        <w:t>LR</w:t>
      </w:r>
      <w:r w:rsidRPr="00A91A09">
        <w:rPr>
          <w:rFonts w:cstheme="minorHAnsi"/>
          <w:sz w:val="24"/>
          <w:lang w:val="en-GB" w:bidi="en-GB"/>
        </w:rPr>
        <w:tab/>
        <w:t>Liberec Region</w:t>
      </w:r>
    </w:p>
    <w:p w14:paraId="7C683584" w14:textId="5A18D548" w:rsidR="00572F41" w:rsidRPr="00A91A09" w:rsidRDefault="00572F41" w:rsidP="00572F41">
      <w:pPr>
        <w:tabs>
          <w:tab w:val="left" w:pos="1985"/>
        </w:tabs>
        <w:spacing w:before="40" w:after="40" w:line="240" w:lineRule="auto"/>
        <w:ind w:left="1985" w:hanging="1985"/>
        <w:rPr>
          <w:rFonts w:cstheme="minorHAnsi"/>
          <w:sz w:val="24"/>
          <w:szCs w:val="24"/>
          <w:lang w:val="en-GB"/>
        </w:rPr>
      </w:pPr>
      <w:r>
        <w:rPr>
          <w:rFonts w:cstheme="minorHAnsi"/>
          <w:sz w:val="24"/>
          <w:lang w:val="en-GB" w:bidi="en-GB"/>
        </w:rPr>
        <w:t>M</w:t>
      </w:r>
      <w:r w:rsidR="00344093">
        <w:rPr>
          <w:rFonts w:cstheme="minorHAnsi"/>
          <w:sz w:val="24"/>
          <w:lang w:val="en-GB" w:bidi="en-GB"/>
        </w:rPr>
        <w:t>f</w:t>
      </w:r>
      <w:r>
        <w:rPr>
          <w:rFonts w:cstheme="minorHAnsi"/>
          <w:sz w:val="24"/>
          <w:lang w:val="en-GB" w:bidi="en-GB"/>
        </w:rPr>
        <w:t>RD</w:t>
      </w:r>
      <w:r w:rsidR="00344093">
        <w:rPr>
          <w:rFonts w:cstheme="minorHAnsi"/>
          <w:sz w:val="24"/>
          <w:lang w:val="en-GB" w:bidi="en-GB"/>
        </w:rPr>
        <w:tab/>
      </w:r>
      <w:r>
        <w:rPr>
          <w:rFonts w:cstheme="minorHAnsi"/>
          <w:sz w:val="24"/>
          <w:lang w:val="en-GB" w:bidi="en-GB"/>
        </w:rPr>
        <w:t>Ministry of Regional Development</w:t>
      </w:r>
    </w:p>
    <w:p w14:paraId="414C2D12" w14:textId="1299D682" w:rsidR="00393DDB" w:rsidRDefault="00393DDB" w:rsidP="00572F41">
      <w:pPr>
        <w:tabs>
          <w:tab w:val="left" w:pos="1985"/>
        </w:tabs>
        <w:spacing w:before="40" w:after="40" w:line="240" w:lineRule="auto"/>
        <w:rPr>
          <w:rFonts w:cstheme="minorHAnsi"/>
          <w:sz w:val="24"/>
          <w:lang w:val="en-GB" w:bidi="en-GB"/>
        </w:rPr>
      </w:pPr>
      <w:r w:rsidRPr="00A91A09">
        <w:rPr>
          <w:rFonts w:cstheme="minorHAnsi"/>
          <w:sz w:val="24"/>
          <w:lang w:val="en-GB" w:bidi="en-GB"/>
        </w:rPr>
        <w:t>MSR</w:t>
      </w:r>
      <w:r w:rsidRPr="00A91A09">
        <w:rPr>
          <w:rFonts w:cstheme="minorHAnsi"/>
          <w:sz w:val="24"/>
          <w:lang w:val="en-GB" w:bidi="en-GB"/>
        </w:rPr>
        <w:tab/>
        <w:t>Moravian-Silesian Region</w:t>
      </w:r>
    </w:p>
    <w:p w14:paraId="2269EC33"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SAO</w:t>
      </w:r>
      <w:r w:rsidRPr="00A91A09">
        <w:rPr>
          <w:rFonts w:cstheme="minorHAnsi"/>
          <w:sz w:val="24"/>
          <w:lang w:val="en-GB" w:bidi="en-GB"/>
        </w:rPr>
        <w:tab/>
        <w:t>Supreme Audit Office of the Czech Republic</w:t>
      </w:r>
    </w:p>
    <w:p w14:paraId="54972024"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SAO SR</w:t>
      </w:r>
      <w:r w:rsidRPr="00A91A09">
        <w:rPr>
          <w:rFonts w:cstheme="minorHAnsi"/>
          <w:sz w:val="24"/>
          <w:lang w:val="en-GB" w:bidi="en-GB"/>
        </w:rPr>
        <w:tab/>
        <w:t>Supreme Audit Office of the Slovak Republic</w:t>
      </w:r>
    </w:p>
    <w:p w14:paraId="44B8E716" w14:textId="77777777" w:rsidR="00393DDB" w:rsidRPr="00A91A09" w:rsidRDefault="001C0690"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PR</w:t>
      </w:r>
      <w:r w:rsidRPr="00A91A09">
        <w:rPr>
          <w:rFonts w:cstheme="minorHAnsi"/>
          <w:sz w:val="24"/>
          <w:lang w:val="en-GB" w:bidi="en-GB"/>
        </w:rPr>
        <w:tab/>
        <w:t>Pardubice Region</w:t>
      </w:r>
    </w:p>
    <w:p w14:paraId="048600F3" w14:textId="4558A836" w:rsidR="00393DDB" w:rsidRPr="00A91A09" w:rsidRDefault="004D23C2" w:rsidP="005F4712">
      <w:pPr>
        <w:tabs>
          <w:tab w:val="left" w:pos="1985"/>
        </w:tabs>
        <w:spacing w:before="40" w:after="40" w:line="240" w:lineRule="auto"/>
        <w:ind w:left="1985" w:hanging="1985"/>
        <w:rPr>
          <w:rFonts w:cstheme="minorHAnsi"/>
          <w:sz w:val="24"/>
          <w:szCs w:val="24"/>
          <w:lang w:val="en-GB"/>
        </w:rPr>
      </w:pPr>
      <w:r>
        <w:rPr>
          <w:rFonts w:cstheme="minorHAnsi"/>
          <w:sz w:val="24"/>
          <w:lang w:val="en-GB" w:bidi="en-GB"/>
        </w:rPr>
        <w:t>SFDI</w:t>
      </w:r>
      <w:r w:rsidR="00393DDB" w:rsidRPr="00A91A09">
        <w:rPr>
          <w:rFonts w:cstheme="minorHAnsi"/>
          <w:sz w:val="24"/>
          <w:lang w:val="en-GB" w:bidi="en-GB"/>
        </w:rPr>
        <w:t xml:space="preserve"> Rules</w:t>
      </w:r>
      <w:r w:rsidR="00393DDB" w:rsidRPr="00A91A09">
        <w:rPr>
          <w:rFonts w:cstheme="minorHAnsi"/>
          <w:sz w:val="24"/>
          <w:lang w:val="en-GB" w:bidi="en-GB"/>
        </w:rPr>
        <w:tab/>
      </w:r>
      <w:r w:rsidR="00393DDB" w:rsidRPr="00A91A09">
        <w:rPr>
          <w:rFonts w:cstheme="minorHAnsi"/>
          <w:i/>
          <w:sz w:val="24"/>
          <w:lang w:val="en-GB" w:bidi="en-GB"/>
        </w:rPr>
        <w:t>Rules for financing programmes, constructions and actions from the budget of the State Fund for Transport Infrastructure</w:t>
      </w:r>
    </w:p>
    <w:p w14:paraId="23DF2878"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CDP CR</w:t>
      </w:r>
      <w:r w:rsidRPr="00A91A09">
        <w:rPr>
          <w:rFonts w:cstheme="minorHAnsi"/>
          <w:sz w:val="24"/>
          <w:lang w:val="en-GB" w:bidi="en-GB"/>
        </w:rPr>
        <w:tab/>
        <w:t>Chamber of Deputies of the Parliament of the Czech Republic</w:t>
      </w:r>
    </w:p>
    <w:p w14:paraId="4320544B"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MDP in transport</w:t>
      </w:r>
      <w:r w:rsidRPr="00A91A09">
        <w:rPr>
          <w:rFonts w:cstheme="minorHAnsi"/>
          <w:sz w:val="24"/>
          <w:lang w:val="en-GB" w:bidi="en-GB"/>
        </w:rPr>
        <w:tab/>
      </w:r>
      <w:r w:rsidRPr="00A91A09">
        <w:rPr>
          <w:rFonts w:cstheme="minorHAnsi"/>
          <w:i/>
          <w:sz w:val="24"/>
          <w:lang w:val="en-GB" w:bidi="en-GB"/>
        </w:rPr>
        <w:t>Maintenance and development programmes for real property in the areas of transport, education, health, social affairs, culture and other</w:t>
      </w:r>
      <w:r w:rsidRPr="00A91A09">
        <w:rPr>
          <w:rFonts w:cstheme="minorHAnsi"/>
          <w:sz w:val="24"/>
          <w:lang w:val="en-GB" w:bidi="en-GB"/>
        </w:rPr>
        <w:t xml:space="preserve"> (conceptual material of the Pardubice Region)</w:t>
      </w:r>
    </w:p>
    <w:p w14:paraId="4A4E8CC6" w14:textId="1D62319A"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ROP</w:t>
      </w:r>
      <w:r w:rsidRPr="00A91A09">
        <w:rPr>
          <w:rFonts w:cstheme="minorHAnsi"/>
          <w:sz w:val="24"/>
          <w:lang w:val="en-GB" w:bidi="en-GB"/>
        </w:rPr>
        <w:tab/>
        <w:t>Regional Operational Programme(s)</w:t>
      </w:r>
    </w:p>
    <w:p w14:paraId="427B655E" w14:textId="5B15A49B" w:rsidR="00393DDB" w:rsidRPr="00A91A09" w:rsidRDefault="00393DDB" w:rsidP="005F4712">
      <w:pPr>
        <w:tabs>
          <w:tab w:val="left" w:pos="1985"/>
          <w:tab w:val="left" w:pos="2792"/>
        </w:tabs>
        <w:spacing w:before="40" w:after="40" w:line="240" w:lineRule="auto"/>
        <w:ind w:left="1985" w:hanging="1985"/>
        <w:rPr>
          <w:rFonts w:cstheme="minorHAnsi"/>
          <w:sz w:val="24"/>
          <w:szCs w:val="24"/>
          <w:lang w:val="en-GB"/>
        </w:rPr>
      </w:pPr>
      <w:r w:rsidRPr="00A91A09">
        <w:rPr>
          <w:rFonts w:cstheme="minorHAnsi"/>
          <w:sz w:val="24"/>
          <w:lang w:val="en-GB" w:bidi="en-GB"/>
        </w:rPr>
        <w:t>RC</w:t>
      </w:r>
      <w:r w:rsidRPr="00A91A09">
        <w:rPr>
          <w:rFonts w:cstheme="minorHAnsi"/>
          <w:sz w:val="24"/>
          <w:lang w:val="en-GB" w:bidi="en-GB"/>
        </w:rPr>
        <w:tab/>
        <w:t>Regional Council of the Cohesion Region</w:t>
      </w:r>
    </w:p>
    <w:p w14:paraId="12EC8E09"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RCSW</w:t>
      </w:r>
      <w:r w:rsidRPr="00A91A09">
        <w:rPr>
          <w:rFonts w:cstheme="minorHAnsi"/>
          <w:sz w:val="24"/>
          <w:lang w:val="en-GB" w:bidi="en-GB"/>
        </w:rPr>
        <w:tab/>
        <w:t>Regional Council of the Southwest Cohesion Region</w:t>
      </w:r>
    </w:p>
    <w:p w14:paraId="18119C4E" w14:textId="4C716BAF" w:rsidR="00393DDB" w:rsidRPr="00A91A09" w:rsidRDefault="004D23C2" w:rsidP="005F4712">
      <w:pPr>
        <w:tabs>
          <w:tab w:val="left" w:pos="1985"/>
        </w:tabs>
        <w:spacing w:before="40" w:after="40" w:line="240" w:lineRule="auto"/>
        <w:ind w:left="1985" w:hanging="1985"/>
        <w:rPr>
          <w:rFonts w:cstheme="minorHAnsi"/>
          <w:sz w:val="24"/>
          <w:szCs w:val="24"/>
          <w:lang w:val="en-GB"/>
        </w:rPr>
      </w:pPr>
      <w:r>
        <w:rPr>
          <w:rFonts w:cstheme="minorHAnsi"/>
          <w:sz w:val="24"/>
          <w:lang w:val="en-GB" w:bidi="en-GB"/>
        </w:rPr>
        <w:t>SFDI</w:t>
      </w:r>
      <w:r w:rsidR="00393DDB" w:rsidRPr="00A91A09">
        <w:rPr>
          <w:rFonts w:cstheme="minorHAnsi"/>
          <w:sz w:val="24"/>
          <w:lang w:val="en-GB" w:bidi="en-GB"/>
        </w:rPr>
        <w:tab/>
        <w:t>State Fund for Transport Infrastructure</w:t>
      </w:r>
    </w:p>
    <w:p w14:paraId="76A6162D" w14:textId="6D0620C7" w:rsidR="00393DDB" w:rsidRPr="00A91A09" w:rsidRDefault="00670859" w:rsidP="005F4712">
      <w:pPr>
        <w:tabs>
          <w:tab w:val="left" w:pos="1985"/>
        </w:tabs>
        <w:spacing w:before="40" w:after="40" w:line="240" w:lineRule="auto"/>
        <w:ind w:left="1985" w:hanging="1985"/>
        <w:rPr>
          <w:rFonts w:cstheme="minorHAnsi"/>
          <w:bCs/>
          <w:sz w:val="24"/>
          <w:szCs w:val="24"/>
          <w:lang w:val="en-GB"/>
        </w:rPr>
      </w:pPr>
      <w:r w:rsidRPr="00A91A09">
        <w:rPr>
          <w:rFonts w:cstheme="minorHAnsi"/>
          <w:sz w:val="24"/>
          <w:lang w:val="en-GB" w:bidi="en-GB"/>
        </w:rPr>
        <w:t>Regional roads</w:t>
      </w:r>
      <w:r w:rsidRPr="00A91A09">
        <w:rPr>
          <w:rFonts w:cstheme="minorHAnsi"/>
          <w:sz w:val="24"/>
          <w:lang w:val="en-GB" w:bidi="en-GB"/>
        </w:rPr>
        <w:tab/>
        <w:t>Class II and class III roads in selected regions</w:t>
      </w:r>
    </w:p>
    <w:p w14:paraId="5CADC53D" w14:textId="5BB0D83B" w:rsidR="00393DDB" w:rsidRPr="00A91A09" w:rsidRDefault="00393DDB" w:rsidP="005F4712">
      <w:pPr>
        <w:tabs>
          <w:tab w:val="left" w:pos="1985"/>
        </w:tabs>
        <w:spacing w:before="40" w:after="40" w:line="240" w:lineRule="auto"/>
        <w:ind w:left="1985" w:hanging="1985"/>
        <w:rPr>
          <w:rFonts w:cstheme="minorHAnsi"/>
          <w:bCs/>
          <w:sz w:val="24"/>
          <w:szCs w:val="24"/>
          <w:lang w:val="en-GB"/>
        </w:rPr>
      </w:pPr>
      <w:r w:rsidRPr="00A91A09">
        <w:rPr>
          <w:rFonts w:cstheme="minorHAnsi"/>
          <w:sz w:val="24"/>
          <w:lang w:val="en-GB" w:bidi="en-GB"/>
        </w:rPr>
        <w:t>Agreement</w:t>
      </w:r>
      <w:r w:rsidRPr="00A91A09">
        <w:rPr>
          <w:rFonts w:cstheme="minorHAnsi"/>
          <w:sz w:val="24"/>
          <w:lang w:val="en-GB" w:bidi="en-GB"/>
        </w:rPr>
        <w:tab/>
        <w:t xml:space="preserve">Agreement to provide funding from the </w:t>
      </w:r>
      <w:r w:rsidR="004D23C2">
        <w:rPr>
          <w:rFonts w:cstheme="minorHAnsi"/>
          <w:sz w:val="24"/>
          <w:lang w:val="en-GB" w:bidi="en-GB"/>
        </w:rPr>
        <w:t>SFDI</w:t>
      </w:r>
      <w:r w:rsidRPr="00A91A09">
        <w:rPr>
          <w:rFonts w:cstheme="minorHAnsi"/>
          <w:sz w:val="24"/>
          <w:lang w:val="en-GB" w:bidi="en-GB"/>
        </w:rPr>
        <w:t xml:space="preserve"> budget </w:t>
      </w:r>
    </w:p>
    <w:p w14:paraId="1174AFF9" w14:textId="77777777" w:rsidR="0093316E" w:rsidRPr="00A91A09" w:rsidRDefault="0093316E" w:rsidP="005F4712">
      <w:pPr>
        <w:tabs>
          <w:tab w:val="left" w:pos="1985"/>
        </w:tabs>
        <w:spacing w:before="40" w:after="40" w:line="240" w:lineRule="auto"/>
        <w:ind w:left="1985" w:hanging="1985"/>
        <w:rPr>
          <w:rFonts w:cstheme="minorHAnsi"/>
          <w:bCs/>
          <w:sz w:val="24"/>
          <w:szCs w:val="24"/>
          <w:lang w:val="en-GB"/>
        </w:rPr>
      </w:pPr>
      <w:r w:rsidRPr="00A91A09">
        <w:rPr>
          <w:rFonts w:cstheme="minorHAnsi"/>
          <w:sz w:val="24"/>
          <w:lang w:val="en-GB" w:bidi="en-GB"/>
        </w:rPr>
        <w:t>SR</w:t>
      </w:r>
      <w:r w:rsidRPr="00A91A09">
        <w:rPr>
          <w:rFonts w:cstheme="minorHAnsi"/>
          <w:sz w:val="24"/>
          <w:lang w:val="en-GB" w:bidi="en-GB"/>
        </w:rPr>
        <w:tab/>
        <w:t>Slovak Republic</w:t>
      </w:r>
    </w:p>
    <w:p w14:paraId="448F8BC5" w14:textId="6759A484" w:rsidR="00393DDB" w:rsidRPr="00A91A09" w:rsidRDefault="009E0C06" w:rsidP="005F4712">
      <w:pPr>
        <w:tabs>
          <w:tab w:val="left" w:pos="1985"/>
        </w:tabs>
        <w:spacing w:before="40" w:after="40" w:line="240" w:lineRule="auto"/>
        <w:ind w:left="1985" w:hanging="1985"/>
        <w:rPr>
          <w:rFonts w:cstheme="minorHAnsi"/>
          <w:sz w:val="24"/>
          <w:szCs w:val="24"/>
          <w:lang w:val="en-GB"/>
        </w:rPr>
      </w:pPr>
      <w:r>
        <w:rPr>
          <w:rFonts w:cstheme="minorHAnsi"/>
          <w:sz w:val="24"/>
          <w:lang w:val="en-GB" w:bidi="en-GB"/>
        </w:rPr>
        <w:t>RM</w:t>
      </w:r>
      <w:r>
        <w:rPr>
          <w:rFonts w:cstheme="minorHAnsi"/>
          <w:sz w:val="24"/>
          <w:lang w:val="en-GB" w:bidi="en-GB"/>
        </w:rPr>
        <w:tab/>
        <w:t>Road M</w:t>
      </w:r>
      <w:r w:rsidR="00393DDB" w:rsidRPr="00A91A09">
        <w:rPr>
          <w:rFonts w:cstheme="minorHAnsi"/>
          <w:sz w:val="24"/>
          <w:lang w:val="en-GB" w:bidi="en-GB"/>
        </w:rPr>
        <w:t>anagement</w:t>
      </w:r>
    </w:p>
    <w:p w14:paraId="51F1D3C4"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RMMSR</w:t>
      </w:r>
      <w:r w:rsidRPr="00A91A09">
        <w:rPr>
          <w:rFonts w:cstheme="minorHAnsi"/>
          <w:sz w:val="24"/>
          <w:lang w:val="en-GB" w:bidi="en-GB"/>
        </w:rPr>
        <w:tab/>
        <w:t>Road Management of the Moravian-Silesian Region, public-benefit corporation</w:t>
      </w:r>
    </w:p>
    <w:p w14:paraId="4555DFD1" w14:textId="2A56715B" w:rsidR="00393DDB" w:rsidRPr="00A91A09" w:rsidRDefault="00BB0EF8" w:rsidP="005F4712">
      <w:pPr>
        <w:tabs>
          <w:tab w:val="left" w:pos="1985"/>
        </w:tabs>
        <w:spacing w:before="40" w:after="40" w:line="240" w:lineRule="auto"/>
        <w:ind w:left="1985" w:hanging="1985"/>
        <w:rPr>
          <w:rFonts w:cstheme="minorHAnsi"/>
          <w:sz w:val="24"/>
          <w:szCs w:val="24"/>
          <w:lang w:val="en-GB"/>
        </w:rPr>
      </w:pPr>
      <w:r>
        <w:rPr>
          <w:rFonts w:cstheme="minorHAnsi"/>
          <w:sz w:val="24"/>
          <w:lang w:val="en-GB" w:bidi="en-GB"/>
        </w:rPr>
        <w:t>RMM</w:t>
      </w:r>
      <w:r>
        <w:rPr>
          <w:rFonts w:cstheme="minorHAnsi"/>
          <w:sz w:val="24"/>
          <w:lang w:val="en-GB" w:bidi="en-GB"/>
        </w:rPr>
        <w:tab/>
        <w:t>Road Management and M</w:t>
      </w:r>
      <w:r w:rsidR="00393DDB" w:rsidRPr="00A91A09">
        <w:rPr>
          <w:rFonts w:cstheme="minorHAnsi"/>
          <w:sz w:val="24"/>
          <w:lang w:val="en-GB" w:bidi="en-GB"/>
        </w:rPr>
        <w:t>aintenance</w:t>
      </w:r>
    </w:p>
    <w:p w14:paraId="0A78380F" w14:textId="0701FEDD"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RMMPR</w:t>
      </w:r>
      <w:r w:rsidRPr="00A91A09">
        <w:rPr>
          <w:rFonts w:cstheme="minorHAnsi"/>
          <w:sz w:val="24"/>
          <w:lang w:val="en-GB" w:bidi="en-GB"/>
        </w:rPr>
        <w:tab/>
        <w:t>Road Management and Maintenance of the Pardubice Region, public-benefit corporation</w:t>
      </w:r>
    </w:p>
    <w:p w14:paraId="410B56D7" w14:textId="5C7E30BF"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RMMPilR</w:t>
      </w:r>
      <w:r w:rsidRPr="00A91A09">
        <w:rPr>
          <w:rFonts w:cstheme="minorHAnsi"/>
          <w:sz w:val="24"/>
          <w:lang w:val="en-GB" w:bidi="en-GB"/>
        </w:rPr>
        <w:tab/>
        <w:t>Road Management and Maintenance of the Pilsen Region, public-benefit corporation</w:t>
      </w:r>
    </w:p>
    <w:p w14:paraId="6B0F4334" w14:textId="77777777"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OPC</w:t>
      </w:r>
      <w:r w:rsidRPr="00A91A09">
        <w:rPr>
          <w:rFonts w:cstheme="minorHAnsi"/>
          <w:sz w:val="24"/>
          <w:lang w:val="en-GB" w:bidi="en-GB"/>
        </w:rPr>
        <w:tab/>
        <w:t>Office for the Protection of Competition</w:t>
      </w:r>
    </w:p>
    <w:p w14:paraId="4C384DF0" w14:textId="375C86D3" w:rsidR="005F4712" w:rsidRPr="00A91A09" w:rsidRDefault="005F4712"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HTU</w:t>
      </w:r>
      <w:r w:rsidRPr="00A91A09">
        <w:rPr>
          <w:rFonts w:cstheme="minorHAnsi"/>
          <w:sz w:val="24"/>
          <w:lang w:val="en-GB" w:bidi="en-GB"/>
        </w:rPr>
        <w:tab/>
        <w:t>Unit of territorial self-government in Slovakia (</w:t>
      </w:r>
      <w:r w:rsidR="00CF11D1">
        <w:rPr>
          <w:rFonts w:cstheme="minorHAnsi"/>
          <w:sz w:val="24"/>
          <w:lang w:val="en-GB" w:bidi="en-GB"/>
        </w:rPr>
        <w:t xml:space="preserve">from Slovak: </w:t>
      </w:r>
      <w:r w:rsidRPr="00A91A09">
        <w:rPr>
          <w:rFonts w:cstheme="minorHAnsi"/>
          <w:i/>
          <w:sz w:val="24"/>
          <w:lang w:val="en-GB" w:bidi="en-GB"/>
        </w:rPr>
        <w:t>higher territorial unit</w:t>
      </w:r>
      <w:r w:rsidRPr="00A91A09">
        <w:rPr>
          <w:rFonts w:cstheme="minorHAnsi"/>
          <w:sz w:val="24"/>
          <w:lang w:val="en-GB" w:bidi="en-GB"/>
        </w:rPr>
        <w:t>)</w:t>
      </w:r>
    </w:p>
    <w:p w14:paraId="43921E92" w14:textId="4045AE30"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Contract</w:t>
      </w:r>
      <w:r w:rsidRPr="00A91A09">
        <w:rPr>
          <w:rFonts w:cstheme="minorHAnsi"/>
          <w:sz w:val="24"/>
          <w:lang w:val="en-GB" w:bidi="en-GB"/>
        </w:rPr>
        <w:tab/>
        <w:t>Public contract within the meaning of Act No. 137/2006 Coll., on Public Procurement</w:t>
      </w:r>
    </w:p>
    <w:p w14:paraId="57ABAA78" w14:textId="60D9A64D" w:rsidR="00393DDB" w:rsidRPr="00A91A09" w:rsidRDefault="00CF11D1" w:rsidP="005F4712">
      <w:pPr>
        <w:tabs>
          <w:tab w:val="left" w:pos="1985"/>
        </w:tabs>
        <w:spacing w:before="40" w:after="40" w:line="240" w:lineRule="auto"/>
        <w:ind w:left="1985" w:hanging="1985"/>
        <w:rPr>
          <w:rFonts w:cstheme="minorHAnsi"/>
          <w:sz w:val="24"/>
          <w:szCs w:val="24"/>
          <w:lang w:val="en-GB"/>
        </w:rPr>
      </w:pPr>
      <w:r>
        <w:rPr>
          <w:rFonts w:cstheme="minorHAnsi"/>
          <w:sz w:val="24"/>
          <w:lang w:val="en-GB" w:bidi="en-GB"/>
        </w:rPr>
        <w:t>FEA</w:t>
      </w:r>
      <w:r>
        <w:rPr>
          <w:rFonts w:cstheme="minorHAnsi"/>
          <w:sz w:val="24"/>
          <w:lang w:val="en-GB" w:bidi="en-GB"/>
        </w:rPr>
        <w:tab/>
        <w:t>Final Evaluation of the A</w:t>
      </w:r>
      <w:r w:rsidR="00393DDB" w:rsidRPr="00A91A09">
        <w:rPr>
          <w:rFonts w:cstheme="minorHAnsi"/>
          <w:sz w:val="24"/>
          <w:lang w:val="en-GB" w:bidi="en-GB"/>
        </w:rPr>
        <w:t>ction</w:t>
      </w:r>
    </w:p>
    <w:p w14:paraId="6FB798DB" w14:textId="3D29B552" w:rsidR="00393DDB" w:rsidRPr="00A91A09" w:rsidRDefault="00393DDB" w:rsidP="005F4712">
      <w:pPr>
        <w:tabs>
          <w:tab w:val="left" w:pos="1985"/>
        </w:tabs>
        <w:spacing w:before="40" w:after="40" w:line="240" w:lineRule="auto"/>
        <w:ind w:left="1985" w:hanging="1985"/>
        <w:rPr>
          <w:rFonts w:cstheme="minorHAnsi"/>
          <w:sz w:val="24"/>
          <w:szCs w:val="24"/>
          <w:lang w:val="en-GB"/>
        </w:rPr>
      </w:pPr>
      <w:r w:rsidRPr="00A91A09">
        <w:rPr>
          <w:rFonts w:cstheme="minorHAnsi"/>
          <w:sz w:val="24"/>
          <w:lang w:val="en-GB" w:bidi="en-GB"/>
        </w:rPr>
        <w:t>Public Procurement Act</w:t>
      </w:r>
      <w:r w:rsidRPr="00A91A09">
        <w:rPr>
          <w:rFonts w:cstheme="minorHAnsi"/>
          <w:sz w:val="24"/>
          <w:lang w:val="en-GB" w:bidi="en-GB"/>
        </w:rPr>
        <w:tab/>
        <w:t>Act No. 137/2006 Coll., on Public Procurement</w:t>
      </w:r>
      <w:bookmarkStart w:id="0" w:name="_GoBack"/>
      <w:bookmarkEnd w:id="0"/>
    </w:p>
    <w:sectPr w:rsidR="00393DDB" w:rsidRPr="00A91A09" w:rsidSect="00B227C9">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9CCD7" w14:textId="77777777" w:rsidR="00BE62A0" w:rsidRDefault="00BE62A0" w:rsidP="00393DDB">
      <w:pPr>
        <w:spacing w:after="0" w:line="240" w:lineRule="auto"/>
      </w:pPr>
      <w:r>
        <w:separator/>
      </w:r>
    </w:p>
  </w:endnote>
  <w:endnote w:type="continuationSeparator" w:id="0">
    <w:p w14:paraId="794A1247" w14:textId="77777777" w:rsidR="00BE62A0" w:rsidRDefault="00BE62A0" w:rsidP="0039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B7811" w14:textId="77777777" w:rsidR="00BE62A0" w:rsidRDefault="00BE62A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40866"/>
      <w:docPartObj>
        <w:docPartGallery w:val="Page Numbers (Bottom of Page)"/>
        <w:docPartUnique/>
      </w:docPartObj>
    </w:sdtPr>
    <w:sdtEndPr/>
    <w:sdtContent>
      <w:p w14:paraId="4B56B970" w14:textId="4BD8D2E3" w:rsidR="00BE62A0" w:rsidRDefault="00BE62A0">
        <w:pPr>
          <w:pStyle w:val="Zpat"/>
          <w:jc w:val="center"/>
        </w:pPr>
        <w:r>
          <w:rPr>
            <w:lang w:val="en-GB" w:bidi="en-GB"/>
          </w:rPr>
          <w:fldChar w:fldCharType="begin"/>
        </w:r>
        <w:r>
          <w:rPr>
            <w:lang w:val="en-GB" w:bidi="en-GB"/>
          </w:rPr>
          <w:instrText>PAGE   \* MERGEFORMAT</w:instrText>
        </w:r>
        <w:r>
          <w:rPr>
            <w:lang w:val="en-GB" w:bidi="en-GB"/>
          </w:rPr>
          <w:fldChar w:fldCharType="separate"/>
        </w:r>
        <w:r w:rsidR="008C2536">
          <w:rPr>
            <w:noProof/>
            <w:lang w:val="en-GB" w:bidi="en-GB"/>
          </w:rPr>
          <w:t>35</w:t>
        </w:r>
        <w:r>
          <w:rPr>
            <w:lang w:val="en-GB" w:bidi="en-GB"/>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E603" w14:textId="77777777" w:rsidR="00BE62A0" w:rsidRDefault="00BE62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471F6" w14:textId="77777777" w:rsidR="00BE62A0" w:rsidRDefault="00BE62A0" w:rsidP="00393DDB">
      <w:pPr>
        <w:spacing w:after="0" w:line="240" w:lineRule="auto"/>
      </w:pPr>
      <w:r>
        <w:separator/>
      </w:r>
    </w:p>
  </w:footnote>
  <w:footnote w:type="continuationSeparator" w:id="0">
    <w:p w14:paraId="3D2B12DC" w14:textId="77777777" w:rsidR="00BE62A0" w:rsidRDefault="00BE62A0" w:rsidP="00393DDB">
      <w:pPr>
        <w:spacing w:after="0" w:line="240" w:lineRule="auto"/>
      </w:pPr>
      <w:r>
        <w:continuationSeparator/>
      </w:r>
    </w:p>
  </w:footnote>
  <w:footnote w:id="1">
    <w:p w14:paraId="46374A73" w14:textId="77777777" w:rsidR="00BE62A0" w:rsidRPr="00ED7321" w:rsidRDefault="00BE62A0" w:rsidP="00973A99">
      <w:pPr>
        <w:pStyle w:val="Textpoznpodarou"/>
        <w:ind w:left="284" w:hanging="284"/>
        <w:rPr>
          <w:rFonts w:asciiTheme="minorHAnsi" w:hAnsiTheme="minorHAnsi" w:cstheme="minorHAnsi"/>
        </w:rPr>
      </w:pPr>
      <w:r w:rsidRPr="009E6E51">
        <w:rPr>
          <w:rStyle w:val="Znakapoznpodarou"/>
          <w:rFonts w:ascii="Calibri" w:hAnsi="Calibri"/>
          <w:lang w:val="en-GB" w:bidi="en-GB"/>
        </w:rPr>
        <w:footnoteRef/>
      </w:r>
      <w:r w:rsidRPr="009E6E51">
        <w:rPr>
          <w:rFonts w:ascii="Calibri" w:hAnsi="Calibri"/>
          <w:lang w:val="en-GB" w:bidi="en-GB"/>
        </w:rPr>
        <w:t xml:space="preserve"> </w:t>
      </w:r>
      <w:r w:rsidRPr="009E6E51">
        <w:rPr>
          <w:rFonts w:ascii="Calibri" w:hAnsi="Calibri"/>
          <w:lang w:val="en-GB" w:bidi="en-GB"/>
        </w:rPr>
        <w:tab/>
        <w:t>Act No. 104/2000 Coll., on the State Fund for Transport Infrastructure.</w:t>
      </w:r>
    </w:p>
  </w:footnote>
  <w:footnote w:id="2">
    <w:p w14:paraId="523008D9" w14:textId="77777777" w:rsidR="00BE62A0" w:rsidRPr="00ED7321" w:rsidRDefault="00BE62A0" w:rsidP="00973A99">
      <w:pPr>
        <w:pStyle w:val="Textpoznpodarou"/>
        <w:ind w:left="284" w:hanging="284"/>
        <w:jc w:val="both"/>
        <w:rPr>
          <w:rFonts w:asciiTheme="minorHAnsi" w:hAnsiTheme="minorHAnsi" w:cstheme="minorHAnsi"/>
        </w:rPr>
      </w:pPr>
      <w:r w:rsidRPr="009E6E51">
        <w:rPr>
          <w:rStyle w:val="Znakapoznpodarou"/>
          <w:rFonts w:ascii="Calibri" w:hAnsi="Calibri"/>
          <w:lang w:val="en-GB" w:bidi="en-GB"/>
        </w:rPr>
        <w:footnoteRef/>
      </w:r>
      <w:r w:rsidRPr="009E6E51">
        <w:rPr>
          <w:rFonts w:ascii="Calibri" w:hAnsi="Calibri"/>
          <w:lang w:val="en-GB" w:bidi="en-GB"/>
        </w:rPr>
        <w:t xml:space="preserve"> </w:t>
      </w:r>
      <w:r w:rsidRPr="009E6E51">
        <w:rPr>
          <w:rFonts w:ascii="Calibri" w:hAnsi="Calibri"/>
          <w:lang w:val="en-GB" w:bidi="en-GB"/>
        </w:rPr>
        <w:tab/>
        <w:t>Act No. 132/2000 Coll., on the amendment and abolition of some laws related to the Act on Regions, the Act on Municipalities, the Act on District Authorities, and the Act on the City of Prague.</w:t>
      </w:r>
    </w:p>
  </w:footnote>
  <w:footnote w:id="3">
    <w:p w14:paraId="17D05C54" w14:textId="77777777" w:rsidR="00BE62A0" w:rsidRPr="00ED7321" w:rsidRDefault="00BE62A0" w:rsidP="00973A99">
      <w:pPr>
        <w:pStyle w:val="Textpoznpodarou"/>
        <w:ind w:left="284" w:hanging="284"/>
        <w:jc w:val="both"/>
        <w:rPr>
          <w:rFonts w:asciiTheme="minorHAnsi" w:hAnsiTheme="minorHAnsi" w:cstheme="minorHAnsi"/>
        </w:rPr>
      </w:pPr>
      <w:r w:rsidRPr="009E6E51">
        <w:rPr>
          <w:rStyle w:val="Znakapoznpodarou"/>
          <w:rFonts w:ascii="Calibri" w:hAnsi="Calibri"/>
          <w:lang w:val="en-GB" w:bidi="en-GB"/>
        </w:rPr>
        <w:footnoteRef/>
      </w:r>
      <w:r w:rsidRPr="009E6E51">
        <w:rPr>
          <w:rFonts w:ascii="Calibri" w:hAnsi="Calibri"/>
          <w:lang w:val="en-GB" w:bidi="en-GB"/>
        </w:rPr>
        <w:t xml:space="preserve"> </w:t>
      </w:r>
      <w:r w:rsidRPr="009E6E51">
        <w:rPr>
          <w:rFonts w:ascii="Calibri" w:hAnsi="Calibri"/>
          <w:lang w:val="en-GB" w:bidi="en-GB"/>
        </w:rPr>
        <w:tab/>
      </w:r>
      <w:r w:rsidRPr="009E6E51">
        <w:rPr>
          <w:rStyle w:val="Znakapoznpodarou"/>
          <w:rFonts w:ascii="Calibri" w:hAnsi="Calibri"/>
          <w:vertAlign w:val="baseline"/>
          <w:lang w:val="en-GB" w:bidi="en-GB"/>
        </w:rPr>
        <w:t>Act No. 13/1997 Coll., on Roads</w:t>
      </w:r>
      <w:r w:rsidRPr="009E6E51">
        <w:rPr>
          <w:rFonts w:ascii="Calibri" w:hAnsi="Calibri"/>
          <w:lang w:val="en-GB" w:bidi="en-GB"/>
        </w:rPr>
        <w:t>.</w:t>
      </w:r>
    </w:p>
  </w:footnote>
  <w:footnote w:id="4">
    <w:p w14:paraId="2F72C0C8" w14:textId="77777777" w:rsidR="00BE62A0" w:rsidRPr="00ED7321" w:rsidRDefault="00BE62A0" w:rsidP="00973A99">
      <w:pPr>
        <w:pStyle w:val="Textpoznpodarou"/>
        <w:ind w:left="284" w:hanging="284"/>
        <w:rPr>
          <w:rFonts w:asciiTheme="minorHAnsi" w:hAnsiTheme="minorHAnsi" w:cstheme="minorHAnsi"/>
        </w:rPr>
      </w:pPr>
      <w:r w:rsidRPr="009E6E51">
        <w:rPr>
          <w:rStyle w:val="Znakapoznpodarou"/>
          <w:rFonts w:ascii="Calibri" w:hAnsi="Calibri"/>
          <w:lang w:val="en-GB" w:bidi="en-GB"/>
        </w:rPr>
        <w:footnoteRef/>
      </w:r>
      <w:r w:rsidRPr="009E6E51">
        <w:rPr>
          <w:rFonts w:ascii="Calibri" w:hAnsi="Calibri"/>
          <w:lang w:val="en-GB" w:bidi="en-GB"/>
        </w:rPr>
        <w:t xml:space="preserve"> </w:t>
      </w:r>
      <w:r w:rsidRPr="009E6E51">
        <w:rPr>
          <w:rFonts w:ascii="Calibri" w:hAnsi="Calibri"/>
          <w:lang w:val="en-GB" w:bidi="en-GB"/>
        </w:rPr>
        <w:tab/>
        <w:t>Act No. 248/2000 Coll., on Support to Regional Development.</w:t>
      </w:r>
    </w:p>
  </w:footnote>
  <w:footnote w:id="5">
    <w:p w14:paraId="605A9052" w14:textId="0D2591C8" w:rsidR="00BE62A0" w:rsidRPr="00D86736" w:rsidRDefault="00BE62A0" w:rsidP="00D86736">
      <w:pPr>
        <w:pStyle w:val="Textpoznpodarou"/>
        <w:ind w:left="284" w:hanging="284"/>
        <w:rPr>
          <w:rFonts w:ascii="Calibri" w:hAnsi="Calibri" w:cs="Calibri"/>
        </w:rPr>
      </w:pPr>
      <w:r w:rsidRPr="009E6E51">
        <w:rPr>
          <w:rStyle w:val="Znakapoznpodarou"/>
          <w:rFonts w:ascii="Calibri" w:hAnsi="Calibri"/>
          <w:lang w:val="en-GB" w:bidi="en-GB"/>
        </w:rPr>
        <w:footnoteRef/>
      </w:r>
      <w:r w:rsidRPr="009E6E51">
        <w:rPr>
          <w:rFonts w:ascii="Calibri" w:hAnsi="Calibri"/>
          <w:lang w:val="en-GB" w:bidi="en-GB"/>
        </w:rPr>
        <w:t xml:space="preserve"> </w:t>
      </w:r>
      <w:r w:rsidRPr="009E6E51">
        <w:rPr>
          <w:rFonts w:ascii="Calibri" w:hAnsi="Calibri"/>
          <w:lang w:val="en-GB" w:bidi="en-GB"/>
        </w:rPr>
        <w:tab/>
        <w:t>Act No. 250/2000 Coll., on the Municipal Budgetary Rules.</w:t>
      </w:r>
    </w:p>
  </w:footnote>
  <w:footnote w:id="6">
    <w:p w14:paraId="0D5F8790" w14:textId="0CFA348E" w:rsidR="00BE62A0" w:rsidRPr="007D2BF7" w:rsidRDefault="00BE62A0" w:rsidP="00D86736">
      <w:pPr>
        <w:pStyle w:val="Textpoznpodarou"/>
        <w:ind w:left="284" w:hanging="284"/>
        <w:rPr>
          <w:rFonts w:ascii="Calibri" w:hAnsi="Calibri" w:cs="Calibri"/>
        </w:rPr>
      </w:pPr>
      <w:r w:rsidRPr="009E6E51">
        <w:rPr>
          <w:rStyle w:val="Znakapoznpodarou"/>
          <w:rFonts w:ascii="Calibri" w:hAnsi="Calibri"/>
          <w:lang w:val="en-GB" w:bidi="en-GB"/>
        </w:rPr>
        <w:footnoteRef/>
      </w:r>
      <w:r w:rsidRPr="009E6E51">
        <w:rPr>
          <w:rFonts w:ascii="Calibri" w:hAnsi="Calibri"/>
          <w:lang w:val="en-GB" w:bidi="en-GB"/>
        </w:rPr>
        <w:t xml:space="preserve"> </w:t>
      </w:r>
      <w:r w:rsidRPr="009E6E51">
        <w:rPr>
          <w:rFonts w:ascii="Calibri" w:hAnsi="Calibri"/>
          <w:lang w:val="en-GB" w:bidi="en-GB"/>
        </w:rPr>
        <w:tab/>
        <w:t xml:space="preserve">See </w:t>
      </w:r>
      <w:hyperlink r:id="rId1" w:history="1">
        <w:r w:rsidRPr="009E6E51">
          <w:rPr>
            <w:rStyle w:val="Hypertextovodkaz"/>
            <w:rFonts w:ascii="Calibri" w:hAnsi="Calibri"/>
            <w:lang w:val="en-GB" w:bidi="en-GB"/>
          </w:rPr>
          <w:t>https://www.nku.gov.sk/documents/10157/b4b3b0ec-5056-40ed-9316-0c8b95aaf5f6</w:t>
        </w:r>
      </w:hyperlink>
      <w:r w:rsidRPr="009E6E51">
        <w:rPr>
          <w:rStyle w:val="Hypertextovodkaz"/>
          <w:rFonts w:ascii="Calibri" w:hAnsi="Calibri"/>
          <w:u w:val="none"/>
          <w:lang w:val="en-GB" w:bidi="en-GB"/>
        </w:rPr>
        <w:t>.</w:t>
      </w:r>
    </w:p>
  </w:footnote>
  <w:footnote w:id="7">
    <w:p w14:paraId="24E056C3" w14:textId="77777777" w:rsidR="00BE62A0" w:rsidRPr="00831687" w:rsidRDefault="00BE62A0" w:rsidP="00FA6C67">
      <w:pPr>
        <w:pStyle w:val="Textpoznpodarou"/>
        <w:ind w:left="284" w:hanging="284"/>
        <w:jc w:val="both"/>
        <w:rPr>
          <w:rFonts w:ascii="Calibri" w:hAnsi="Calibri"/>
          <w:color w:val="000000" w:themeColor="text1"/>
        </w:rPr>
      </w:pPr>
      <w:r w:rsidRPr="009E6E51">
        <w:rPr>
          <w:rStyle w:val="Znakapoznpodarou"/>
          <w:rFonts w:ascii="Calibri" w:hAnsi="Calibri"/>
          <w:lang w:val="en-GB" w:bidi="en-GB"/>
        </w:rPr>
        <w:footnoteRef/>
      </w:r>
      <w:r w:rsidRPr="009E6E51">
        <w:rPr>
          <w:rFonts w:ascii="Calibri" w:hAnsi="Calibri"/>
          <w:lang w:val="en-GB" w:bidi="en-GB"/>
        </w:rPr>
        <w:t xml:space="preserve"> </w:t>
      </w:r>
      <w:r w:rsidRPr="009E6E51">
        <w:rPr>
          <w:rFonts w:ascii="Calibri" w:hAnsi="Calibri"/>
          <w:lang w:val="en-GB" w:bidi="en-GB"/>
        </w:rPr>
        <w:tab/>
      </w:r>
      <w:r w:rsidRPr="009E6E51">
        <w:rPr>
          <w:rFonts w:ascii="Calibri" w:hAnsi="Calibri"/>
          <w:shd w:val="clear" w:color="auto" w:fill="FFFFFF"/>
          <w:lang w:val="en-GB" w:bidi="en-GB"/>
        </w:rPr>
        <w:t>The Road Management System is a system for optimising lifecycle maintenance costs, the main benefits of which are the economy, transparency and control of the use of funds for road maintenance and repairs.</w:t>
      </w:r>
    </w:p>
  </w:footnote>
  <w:footnote w:id="8">
    <w:p w14:paraId="4D6D3A33" w14:textId="1CF36308" w:rsidR="00BE62A0" w:rsidRPr="00162FB4" w:rsidRDefault="00BE62A0" w:rsidP="00A34605">
      <w:pPr>
        <w:pStyle w:val="Textpoznpodarou"/>
        <w:ind w:left="284" w:hanging="284"/>
        <w:rPr>
          <w:rFonts w:ascii="Calibri" w:hAnsi="Calibri"/>
        </w:rPr>
      </w:pPr>
      <w:r w:rsidRPr="009E6E51">
        <w:rPr>
          <w:rStyle w:val="Znakapoznpodarou"/>
          <w:rFonts w:ascii="Calibri" w:hAnsi="Calibri"/>
          <w:lang w:val="en-GB" w:bidi="en-GB"/>
        </w:rPr>
        <w:footnoteRef/>
      </w:r>
      <w:r w:rsidRPr="009E6E51">
        <w:rPr>
          <w:rFonts w:ascii="Calibri" w:hAnsi="Calibri"/>
          <w:lang w:val="en-GB" w:bidi="en-GB"/>
        </w:rPr>
        <w:t xml:space="preserve"> </w:t>
      </w:r>
      <w:r w:rsidRPr="009E6E51">
        <w:rPr>
          <w:rFonts w:ascii="Calibri" w:hAnsi="Calibri"/>
          <w:lang w:val="en-GB" w:bidi="en-GB"/>
        </w:rPr>
        <w:tab/>
        <w:t>Act No. 137/2006 Coll., on Public Procurement.</w:t>
      </w:r>
    </w:p>
  </w:footnote>
  <w:footnote w:id="9">
    <w:p w14:paraId="725E9BAE" w14:textId="73942DDD" w:rsidR="00BE62A0" w:rsidRPr="007E14F9" w:rsidRDefault="00BE62A0" w:rsidP="007E14F9">
      <w:pPr>
        <w:spacing w:after="0" w:line="240" w:lineRule="auto"/>
        <w:ind w:left="284" w:hanging="284"/>
        <w:jc w:val="both"/>
        <w:rPr>
          <w:sz w:val="20"/>
          <w:szCs w:val="20"/>
        </w:rPr>
      </w:pPr>
      <w:r w:rsidRPr="007E14F9">
        <w:rPr>
          <w:rStyle w:val="Znakapoznpodarou"/>
          <w:sz w:val="20"/>
          <w:lang w:val="en-GB" w:bidi="en-GB"/>
        </w:rPr>
        <w:footnoteRef/>
      </w:r>
      <w:r w:rsidRPr="007E14F9">
        <w:rPr>
          <w:sz w:val="20"/>
          <w:lang w:val="en-GB" w:bidi="en-GB"/>
        </w:rPr>
        <w:t xml:space="preserve"> </w:t>
      </w:r>
      <w:r w:rsidRPr="007E14F9">
        <w:rPr>
          <w:sz w:val="20"/>
          <w:lang w:val="en-GB" w:bidi="en-GB"/>
        </w:rPr>
        <w:tab/>
        <w:t xml:space="preserve">Audit Conclusion of Audit No. 09/26 – </w:t>
      </w:r>
      <w:r w:rsidRPr="007E14F9">
        <w:rPr>
          <w:i/>
          <w:sz w:val="20"/>
          <w:lang w:val="en-GB" w:bidi="en-GB"/>
        </w:rPr>
        <w:t>Funds designated under Regional Operational Programmes for transport infrastructure projects</w:t>
      </w:r>
      <w:r w:rsidRPr="007E14F9">
        <w:rPr>
          <w:sz w:val="20"/>
          <w:lang w:val="en-GB" w:bidi="en-GB"/>
        </w:rPr>
        <w:t xml:space="preserve">, published in 1/2011 </w:t>
      </w:r>
      <w:r w:rsidRPr="007E14F9">
        <w:rPr>
          <w:i/>
          <w:sz w:val="20"/>
          <w:lang w:val="en-GB" w:bidi="en-GB"/>
        </w:rPr>
        <w:t>of the SAO Journal</w:t>
      </w:r>
      <w:r w:rsidRPr="007E14F9">
        <w:rPr>
          <w:sz w:val="20"/>
          <w:lang w:val="en-GB" w:bidi="en-GB"/>
        </w:rPr>
        <w:t>.</w:t>
      </w:r>
    </w:p>
  </w:footnote>
  <w:footnote w:id="10">
    <w:p w14:paraId="3287444B" w14:textId="1431EAB6" w:rsidR="00BE62A0" w:rsidRDefault="00BE62A0" w:rsidP="002521D7">
      <w:pPr>
        <w:spacing w:line="240" w:lineRule="auto"/>
        <w:ind w:left="284" w:hanging="284"/>
        <w:contextualSpacing/>
        <w:jc w:val="both"/>
      </w:pPr>
      <w:r>
        <w:rPr>
          <w:rStyle w:val="Znakapoznpodarou"/>
          <w:lang w:val="en-GB" w:bidi="en-GB"/>
        </w:rPr>
        <w:footnoteRef/>
      </w:r>
      <w:r>
        <w:rPr>
          <w:lang w:val="en-GB" w:bidi="en-GB"/>
        </w:rPr>
        <w:t xml:space="preserve"> </w:t>
      </w:r>
      <w:r>
        <w:rPr>
          <w:lang w:val="en-GB" w:bidi="en-GB"/>
        </w:rPr>
        <w:tab/>
      </w:r>
      <w:r w:rsidRPr="00DE5C3B">
        <w:rPr>
          <w:sz w:val="20"/>
          <w:lang w:val="en-GB" w:bidi="en-GB"/>
        </w:rPr>
        <w:t xml:space="preserve">The </w:t>
      </w:r>
      <w:r w:rsidRPr="00196D71">
        <w:rPr>
          <w:i/>
          <w:sz w:val="20"/>
          <w:lang w:val="en-GB" w:bidi="en-GB"/>
        </w:rPr>
        <w:t>Bridge Management System</w:t>
      </w:r>
      <w:r w:rsidRPr="00DE5C3B">
        <w:rPr>
          <w:sz w:val="20"/>
          <w:lang w:val="en-GB" w:bidi="en-GB"/>
        </w:rPr>
        <w:t xml:space="preserve"> is an expert system with nationwide competence, which is used to record bridges, passes (in the future also tunnels) for all road managers, to assess bridge structures in terms of their condition, loadability and usability, and to determine the necessary maintenance, repairs or reconstruction. The system is the result of a research and development project funded by the Ministry of Transport and was created by the “PONTEX VARS-Viapont Association”.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FD136" w14:textId="77777777" w:rsidR="00BE62A0" w:rsidRDefault="00BE62A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A4475" w14:textId="77777777" w:rsidR="00BE62A0" w:rsidRDefault="00BE62A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B658B" w14:textId="77777777" w:rsidR="00BE62A0" w:rsidRDefault="00BE62A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87D"/>
    <w:multiLevelType w:val="hybridMultilevel"/>
    <w:tmpl w:val="E9B8D3FC"/>
    <w:lvl w:ilvl="0" w:tplc="7DAE0F74">
      <w:start w:val="1"/>
      <w:numFmt w:val="bullet"/>
      <w:lvlText w:val=""/>
      <w:lvlJc w:val="left"/>
      <w:pPr>
        <w:ind w:left="360" w:hanging="360"/>
      </w:pPr>
      <w:rPr>
        <w:rFonts w:ascii="Symbol" w:hAnsi="Symbol" w:hint="default"/>
      </w:rPr>
    </w:lvl>
    <w:lvl w:ilvl="1" w:tplc="96CCAD18" w:tentative="1">
      <w:start w:val="1"/>
      <w:numFmt w:val="bullet"/>
      <w:lvlText w:val="o"/>
      <w:lvlJc w:val="left"/>
      <w:pPr>
        <w:ind w:left="1080" w:hanging="360"/>
      </w:pPr>
      <w:rPr>
        <w:rFonts w:ascii="Courier New" w:hAnsi="Courier New" w:cs="Courier New" w:hint="default"/>
      </w:rPr>
    </w:lvl>
    <w:lvl w:ilvl="2" w:tplc="071E636C" w:tentative="1">
      <w:start w:val="1"/>
      <w:numFmt w:val="bullet"/>
      <w:lvlText w:val=""/>
      <w:lvlJc w:val="left"/>
      <w:pPr>
        <w:ind w:left="1800" w:hanging="360"/>
      </w:pPr>
      <w:rPr>
        <w:rFonts w:ascii="Wingdings" w:hAnsi="Wingdings" w:hint="default"/>
      </w:rPr>
    </w:lvl>
    <w:lvl w:ilvl="3" w:tplc="9F783336" w:tentative="1">
      <w:start w:val="1"/>
      <w:numFmt w:val="bullet"/>
      <w:lvlText w:val=""/>
      <w:lvlJc w:val="left"/>
      <w:pPr>
        <w:ind w:left="2520" w:hanging="360"/>
      </w:pPr>
      <w:rPr>
        <w:rFonts w:ascii="Symbol" w:hAnsi="Symbol" w:hint="default"/>
      </w:rPr>
    </w:lvl>
    <w:lvl w:ilvl="4" w:tplc="E6443C0A" w:tentative="1">
      <w:start w:val="1"/>
      <w:numFmt w:val="bullet"/>
      <w:lvlText w:val="o"/>
      <w:lvlJc w:val="left"/>
      <w:pPr>
        <w:ind w:left="3240" w:hanging="360"/>
      </w:pPr>
      <w:rPr>
        <w:rFonts w:ascii="Courier New" w:hAnsi="Courier New" w:cs="Courier New" w:hint="default"/>
      </w:rPr>
    </w:lvl>
    <w:lvl w:ilvl="5" w:tplc="B580A7DC" w:tentative="1">
      <w:start w:val="1"/>
      <w:numFmt w:val="bullet"/>
      <w:lvlText w:val=""/>
      <w:lvlJc w:val="left"/>
      <w:pPr>
        <w:ind w:left="3960" w:hanging="360"/>
      </w:pPr>
      <w:rPr>
        <w:rFonts w:ascii="Wingdings" w:hAnsi="Wingdings" w:hint="default"/>
      </w:rPr>
    </w:lvl>
    <w:lvl w:ilvl="6" w:tplc="37F887D8" w:tentative="1">
      <w:start w:val="1"/>
      <w:numFmt w:val="bullet"/>
      <w:lvlText w:val=""/>
      <w:lvlJc w:val="left"/>
      <w:pPr>
        <w:ind w:left="4680" w:hanging="360"/>
      </w:pPr>
      <w:rPr>
        <w:rFonts w:ascii="Symbol" w:hAnsi="Symbol" w:hint="default"/>
      </w:rPr>
    </w:lvl>
    <w:lvl w:ilvl="7" w:tplc="062ADEAA" w:tentative="1">
      <w:start w:val="1"/>
      <w:numFmt w:val="bullet"/>
      <w:lvlText w:val="o"/>
      <w:lvlJc w:val="left"/>
      <w:pPr>
        <w:ind w:left="5400" w:hanging="360"/>
      </w:pPr>
      <w:rPr>
        <w:rFonts w:ascii="Courier New" w:hAnsi="Courier New" w:cs="Courier New" w:hint="default"/>
      </w:rPr>
    </w:lvl>
    <w:lvl w:ilvl="8" w:tplc="B7E8F276" w:tentative="1">
      <w:start w:val="1"/>
      <w:numFmt w:val="bullet"/>
      <w:lvlText w:val=""/>
      <w:lvlJc w:val="left"/>
      <w:pPr>
        <w:ind w:left="6120" w:hanging="360"/>
      </w:pPr>
      <w:rPr>
        <w:rFonts w:ascii="Wingdings" w:hAnsi="Wingdings" w:hint="default"/>
      </w:rPr>
    </w:lvl>
  </w:abstractNum>
  <w:abstractNum w:abstractNumId="1" w15:restartNumberingAfterBreak="0">
    <w:nsid w:val="026A3862"/>
    <w:multiLevelType w:val="hybridMultilevel"/>
    <w:tmpl w:val="A7585BAA"/>
    <w:lvl w:ilvl="0" w:tplc="91804496">
      <w:start w:val="1"/>
      <w:numFmt w:val="bullet"/>
      <w:lvlText w:val=""/>
      <w:lvlJc w:val="left"/>
      <w:pPr>
        <w:ind w:left="720" w:hanging="360"/>
      </w:pPr>
      <w:rPr>
        <w:rFonts w:ascii="Symbol" w:hAnsi="Symbol" w:hint="default"/>
      </w:rPr>
    </w:lvl>
    <w:lvl w:ilvl="1" w:tplc="C074A130" w:tentative="1">
      <w:start w:val="1"/>
      <w:numFmt w:val="bullet"/>
      <w:lvlText w:val="o"/>
      <w:lvlJc w:val="left"/>
      <w:pPr>
        <w:ind w:left="1440" w:hanging="360"/>
      </w:pPr>
      <w:rPr>
        <w:rFonts w:ascii="Courier New" w:hAnsi="Courier New" w:cs="Courier New" w:hint="default"/>
      </w:rPr>
    </w:lvl>
    <w:lvl w:ilvl="2" w:tplc="5ED0E716" w:tentative="1">
      <w:start w:val="1"/>
      <w:numFmt w:val="bullet"/>
      <w:lvlText w:val=""/>
      <w:lvlJc w:val="left"/>
      <w:pPr>
        <w:ind w:left="2160" w:hanging="360"/>
      </w:pPr>
      <w:rPr>
        <w:rFonts w:ascii="Wingdings" w:hAnsi="Wingdings" w:hint="default"/>
      </w:rPr>
    </w:lvl>
    <w:lvl w:ilvl="3" w:tplc="E31E977A" w:tentative="1">
      <w:start w:val="1"/>
      <w:numFmt w:val="bullet"/>
      <w:lvlText w:val=""/>
      <w:lvlJc w:val="left"/>
      <w:pPr>
        <w:ind w:left="2880" w:hanging="360"/>
      </w:pPr>
      <w:rPr>
        <w:rFonts w:ascii="Symbol" w:hAnsi="Symbol" w:hint="default"/>
      </w:rPr>
    </w:lvl>
    <w:lvl w:ilvl="4" w:tplc="A2FACF18" w:tentative="1">
      <w:start w:val="1"/>
      <w:numFmt w:val="bullet"/>
      <w:lvlText w:val="o"/>
      <w:lvlJc w:val="left"/>
      <w:pPr>
        <w:ind w:left="3600" w:hanging="360"/>
      </w:pPr>
      <w:rPr>
        <w:rFonts w:ascii="Courier New" w:hAnsi="Courier New" w:cs="Courier New" w:hint="default"/>
      </w:rPr>
    </w:lvl>
    <w:lvl w:ilvl="5" w:tplc="878EFA94" w:tentative="1">
      <w:start w:val="1"/>
      <w:numFmt w:val="bullet"/>
      <w:lvlText w:val=""/>
      <w:lvlJc w:val="left"/>
      <w:pPr>
        <w:ind w:left="4320" w:hanging="360"/>
      </w:pPr>
      <w:rPr>
        <w:rFonts w:ascii="Wingdings" w:hAnsi="Wingdings" w:hint="default"/>
      </w:rPr>
    </w:lvl>
    <w:lvl w:ilvl="6" w:tplc="92EAB784" w:tentative="1">
      <w:start w:val="1"/>
      <w:numFmt w:val="bullet"/>
      <w:lvlText w:val=""/>
      <w:lvlJc w:val="left"/>
      <w:pPr>
        <w:ind w:left="5040" w:hanging="360"/>
      </w:pPr>
      <w:rPr>
        <w:rFonts w:ascii="Symbol" w:hAnsi="Symbol" w:hint="default"/>
      </w:rPr>
    </w:lvl>
    <w:lvl w:ilvl="7" w:tplc="D5826D58" w:tentative="1">
      <w:start w:val="1"/>
      <w:numFmt w:val="bullet"/>
      <w:lvlText w:val="o"/>
      <w:lvlJc w:val="left"/>
      <w:pPr>
        <w:ind w:left="5760" w:hanging="360"/>
      </w:pPr>
      <w:rPr>
        <w:rFonts w:ascii="Courier New" w:hAnsi="Courier New" w:cs="Courier New" w:hint="default"/>
      </w:rPr>
    </w:lvl>
    <w:lvl w:ilvl="8" w:tplc="3982C298" w:tentative="1">
      <w:start w:val="1"/>
      <w:numFmt w:val="bullet"/>
      <w:lvlText w:val=""/>
      <w:lvlJc w:val="left"/>
      <w:pPr>
        <w:ind w:left="6480" w:hanging="360"/>
      </w:pPr>
      <w:rPr>
        <w:rFonts w:ascii="Wingdings" w:hAnsi="Wingdings" w:hint="default"/>
      </w:rPr>
    </w:lvl>
  </w:abstractNum>
  <w:abstractNum w:abstractNumId="2" w15:restartNumberingAfterBreak="0">
    <w:nsid w:val="02BB648F"/>
    <w:multiLevelType w:val="multilevel"/>
    <w:tmpl w:val="0050627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03231C"/>
    <w:multiLevelType w:val="hybridMultilevel"/>
    <w:tmpl w:val="298EB67E"/>
    <w:lvl w:ilvl="0" w:tplc="C2525694">
      <w:start w:val="1"/>
      <w:numFmt w:val="bullet"/>
      <w:lvlText w:val=""/>
      <w:lvlJc w:val="left"/>
      <w:pPr>
        <w:ind w:left="720" w:hanging="360"/>
      </w:pPr>
      <w:rPr>
        <w:rFonts w:ascii="Symbol" w:hAnsi="Symbol" w:hint="default"/>
      </w:rPr>
    </w:lvl>
    <w:lvl w:ilvl="1" w:tplc="DC3A3080" w:tentative="1">
      <w:start w:val="1"/>
      <w:numFmt w:val="bullet"/>
      <w:lvlText w:val="o"/>
      <w:lvlJc w:val="left"/>
      <w:pPr>
        <w:ind w:left="1440" w:hanging="360"/>
      </w:pPr>
      <w:rPr>
        <w:rFonts w:ascii="Courier New" w:hAnsi="Courier New" w:cs="Courier New" w:hint="default"/>
      </w:rPr>
    </w:lvl>
    <w:lvl w:ilvl="2" w:tplc="00F899B4" w:tentative="1">
      <w:start w:val="1"/>
      <w:numFmt w:val="bullet"/>
      <w:lvlText w:val=""/>
      <w:lvlJc w:val="left"/>
      <w:pPr>
        <w:ind w:left="2160" w:hanging="360"/>
      </w:pPr>
      <w:rPr>
        <w:rFonts w:ascii="Wingdings" w:hAnsi="Wingdings" w:hint="default"/>
      </w:rPr>
    </w:lvl>
    <w:lvl w:ilvl="3" w:tplc="2F426944" w:tentative="1">
      <w:start w:val="1"/>
      <w:numFmt w:val="bullet"/>
      <w:lvlText w:val=""/>
      <w:lvlJc w:val="left"/>
      <w:pPr>
        <w:ind w:left="2880" w:hanging="360"/>
      </w:pPr>
      <w:rPr>
        <w:rFonts w:ascii="Symbol" w:hAnsi="Symbol" w:hint="default"/>
      </w:rPr>
    </w:lvl>
    <w:lvl w:ilvl="4" w:tplc="B9F68282" w:tentative="1">
      <w:start w:val="1"/>
      <w:numFmt w:val="bullet"/>
      <w:lvlText w:val="o"/>
      <w:lvlJc w:val="left"/>
      <w:pPr>
        <w:ind w:left="3600" w:hanging="360"/>
      </w:pPr>
      <w:rPr>
        <w:rFonts w:ascii="Courier New" w:hAnsi="Courier New" w:cs="Courier New" w:hint="default"/>
      </w:rPr>
    </w:lvl>
    <w:lvl w:ilvl="5" w:tplc="3830E32E" w:tentative="1">
      <w:start w:val="1"/>
      <w:numFmt w:val="bullet"/>
      <w:lvlText w:val=""/>
      <w:lvlJc w:val="left"/>
      <w:pPr>
        <w:ind w:left="4320" w:hanging="360"/>
      </w:pPr>
      <w:rPr>
        <w:rFonts w:ascii="Wingdings" w:hAnsi="Wingdings" w:hint="default"/>
      </w:rPr>
    </w:lvl>
    <w:lvl w:ilvl="6" w:tplc="E5BE51FA" w:tentative="1">
      <w:start w:val="1"/>
      <w:numFmt w:val="bullet"/>
      <w:lvlText w:val=""/>
      <w:lvlJc w:val="left"/>
      <w:pPr>
        <w:ind w:left="5040" w:hanging="360"/>
      </w:pPr>
      <w:rPr>
        <w:rFonts w:ascii="Symbol" w:hAnsi="Symbol" w:hint="default"/>
      </w:rPr>
    </w:lvl>
    <w:lvl w:ilvl="7" w:tplc="6B287BA6" w:tentative="1">
      <w:start w:val="1"/>
      <w:numFmt w:val="bullet"/>
      <w:lvlText w:val="o"/>
      <w:lvlJc w:val="left"/>
      <w:pPr>
        <w:ind w:left="5760" w:hanging="360"/>
      </w:pPr>
      <w:rPr>
        <w:rFonts w:ascii="Courier New" w:hAnsi="Courier New" w:cs="Courier New" w:hint="default"/>
      </w:rPr>
    </w:lvl>
    <w:lvl w:ilvl="8" w:tplc="2EC82ED8" w:tentative="1">
      <w:start w:val="1"/>
      <w:numFmt w:val="bullet"/>
      <w:lvlText w:val=""/>
      <w:lvlJc w:val="left"/>
      <w:pPr>
        <w:ind w:left="6480" w:hanging="360"/>
      </w:pPr>
      <w:rPr>
        <w:rFonts w:ascii="Wingdings" w:hAnsi="Wingdings" w:hint="default"/>
      </w:rPr>
    </w:lvl>
  </w:abstractNum>
  <w:abstractNum w:abstractNumId="4" w15:restartNumberingAfterBreak="0">
    <w:nsid w:val="050840C6"/>
    <w:multiLevelType w:val="hybridMultilevel"/>
    <w:tmpl w:val="36C0B6E8"/>
    <w:lvl w:ilvl="0" w:tplc="D6F2ACD4">
      <w:start w:val="1"/>
      <w:numFmt w:val="bullet"/>
      <w:lvlText w:val=""/>
      <w:lvlJc w:val="left"/>
      <w:pPr>
        <w:ind w:left="720" w:hanging="360"/>
      </w:pPr>
      <w:rPr>
        <w:rFonts w:ascii="Symbol" w:hAnsi="Symbol" w:hint="default"/>
      </w:rPr>
    </w:lvl>
    <w:lvl w:ilvl="1" w:tplc="B838BAA8" w:tentative="1">
      <w:start w:val="1"/>
      <w:numFmt w:val="bullet"/>
      <w:lvlText w:val="o"/>
      <w:lvlJc w:val="left"/>
      <w:pPr>
        <w:ind w:left="1440" w:hanging="360"/>
      </w:pPr>
      <w:rPr>
        <w:rFonts w:ascii="Courier New" w:hAnsi="Courier New" w:cs="Courier New" w:hint="default"/>
      </w:rPr>
    </w:lvl>
    <w:lvl w:ilvl="2" w:tplc="56846FA4" w:tentative="1">
      <w:start w:val="1"/>
      <w:numFmt w:val="bullet"/>
      <w:lvlText w:val=""/>
      <w:lvlJc w:val="left"/>
      <w:pPr>
        <w:ind w:left="2160" w:hanging="360"/>
      </w:pPr>
      <w:rPr>
        <w:rFonts w:ascii="Wingdings" w:hAnsi="Wingdings" w:hint="default"/>
      </w:rPr>
    </w:lvl>
    <w:lvl w:ilvl="3" w:tplc="5022B18E" w:tentative="1">
      <w:start w:val="1"/>
      <w:numFmt w:val="bullet"/>
      <w:lvlText w:val=""/>
      <w:lvlJc w:val="left"/>
      <w:pPr>
        <w:ind w:left="2880" w:hanging="360"/>
      </w:pPr>
      <w:rPr>
        <w:rFonts w:ascii="Symbol" w:hAnsi="Symbol" w:hint="default"/>
      </w:rPr>
    </w:lvl>
    <w:lvl w:ilvl="4" w:tplc="0AFE2BD0" w:tentative="1">
      <w:start w:val="1"/>
      <w:numFmt w:val="bullet"/>
      <w:lvlText w:val="o"/>
      <w:lvlJc w:val="left"/>
      <w:pPr>
        <w:ind w:left="3600" w:hanging="360"/>
      </w:pPr>
      <w:rPr>
        <w:rFonts w:ascii="Courier New" w:hAnsi="Courier New" w:cs="Courier New" w:hint="default"/>
      </w:rPr>
    </w:lvl>
    <w:lvl w:ilvl="5" w:tplc="34B43BD0" w:tentative="1">
      <w:start w:val="1"/>
      <w:numFmt w:val="bullet"/>
      <w:lvlText w:val=""/>
      <w:lvlJc w:val="left"/>
      <w:pPr>
        <w:ind w:left="4320" w:hanging="360"/>
      </w:pPr>
      <w:rPr>
        <w:rFonts w:ascii="Wingdings" w:hAnsi="Wingdings" w:hint="default"/>
      </w:rPr>
    </w:lvl>
    <w:lvl w:ilvl="6" w:tplc="11F2ECA0" w:tentative="1">
      <w:start w:val="1"/>
      <w:numFmt w:val="bullet"/>
      <w:lvlText w:val=""/>
      <w:lvlJc w:val="left"/>
      <w:pPr>
        <w:ind w:left="5040" w:hanging="360"/>
      </w:pPr>
      <w:rPr>
        <w:rFonts w:ascii="Symbol" w:hAnsi="Symbol" w:hint="default"/>
      </w:rPr>
    </w:lvl>
    <w:lvl w:ilvl="7" w:tplc="5618589E" w:tentative="1">
      <w:start w:val="1"/>
      <w:numFmt w:val="bullet"/>
      <w:lvlText w:val="o"/>
      <w:lvlJc w:val="left"/>
      <w:pPr>
        <w:ind w:left="5760" w:hanging="360"/>
      </w:pPr>
      <w:rPr>
        <w:rFonts w:ascii="Courier New" w:hAnsi="Courier New" w:cs="Courier New" w:hint="default"/>
      </w:rPr>
    </w:lvl>
    <w:lvl w:ilvl="8" w:tplc="FDAC4486" w:tentative="1">
      <w:start w:val="1"/>
      <w:numFmt w:val="bullet"/>
      <w:lvlText w:val=""/>
      <w:lvlJc w:val="left"/>
      <w:pPr>
        <w:ind w:left="6480" w:hanging="360"/>
      </w:pPr>
      <w:rPr>
        <w:rFonts w:ascii="Wingdings" w:hAnsi="Wingdings" w:hint="default"/>
      </w:rPr>
    </w:lvl>
  </w:abstractNum>
  <w:abstractNum w:abstractNumId="5" w15:restartNumberingAfterBreak="0">
    <w:nsid w:val="120C0A36"/>
    <w:multiLevelType w:val="hybridMultilevel"/>
    <w:tmpl w:val="6978A642"/>
    <w:lvl w:ilvl="0" w:tplc="E6CEF1FC">
      <w:start w:val="1"/>
      <w:numFmt w:val="upperRoman"/>
      <w:lvlText w:val="%1."/>
      <w:lvlJc w:val="left"/>
      <w:pPr>
        <w:ind w:left="1080" w:hanging="720"/>
      </w:pPr>
      <w:rPr>
        <w:rFonts w:hint="default"/>
      </w:rPr>
    </w:lvl>
    <w:lvl w:ilvl="1" w:tplc="E4AC43DC" w:tentative="1">
      <w:start w:val="1"/>
      <w:numFmt w:val="lowerLetter"/>
      <w:lvlText w:val="%2."/>
      <w:lvlJc w:val="left"/>
      <w:pPr>
        <w:ind w:left="1440" w:hanging="360"/>
      </w:pPr>
    </w:lvl>
    <w:lvl w:ilvl="2" w:tplc="DE7E33FC" w:tentative="1">
      <w:start w:val="1"/>
      <w:numFmt w:val="lowerRoman"/>
      <w:lvlText w:val="%3."/>
      <w:lvlJc w:val="right"/>
      <w:pPr>
        <w:ind w:left="2160" w:hanging="180"/>
      </w:pPr>
    </w:lvl>
    <w:lvl w:ilvl="3" w:tplc="9C120994" w:tentative="1">
      <w:start w:val="1"/>
      <w:numFmt w:val="decimal"/>
      <w:lvlText w:val="%4."/>
      <w:lvlJc w:val="left"/>
      <w:pPr>
        <w:ind w:left="2880" w:hanging="360"/>
      </w:pPr>
    </w:lvl>
    <w:lvl w:ilvl="4" w:tplc="E188B590" w:tentative="1">
      <w:start w:val="1"/>
      <w:numFmt w:val="lowerLetter"/>
      <w:lvlText w:val="%5."/>
      <w:lvlJc w:val="left"/>
      <w:pPr>
        <w:ind w:left="3600" w:hanging="360"/>
      </w:pPr>
    </w:lvl>
    <w:lvl w:ilvl="5" w:tplc="0136C196" w:tentative="1">
      <w:start w:val="1"/>
      <w:numFmt w:val="lowerRoman"/>
      <w:lvlText w:val="%6."/>
      <w:lvlJc w:val="right"/>
      <w:pPr>
        <w:ind w:left="4320" w:hanging="180"/>
      </w:pPr>
    </w:lvl>
    <w:lvl w:ilvl="6" w:tplc="1D746A5A" w:tentative="1">
      <w:start w:val="1"/>
      <w:numFmt w:val="decimal"/>
      <w:lvlText w:val="%7."/>
      <w:lvlJc w:val="left"/>
      <w:pPr>
        <w:ind w:left="5040" w:hanging="360"/>
      </w:pPr>
    </w:lvl>
    <w:lvl w:ilvl="7" w:tplc="8C288644" w:tentative="1">
      <w:start w:val="1"/>
      <w:numFmt w:val="lowerLetter"/>
      <w:lvlText w:val="%8."/>
      <w:lvlJc w:val="left"/>
      <w:pPr>
        <w:ind w:left="5760" w:hanging="360"/>
      </w:pPr>
    </w:lvl>
    <w:lvl w:ilvl="8" w:tplc="759E9454" w:tentative="1">
      <w:start w:val="1"/>
      <w:numFmt w:val="lowerRoman"/>
      <w:lvlText w:val="%9."/>
      <w:lvlJc w:val="right"/>
      <w:pPr>
        <w:ind w:left="6480" w:hanging="180"/>
      </w:pPr>
    </w:lvl>
  </w:abstractNum>
  <w:abstractNum w:abstractNumId="6" w15:restartNumberingAfterBreak="0">
    <w:nsid w:val="15C3214B"/>
    <w:multiLevelType w:val="hybridMultilevel"/>
    <w:tmpl w:val="BF2A584C"/>
    <w:lvl w:ilvl="0" w:tplc="7DAE0F74">
      <w:start w:val="1"/>
      <w:numFmt w:val="bullet"/>
      <w:lvlText w:val=""/>
      <w:lvlJc w:val="left"/>
      <w:pPr>
        <w:ind w:left="360" w:hanging="360"/>
      </w:pPr>
      <w:rPr>
        <w:rFonts w:ascii="Symbol" w:hAnsi="Symbol" w:hint="default"/>
      </w:rPr>
    </w:lvl>
    <w:lvl w:ilvl="1" w:tplc="C07CD7A0" w:tentative="1">
      <w:start w:val="1"/>
      <w:numFmt w:val="bullet"/>
      <w:lvlText w:val="o"/>
      <w:lvlJc w:val="left"/>
      <w:pPr>
        <w:ind w:left="1080" w:hanging="360"/>
      </w:pPr>
      <w:rPr>
        <w:rFonts w:ascii="Courier New" w:hAnsi="Courier New" w:cs="Courier New" w:hint="default"/>
      </w:rPr>
    </w:lvl>
    <w:lvl w:ilvl="2" w:tplc="D5C6A13C" w:tentative="1">
      <w:start w:val="1"/>
      <w:numFmt w:val="bullet"/>
      <w:lvlText w:val=""/>
      <w:lvlJc w:val="left"/>
      <w:pPr>
        <w:ind w:left="1800" w:hanging="360"/>
      </w:pPr>
      <w:rPr>
        <w:rFonts w:ascii="Wingdings" w:hAnsi="Wingdings" w:hint="default"/>
      </w:rPr>
    </w:lvl>
    <w:lvl w:ilvl="3" w:tplc="EFAC27C4" w:tentative="1">
      <w:start w:val="1"/>
      <w:numFmt w:val="bullet"/>
      <w:lvlText w:val=""/>
      <w:lvlJc w:val="left"/>
      <w:pPr>
        <w:ind w:left="2520" w:hanging="360"/>
      </w:pPr>
      <w:rPr>
        <w:rFonts w:ascii="Symbol" w:hAnsi="Symbol" w:hint="default"/>
      </w:rPr>
    </w:lvl>
    <w:lvl w:ilvl="4" w:tplc="FA5C27B2" w:tentative="1">
      <w:start w:val="1"/>
      <w:numFmt w:val="bullet"/>
      <w:lvlText w:val="o"/>
      <w:lvlJc w:val="left"/>
      <w:pPr>
        <w:ind w:left="3240" w:hanging="360"/>
      </w:pPr>
      <w:rPr>
        <w:rFonts w:ascii="Courier New" w:hAnsi="Courier New" w:cs="Courier New" w:hint="default"/>
      </w:rPr>
    </w:lvl>
    <w:lvl w:ilvl="5" w:tplc="4B602E36" w:tentative="1">
      <w:start w:val="1"/>
      <w:numFmt w:val="bullet"/>
      <w:lvlText w:val=""/>
      <w:lvlJc w:val="left"/>
      <w:pPr>
        <w:ind w:left="3960" w:hanging="360"/>
      </w:pPr>
      <w:rPr>
        <w:rFonts w:ascii="Wingdings" w:hAnsi="Wingdings" w:hint="default"/>
      </w:rPr>
    </w:lvl>
    <w:lvl w:ilvl="6" w:tplc="4E6E3006" w:tentative="1">
      <w:start w:val="1"/>
      <w:numFmt w:val="bullet"/>
      <w:lvlText w:val=""/>
      <w:lvlJc w:val="left"/>
      <w:pPr>
        <w:ind w:left="4680" w:hanging="360"/>
      </w:pPr>
      <w:rPr>
        <w:rFonts w:ascii="Symbol" w:hAnsi="Symbol" w:hint="default"/>
      </w:rPr>
    </w:lvl>
    <w:lvl w:ilvl="7" w:tplc="A10AAA02" w:tentative="1">
      <w:start w:val="1"/>
      <w:numFmt w:val="bullet"/>
      <w:lvlText w:val="o"/>
      <w:lvlJc w:val="left"/>
      <w:pPr>
        <w:ind w:left="5400" w:hanging="360"/>
      </w:pPr>
      <w:rPr>
        <w:rFonts w:ascii="Courier New" w:hAnsi="Courier New" w:cs="Courier New" w:hint="default"/>
      </w:rPr>
    </w:lvl>
    <w:lvl w:ilvl="8" w:tplc="8E7C9F50" w:tentative="1">
      <w:start w:val="1"/>
      <w:numFmt w:val="bullet"/>
      <w:lvlText w:val=""/>
      <w:lvlJc w:val="left"/>
      <w:pPr>
        <w:ind w:left="6120" w:hanging="360"/>
      </w:pPr>
      <w:rPr>
        <w:rFonts w:ascii="Wingdings" w:hAnsi="Wingdings" w:hint="default"/>
      </w:rPr>
    </w:lvl>
  </w:abstractNum>
  <w:abstractNum w:abstractNumId="7" w15:restartNumberingAfterBreak="0">
    <w:nsid w:val="1784483C"/>
    <w:multiLevelType w:val="hybridMultilevel"/>
    <w:tmpl w:val="3E9A1C50"/>
    <w:lvl w:ilvl="0" w:tplc="7DAE0F74">
      <w:start w:val="1"/>
      <w:numFmt w:val="bullet"/>
      <w:lvlText w:val=""/>
      <w:lvlJc w:val="left"/>
      <w:pPr>
        <w:ind w:left="360" w:hanging="360"/>
      </w:pPr>
      <w:rPr>
        <w:rFonts w:ascii="Symbol" w:hAnsi="Symbol" w:hint="default"/>
      </w:rPr>
    </w:lvl>
    <w:lvl w:ilvl="1" w:tplc="0ACCB574" w:tentative="1">
      <w:start w:val="1"/>
      <w:numFmt w:val="bullet"/>
      <w:lvlText w:val="o"/>
      <w:lvlJc w:val="left"/>
      <w:pPr>
        <w:ind w:left="1080" w:hanging="360"/>
      </w:pPr>
      <w:rPr>
        <w:rFonts w:ascii="Courier New" w:hAnsi="Courier New" w:cs="Courier New" w:hint="default"/>
      </w:rPr>
    </w:lvl>
    <w:lvl w:ilvl="2" w:tplc="91CCC432" w:tentative="1">
      <w:start w:val="1"/>
      <w:numFmt w:val="bullet"/>
      <w:lvlText w:val=""/>
      <w:lvlJc w:val="left"/>
      <w:pPr>
        <w:ind w:left="1800" w:hanging="360"/>
      </w:pPr>
      <w:rPr>
        <w:rFonts w:ascii="Wingdings" w:hAnsi="Wingdings" w:hint="default"/>
      </w:rPr>
    </w:lvl>
    <w:lvl w:ilvl="3" w:tplc="6D0C0034" w:tentative="1">
      <w:start w:val="1"/>
      <w:numFmt w:val="bullet"/>
      <w:lvlText w:val=""/>
      <w:lvlJc w:val="left"/>
      <w:pPr>
        <w:ind w:left="2520" w:hanging="360"/>
      </w:pPr>
      <w:rPr>
        <w:rFonts w:ascii="Symbol" w:hAnsi="Symbol" w:hint="default"/>
      </w:rPr>
    </w:lvl>
    <w:lvl w:ilvl="4" w:tplc="23EA1A50" w:tentative="1">
      <w:start w:val="1"/>
      <w:numFmt w:val="bullet"/>
      <w:lvlText w:val="o"/>
      <w:lvlJc w:val="left"/>
      <w:pPr>
        <w:ind w:left="3240" w:hanging="360"/>
      </w:pPr>
      <w:rPr>
        <w:rFonts w:ascii="Courier New" w:hAnsi="Courier New" w:cs="Courier New" w:hint="default"/>
      </w:rPr>
    </w:lvl>
    <w:lvl w:ilvl="5" w:tplc="D75A4FF8" w:tentative="1">
      <w:start w:val="1"/>
      <w:numFmt w:val="bullet"/>
      <w:lvlText w:val=""/>
      <w:lvlJc w:val="left"/>
      <w:pPr>
        <w:ind w:left="3960" w:hanging="360"/>
      </w:pPr>
      <w:rPr>
        <w:rFonts w:ascii="Wingdings" w:hAnsi="Wingdings" w:hint="default"/>
      </w:rPr>
    </w:lvl>
    <w:lvl w:ilvl="6" w:tplc="50540B70" w:tentative="1">
      <w:start w:val="1"/>
      <w:numFmt w:val="bullet"/>
      <w:lvlText w:val=""/>
      <w:lvlJc w:val="left"/>
      <w:pPr>
        <w:ind w:left="4680" w:hanging="360"/>
      </w:pPr>
      <w:rPr>
        <w:rFonts w:ascii="Symbol" w:hAnsi="Symbol" w:hint="default"/>
      </w:rPr>
    </w:lvl>
    <w:lvl w:ilvl="7" w:tplc="0902F582" w:tentative="1">
      <w:start w:val="1"/>
      <w:numFmt w:val="bullet"/>
      <w:lvlText w:val="o"/>
      <w:lvlJc w:val="left"/>
      <w:pPr>
        <w:ind w:left="5400" w:hanging="360"/>
      </w:pPr>
      <w:rPr>
        <w:rFonts w:ascii="Courier New" w:hAnsi="Courier New" w:cs="Courier New" w:hint="default"/>
      </w:rPr>
    </w:lvl>
    <w:lvl w:ilvl="8" w:tplc="16841618" w:tentative="1">
      <w:start w:val="1"/>
      <w:numFmt w:val="bullet"/>
      <w:lvlText w:val=""/>
      <w:lvlJc w:val="left"/>
      <w:pPr>
        <w:ind w:left="6120" w:hanging="360"/>
      </w:pPr>
      <w:rPr>
        <w:rFonts w:ascii="Wingdings" w:hAnsi="Wingdings" w:hint="default"/>
      </w:rPr>
    </w:lvl>
  </w:abstractNum>
  <w:abstractNum w:abstractNumId="8" w15:restartNumberingAfterBreak="0">
    <w:nsid w:val="190F7FB0"/>
    <w:multiLevelType w:val="hybridMultilevel"/>
    <w:tmpl w:val="A85C8252"/>
    <w:lvl w:ilvl="0" w:tplc="450C3A9C">
      <w:start w:val="1"/>
      <w:numFmt w:val="decimal"/>
      <w:lvlText w:val="%1."/>
      <w:lvlJc w:val="left"/>
      <w:pPr>
        <w:ind w:left="720" w:hanging="360"/>
      </w:pPr>
      <w:rPr>
        <w:rFonts w:hint="default"/>
      </w:rPr>
    </w:lvl>
    <w:lvl w:ilvl="1" w:tplc="D58C16E8" w:tentative="1">
      <w:start w:val="1"/>
      <w:numFmt w:val="bullet"/>
      <w:lvlText w:val="o"/>
      <w:lvlJc w:val="left"/>
      <w:pPr>
        <w:ind w:left="1440" w:hanging="360"/>
      </w:pPr>
      <w:rPr>
        <w:rFonts w:ascii="Courier New" w:hAnsi="Courier New" w:cs="Courier New" w:hint="default"/>
      </w:rPr>
    </w:lvl>
    <w:lvl w:ilvl="2" w:tplc="07303702" w:tentative="1">
      <w:start w:val="1"/>
      <w:numFmt w:val="bullet"/>
      <w:lvlText w:val=""/>
      <w:lvlJc w:val="left"/>
      <w:pPr>
        <w:ind w:left="2160" w:hanging="360"/>
      </w:pPr>
      <w:rPr>
        <w:rFonts w:ascii="Wingdings" w:hAnsi="Wingdings" w:hint="default"/>
      </w:rPr>
    </w:lvl>
    <w:lvl w:ilvl="3" w:tplc="95B83C9A" w:tentative="1">
      <w:start w:val="1"/>
      <w:numFmt w:val="bullet"/>
      <w:lvlText w:val=""/>
      <w:lvlJc w:val="left"/>
      <w:pPr>
        <w:ind w:left="2880" w:hanging="360"/>
      </w:pPr>
      <w:rPr>
        <w:rFonts w:ascii="Symbol" w:hAnsi="Symbol" w:hint="default"/>
      </w:rPr>
    </w:lvl>
    <w:lvl w:ilvl="4" w:tplc="357C1F58" w:tentative="1">
      <w:start w:val="1"/>
      <w:numFmt w:val="bullet"/>
      <w:lvlText w:val="o"/>
      <w:lvlJc w:val="left"/>
      <w:pPr>
        <w:ind w:left="3600" w:hanging="360"/>
      </w:pPr>
      <w:rPr>
        <w:rFonts w:ascii="Courier New" w:hAnsi="Courier New" w:cs="Courier New" w:hint="default"/>
      </w:rPr>
    </w:lvl>
    <w:lvl w:ilvl="5" w:tplc="BE3A5F94" w:tentative="1">
      <w:start w:val="1"/>
      <w:numFmt w:val="bullet"/>
      <w:lvlText w:val=""/>
      <w:lvlJc w:val="left"/>
      <w:pPr>
        <w:ind w:left="4320" w:hanging="360"/>
      </w:pPr>
      <w:rPr>
        <w:rFonts w:ascii="Wingdings" w:hAnsi="Wingdings" w:hint="default"/>
      </w:rPr>
    </w:lvl>
    <w:lvl w:ilvl="6" w:tplc="4A201F88" w:tentative="1">
      <w:start w:val="1"/>
      <w:numFmt w:val="bullet"/>
      <w:lvlText w:val=""/>
      <w:lvlJc w:val="left"/>
      <w:pPr>
        <w:ind w:left="5040" w:hanging="360"/>
      </w:pPr>
      <w:rPr>
        <w:rFonts w:ascii="Symbol" w:hAnsi="Symbol" w:hint="default"/>
      </w:rPr>
    </w:lvl>
    <w:lvl w:ilvl="7" w:tplc="00A2C0EC" w:tentative="1">
      <w:start w:val="1"/>
      <w:numFmt w:val="bullet"/>
      <w:lvlText w:val="o"/>
      <w:lvlJc w:val="left"/>
      <w:pPr>
        <w:ind w:left="5760" w:hanging="360"/>
      </w:pPr>
      <w:rPr>
        <w:rFonts w:ascii="Courier New" w:hAnsi="Courier New" w:cs="Courier New" w:hint="default"/>
      </w:rPr>
    </w:lvl>
    <w:lvl w:ilvl="8" w:tplc="9EC20646" w:tentative="1">
      <w:start w:val="1"/>
      <w:numFmt w:val="bullet"/>
      <w:lvlText w:val=""/>
      <w:lvlJc w:val="left"/>
      <w:pPr>
        <w:ind w:left="6480" w:hanging="360"/>
      </w:pPr>
      <w:rPr>
        <w:rFonts w:ascii="Wingdings" w:hAnsi="Wingdings" w:hint="default"/>
      </w:rPr>
    </w:lvl>
  </w:abstractNum>
  <w:abstractNum w:abstractNumId="9" w15:restartNumberingAfterBreak="0">
    <w:nsid w:val="218C3FE1"/>
    <w:multiLevelType w:val="hybridMultilevel"/>
    <w:tmpl w:val="A118ABC6"/>
    <w:lvl w:ilvl="0" w:tplc="FF38B038">
      <w:numFmt w:val="bullet"/>
      <w:lvlText w:val="-"/>
      <w:lvlJc w:val="left"/>
      <w:pPr>
        <w:ind w:left="720" w:hanging="360"/>
      </w:pPr>
      <w:rPr>
        <w:rFonts w:ascii="Calibri" w:eastAsia="Times New Roman" w:hAnsi="Calibri" w:cs="Arial" w:hint="default"/>
      </w:rPr>
    </w:lvl>
    <w:lvl w:ilvl="1" w:tplc="E8F48C8C" w:tentative="1">
      <w:start w:val="1"/>
      <w:numFmt w:val="bullet"/>
      <w:lvlText w:val="o"/>
      <w:lvlJc w:val="left"/>
      <w:pPr>
        <w:ind w:left="1440" w:hanging="360"/>
      </w:pPr>
      <w:rPr>
        <w:rFonts w:ascii="Courier New" w:hAnsi="Courier New" w:cs="Courier New" w:hint="default"/>
      </w:rPr>
    </w:lvl>
    <w:lvl w:ilvl="2" w:tplc="402AF1F2" w:tentative="1">
      <w:start w:val="1"/>
      <w:numFmt w:val="bullet"/>
      <w:lvlText w:val=""/>
      <w:lvlJc w:val="left"/>
      <w:pPr>
        <w:ind w:left="2160" w:hanging="360"/>
      </w:pPr>
      <w:rPr>
        <w:rFonts w:ascii="Wingdings" w:hAnsi="Wingdings" w:hint="default"/>
      </w:rPr>
    </w:lvl>
    <w:lvl w:ilvl="3" w:tplc="6E5071FC" w:tentative="1">
      <w:start w:val="1"/>
      <w:numFmt w:val="bullet"/>
      <w:lvlText w:val=""/>
      <w:lvlJc w:val="left"/>
      <w:pPr>
        <w:ind w:left="2880" w:hanging="360"/>
      </w:pPr>
      <w:rPr>
        <w:rFonts w:ascii="Symbol" w:hAnsi="Symbol" w:hint="default"/>
      </w:rPr>
    </w:lvl>
    <w:lvl w:ilvl="4" w:tplc="35D22CB6" w:tentative="1">
      <w:start w:val="1"/>
      <w:numFmt w:val="bullet"/>
      <w:lvlText w:val="o"/>
      <w:lvlJc w:val="left"/>
      <w:pPr>
        <w:ind w:left="3600" w:hanging="360"/>
      </w:pPr>
      <w:rPr>
        <w:rFonts w:ascii="Courier New" w:hAnsi="Courier New" w:cs="Courier New" w:hint="default"/>
      </w:rPr>
    </w:lvl>
    <w:lvl w:ilvl="5" w:tplc="A24E2660" w:tentative="1">
      <w:start w:val="1"/>
      <w:numFmt w:val="bullet"/>
      <w:lvlText w:val=""/>
      <w:lvlJc w:val="left"/>
      <w:pPr>
        <w:ind w:left="4320" w:hanging="360"/>
      </w:pPr>
      <w:rPr>
        <w:rFonts w:ascii="Wingdings" w:hAnsi="Wingdings" w:hint="default"/>
      </w:rPr>
    </w:lvl>
    <w:lvl w:ilvl="6" w:tplc="B44C3DE4" w:tentative="1">
      <w:start w:val="1"/>
      <w:numFmt w:val="bullet"/>
      <w:lvlText w:val=""/>
      <w:lvlJc w:val="left"/>
      <w:pPr>
        <w:ind w:left="5040" w:hanging="360"/>
      </w:pPr>
      <w:rPr>
        <w:rFonts w:ascii="Symbol" w:hAnsi="Symbol" w:hint="default"/>
      </w:rPr>
    </w:lvl>
    <w:lvl w:ilvl="7" w:tplc="A63022E8" w:tentative="1">
      <w:start w:val="1"/>
      <w:numFmt w:val="bullet"/>
      <w:lvlText w:val="o"/>
      <w:lvlJc w:val="left"/>
      <w:pPr>
        <w:ind w:left="5760" w:hanging="360"/>
      </w:pPr>
      <w:rPr>
        <w:rFonts w:ascii="Courier New" w:hAnsi="Courier New" w:cs="Courier New" w:hint="default"/>
      </w:rPr>
    </w:lvl>
    <w:lvl w:ilvl="8" w:tplc="6F6C0896" w:tentative="1">
      <w:start w:val="1"/>
      <w:numFmt w:val="bullet"/>
      <w:lvlText w:val=""/>
      <w:lvlJc w:val="left"/>
      <w:pPr>
        <w:ind w:left="6480" w:hanging="360"/>
      </w:pPr>
      <w:rPr>
        <w:rFonts w:ascii="Wingdings" w:hAnsi="Wingdings" w:hint="default"/>
      </w:rPr>
    </w:lvl>
  </w:abstractNum>
  <w:abstractNum w:abstractNumId="10" w15:restartNumberingAfterBreak="0">
    <w:nsid w:val="28C25B40"/>
    <w:multiLevelType w:val="hybridMultilevel"/>
    <w:tmpl w:val="D3DE75FA"/>
    <w:lvl w:ilvl="0" w:tplc="A9DE582A">
      <w:start w:val="1"/>
      <w:numFmt w:val="bullet"/>
      <w:lvlText w:val=""/>
      <w:lvlJc w:val="left"/>
      <w:pPr>
        <w:ind w:left="360" w:hanging="360"/>
      </w:pPr>
      <w:rPr>
        <w:rFonts w:ascii="Symbol" w:hAnsi="Symbol" w:hint="default"/>
      </w:rPr>
    </w:lvl>
    <w:lvl w:ilvl="1" w:tplc="C07CD7A0" w:tentative="1">
      <w:start w:val="1"/>
      <w:numFmt w:val="bullet"/>
      <w:lvlText w:val="o"/>
      <w:lvlJc w:val="left"/>
      <w:pPr>
        <w:ind w:left="1080" w:hanging="360"/>
      </w:pPr>
      <w:rPr>
        <w:rFonts w:ascii="Courier New" w:hAnsi="Courier New" w:cs="Courier New" w:hint="default"/>
      </w:rPr>
    </w:lvl>
    <w:lvl w:ilvl="2" w:tplc="D5C6A13C" w:tentative="1">
      <w:start w:val="1"/>
      <w:numFmt w:val="bullet"/>
      <w:lvlText w:val=""/>
      <w:lvlJc w:val="left"/>
      <w:pPr>
        <w:ind w:left="1800" w:hanging="360"/>
      </w:pPr>
      <w:rPr>
        <w:rFonts w:ascii="Wingdings" w:hAnsi="Wingdings" w:hint="default"/>
      </w:rPr>
    </w:lvl>
    <w:lvl w:ilvl="3" w:tplc="EFAC27C4" w:tentative="1">
      <w:start w:val="1"/>
      <w:numFmt w:val="bullet"/>
      <w:lvlText w:val=""/>
      <w:lvlJc w:val="left"/>
      <w:pPr>
        <w:ind w:left="2520" w:hanging="360"/>
      </w:pPr>
      <w:rPr>
        <w:rFonts w:ascii="Symbol" w:hAnsi="Symbol" w:hint="default"/>
      </w:rPr>
    </w:lvl>
    <w:lvl w:ilvl="4" w:tplc="FA5C27B2" w:tentative="1">
      <w:start w:val="1"/>
      <w:numFmt w:val="bullet"/>
      <w:lvlText w:val="o"/>
      <w:lvlJc w:val="left"/>
      <w:pPr>
        <w:ind w:left="3240" w:hanging="360"/>
      </w:pPr>
      <w:rPr>
        <w:rFonts w:ascii="Courier New" w:hAnsi="Courier New" w:cs="Courier New" w:hint="default"/>
      </w:rPr>
    </w:lvl>
    <w:lvl w:ilvl="5" w:tplc="4B602E36" w:tentative="1">
      <w:start w:val="1"/>
      <w:numFmt w:val="bullet"/>
      <w:lvlText w:val=""/>
      <w:lvlJc w:val="left"/>
      <w:pPr>
        <w:ind w:left="3960" w:hanging="360"/>
      </w:pPr>
      <w:rPr>
        <w:rFonts w:ascii="Wingdings" w:hAnsi="Wingdings" w:hint="default"/>
      </w:rPr>
    </w:lvl>
    <w:lvl w:ilvl="6" w:tplc="4E6E3006" w:tentative="1">
      <w:start w:val="1"/>
      <w:numFmt w:val="bullet"/>
      <w:lvlText w:val=""/>
      <w:lvlJc w:val="left"/>
      <w:pPr>
        <w:ind w:left="4680" w:hanging="360"/>
      </w:pPr>
      <w:rPr>
        <w:rFonts w:ascii="Symbol" w:hAnsi="Symbol" w:hint="default"/>
      </w:rPr>
    </w:lvl>
    <w:lvl w:ilvl="7" w:tplc="A10AAA02" w:tentative="1">
      <w:start w:val="1"/>
      <w:numFmt w:val="bullet"/>
      <w:lvlText w:val="o"/>
      <w:lvlJc w:val="left"/>
      <w:pPr>
        <w:ind w:left="5400" w:hanging="360"/>
      </w:pPr>
      <w:rPr>
        <w:rFonts w:ascii="Courier New" w:hAnsi="Courier New" w:cs="Courier New" w:hint="default"/>
      </w:rPr>
    </w:lvl>
    <w:lvl w:ilvl="8" w:tplc="8E7C9F50" w:tentative="1">
      <w:start w:val="1"/>
      <w:numFmt w:val="bullet"/>
      <w:lvlText w:val=""/>
      <w:lvlJc w:val="left"/>
      <w:pPr>
        <w:ind w:left="6120" w:hanging="360"/>
      </w:pPr>
      <w:rPr>
        <w:rFonts w:ascii="Wingdings" w:hAnsi="Wingdings" w:hint="default"/>
      </w:rPr>
    </w:lvl>
  </w:abstractNum>
  <w:abstractNum w:abstractNumId="11" w15:restartNumberingAfterBreak="0">
    <w:nsid w:val="2C916444"/>
    <w:multiLevelType w:val="hybridMultilevel"/>
    <w:tmpl w:val="C732415E"/>
    <w:lvl w:ilvl="0" w:tplc="86525F2C">
      <w:start w:val="1"/>
      <w:numFmt w:val="bullet"/>
      <w:lvlText w:val=""/>
      <w:lvlJc w:val="left"/>
      <w:pPr>
        <w:ind w:left="360" w:hanging="360"/>
      </w:pPr>
      <w:rPr>
        <w:rFonts w:ascii="Symbol" w:hAnsi="Symbol" w:hint="default"/>
      </w:rPr>
    </w:lvl>
    <w:lvl w:ilvl="1" w:tplc="96CCAD18" w:tentative="1">
      <w:start w:val="1"/>
      <w:numFmt w:val="bullet"/>
      <w:lvlText w:val="o"/>
      <w:lvlJc w:val="left"/>
      <w:pPr>
        <w:ind w:left="1080" w:hanging="360"/>
      </w:pPr>
      <w:rPr>
        <w:rFonts w:ascii="Courier New" w:hAnsi="Courier New" w:cs="Courier New" w:hint="default"/>
      </w:rPr>
    </w:lvl>
    <w:lvl w:ilvl="2" w:tplc="071E636C" w:tentative="1">
      <w:start w:val="1"/>
      <w:numFmt w:val="bullet"/>
      <w:lvlText w:val=""/>
      <w:lvlJc w:val="left"/>
      <w:pPr>
        <w:ind w:left="1800" w:hanging="360"/>
      </w:pPr>
      <w:rPr>
        <w:rFonts w:ascii="Wingdings" w:hAnsi="Wingdings" w:hint="default"/>
      </w:rPr>
    </w:lvl>
    <w:lvl w:ilvl="3" w:tplc="9F783336" w:tentative="1">
      <w:start w:val="1"/>
      <w:numFmt w:val="bullet"/>
      <w:lvlText w:val=""/>
      <w:lvlJc w:val="left"/>
      <w:pPr>
        <w:ind w:left="2520" w:hanging="360"/>
      </w:pPr>
      <w:rPr>
        <w:rFonts w:ascii="Symbol" w:hAnsi="Symbol" w:hint="default"/>
      </w:rPr>
    </w:lvl>
    <w:lvl w:ilvl="4" w:tplc="E6443C0A" w:tentative="1">
      <w:start w:val="1"/>
      <w:numFmt w:val="bullet"/>
      <w:lvlText w:val="o"/>
      <w:lvlJc w:val="left"/>
      <w:pPr>
        <w:ind w:left="3240" w:hanging="360"/>
      </w:pPr>
      <w:rPr>
        <w:rFonts w:ascii="Courier New" w:hAnsi="Courier New" w:cs="Courier New" w:hint="default"/>
      </w:rPr>
    </w:lvl>
    <w:lvl w:ilvl="5" w:tplc="B580A7DC" w:tentative="1">
      <w:start w:val="1"/>
      <w:numFmt w:val="bullet"/>
      <w:lvlText w:val=""/>
      <w:lvlJc w:val="left"/>
      <w:pPr>
        <w:ind w:left="3960" w:hanging="360"/>
      </w:pPr>
      <w:rPr>
        <w:rFonts w:ascii="Wingdings" w:hAnsi="Wingdings" w:hint="default"/>
      </w:rPr>
    </w:lvl>
    <w:lvl w:ilvl="6" w:tplc="37F887D8" w:tentative="1">
      <w:start w:val="1"/>
      <w:numFmt w:val="bullet"/>
      <w:lvlText w:val=""/>
      <w:lvlJc w:val="left"/>
      <w:pPr>
        <w:ind w:left="4680" w:hanging="360"/>
      </w:pPr>
      <w:rPr>
        <w:rFonts w:ascii="Symbol" w:hAnsi="Symbol" w:hint="default"/>
      </w:rPr>
    </w:lvl>
    <w:lvl w:ilvl="7" w:tplc="062ADEAA" w:tentative="1">
      <w:start w:val="1"/>
      <w:numFmt w:val="bullet"/>
      <w:lvlText w:val="o"/>
      <w:lvlJc w:val="left"/>
      <w:pPr>
        <w:ind w:left="5400" w:hanging="360"/>
      </w:pPr>
      <w:rPr>
        <w:rFonts w:ascii="Courier New" w:hAnsi="Courier New" w:cs="Courier New" w:hint="default"/>
      </w:rPr>
    </w:lvl>
    <w:lvl w:ilvl="8" w:tplc="B7E8F276" w:tentative="1">
      <w:start w:val="1"/>
      <w:numFmt w:val="bullet"/>
      <w:lvlText w:val=""/>
      <w:lvlJc w:val="left"/>
      <w:pPr>
        <w:ind w:left="6120" w:hanging="360"/>
      </w:pPr>
      <w:rPr>
        <w:rFonts w:ascii="Wingdings" w:hAnsi="Wingdings" w:hint="default"/>
      </w:rPr>
    </w:lvl>
  </w:abstractNum>
  <w:abstractNum w:abstractNumId="12" w15:restartNumberingAfterBreak="0">
    <w:nsid w:val="2D3F0195"/>
    <w:multiLevelType w:val="hybridMultilevel"/>
    <w:tmpl w:val="D8BE78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0EB7406"/>
    <w:multiLevelType w:val="hybridMultilevel"/>
    <w:tmpl w:val="A392B176"/>
    <w:lvl w:ilvl="0" w:tplc="7DAE0F7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56A4F67"/>
    <w:multiLevelType w:val="hybridMultilevel"/>
    <w:tmpl w:val="D71C0396"/>
    <w:lvl w:ilvl="0" w:tplc="BD2CB3F6">
      <w:numFmt w:val="bullet"/>
      <w:lvlText w:val="-"/>
      <w:lvlJc w:val="left"/>
      <w:pPr>
        <w:ind w:left="720" w:hanging="360"/>
      </w:pPr>
      <w:rPr>
        <w:rFonts w:ascii="Calibri" w:eastAsia="Times New Roman" w:hAnsi="Calibri" w:cs="Arial" w:hint="default"/>
      </w:rPr>
    </w:lvl>
    <w:lvl w:ilvl="1" w:tplc="6BA4D546" w:tentative="1">
      <w:start w:val="1"/>
      <w:numFmt w:val="bullet"/>
      <w:lvlText w:val="o"/>
      <w:lvlJc w:val="left"/>
      <w:pPr>
        <w:ind w:left="1440" w:hanging="360"/>
      </w:pPr>
      <w:rPr>
        <w:rFonts w:ascii="Courier New" w:hAnsi="Courier New" w:cs="Courier New" w:hint="default"/>
      </w:rPr>
    </w:lvl>
    <w:lvl w:ilvl="2" w:tplc="59101E2C" w:tentative="1">
      <w:start w:val="1"/>
      <w:numFmt w:val="bullet"/>
      <w:lvlText w:val=""/>
      <w:lvlJc w:val="left"/>
      <w:pPr>
        <w:ind w:left="2160" w:hanging="360"/>
      </w:pPr>
      <w:rPr>
        <w:rFonts w:ascii="Wingdings" w:hAnsi="Wingdings" w:hint="default"/>
      </w:rPr>
    </w:lvl>
    <w:lvl w:ilvl="3" w:tplc="CA3C164C" w:tentative="1">
      <w:start w:val="1"/>
      <w:numFmt w:val="bullet"/>
      <w:lvlText w:val=""/>
      <w:lvlJc w:val="left"/>
      <w:pPr>
        <w:ind w:left="2880" w:hanging="360"/>
      </w:pPr>
      <w:rPr>
        <w:rFonts w:ascii="Symbol" w:hAnsi="Symbol" w:hint="default"/>
      </w:rPr>
    </w:lvl>
    <w:lvl w:ilvl="4" w:tplc="B69AC2F0" w:tentative="1">
      <w:start w:val="1"/>
      <w:numFmt w:val="bullet"/>
      <w:lvlText w:val="o"/>
      <w:lvlJc w:val="left"/>
      <w:pPr>
        <w:ind w:left="3600" w:hanging="360"/>
      </w:pPr>
      <w:rPr>
        <w:rFonts w:ascii="Courier New" w:hAnsi="Courier New" w:cs="Courier New" w:hint="default"/>
      </w:rPr>
    </w:lvl>
    <w:lvl w:ilvl="5" w:tplc="22A0A5C0" w:tentative="1">
      <w:start w:val="1"/>
      <w:numFmt w:val="bullet"/>
      <w:lvlText w:val=""/>
      <w:lvlJc w:val="left"/>
      <w:pPr>
        <w:ind w:left="4320" w:hanging="360"/>
      </w:pPr>
      <w:rPr>
        <w:rFonts w:ascii="Wingdings" w:hAnsi="Wingdings" w:hint="default"/>
      </w:rPr>
    </w:lvl>
    <w:lvl w:ilvl="6" w:tplc="3FC00A50" w:tentative="1">
      <w:start w:val="1"/>
      <w:numFmt w:val="bullet"/>
      <w:lvlText w:val=""/>
      <w:lvlJc w:val="left"/>
      <w:pPr>
        <w:ind w:left="5040" w:hanging="360"/>
      </w:pPr>
      <w:rPr>
        <w:rFonts w:ascii="Symbol" w:hAnsi="Symbol" w:hint="default"/>
      </w:rPr>
    </w:lvl>
    <w:lvl w:ilvl="7" w:tplc="E654E1FE" w:tentative="1">
      <w:start w:val="1"/>
      <w:numFmt w:val="bullet"/>
      <w:lvlText w:val="o"/>
      <w:lvlJc w:val="left"/>
      <w:pPr>
        <w:ind w:left="5760" w:hanging="360"/>
      </w:pPr>
      <w:rPr>
        <w:rFonts w:ascii="Courier New" w:hAnsi="Courier New" w:cs="Courier New" w:hint="default"/>
      </w:rPr>
    </w:lvl>
    <w:lvl w:ilvl="8" w:tplc="7122AFA0" w:tentative="1">
      <w:start w:val="1"/>
      <w:numFmt w:val="bullet"/>
      <w:lvlText w:val=""/>
      <w:lvlJc w:val="left"/>
      <w:pPr>
        <w:ind w:left="6480" w:hanging="360"/>
      </w:pPr>
      <w:rPr>
        <w:rFonts w:ascii="Wingdings" w:hAnsi="Wingdings" w:hint="default"/>
      </w:rPr>
    </w:lvl>
  </w:abstractNum>
  <w:abstractNum w:abstractNumId="15" w15:restartNumberingAfterBreak="0">
    <w:nsid w:val="36EA7FF7"/>
    <w:multiLevelType w:val="hybridMultilevel"/>
    <w:tmpl w:val="851AB1FA"/>
    <w:lvl w:ilvl="0" w:tplc="9224DDAC">
      <w:start w:val="1"/>
      <w:numFmt w:val="bullet"/>
      <w:lvlText w:val="-"/>
      <w:lvlJc w:val="left"/>
      <w:pPr>
        <w:ind w:left="502" w:hanging="360"/>
      </w:pPr>
      <w:rPr>
        <w:rFonts w:ascii="Calibri" w:eastAsia="Times New Roman" w:hAnsi="Calibri" w:hint="default"/>
      </w:rPr>
    </w:lvl>
    <w:lvl w:ilvl="1" w:tplc="9DC2916C" w:tentative="1">
      <w:start w:val="1"/>
      <w:numFmt w:val="bullet"/>
      <w:lvlText w:val="o"/>
      <w:lvlJc w:val="left"/>
      <w:pPr>
        <w:ind w:left="1440" w:hanging="360"/>
      </w:pPr>
      <w:rPr>
        <w:rFonts w:ascii="Courier New" w:hAnsi="Courier New" w:hint="default"/>
      </w:rPr>
    </w:lvl>
    <w:lvl w:ilvl="2" w:tplc="3FE45770" w:tentative="1">
      <w:start w:val="1"/>
      <w:numFmt w:val="bullet"/>
      <w:lvlText w:val=""/>
      <w:lvlJc w:val="left"/>
      <w:pPr>
        <w:ind w:left="2160" w:hanging="360"/>
      </w:pPr>
      <w:rPr>
        <w:rFonts w:ascii="Wingdings" w:hAnsi="Wingdings" w:hint="default"/>
      </w:rPr>
    </w:lvl>
    <w:lvl w:ilvl="3" w:tplc="E80EFA4A" w:tentative="1">
      <w:start w:val="1"/>
      <w:numFmt w:val="bullet"/>
      <w:lvlText w:val=""/>
      <w:lvlJc w:val="left"/>
      <w:pPr>
        <w:ind w:left="2880" w:hanging="360"/>
      </w:pPr>
      <w:rPr>
        <w:rFonts w:ascii="Symbol" w:hAnsi="Symbol" w:hint="default"/>
      </w:rPr>
    </w:lvl>
    <w:lvl w:ilvl="4" w:tplc="7DE8C186" w:tentative="1">
      <w:start w:val="1"/>
      <w:numFmt w:val="bullet"/>
      <w:lvlText w:val="o"/>
      <w:lvlJc w:val="left"/>
      <w:pPr>
        <w:ind w:left="3600" w:hanging="360"/>
      </w:pPr>
      <w:rPr>
        <w:rFonts w:ascii="Courier New" w:hAnsi="Courier New" w:hint="default"/>
      </w:rPr>
    </w:lvl>
    <w:lvl w:ilvl="5" w:tplc="C02CF802" w:tentative="1">
      <w:start w:val="1"/>
      <w:numFmt w:val="bullet"/>
      <w:lvlText w:val=""/>
      <w:lvlJc w:val="left"/>
      <w:pPr>
        <w:ind w:left="4320" w:hanging="360"/>
      </w:pPr>
      <w:rPr>
        <w:rFonts w:ascii="Wingdings" w:hAnsi="Wingdings" w:hint="default"/>
      </w:rPr>
    </w:lvl>
    <w:lvl w:ilvl="6" w:tplc="2FF67062" w:tentative="1">
      <w:start w:val="1"/>
      <w:numFmt w:val="bullet"/>
      <w:lvlText w:val=""/>
      <w:lvlJc w:val="left"/>
      <w:pPr>
        <w:ind w:left="5040" w:hanging="360"/>
      </w:pPr>
      <w:rPr>
        <w:rFonts w:ascii="Symbol" w:hAnsi="Symbol" w:hint="default"/>
      </w:rPr>
    </w:lvl>
    <w:lvl w:ilvl="7" w:tplc="D31C62E0" w:tentative="1">
      <w:start w:val="1"/>
      <w:numFmt w:val="bullet"/>
      <w:lvlText w:val="o"/>
      <w:lvlJc w:val="left"/>
      <w:pPr>
        <w:ind w:left="5760" w:hanging="360"/>
      </w:pPr>
      <w:rPr>
        <w:rFonts w:ascii="Courier New" w:hAnsi="Courier New" w:hint="default"/>
      </w:rPr>
    </w:lvl>
    <w:lvl w:ilvl="8" w:tplc="8A707286" w:tentative="1">
      <w:start w:val="1"/>
      <w:numFmt w:val="bullet"/>
      <w:lvlText w:val=""/>
      <w:lvlJc w:val="left"/>
      <w:pPr>
        <w:ind w:left="6480" w:hanging="360"/>
      </w:pPr>
      <w:rPr>
        <w:rFonts w:ascii="Wingdings" w:hAnsi="Wingdings" w:hint="default"/>
      </w:rPr>
    </w:lvl>
  </w:abstractNum>
  <w:abstractNum w:abstractNumId="16" w15:restartNumberingAfterBreak="0">
    <w:nsid w:val="3D953672"/>
    <w:multiLevelType w:val="hybridMultilevel"/>
    <w:tmpl w:val="1AEACCC8"/>
    <w:lvl w:ilvl="0" w:tplc="130ABAE4">
      <w:numFmt w:val="bullet"/>
      <w:lvlText w:val="-"/>
      <w:lvlJc w:val="left"/>
      <w:pPr>
        <w:ind w:left="720" w:hanging="360"/>
      </w:pPr>
      <w:rPr>
        <w:rFonts w:ascii="Calibri" w:eastAsiaTheme="minorHAnsi" w:hAnsi="Calibri" w:cs="Calibri" w:hint="default"/>
      </w:rPr>
    </w:lvl>
    <w:lvl w:ilvl="1" w:tplc="3A740362" w:tentative="1">
      <w:start w:val="1"/>
      <w:numFmt w:val="bullet"/>
      <w:lvlText w:val="o"/>
      <w:lvlJc w:val="left"/>
      <w:pPr>
        <w:ind w:left="1440" w:hanging="360"/>
      </w:pPr>
      <w:rPr>
        <w:rFonts w:ascii="Courier New" w:hAnsi="Courier New" w:cs="Courier New" w:hint="default"/>
      </w:rPr>
    </w:lvl>
    <w:lvl w:ilvl="2" w:tplc="0F884A64" w:tentative="1">
      <w:start w:val="1"/>
      <w:numFmt w:val="bullet"/>
      <w:lvlText w:val=""/>
      <w:lvlJc w:val="left"/>
      <w:pPr>
        <w:ind w:left="2160" w:hanging="360"/>
      </w:pPr>
      <w:rPr>
        <w:rFonts w:ascii="Wingdings" w:hAnsi="Wingdings" w:hint="default"/>
      </w:rPr>
    </w:lvl>
    <w:lvl w:ilvl="3" w:tplc="33466458" w:tentative="1">
      <w:start w:val="1"/>
      <w:numFmt w:val="bullet"/>
      <w:lvlText w:val=""/>
      <w:lvlJc w:val="left"/>
      <w:pPr>
        <w:ind w:left="2880" w:hanging="360"/>
      </w:pPr>
      <w:rPr>
        <w:rFonts w:ascii="Symbol" w:hAnsi="Symbol" w:hint="default"/>
      </w:rPr>
    </w:lvl>
    <w:lvl w:ilvl="4" w:tplc="205CCD58" w:tentative="1">
      <w:start w:val="1"/>
      <w:numFmt w:val="bullet"/>
      <w:lvlText w:val="o"/>
      <w:lvlJc w:val="left"/>
      <w:pPr>
        <w:ind w:left="3600" w:hanging="360"/>
      </w:pPr>
      <w:rPr>
        <w:rFonts w:ascii="Courier New" w:hAnsi="Courier New" w:cs="Courier New" w:hint="default"/>
      </w:rPr>
    </w:lvl>
    <w:lvl w:ilvl="5" w:tplc="43CAF4C6" w:tentative="1">
      <w:start w:val="1"/>
      <w:numFmt w:val="bullet"/>
      <w:lvlText w:val=""/>
      <w:lvlJc w:val="left"/>
      <w:pPr>
        <w:ind w:left="4320" w:hanging="360"/>
      </w:pPr>
      <w:rPr>
        <w:rFonts w:ascii="Wingdings" w:hAnsi="Wingdings" w:hint="default"/>
      </w:rPr>
    </w:lvl>
    <w:lvl w:ilvl="6" w:tplc="0C124AB6" w:tentative="1">
      <w:start w:val="1"/>
      <w:numFmt w:val="bullet"/>
      <w:lvlText w:val=""/>
      <w:lvlJc w:val="left"/>
      <w:pPr>
        <w:ind w:left="5040" w:hanging="360"/>
      </w:pPr>
      <w:rPr>
        <w:rFonts w:ascii="Symbol" w:hAnsi="Symbol" w:hint="default"/>
      </w:rPr>
    </w:lvl>
    <w:lvl w:ilvl="7" w:tplc="8A52F050" w:tentative="1">
      <w:start w:val="1"/>
      <w:numFmt w:val="bullet"/>
      <w:lvlText w:val="o"/>
      <w:lvlJc w:val="left"/>
      <w:pPr>
        <w:ind w:left="5760" w:hanging="360"/>
      </w:pPr>
      <w:rPr>
        <w:rFonts w:ascii="Courier New" w:hAnsi="Courier New" w:cs="Courier New" w:hint="default"/>
      </w:rPr>
    </w:lvl>
    <w:lvl w:ilvl="8" w:tplc="E7E265B6" w:tentative="1">
      <w:start w:val="1"/>
      <w:numFmt w:val="bullet"/>
      <w:lvlText w:val=""/>
      <w:lvlJc w:val="left"/>
      <w:pPr>
        <w:ind w:left="6480" w:hanging="360"/>
      </w:pPr>
      <w:rPr>
        <w:rFonts w:ascii="Wingdings" w:hAnsi="Wingdings" w:hint="default"/>
      </w:rPr>
    </w:lvl>
  </w:abstractNum>
  <w:abstractNum w:abstractNumId="17" w15:restartNumberingAfterBreak="0">
    <w:nsid w:val="4BB10673"/>
    <w:multiLevelType w:val="hybridMultilevel"/>
    <w:tmpl w:val="23A0FC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747A7B"/>
    <w:multiLevelType w:val="hybridMultilevel"/>
    <w:tmpl w:val="3D3A39D4"/>
    <w:lvl w:ilvl="0" w:tplc="450E9382">
      <w:start w:val="1"/>
      <w:numFmt w:val="bullet"/>
      <w:lvlText w:val=""/>
      <w:lvlJc w:val="left"/>
      <w:pPr>
        <w:ind w:left="720" w:hanging="360"/>
      </w:pPr>
      <w:rPr>
        <w:rFonts w:ascii="Symbol" w:hAnsi="Symbol" w:hint="default"/>
      </w:rPr>
    </w:lvl>
    <w:lvl w:ilvl="1" w:tplc="6554A924" w:tentative="1">
      <w:start w:val="1"/>
      <w:numFmt w:val="bullet"/>
      <w:lvlText w:val="o"/>
      <w:lvlJc w:val="left"/>
      <w:pPr>
        <w:ind w:left="1440" w:hanging="360"/>
      </w:pPr>
      <w:rPr>
        <w:rFonts w:ascii="Courier New" w:hAnsi="Courier New" w:cs="Courier New" w:hint="default"/>
      </w:rPr>
    </w:lvl>
    <w:lvl w:ilvl="2" w:tplc="7AD6D9CC" w:tentative="1">
      <w:start w:val="1"/>
      <w:numFmt w:val="bullet"/>
      <w:lvlText w:val=""/>
      <w:lvlJc w:val="left"/>
      <w:pPr>
        <w:ind w:left="2160" w:hanging="360"/>
      </w:pPr>
      <w:rPr>
        <w:rFonts w:ascii="Wingdings" w:hAnsi="Wingdings" w:hint="default"/>
      </w:rPr>
    </w:lvl>
    <w:lvl w:ilvl="3" w:tplc="F72AC9A2" w:tentative="1">
      <w:start w:val="1"/>
      <w:numFmt w:val="bullet"/>
      <w:lvlText w:val=""/>
      <w:lvlJc w:val="left"/>
      <w:pPr>
        <w:ind w:left="2880" w:hanging="360"/>
      </w:pPr>
      <w:rPr>
        <w:rFonts w:ascii="Symbol" w:hAnsi="Symbol" w:hint="default"/>
      </w:rPr>
    </w:lvl>
    <w:lvl w:ilvl="4" w:tplc="DDFCABB4" w:tentative="1">
      <w:start w:val="1"/>
      <w:numFmt w:val="bullet"/>
      <w:lvlText w:val="o"/>
      <w:lvlJc w:val="left"/>
      <w:pPr>
        <w:ind w:left="3600" w:hanging="360"/>
      </w:pPr>
      <w:rPr>
        <w:rFonts w:ascii="Courier New" w:hAnsi="Courier New" w:cs="Courier New" w:hint="default"/>
      </w:rPr>
    </w:lvl>
    <w:lvl w:ilvl="5" w:tplc="C374EDAE" w:tentative="1">
      <w:start w:val="1"/>
      <w:numFmt w:val="bullet"/>
      <w:lvlText w:val=""/>
      <w:lvlJc w:val="left"/>
      <w:pPr>
        <w:ind w:left="4320" w:hanging="360"/>
      </w:pPr>
      <w:rPr>
        <w:rFonts w:ascii="Wingdings" w:hAnsi="Wingdings" w:hint="default"/>
      </w:rPr>
    </w:lvl>
    <w:lvl w:ilvl="6" w:tplc="F3801BE0" w:tentative="1">
      <w:start w:val="1"/>
      <w:numFmt w:val="bullet"/>
      <w:lvlText w:val=""/>
      <w:lvlJc w:val="left"/>
      <w:pPr>
        <w:ind w:left="5040" w:hanging="360"/>
      </w:pPr>
      <w:rPr>
        <w:rFonts w:ascii="Symbol" w:hAnsi="Symbol" w:hint="default"/>
      </w:rPr>
    </w:lvl>
    <w:lvl w:ilvl="7" w:tplc="DEA01FFC" w:tentative="1">
      <w:start w:val="1"/>
      <w:numFmt w:val="bullet"/>
      <w:lvlText w:val="o"/>
      <w:lvlJc w:val="left"/>
      <w:pPr>
        <w:ind w:left="5760" w:hanging="360"/>
      </w:pPr>
      <w:rPr>
        <w:rFonts w:ascii="Courier New" w:hAnsi="Courier New" w:cs="Courier New" w:hint="default"/>
      </w:rPr>
    </w:lvl>
    <w:lvl w:ilvl="8" w:tplc="4726E338" w:tentative="1">
      <w:start w:val="1"/>
      <w:numFmt w:val="bullet"/>
      <w:lvlText w:val=""/>
      <w:lvlJc w:val="left"/>
      <w:pPr>
        <w:ind w:left="6480" w:hanging="360"/>
      </w:pPr>
      <w:rPr>
        <w:rFonts w:ascii="Wingdings" w:hAnsi="Wingdings" w:hint="default"/>
      </w:rPr>
    </w:lvl>
  </w:abstractNum>
  <w:abstractNum w:abstractNumId="19" w15:restartNumberingAfterBreak="0">
    <w:nsid w:val="58B90092"/>
    <w:multiLevelType w:val="hybridMultilevel"/>
    <w:tmpl w:val="3508C4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627A1B24"/>
    <w:multiLevelType w:val="hybridMultilevel"/>
    <w:tmpl w:val="E738F1B4"/>
    <w:lvl w:ilvl="0" w:tplc="010213C0">
      <w:start w:val="1"/>
      <w:numFmt w:val="bullet"/>
      <w:lvlText w:val=""/>
      <w:lvlJc w:val="left"/>
      <w:pPr>
        <w:ind w:left="360" w:hanging="360"/>
      </w:pPr>
      <w:rPr>
        <w:rFonts w:ascii="Symbol" w:hAnsi="Symbol" w:hint="default"/>
      </w:rPr>
    </w:lvl>
    <w:lvl w:ilvl="1" w:tplc="02AA8B06" w:tentative="1">
      <w:start w:val="1"/>
      <w:numFmt w:val="bullet"/>
      <w:lvlText w:val="o"/>
      <w:lvlJc w:val="left"/>
      <w:pPr>
        <w:ind w:left="1080" w:hanging="360"/>
      </w:pPr>
      <w:rPr>
        <w:rFonts w:ascii="Courier New" w:hAnsi="Courier New" w:cs="Courier New" w:hint="default"/>
      </w:rPr>
    </w:lvl>
    <w:lvl w:ilvl="2" w:tplc="D7683180" w:tentative="1">
      <w:start w:val="1"/>
      <w:numFmt w:val="bullet"/>
      <w:lvlText w:val=""/>
      <w:lvlJc w:val="left"/>
      <w:pPr>
        <w:ind w:left="1800" w:hanging="360"/>
      </w:pPr>
      <w:rPr>
        <w:rFonts w:ascii="Wingdings" w:hAnsi="Wingdings" w:hint="default"/>
      </w:rPr>
    </w:lvl>
    <w:lvl w:ilvl="3" w:tplc="63FC2080" w:tentative="1">
      <w:start w:val="1"/>
      <w:numFmt w:val="bullet"/>
      <w:lvlText w:val=""/>
      <w:lvlJc w:val="left"/>
      <w:pPr>
        <w:ind w:left="2520" w:hanging="360"/>
      </w:pPr>
      <w:rPr>
        <w:rFonts w:ascii="Symbol" w:hAnsi="Symbol" w:hint="default"/>
      </w:rPr>
    </w:lvl>
    <w:lvl w:ilvl="4" w:tplc="3210EBCC" w:tentative="1">
      <w:start w:val="1"/>
      <w:numFmt w:val="bullet"/>
      <w:lvlText w:val="o"/>
      <w:lvlJc w:val="left"/>
      <w:pPr>
        <w:ind w:left="3240" w:hanging="360"/>
      </w:pPr>
      <w:rPr>
        <w:rFonts w:ascii="Courier New" w:hAnsi="Courier New" w:cs="Courier New" w:hint="default"/>
      </w:rPr>
    </w:lvl>
    <w:lvl w:ilvl="5" w:tplc="6F9E83CE" w:tentative="1">
      <w:start w:val="1"/>
      <w:numFmt w:val="bullet"/>
      <w:lvlText w:val=""/>
      <w:lvlJc w:val="left"/>
      <w:pPr>
        <w:ind w:left="3960" w:hanging="360"/>
      </w:pPr>
      <w:rPr>
        <w:rFonts w:ascii="Wingdings" w:hAnsi="Wingdings" w:hint="default"/>
      </w:rPr>
    </w:lvl>
    <w:lvl w:ilvl="6" w:tplc="ED1AA1BA" w:tentative="1">
      <w:start w:val="1"/>
      <w:numFmt w:val="bullet"/>
      <w:lvlText w:val=""/>
      <w:lvlJc w:val="left"/>
      <w:pPr>
        <w:ind w:left="4680" w:hanging="360"/>
      </w:pPr>
      <w:rPr>
        <w:rFonts w:ascii="Symbol" w:hAnsi="Symbol" w:hint="default"/>
      </w:rPr>
    </w:lvl>
    <w:lvl w:ilvl="7" w:tplc="F2EE36FA" w:tentative="1">
      <w:start w:val="1"/>
      <w:numFmt w:val="bullet"/>
      <w:lvlText w:val="o"/>
      <w:lvlJc w:val="left"/>
      <w:pPr>
        <w:ind w:left="5400" w:hanging="360"/>
      </w:pPr>
      <w:rPr>
        <w:rFonts w:ascii="Courier New" w:hAnsi="Courier New" w:cs="Courier New" w:hint="default"/>
      </w:rPr>
    </w:lvl>
    <w:lvl w:ilvl="8" w:tplc="6C58F65E" w:tentative="1">
      <w:start w:val="1"/>
      <w:numFmt w:val="bullet"/>
      <w:lvlText w:val=""/>
      <w:lvlJc w:val="left"/>
      <w:pPr>
        <w:ind w:left="6120" w:hanging="360"/>
      </w:pPr>
      <w:rPr>
        <w:rFonts w:ascii="Wingdings" w:hAnsi="Wingdings" w:hint="default"/>
      </w:rPr>
    </w:lvl>
  </w:abstractNum>
  <w:abstractNum w:abstractNumId="21" w15:restartNumberingAfterBreak="0">
    <w:nsid w:val="64B379C3"/>
    <w:multiLevelType w:val="hybridMultilevel"/>
    <w:tmpl w:val="FFD4F082"/>
    <w:lvl w:ilvl="0" w:tplc="7DAE0F74">
      <w:start w:val="1"/>
      <w:numFmt w:val="bullet"/>
      <w:lvlText w:val=""/>
      <w:lvlJc w:val="left"/>
      <w:pPr>
        <w:ind w:left="360" w:hanging="360"/>
      </w:pPr>
      <w:rPr>
        <w:rFonts w:ascii="Symbol" w:hAnsi="Symbol" w:hint="default"/>
      </w:rPr>
    </w:lvl>
    <w:lvl w:ilvl="1" w:tplc="02AA8B06" w:tentative="1">
      <w:start w:val="1"/>
      <w:numFmt w:val="bullet"/>
      <w:lvlText w:val="o"/>
      <w:lvlJc w:val="left"/>
      <w:pPr>
        <w:ind w:left="1080" w:hanging="360"/>
      </w:pPr>
      <w:rPr>
        <w:rFonts w:ascii="Courier New" w:hAnsi="Courier New" w:cs="Courier New" w:hint="default"/>
      </w:rPr>
    </w:lvl>
    <w:lvl w:ilvl="2" w:tplc="D7683180" w:tentative="1">
      <w:start w:val="1"/>
      <w:numFmt w:val="bullet"/>
      <w:lvlText w:val=""/>
      <w:lvlJc w:val="left"/>
      <w:pPr>
        <w:ind w:left="1800" w:hanging="360"/>
      </w:pPr>
      <w:rPr>
        <w:rFonts w:ascii="Wingdings" w:hAnsi="Wingdings" w:hint="default"/>
      </w:rPr>
    </w:lvl>
    <w:lvl w:ilvl="3" w:tplc="63FC2080" w:tentative="1">
      <w:start w:val="1"/>
      <w:numFmt w:val="bullet"/>
      <w:lvlText w:val=""/>
      <w:lvlJc w:val="left"/>
      <w:pPr>
        <w:ind w:left="2520" w:hanging="360"/>
      </w:pPr>
      <w:rPr>
        <w:rFonts w:ascii="Symbol" w:hAnsi="Symbol" w:hint="default"/>
      </w:rPr>
    </w:lvl>
    <w:lvl w:ilvl="4" w:tplc="3210EBCC" w:tentative="1">
      <w:start w:val="1"/>
      <w:numFmt w:val="bullet"/>
      <w:lvlText w:val="o"/>
      <w:lvlJc w:val="left"/>
      <w:pPr>
        <w:ind w:left="3240" w:hanging="360"/>
      </w:pPr>
      <w:rPr>
        <w:rFonts w:ascii="Courier New" w:hAnsi="Courier New" w:cs="Courier New" w:hint="default"/>
      </w:rPr>
    </w:lvl>
    <w:lvl w:ilvl="5" w:tplc="6F9E83CE" w:tentative="1">
      <w:start w:val="1"/>
      <w:numFmt w:val="bullet"/>
      <w:lvlText w:val=""/>
      <w:lvlJc w:val="left"/>
      <w:pPr>
        <w:ind w:left="3960" w:hanging="360"/>
      </w:pPr>
      <w:rPr>
        <w:rFonts w:ascii="Wingdings" w:hAnsi="Wingdings" w:hint="default"/>
      </w:rPr>
    </w:lvl>
    <w:lvl w:ilvl="6" w:tplc="ED1AA1BA" w:tentative="1">
      <w:start w:val="1"/>
      <w:numFmt w:val="bullet"/>
      <w:lvlText w:val=""/>
      <w:lvlJc w:val="left"/>
      <w:pPr>
        <w:ind w:left="4680" w:hanging="360"/>
      </w:pPr>
      <w:rPr>
        <w:rFonts w:ascii="Symbol" w:hAnsi="Symbol" w:hint="default"/>
      </w:rPr>
    </w:lvl>
    <w:lvl w:ilvl="7" w:tplc="F2EE36FA" w:tentative="1">
      <w:start w:val="1"/>
      <w:numFmt w:val="bullet"/>
      <w:lvlText w:val="o"/>
      <w:lvlJc w:val="left"/>
      <w:pPr>
        <w:ind w:left="5400" w:hanging="360"/>
      </w:pPr>
      <w:rPr>
        <w:rFonts w:ascii="Courier New" w:hAnsi="Courier New" w:cs="Courier New" w:hint="default"/>
      </w:rPr>
    </w:lvl>
    <w:lvl w:ilvl="8" w:tplc="6C58F65E" w:tentative="1">
      <w:start w:val="1"/>
      <w:numFmt w:val="bullet"/>
      <w:lvlText w:val=""/>
      <w:lvlJc w:val="left"/>
      <w:pPr>
        <w:ind w:left="6120" w:hanging="360"/>
      </w:pPr>
      <w:rPr>
        <w:rFonts w:ascii="Wingdings" w:hAnsi="Wingdings" w:hint="default"/>
      </w:rPr>
    </w:lvl>
  </w:abstractNum>
  <w:abstractNum w:abstractNumId="22" w15:restartNumberingAfterBreak="0">
    <w:nsid w:val="64F901D8"/>
    <w:multiLevelType w:val="hybridMultilevel"/>
    <w:tmpl w:val="CFE045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66C677B1"/>
    <w:multiLevelType w:val="hybridMultilevel"/>
    <w:tmpl w:val="F536BB90"/>
    <w:lvl w:ilvl="0" w:tplc="4AD67D1C">
      <w:start w:val="1"/>
      <w:numFmt w:val="upperRoman"/>
      <w:lvlText w:val="%1."/>
      <w:lvlJc w:val="left"/>
      <w:pPr>
        <w:ind w:left="1080" w:hanging="720"/>
      </w:pPr>
      <w:rPr>
        <w:rFonts w:hint="default"/>
      </w:rPr>
    </w:lvl>
    <w:lvl w:ilvl="1" w:tplc="3C70F484" w:tentative="1">
      <w:start w:val="1"/>
      <w:numFmt w:val="lowerLetter"/>
      <w:lvlText w:val="%2."/>
      <w:lvlJc w:val="left"/>
      <w:pPr>
        <w:ind w:left="1440" w:hanging="360"/>
      </w:pPr>
    </w:lvl>
    <w:lvl w:ilvl="2" w:tplc="2DC8BBD0" w:tentative="1">
      <w:start w:val="1"/>
      <w:numFmt w:val="lowerRoman"/>
      <w:lvlText w:val="%3."/>
      <w:lvlJc w:val="right"/>
      <w:pPr>
        <w:ind w:left="2160" w:hanging="180"/>
      </w:pPr>
    </w:lvl>
    <w:lvl w:ilvl="3" w:tplc="BB56743C" w:tentative="1">
      <w:start w:val="1"/>
      <w:numFmt w:val="decimal"/>
      <w:lvlText w:val="%4."/>
      <w:lvlJc w:val="left"/>
      <w:pPr>
        <w:ind w:left="2880" w:hanging="360"/>
      </w:pPr>
    </w:lvl>
    <w:lvl w:ilvl="4" w:tplc="83AE2406" w:tentative="1">
      <w:start w:val="1"/>
      <w:numFmt w:val="lowerLetter"/>
      <w:lvlText w:val="%5."/>
      <w:lvlJc w:val="left"/>
      <w:pPr>
        <w:ind w:left="3600" w:hanging="360"/>
      </w:pPr>
    </w:lvl>
    <w:lvl w:ilvl="5" w:tplc="55A289C4" w:tentative="1">
      <w:start w:val="1"/>
      <w:numFmt w:val="lowerRoman"/>
      <w:lvlText w:val="%6."/>
      <w:lvlJc w:val="right"/>
      <w:pPr>
        <w:ind w:left="4320" w:hanging="180"/>
      </w:pPr>
    </w:lvl>
    <w:lvl w:ilvl="6" w:tplc="BBA05BF8" w:tentative="1">
      <w:start w:val="1"/>
      <w:numFmt w:val="decimal"/>
      <w:lvlText w:val="%7."/>
      <w:lvlJc w:val="left"/>
      <w:pPr>
        <w:ind w:left="5040" w:hanging="360"/>
      </w:pPr>
    </w:lvl>
    <w:lvl w:ilvl="7" w:tplc="B41048CC" w:tentative="1">
      <w:start w:val="1"/>
      <w:numFmt w:val="lowerLetter"/>
      <w:lvlText w:val="%8."/>
      <w:lvlJc w:val="left"/>
      <w:pPr>
        <w:ind w:left="5760" w:hanging="360"/>
      </w:pPr>
    </w:lvl>
    <w:lvl w:ilvl="8" w:tplc="12B4CEB4" w:tentative="1">
      <w:start w:val="1"/>
      <w:numFmt w:val="lowerRoman"/>
      <w:lvlText w:val="%9."/>
      <w:lvlJc w:val="right"/>
      <w:pPr>
        <w:ind w:left="6480" w:hanging="180"/>
      </w:pPr>
    </w:lvl>
  </w:abstractNum>
  <w:abstractNum w:abstractNumId="24" w15:restartNumberingAfterBreak="0">
    <w:nsid w:val="6C9971F5"/>
    <w:multiLevelType w:val="hybridMultilevel"/>
    <w:tmpl w:val="2AAEC0CA"/>
    <w:lvl w:ilvl="0" w:tplc="0D748A1A">
      <w:start w:val="1"/>
      <w:numFmt w:val="upperRoman"/>
      <w:lvlText w:val="%1."/>
      <w:lvlJc w:val="left"/>
      <w:pPr>
        <w:ind w:left="720" w:hanging="360"/>
      </w:pPr>
      <w:rPr>
        <w:rFonts w:hint="default"/>
      </w:rPr>
    </w:lvl>
    <w:lvl w:ilvl="1" w:tplc="B21414E0" w:tentative="1">
      <w:start w:val="1"/>
      <w:numFmt w:val="bullet"/>
      <w:lvlText w:val="o"/>
      <w:lvlJc w:val="left"/>
      <w:pPr>
        <w:ind w:left="1440" w:hanging="360"/>
      </w:pPr>
      <w:rPr>
        <w:rFonts w:ascii="Courier New" w:hAnsi="Courier New" w:cs="Courier New" w:hint="default"/>
      </w:rPr>
    </w:lvl>
    <w:lvl w:ilvl="2" w:tplc="38962F6C" w:tentative="1">
      <w:start w:val="1"/>
      <w:numFmt w:val="bullet"/>
      <w:lvlText w:val=""/>
      <w:lvlJc w:val="left"/>
      <w:pPr>
        <w:ind w:left="2160" w:hanging="360"/>
      </w:pPr>
      <w:rPr>
        <w:rFonts w:ascii="Wingdings" w:hAnsi="Wingdings" w:hint="default"/>
      </w:rPr>
    </w:lvl>
    <w:lvl w:ilvl="3" w:tplc="AF5E39A2" w:tentative="1">
      <w:start w:val="1"/>
      <w:numFmt w:val="bullet"/>
      <w:lvlText w:val=""/>
      <w:lvlJc w:val="left"/>
      <w:pPr>
        <w:ind w:left="2880" w:hanging="360"/>
      </w:pPr>
      <w:rPr>
        <w:rFonts w:ascii="Symbol" w:hAnsi="Symbol" w:hint="default"/>
      </w:rPr>
    </w:lvl>
    <w:lvl w:ilvl="4" w:tplc="487AE50A" w:tentative="1">
      <w:start w:val="1"/>
      <w:numFmt w:val="bullet"/>
      <w:lvlText w:val="o"/>
      <w:lvlJc w:val="left"/>
      <w:pPr>
        <w:ind w:left="3600" w:hanging="360"/>
      </w:pPr>
      <w:rPr>
        <w:rFonts w:ascii="Courier New" w:hAnsi="Courier New" w:cs="Courier New" w:hint="default"/>
      </w:rPr>
    </w:lvl>
    <w:lvl w:ilvl="5" w:tplc="5C78CCA2" w:tentative="1">
      <w:start w:val="1"/>
      <w:numFmt w:val="bullet"/>
      <w:lvlText w:val=""/>
      <w:lvlJc w:val="left"/>
      <w:pPr>
        <w:ind w:left="4320" w:hanging="360"/>
      </w:pPr>
      <w:rPr>
        <w:rFonts w:ascii="Wingdings" w:hAnsi="Wingdings" w:hint="default"/>
      </w:rPr>
    </w:lvl>
    <w:lvl w:ilvl="6" w:tplc="E0885550" w:tentative="1">
      <w:start w:val="1"/>
      <w:numFmt w:val="bullet"/>
      <w:lvlText w:val=""/>
      <w:lvlJc w:val="left"/>
      <w:pPr>
        <w:ind w:left="5040" w:hanging="360"/>
      </w:pPr>
      <w:rPr>
        <w:rFonts w:ascii="Symbol" w:hAnsi="Symbol" w:hint="default"/>
      </w:rPr>
    </w:lvl>
    <w:lvl w:ilvl="7" w:tplc="3F04CF32" w:tentative="1">
      <w:start w:val="1"/>
      <w:numFmt w:val="bullet"/>
      <w:lvlText w:val="o"/>
      <w:lvlJc w:val="left"/>
      <w:pPr>
        <w:ind w:left="5760" w:hanging="360"/>
      </w:pPr>
      <w:rPr>
        <w:rFonts w:ascii="Courier New" w:hAnsi="Courier New" w:cs="Courier New" w:hint="default"/>
      </w:rPr>
    </w:lvl>
    <w:lvl w:ilvl="8" w:tplc="3E4688AC" w:tentative="1">
      <w:start w:val="1"/>
      <w:numFmt w:val="bullet"/>
      <w:lvlText w:val=""/>
      <w:lvlJc w:val="left"/>
      <w:pPr>
        <w:ind w:left="6480" w:hanging="360"/>
      </w:pPr>
      <w:rPr>
        <w:rFonts w:ascii="Wingdings" w:hAnsi="Wingdings" w:hint="default"/>
      </w:rPr>
    </w:lvl>
  </w:abstractNum>
  <w:abstractNum w:abstractNumId="25" w15:restartNumberingAfterBreak="0">
    <w:nsid w:val="6FC53428"/>
    <w:multiLevelType w:val="hybridMultilevel"/>
    <w:tmpl w:val="7632D626"/>
    <w:lvl w:ilvl="0" w:tplc="93165034">
      <w:numFmt w:val="bullet"/>
      <w:lvlText w:val="-"/>
      <w:lvlJc w:val="left"/>
      <w:pPr>
        <w:ind w:left="720" w:hanging="360"/>
      </w:pPr>
      <w:rPr>
        <w:rFonts w:ascii="Calibri" w:eastAsia="Times New Roman" w:hAnsi="Calibri" w:cs="Arial" w:hint="default"/>
      </w:rPr>
    </w:lvl>
    <w:lvl w:ilvl="1" w:tplc="359A9C8A" w:tentative="1">
      <w:start w:val="1"/>
      <w:numFmt w:val="bullet"/>
      <w:lvlText w:val="o"/>
      <w:lvlJc w:val="left"/>
      <w:pPr>
        <w:ind w:left="1440" w:hanging="360"/>
      </w:pPr>
      <w:rPr>
        <w:rFonts w:ascii="Courier New" w:hAnsi="Courier New" w:cs="Courier New" w:hint="default"/>
      </w:rPr>
    </w:lvl>
    <w:lvl w:ilvl="2" w:tplc="FFDE8EC0" w:tentative="1">
      <w:start w:val="1"/>
      <w:numFmt w:val="bullet"/>
      <w:lvlText w:val=""/>
      <w:lvlJc w:val="left"/>
      <w:pPr>
        <w:ind w:left="2160" w:hanging="360"/>
      </w:pPr>
      <w:rPr>
        <w:rFonts w:ascii="Wingdings" w:hAnsi="Wingdings" w:hint="default"/>
      </w:rPr>
    </w:lvl>
    <w:lvl w:ilvl="3" w:tplc="F76692FA" w:tentative="1">
      <w:start w:val="1"/>
      <w:numFmt w:val="bullet"/>
      <w:lvlText w:val=""/>
      <w:lvlJc w:val="left"/>
      <w:pPr>
        <w:ind w:left="2880" w:hanging="360"/>
      </w:pPr>
      <w:rPr>
        <w:rFonts w:ascii="Symbol" w:hAnsi="Symbol" w:hint="default"/>
      </w:rPr>
    </w:lvl>
    <w:lvl w:ilvl="4" w:tplc="E7101220" w:tentative="1">
      <w:start w:val="1"/>
      <w:numFmt w:val="bullet"/>
      <w:lvlText w:val="o"/>
      <w:lvlJc w:val="left"/>
      <w:pPr>
        <w:ind w:left="3600" w:hanging="360"/>
      </w:pPr>
      <w:rPr>
        <w:rFonts w:ascii="Courier New" w:hAnsi="Courier New" w:cs="Courier New" w:hint="default"/>
      </w:rPr>
    </w:lvl>
    <w:lvl w:ilvl="5" w:tplc="D09ECDE0" w:tentative="1">
      <w:start w:val="1"/>
      <w:numFmt w:val="bullet"/>
      <w:lvlText w:val=""/>
      <w:lvlJc w:val="left"/>
      <w:pPr>
        <w:ind w:left="4320" w:hanging="360"/>
      </w:pPr>
      <w:rPr>
        <w:rFonts w:ascii="Wingdings" w:hAnsi="Wingdings" w:hint="default"/>
      </w:rPr>
    </w:lvl>
    <w:lvl w:ilvl="6" w:tplc="A09ACAD4" w:tentative="1">
      <w:start w:val="1"/>
      <w:numFmt w:val="bullet"/>
      <w:lvlText w:val=""/>
      <w:lvlJc w:val="left"/>
      <w:pPr>
        <w:ind w:left="5040" w:hanging="360"/>
      </w:pPr>
      <w:rPr>
        <w:rFonts w:ascii="Symbol" w:hAnsi="Symbol" w:hint="default"/>
      </w:rPr>
    </w:lvl>
    <w:lvl w:ilvl="7" w:tplc="ACD86238" w:tentative="1">
      <w:start w:val="1"/>
      <w:numFmt w:val="bullet"/>
      <w:lvlText w:val="o"/>
      <w:lvlJc w:val="left"/>
      <w:pPr>
        <w:ind w:left="5760" w:hanging="360"/>
      </w:pPr>
      <w:rPr>
        <w:rFonts w:ascii="Courier New" w:hAnsi="Courier New" w:cs="Courier New" w:hint="default"/>
      </w:rPr>
    </w:lvl>
    <w:lvl w:ilvl="8" w:tplc="80B06DEC" w:tentative="1">
      <w:start w:val="1"/>
      <w:numFmt w:val="bullet"/>
      <w:lvlText w:val=""/>
      <w:lvlJc w:val="left"/>
      <w:pPr>
        <w:ind w:left="6480" w:hanging="360"/>
      </w:pPr>
      <w:rPr>
        <w:rFonts w:ascii="Wingdings" w:hAnsi="Wingdings" w:hint="default"/>
      </w:rPr>
    </w:lvl>
  </w:abstractNum>
  <w:abstractNum w:abstractNumId="26" w15:restartNumberingAfterBreak="0">
    <w:nsid w:val="70F36DA5"/>
    <w:multiLevelType w:val="hybridMultilevel"/>
    <w:tmpl w:val="49A6B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E252869"/>
    <w:multiLevelType w:val="hybridMultilevel"/>
    <w:tmpl w:val="E6C80C50"/>
    <w:lvl w:ilvl="0" w:tplc="B2B0923E">
      <w:numFmt w:val="bullet"/>
      <w:lvlText w:val="-"/>
      <w:lvlJc w:val="left"/>
      <w:pPr>
        <w:ind w:left="720" w:hanging="360"/>
      </w:pPr>
      <w:rPr>
        <w:rFonts w:ascii="Calibri" w:eastAsia="Times New Roman" w:hAnsi="Calibri" w:cs="Arial" w:hint="default"/>
      </w:rPr>
    </w:lvl>
    <w:lvl w:ilvl="1" w:tplc="ECDC51FE" w:tentative="1">
      <w:start w:val="1"/>
      <w:numFmt w:val="bullet"/>
      <w:lvlText w:val="o"/>
      <w:lvlJc w:val="left"/>
      <w:pPr>
        <w:ind w:left="1440" w:hanging="360"/>
      </w:pPr>
      <w:rPr>
        <w:rFonts w:ascii="Courier New" w:hAnsi="Courier New" w:cs="Courier New" w:hint="default"/>
      </w:rPr>
    </w:lvl>
    <w:lvl w:ilvl="2" w:tplc="E214CD56" w:tentative="1">
      <w:start w:val="1"/>
      <w:numFmt w:val="bullet"/>
      <w:lvlText w:val=""/>
      <w:lvlJc w:val="left"/>
      <w:pPr>
        <w:ind w:left="2160" w:hanging="360"/>
      </w:pPr>
      <w:rPr>
        <w:rFonts w:ascii="Wingdings" w:hAnsi="Wingdings" w:hint="default"/>
      </w:rPr>
    </w:lvl>
    <w:lvl w:ilvl="3" w:tplc="F4760264" w:tentative="1">
      <w:start w:val="1"/>
      <w:numFmt w:val="bullet"/>
      <w:lvlText w:val=""/>
      <w:lvlJc w:val="left"/>
      <w:pPr>
        <w:ind w:left="2880" w:hanging="360"/>
      </w:pPr>
      <w:rPr>
        <w:rFonts w:ascii="Symbol" w:hAnsi="Symbol" w:hint="default"/>
      </w:rPr>
    </w:lvl>
    <w:lvl w:ilvl="4" w:tplc="F49238A6" w:tentative="1">
      <w:start w:val="1"/>
      <w:numFmt w:val="bullet"/>
      <w:lvlText w:val="o"/>
      <w:lvlJc w:val="left"/>
      <w:pPr>
        <w:ind w:left="3600" w:hanging="360"/>
      </w:pPr>
      <w:rPr>
        <w:rFonts w:ascii="Courier New" w:hAnsi="Courier New" w:cs="Courier New" w:hint="default"/>
      </w:rPr>
    </w:lvl>
    <w:lvl w:ilvl="5" w:tplc="ABF44836" w:tentative="1">
      <w:start w:val="1"/>
      <w:numFmt w:val="bullet"/>
      <w:lvlText w:val=""/>
      <w:lvlJc w:val="left"/>
      <w:pPr>
        <w:ind w:left="4320" w:hanging="360"/>
      </w:pPr>
      <w:rPr>
        <w:rFonts w:ascii="Wingdings" w:hAnsi="Wingdings" w:hint="default"/>
      </w:rPr>
    </w:lvl>
    <w:lvl w:ilvl="6" w:tplc="C2F0F846" w:tentative="1">
      <w:start w:val="1"/>
      <w:numFmt w:val="bullet"/>
      <w:lvlText w:val=""/>
      <w:lvlJc w:val="left"/>
      <w:pPr>
        <w:ind w:left="5040" w:hanging="360"/>
      </w:pPr>
      <w:rPr>
        <w:rFonts w:ascii="Symbol" w:hAnsi="Symbol" w:hint="default"/>
      </w:rPr>
    </w:lvl>
    <w:lvl w:ilvl="7" w:tplc="55DEB874" w:tentative="1">
      <w:start w:val="1"/>
      <w:numFmt w:val="bullet"/>
      <w:lvlText w:val="o"/>
      <w:lvlJc w:val="left"/>
      <w:pPr>
        <w:ind w:left="5760" w:hanging="360"/>
      </w:pPr>
      <w:rPr>
        <w:rFonts w:ascii="Courier New" w:hAnsi="Courier New" w:cs="Courier New" w:hint="default"/>
      </w:rPr>
    </w:lvl>
    <w:lvl w:ilvl="8" w:tplc="AFCE1CBC"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9"/>
  </w:num>
  <w:num w:numId="4">
    <w:abstractNumId w:val="15"/>
  </w:num>
  <w:num w:numId="5">
    <w:abstractNumId w:val="7"/>
  </w:num>
  <w:num w:numId="6">
    <w:abstractNumId w:val="10"/>
  </w:num>
  <w:num w:numId="7">
    <w:abstractNumId w:val="3"/>
  </w:num>
  <w:num w:numId="8">
    <w:abstractNumId w:val="27"/>
  </w:num>
  <w:num w:numId="9">
    <w:abstractNumId w:val="14"/>
  </w:num>
  <w:num w:numId="10">
    <w:abstractNumId w:val="1"/>
  </w:num>
  <w:num w:numId="11">
    <w:abstractNumId w:val="20"/>
  </w:num>
  <w:num w:numId="12">
    <w:abstractNumId w:val="23"/>
  </w:num>
  <w:num w:numId="13">
    <w:abstractNumId w:val="5"/>
  </w:num>
  <w:num w:numId="14">
    <w:abstractNumId w:val="18"/>
  </w:num>
  <w:num w:numId="15">
    <w:abstractNumId w:val="24"/>
  </w:num>
  <w:num w:numId="16">
    <w:abstractNumId w:val="8"/>
  </w:num>
  <w:num w:numId="17">
    <w:abstractNumId w:val="4"/>
  </w:num>
  <w:num w:numId="18">
    <w:abstractNumId w:val="16"/>
  </w:num>
  <w:num w:numId="19">
    <w:abstractNumId w:val="11"/>
  </w:num>
  <w:num w:numId="20">
    <w:abstractNumId w:val="19"/>
  </w:num>
  <w:num w:numId="21">
    <w:abstractNumId w:val="22"/>
  </w:num>
  <w:num w:numId="22">
    <w:abstractNumId w:val="17"/>
  </w:num>
  <w:num w:numId="23">
    <w:abstractNumId w:val="26"/>
  </w:num>
  <w:num w:numId="24">
    <w:abstractNumId w:val="12"/>
  </w:num>
  <w:num w:numId="25">
    <w:abstractNumId w:val="0"/>
  </w:num>
  <w:num w:numId="26">
    <w:abstractNumId w:val="13"/>
  </w:num>
  <w:num w:numId="27">
    <w:abstractNumId w:val="2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DDB"/>
    <w:rsid w:val="0002427C"/>
    <w:rsid w:val="00032477"/>
    <w:rsid w:val="00053E5F"/>
    <w:rsid w:val="00054EE5"/>
    <w:rsid w:val="00064D6C"/>
    <w:rsid w:val="000854FB"/>
    <w:rsid w:val="000A0951"/>
    <w:rsid w:val="000B48FB"/>
    <w:rsid w:val="000B497E"/>
    <w:rsid w:val="000B7E29"/>
    <w:rsid w:val="000C1139"/>
    <w:rsid w:val="000C3CC7"/>
    <w:rsid w:val="000C6197"/>
    <w:rsid w:val="000C6DE3"/>
    <w:rsid w:val="000C7FB7"/>
    <w:rsid w:val="000D7A3C"/>
    <w:rsid w:val="000E6D27"/>
    <w:rsid w:val="000E77A1"/>
    <w:rsid w:val="00101158"/>
    <w:rsid w:val="00110E53"/>
    <w:rsid w:val="0011424E"/>
    <w:rsid w:val="00115EEF"/>
    <w:rsid w:val="00131517"/>
    <w:rsid w:val="00136A70"/>
    <w:rsid w:val="00143487"/>
    <w:rsid w:val="00144778"/>
    <w:rsid w:val="00154279"/>
    <w:rsid w:val="00155546"/>
    <w:rsid w:val="00156DD9"/>
    <w:rsid w:val="00162FB4"/>
    <w:rsid w:val="00164C0E"/>
    <w:rsid w:val="00165739"/>
    <w:rsid w:val="001673DE"/>
    <w:rsid w:val="00173329"/>
    <w:rsid w:val="0017765E"/>
    <w:rsid w:val="00190725"/>
    <w:rsid w:val="001914C7"/>
    <w:rsid w:val="00191E00"/>
    <w:rsid w:val="00192F8A"/>
    <w:rsid w:val="00196D71"/>
    <w:rsid w:val="001A445D"/>
    <w:rsid w:val="001A4511"/>
    <w:rsid w:val="001B0B37"/>
    <w:rsid w:val="001C0690"/>
    <w:rsid w:val="001C45D1"/>
    <w:rsid w:val="001C4C5F"/>
    <w:rsid w:val="001D37E6"/>
    <w:rsid w:val="001E32BF"/>
    <w:rsid w:val="001E56B0"/>
    <w:rsid w:val="001E7A9A"/>
    <w:rsid w:val="00211230"/>
    <w:rsid w:val="00215589"/>
    <w:rsid w:val="00217EEC"/>
    <w:rsid w:val="002224D7"/>
    <w:rsid w:val="00227F69"/>
    <w:rsid w:val="0023374F"/>
    <w:rsid w:val="00236761"/>
    <w:rsid w:val="002521D7"/>
    <w:rsid w:val="00263E98"/>
    <w:rsid w:val="00266D26"/>
    <w:rsid w:val="00272357"/>
    <w:rsid w:val="00286677"/>
    <w:rsid w:val="00286878"/>
    <w:rsid w:val="0029208B"/>
    <w:rsid w:val="002A138F"/>
    <w:rsid w:val="002B27BE"/>
    <w:rsid w:val="002B6DF3"/>
    <w:rsid w:val="002B7AA3"/>
    <w:rsid w:val="002C585D"/>
    <w:rsid w:val="002D1EE4"/>
    <w:rsid w:val="002E05ED"/>
    <w:rsid w:val="002F05C3"/>
    <w:rsid w:val="002F06E3"/>
    <w:rsid w:val="002F36C5"/>
    <w:rsid w:val="00300FC8"/>
    <w:rsid w:val="00305177"/>
    <w:rsid w:val="00306E8F"/>
    <w:rsid w:val="0031027A"/>
    <w:rsid w:val="00312C64"/>
    <w:rsid w:val="00313B7C"/>
    <w:rsid w:val="00330B6F"/>
    <w:rsid w:val="00344093"/>
    <w:rsid w:val="00346D38"/>
    <w:rsid w:val="00352753"/>
    <w:rsid w:val="003551A9"/>
    <w:rsid w:val="003602D1"/>
    <w:rsid w:val="0036404D"/>
    <w:rsid w:val="003841C6"/>
    <w:rsid w:val="0039334C"/>
    <w:rsid w:val="00393DDB"/>
    <w:rsid w:val="00397591"/>
    <w:rsid w:val="003A3D09"/>
    <w:rsid w:val="003B026E"/>
    <w:rsid w:val="003B0FE8"/>
    <w:rsid w:val="003B4789"/>
    <w:rsid w:val="003C123D"/>
    <w:rsid w:val="003C4417"/>
    <w:rsid w:val="003D75C0"/>
    <w:rsid w:val="003E476C"/>
    <w:rsid w:val="003E6791"/>
    <w:rsid w:val="003E78A5"/>
    <w:rsid w:val="003F69C6"/>
    <w:rsid w:val="003F714E"/>
    <w:rsid w:val="00403167"/>
    <w:rsid w:val="00413C03"/>
    <w:rsid w:val="00421AF7"/>
    <w:rsid w:val="004356B4"/>
    <w:rsid w:val="00443395"/>
    <w:rsid w:val="004500FC"/>
    <w:rsid w:val="00497EA8"/>
    <w:rsid w:val="004A11B8"/>
    <w:rsid w:val="004A7076"/>
    <w:rsid w:val="004B1043"/>
    <w:rsid w:val="004B3641"/>
    <w:rsid w:val="004D23C2"/>
    <w:rsid w:val="004D44EB"/>
    <w:rsid w:val="004D7D20"/>
    <w:rsid w:val="00504990"/>
    <w:rsid w:val="00506A2D"/>
    <w:rsid w:val="00520B51"/>
    <w:rsid w:val="00525849"/>
    <w:rsid w:val="005472FA"/>
    <w:rsid w:val="00553847"/>
    <w:rsid w:val="00561774"/>
    <w:rsid w:val="00563345"/>
    <w:rsid w:val="005651D3"/>
    <w:rsid w:val="005700E2"/>
    <w:rsid w:val="00570729"/>
    <w:rsid w:val="00572F41"/>
    <w:rsid w:val="00584B22"/>
    <w:rsid w:val="00586EB4"/>
    <w:rsid w:val="005A15D3"/>
    <w:rsid w:val="005A601C"/>
    <w:rsid w:val="005C1A7D"/>
    <w:rsid w:val="005C31B1"/>
    <w:rsid w:val="005D6760"/>
    <w:rsid w:val="005D6C59"/>
    <w:rsid w:val="005E134D"/>
    <w:rsid w:val="005E1B1A"/>
    <w:rsid w:val="005E4B02"/>
    <w:rsid w:val="005F4712"/>
    <w:rsid w:val="00607164"/>
    <w:rsid w:val="00610162"/>
    <w:rsid w:val="00621ACD"/>
    <w:rsid w:val="00624159"/>
    <w:rsid w:val="00627A9E"/>
    <w:rsid w:val="006329C7"/>
    <w:rsid w:val="006450C6"/>
    <w:rsid w:val="00652634"/>
    <w:rsid w:val="00656A97"/>
    <w:rsid w:val="00664A98"/>
    <w:rsid w:val="00670859"/>
    <w:rsid w:val="00675B8E"/>
    <w:rsid w:val="00677716"/>
    <w:rsid w:val="00682492"/>
    <w:rsid w:val="006825D6"/>
    <w:rsid w:val="006826FA"/>
    <w:rsid w:val="00686A7F"/>
    <w:rsid w:val="006B3E8F"/>
    <w:rsid w:val="006B5108"/>
    <w:rsid w:val="006B536B"/>
    <w:rsid w:val="006D10A2"/>
    <w:rsid w:val="006D1BC4"/>
    <w:rsid w:val="006D4D80"/>
    <w:rsid w:val="006F0A94"/>
    <w:rsid w:val="006F24F6"/>
    <w:rsid w:val="006F577C"/>
    <w:rsid w:val="00713130"/>
    <w:rsid w:val="007225B6"/>
    <w:rsid w:val="00725652"/>
    <w:rsid w:val="00730706"/>
    <w:rsid w:val="007323B0"/>
    <w:rsid w:val="00736C62"/>
    <w:rsid w:val="00757908"/>
    <w:rsid w:val="00770713"/>
    <w:rsid w:val="007720C8"/>
    <w:rsid w:val="0077261D"/>
    <w:rsid w:val="007765FC"/>
    <w:rsid w:val="00784108"/>
    <w:rsid w:val="0078514B"/>
    <w:rsid w:val="00787803"/>
    <w:rsid w:val="00791CEE"/>
    <w:rsid w:val="007922CB"/>
    <w:rsid w:val="007950F9"/>
    <w:rsid w:val="00796121"/>
    <w:rsid w:val="007B2260"/>
    <w:rsid w:val="007C099E"/>
    <w:rsid w:val="007C0B10"/>
    <w:rsid w:val="007C1871"/>
    <w:rsid w:val="007C644E"/>
    <w:rsid w:val="007D2658"/>
    <w:rsid w:val="007D2BF7"/>
    <w:rsid w:val="007D788C"/>
    <w:rsid w:val="007E14F9"/>
    <w:rsid w:val="007F3405"/>
    <w:rsid w:val="00812706"/>
    <w:rsid w:val="00831687"/>
    <w:rsid w:val="00831E47"/>
    <w:rsid w:val="008376EB"/>
    <w:rsid w:val="008379DC"/>
    <w:rsid w:val="00844F28"/>
    <w:rsid w:val="00846642"/>
    <w:rsid w:val="00860485"/>
    <w:rsid w:val="00870F74"/>
    <w:rsid w:val="00880897"/>
    <w:rsid w:val="008859CA"/>
    <w:rsid w:val="00890FE4"/>
    <w:rsid w:val="00891EDB"/>
    <w:rsid w:val="00895164"/>
    <w:rsid w:val="008A3DAA"/>
    <w:rsid w:val="008A60CF"/>
    <w:rsid w:val="008A7C1F"/>
    <w:rsid w:val="008B6721"/>
    <w:rsid w:val="008C14AF"/>
    <w:rsid w:val="008C2536"/>
    <w:rsid w:val="008E11C3"/>
    <w:rsid w:val="008E5A48"/>
    <w:rsid w:val="008F376F"/>
    <w:rsid w:val="0090171D"/>
    <w:rsid w:val="009073E4"/>
    <w:rsid w:val="009202F3"/>
    <w:rsid w:val="00926413"/>
    <w:rsid w:val="009322AB"/>
    <w:rsid w:val="0093316E"/>
    <w:rsid w:val="00943E93"/>
    <w:rsid w:val="00955A9E"/>
    <w:rsid w:val="009566F9"/>
    <w:rsid w:val="009578DF"/>
    <w:rsid w:val="00964917"/>
    <w:rsid w:val="00964BDA"/>
    <w:rsid w:val="00964D5A"/>
    <w:rsid w:val="00973A99"/>
    <w:rsid w:val="00995C79"/>
    <w:rsid w:val="009A633B"/>
    <w:rsid w:val="009A71F1"/>
    <w:rsid w:val="009B113F"/>
    <w:rsid w:val="009C44B0"/>
    <w:rsid w:val="009D344D"/>
    <w:rsid w:val="009D3901"/>
    <w:rsid w:val="009E0C06"/>
    <w:rsid w:val="009E2571"/>
    <w:rsid w:val="009E6E51"/>
    <w:rsid w:val="009F0C1B"/>
    <w:rsid w:val="009F19E6"/>
    <w:rsid w:val="009F40AD"/>
    <w:rsid w:val="00A06BD1"/>
    <w:rsid w:val="00A16154"/>
    <w:rsid w:val="00A20C10"/>
    <w:rsid w:val="00A229AC"/>
    <w:rsid w:val="00A24F62"/>
    <w:rsid w:val="00A3229D"/>
    <w:rsid w:val="00A343AE"/>
    <w:rsid w:val="00A34605"/>
    <w:rsid w:val="00A379BE"/>
    <w:rsid w:val="00A4530D"/>
    <w:rsid w:val="00A660F0"/>
    <w:rsid w:val="00A702DB"/>
    <w:rsid w:val="00A76E58"/>
    <w:rsid w:val="00A91A09"/>
    <w:rsid w:val="00A9268D"/>
    <w:rsid w:val="00A9622B"/>
    <w:rsid w:val="00AB01E4"/>
    <w:rsid w:val="00AC006D"/>
    <w:rsid w:val="00AC3F93"/>
    <w:rsid w:val="00AD20F6"/>
    <w:rsid w:val="00AD2BB9"/>
    <w:rsid w:val="00AD3FDC"/>
    <w:rsid w:val="00AE470D"/>
    <w:rsid w:val="00AE7A64"/>
    <w:rsid w:val="00B131F4"/>
    <w:rsid w:val="00B227C9"/>
    <w:rsid w:val="00B2286A"/>
    <w:rsid w:val="00B35C14"/>
    <w:rsid w:val="00B35C52"/>
    <w:rsid w:val="00B36E4E"/>
    <w:rsid w:val="00B53AE4"/>
    <w:rsid w:val="00B5430B"/>
    <w:rsid w:val="00B55532"/>
    <w:rsid w:val="00B641AB"/>
    <w:rsid w:val="00B64F63"/>
    <w:rsid w:val="00B671E2"/>
    <w:rsid w:val="00B8583C"/>
    <w:rsid w:val="00B92A08"/>
    <w:rsid w:val="00B93284"/>
    <w:rsid w:val="00B95239"/>
    <w:rsid w:val="00B95AC4"/>
    <w:rsid w:val="00BB0EF8"/>
    <w:rsid w:val="00BB3965"/>
    <w:rsid w:val="00BB74C0"/>
    <w:rsid w:val="00BC05CB"/>
    <w:rsid w:val="00BC66E0"/>
    <w:rsid w:val="00BD6203"/>
    <w:rsid w:val="00BE07FA"/>
    <w:rsid w:val="00BE3971"/>
    <w:rsid w:val="00BE44A0"/>
    <w:rsid w:val="00BE5FA4"/>
    <w:rsid w:val="00BE61C5"/>
    <w:rsid w:val="00BE62A0"/>
    <w:rsid w:val="00BE65FC"/>
    <w:rsid w:val="00BF34F6"/>
    <w:rsid w:val="00BF76AB"/>
    <w:rsid w:val="00C00B6F"/>
    <w:rsid w:val="00C178CF"/>
    <w:rsid w:val="00C2438C"/>
    <w:rsid w:val="00C24515"/>
    <w:rsid w:val="00C4545C"/>
    <w:rsid w:val="00C47267"/>
    <w:rsid w:val="00C53E74"/>
    <w:rsid w:val="00C566C3"/>
    <w:rsid w:val="00C62BEF"/>
    <w:rsid w:val="00C6393E"/>
    <w:rsid w:val="00C806E1"/>
    <w:rsid w:val="00C94B2A"/>
    <w:rsid w:val="00CB548E"/>
    <w:rsid w:val="00CB6E29"/>
    <w:rsid w:val="00CE4183"/>
    <w:rsid w:val="00CE6FEC"/>
    <w:rsid w:val="00CF11D1"/>
    <w:rsid w:val="00CF1647"/>
    <w:rsid w:val="00CF4742"/>
    <w:rsid w:val="00CF58E7"/>
    <w:rsid w:val="00D10F4A"/>
    <w:rsid w:val="00D11A07"/>
    <w:rsid w:val="00D138E5"/>
    <w:rsid w:val="00D337BC"/>
    <w:rsid w:val="00D47CDC"/>
    <w:rsid w:val="00D62FE8"/>
    <w:rsid w:val="00D63525"/>
    <w:rsid w:val="00D64DF5"/>
    <w:rsid w:val="00D677E0"/>
    <w:rsid w:val="00D778FD"/>
    <w:rsid w:val="00D86736"/>
    <w:rsid w:val="00DA006B"/>
    <w:rsid w:val="00DA3445"/>
    <w:rsid w:val="00DC7BB1"/>
    <w:rsid w:val="00DD1B74"/>
    <w:rsid w:val="00DD38AF"/>
    <w:rsid w:val="00DE3C9E"/>
    <w:rsid w:val="00DE5F3D"/>
    <w:rsid w:val="00DF0568"/>
    <w:rsid w:val="00DF7233"/>
    <w:rsid w:val="00E079E1"/>
    <w:rsid w:val="00E15362"/>
    <w:rsid w:val="00E16FAF"/>
    <w:rsid w:val="00E26B12"/>
    <w:rsid w:val="00E32D07"/>
    <w:rsid w:val="00E5449A"/>
    <w:rsid w:val="00E574E9"/>
    <w:rsid w:val="00E60425"/>
    <w:rsid w:val="00E61691"/>
    <w:rsid w:val="00E7027A"/>
    <w:rsid w:val="00E973D5"/>
    <w:rsid w:val="00EA1424"/>
    <w:rsid w:val="00EA7BD1"/>
    <w:rsid w:val="00EB4966"/>
    <w:rsid w:val="00ED7321"/>
    <w:rsid w:val="00ED7361"/>
    <w:rsid w:val="00EE1BD4"/>
    <w:rsid w:val="00EF6745"/>
    <w:rsid w:val="00EF75E4"/>
    <w:rsid w:val="00F03690"/>
    <w:rsid w:val="00F03F41"/>
    <w:rsid w:val="00F12A91"/>
    <w:rsid w:val="00F1386D"/>
    <w:rsid w:val="00F14F9D"/>
    <w:rsid w:val="00F3106C"/>
    <w:rsid w:val="00F41522"/>
    <w:rsid w:val="00F54301"/>
    <w:rsid w:val="00F82943"/>
    <w:rsid w:val="00F87EC0"/>
    <w:rsid w:val="00F9549A"/>
    <w:rsid w:val="00FA6C67"/>
    <w:rsid w:val="00FC0708"/>
    <w:rsid w:val="00FC2838"/>
    <w:rsid w:val="00FC2EC8"/>
    <w:rsid w:val="00FD090D"/>
    <w:rsid w:val="00FD2EBA"/>
    <w:rsid w:val="00FD7FFD"/>
    <w:rsid w:val="00FE308F"/>
    <w:rsid w:val="00FE38AD"/>
    <w:rsid w:val="00FE6F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A439D26"/>
  <w15:chartTrackingRefBased/>
  <w15:docId w15:val="{32AD2660-3162-44E1-ADAD-E6073CE0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9">
    <w:name w:val="heading 9"/>
    <w:basedOn w:val="Normln"/>
    <w:next w:val="Normln"/>
    <w:link w:val="Nadpis9Char"/>
    <w:qFormat/>
    <w:rsid w:val="00393DDB"/>
    <w:pPr>
      <w:spacing w:before="240" w:after="60" w:line="240" w:lineRule="auto"/>
      <w:outlineLvl w:val="8"/>
    </w:pPr>
    <w:rPr>
      <w:rFonts w:ascii="Cambria" w:eastAsia="Times New Roman" w:hAnsi="Cambria"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9Char">
    <w:name w:val="Nadpis 9 Char"/>
    <w:basedOn w:val="Standardnpsmoodstavce"/>
    <w:link w:val="Nadpis9"/>
    <w:rsid w:val="00393DDB"/>
    <w:rPr>
      <w:rFonts w:ascii="Cambria" w:eastAsia="Times New Roman" w:hAnsi="Cambria" w:cs="Times New Roman"/>
      <w:lang w:eastAsia="cs-CZ"/>
    </w:rPr>
  </w:style>
  <w:style w:type="paragraph" w:styleId="Textpoznpodarou">
    <w:name w:val="footnote text"/>
    <w:basedOn w:val="Normln"/>
    <w:link w:val="TextpoznpodarouChar"/>
    <w:uiPriority w:val="99"/>
    <w:unhideWhenUsed/>
    <w:rsid w:val="00393DDB"/>
    <w:pPr>
      <w:spacing w:after="0" w:line="240" w:lineRule="auto"/>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rsid w:val="00393DDB"/>
    <w:rPr>
      <w:rFonts w:ascii="Arial" w:eastAsia="Times New Roman" w:hAnsi="Arial" w:cs="Times New Roman"/>
      <w:sz w:val="20"/>
      <w:szCs w:val="20"/>
      <w:lang w:eastAsia="cs-CZ"/>
    </w:rPr>
  </w:style>
  <w:style w:type="character" w:styleId="Znakapoznpodarou">
    <w:name w:val="footnote reference"/>
    <w:aliases w:val="Footnote,Footnote call"/>
    <w:basedOn w:val="Standardnpsmoodstavce"/>
    <w:uiPriority w:val="99"/>
    <w:semiHidden/>
    <w:unhideWhenUsed/>
    <w:rsid w:val="00393DDB"/>
    <w:rPr>
      <w:vertAlign w:val="superscript"/>
    </w:rPr>
  </w:style>
  <w:style w:type="paragraph" w:styleId="Bezmezer">
    <w:name w:val="No Spacing"/>
    <w:uiPriority w:val="1"/>
    <w:qFormat/>
    <w:rsid w:val="00393DDB"/>
    <w:pPr>
      <w:spacing w:after="0" w:line="240" w:lineRule="auto"/>
    </w:pPr>
  </w:style>
  <w:style w:type="paragraph" w:styleId="Zkladntextodsazen">
    <w:name w:val="Body Text Indent"/>
    <w:basedOn w:val="Normln"/>
    <w:link w:val="ZkladntextodsazenChar"/>
    <w:uiPriority w:val="99"/>
    <w:unhideWhenUsed/>
    <w:rsid w:val="00393DDB"/>
    <w:pPr>
      <w:spacing w:after="120" w:line="240" w:lineRule="auto"/>
      <w:ind w:left="283"/>
    </w:pPr>
    <w:rPr>
      <w:rFonts w:ascii="Arial" w:eastAsia="Times New Roman" w:hAnsi="Arial" w:cs="Times New Roman"/>
      <w:sz w:val="24"/>
      <w:szCs w:val="24"/>
      <w:lang w:eastAsia="cs-CZ"/>
    </w:rPr>
  </w:style>
  <w:style w:type="character" w:customStyle="1" w:styleId="ZkladntextodsazenChar">
    <w:name w:val="Základní text odsazený Char"/>
    <w:basedOn w:val="Standardnpsmoodstavce"/>
    <w:link w:val="Zkladntextodsazen"/>
    <w:uiPriority w:val="99"/>
    <w:rsid w:val="00393DDB"/>
    <w:rPr>
      <w:rFonts w:ascii="Arial" w:eastAsia="Times New Roman" w:hAnsi="Arial" w:cs="Times New Roman"/>
      <w:sz w:val="24"/>
      <w:szCs w:val="24"/>
      <w:lang w:eastAsia="cs-CZ"/>
    </w:rPr>
  </w:style>
  <w:style w:type="paragraph" w:customStyle="1" w:styleId="Zkladn">
    <w:name w:val="Základní"/>
    <w:basedOn w:val="Normln"/>
    <w:rsid w:val="00393DDB"/>
    <w:pPr>
      <w:spacing w:before="120" w:after="0" w:line="240" w:lineRule="auto"/>
      <w:jc w:val="both"/>
    </w:pPr>
    <w:rPr>
      <w:rFonts w:ascii="Arial" w:eastAsia="Times New Roman" w:hAnsi="Arial" w:cs="Times New Roman"/>
      <w:sz w:val="24"/>
      <w:szCs w:val="24"/>
    </w:rPr>
  </w:style>
  <w:style w:type="paragraph" w:styleId="Odstavecseseznamem">
    <w:name w:val="List Paragraph"/>
    <w:aliases w:val="List Paragraph_0,Nadpis pro KZ,odrážky"/>
    <w:basedOn w:val="Normln"/>
    <w:link w:val="OdstavecseseznamemChar"/>
    <w:uiPriority w:val="34"/>
    <w:qFormat/>
    <w:rsid w:val="00393DDB"/>
    <w:pPr>
      <w:spacing w:after="0" w:line="240" w:lineRule="auto"/>
      <w:ind w:left="708"/>
    </w:pPr>
    <w:rPr>
      <w:rFonts w:ascii="Arial" w:eastAsia="Times New Roman" w:hAnsi="Arial" w:cs="Times New Roman"/>
      <w:sz w:val="24"/>
      <w:szCs w:val="24"/>
      <w:lang w:eastAsia="cs-CZ"/>
    </w:rPr>
  </w:style>
  <w:style w:type="character" w:customStyle="1" w:styleId="OdstavecseseznamemChar">
    <w:name w:val="Odstavec se seznamem Char"/>
    <w:aliases w:val="List Paragraph_0 Char,Nadpis pro KZ Char,odrážky Char"/>
    <w:link w:val="Odstavecseseznamem"/>
    <w:uiPriority w:val="34"/>
    <w:locked/>
    <w:rsid w:val="00393DDB"/>
    <w:rPr>
      <w:rFonts w:ascii="Arial" w:eastAsia="Times New Roman" w:hAnsi="Arial" w:cs="Times New Roman"/>
      <w:sz w:val="24"/>
      <w:szCs w:val="24"/>
      <w:lang w:eastAsia="cs-CZ"/>
    </w:rPr>
  </w:style>
  <w:style w:type="paragraph" w:styleId="Textkomente">
    <w:name w:val="annotation text"/>
    <w:basedOn w:val="Normln"/>
    <w:link w:val="TextkomenteChar"/>
    <w:uiPriority w:val="99"/>
    <w:unhideWhenUsed/>
    <w:rsid w:val="00393DDB"/>
    <w:pPr>
      <w:spacing w:after="0" w:line="240" w:lineRule="auto"/>
    </w:pPr>
    <w:rPr>
      <w:rFonts w:ascii="Times New Roman" w:eastAsia="Times New Roman" w:hAnsi="Times New Roman" w:cs="Times New Roman"/>
      <w:sz w:val="20"/>
      <w:szCs w:val="20"/>
    </w:rPr>
  </w:style>
  <w:style w:type="character" w:customStyle="1" w:styleId="TextkomenteChar">
    <w:name w:val="Text komentáře Char"/>
    <w:basedOn w:val="Standardnpsmoodstavce"/>
    <w:link w:val="Textkomente"/>
    <w:uiPriority w:val="99"/>
    <w:rsid w:val="00393DDB"/>
    <w:rPr>
      <w:rFonts w:ascii="Times New Roman" w:eastAsia="Times New Roman" w:hAnsi="Times New Roman" w:cs="Times New Roman"/>
      <w:sz w:val="20"/>
      <w:szCs w:val="20"/>
    </w:rPr>
  </w:style>
  <w:style w:type="table" w:styleId="Mkatabulky">
    <w:name w:val="Table Grid"/>
    <w:basedOn w:val="Normlntabulka"/>
    <w:uiPriority w:val="39"/>
    <w:rsid w:val="0039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393DD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3DDB"/>
  </w:style>
  <w:style w:type="paragraph" w:styleId="Zpat">
    <w:name w:val="footer"/>
    <w:basedOn w:val="Normln"/>
    <w:link w:val="ZpatChar"/>
    <w:uiPriority w:val="99"/>
    <w:unhideWhenUsed/>
    <w:rsid w:val="00393DDB"/>
    <w:pPr>
      <w:tabs>
        <w:tab w:val="center" w:pos="4536"/>
        <w:tab w:val="right" w:pos="9072"/>
      </w:tabs>
      <w:spacing w:after="0" w:line="240" w:lineRule="auto"/>
    </w:pPr>
  </w:style>
  <w:style w:type="character" w:customStyle="1" w:styleId="ZpatChar">
    <w:name w:val="Zápatí Char"/>
    <w:basedOn w:val="Standardnpsmoodstavce"/>
    <w:link w:val="Zpat"/>
    <w:uiPriority w:val="99"/>
    <w:rsid w:val="00393DDB"/>
  </w:style>
  <w:style w:type="paragraph" w:customStyle="1" w:styleId="Default">
    <w:name w:val="Default"/>
    <w:rsid w:val="00393DD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bublinyChar">
    <w:name w:val="Text bubliny Char"/>
    <w:basedOn w:val="Standardnpsmoodstavce"/>
    <w:link w:val="Textbubliny"/>
    <w:uiPriority w:val="99"/>
    <w:semiHidden/>
    <w:rsid w:val="00393DDB"/>
    <w:rPr>
      <w:rFonts w:ascii="Segoe UI" w:hAnsi="Segoe UI" w:cs="Segoe UI"/>
      <w:sz w:val="18"/>
      <w:szCs w:val="18"/>
    </w:rPr>
  </w:style>
  <w:style w:type="paragraph" w:styleId="Textbubliny">
    <w:name w:val="Balloon Text"/>
    <w:basedOn w:val="Normln"/>
    <w:link w:val="TextbublinyChar"/>
    <w:uiPriority w:val="99"/>
    <w:semiHidden/>
    <w:unhideWhenUsed/>
    <w:rsid w:val="00393DDB"/>
    <w:pPr>
      <w:spacing w:after="0" w:line="240" w:lineRule="auto"/>
    </w:pPr>
    <w:rPr>
      <w:rFonts w:ascii="Segoe UI" w:hAnsi="Segoe UI" w:cs="Segoe UI"/>
      <w:sz w:val="18"/>
      <w:szCs w:val="18"/>
    </w:rPr>
  </w:style>
  <w:style w:type="character" w:customStyle="1" w:styleId="TextbublinyChar1">
    <w:name w:val="Text bubliny Char1"/>
    <w:basedOn w:val="Standardnpsmoodstavce"/>
    <w:uiPriority w:val="99"/>
    <w:semiHidden/>
    <w:rsid w:val="00393DDB"/>
    <w:rPr>
      <w:rFonts w:ascii="Segoe UI" w:hAnsi="Segoe UI" w:cs="Segoe UI"/>
      <w:sz w:val="18"/>
      <w:szCs w:val="18"/>
    </w:rPr>
  </w:style>
  <w:style w:type="character" w:styleId="Hypertextovodkaz">
    <w:name w:val="Hyperlink"/>
    <w:basedOn w:val="Standardnpsmoodstavce"/>
    <w:semiHidden/>
    <w:rsid w:val="00393DDB"/>
    <w:rPr>
      <w:color w:val="0000FF"/>
      <w:u w:val="single"/>
    </w:rPr>
  </w:style>
  <w:style w:type="character" w:styleId="Sledovanodkaz">
    <w:name w:val="FollowedHyperlink"/>
    <w:basedOn w:val="Standardnpsmoodstavce"/>
    <w:uiPriority w:val="99"/>
    <w:semiHidden/>
    <w:unhideWhenUsed/>
    <w:rsid w:val="00393DDB"/>
    <w:rPr>
      <w:color w:val="954F72" w:themeColor="followedHyperlink"/>
      <w:u w:val="single"/>
    </w:rPr>
  </w:style>
  <w:style w:type="character" w:styleId="Odkaznakoment">
    <w:name w:val="annotation reference"/>
    <w:basedOn w:val="Standardnpsmoodstavce"/>
    <w:uiPriority w:val="99"/>
    <w:semiHidden/>
    <w:unhideWhenUsed/>
    <w:rsid w:val="00313B7C"/>
    <w:rPr>
      <w:sz w:val="16"/>
      <w:szCs w:val="16"/>
    </w:rPr>
  </w:style>
  <w:style w:type="paragraph" w:styleId="Pedmtkomente">
    <w:name w:val="annotation subject"/>
    <w:basedOn w:val="Textkomente"/>
    <w:next w:val="Textkomente"/>
    <w:link w:val="PedmtkomenteChar"/>
    <w:uiPriority w:val="99"/>
    <w:semiHidden/>
    <w:unhideWhenUsed/>
    <w:rsid w:val="007950F9"/>
    <w:pPr>
      <w:spacing w:after="160"/>
    </w:pPr>
    <w:rPr>
      <w:rFonts w:asciiTheme="minorHAnsi" w:eastAsiaTheme="minorHAnsi" w:hAnsiTheme="minorHAnsi" w:cstheme="minorBidi"/>
      <w:b/>
      <w:bCs/>
    </w:rPr>
  </w:style>
  <w:style w:type="character" w:customStyle="1" w:styleId="PedmtkomenteChar">
    <w:name w:val="Předmět komentáře Char"/>
    <w:basedOn w:val="TextkomenteChar"/>
    <w:link w:val="Pedmtkomente"/>
    <w:uiPriority w:val="99"/>
    <w:semiHidden/>
    <w:rsid w:val="007950F9"/>
    <w:rPr>
      <w:rFonts w:ascii="Times New Roman" w:eastAsia="Times New Roman" w:hAnsi="Times New Roman" w:cs="Times New Roman"/>
      <w:b/>
      <w:bCs/>
      <w:sz w:val="20"/>
      <w:szCs w:val="20"/>
    </w:rPr>
  </w:style>
  <w:style w:type="paragraph" w:styleId="Revize">
    <w:name w:val="Revision"/>
    <w:hidden/>
    <w:uiPriority w:val="99"/>
    <w:semiHidden/>
    <w:rsid w:val="00136A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data.nku.cz/download/vystupy-z-kontrol/ka-17-09/databaze-udaju-mosty.xlsx"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nku.gov.sk/documents/10157/b4b3b0ec-5056-40ed-9316-0c8b95aaf5f6"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F7A625AE9F5AB4A939F92BCAA7FEC02" ma:contentTypeVersion="1" ma:contentTypeDescription="Vytvoří nový dokument" ma:contentTypeScope="" ma:versionID="09736fd4d2dc7a7ec8b641ae14df0e5a">
  <xsd:schema xmlns:xsd="http://www.w3.org/2001/XMLSchema" xmlns:xs="http://www.w3.org/2001/XMLSchema" xmlns:p="http://schemas.microsoft.com/office/2006/metadata/properties" xmlns:ns1="http://schemas.microsoft.com/sharepoint/v3" targetNamespace="http://schemas.microsoft.com/office/2006/metadata/properties" ma:root="true" ma:fieldsID="c91a41dfb025b41eb9943aabee4318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A599C-F668-4FD6-B3D0-AE1285E60634}">
  <ds:schemaRefs>
    <ds:schemaRef ds:uri="http://schemas.microsoft.com/sharepoint/v3/contenttype/forms"/>
  </ds:schemaRefs>
</ds:datastoreItem>
</file>

<file path=customXml/itemProps2.xml><?xml version="1.0" encoding="utf-8"?>
<ds:datastoreItem xmlns:ds="http://schemas.openxmlformats.org/officeDocument/2006/customXml" ds:itemID="{3B1D4756-29CA-4418-AAEA-72A9A1AA82EA}">
  <ds:schemaRefs>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774E2721-D2C1-48DC-9466-444B5186F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261AD7-0CC0-482F-AEA4-40C051B53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9D0CB6CD.dotm</Template>
  <TotalTime>13</TotalTime>
  <Pages>35</Pages>
  <Words>11190</Words>
  <Characters>66027</Characters>
  <Application>Microsoft Office Word</Application>
  <DocSecurity>0</DocSecurity>
  <Lines>550</Lines>
  <Paragraphs>154</Paragraphs>
  <ScaleCrop>false</ScaleCrop>
  <HeadingPairs>
    <vt:vector size="2" baseType="variant">
      <vt:variant>
        <vt:lpstr>Název</vt:lpstr>
      </vt:variant>
      <vt:variant>
        <vt:i4>1</vt:i4>
      </vt:variant>
    </vt:vector>
  </HeadingPairs>
  <TitlesOfParts>
    <vt:vector size="1" baseType="lpstr">
      <vt:lpstr>Audit Conclusion No 17/09 - Construction activities performed for the repair, modernisation and development of a network of class II and class III roads in the territory of selected regions, co-financed by the European Union and national resources</vt:lpstr>
    </vt:vector>
  </TitlesOfParts>
  <Company>NKU</Company>
  <LinksUpToDate>false</LinksUpToDate>
  <CharactersWithSpaces>77063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Conclusion No 17/09 - Construction activities performed for the repair, modernisation and development of a network of class II and class III roads in the territory of selected regions, co-financed by the European Union and national resources</dc:title>
  <dc:subject/>
  <dc:creator>Nejvyšší kontrolní úřad</dc:creator>
  <cp:keywords/>
  <dc:description/>
  <cp:lastModifiedBy>KOKRDA Daniel</cp:lastModifiedBy>
  <cp:revision>5</cp:revision>
  <cp:lastPrinted>2018-12-20T07:24:00Z</cp:lastPrinted>
  <dcterms:created xsi:type="dcterms:W3CDTF">2018-12-20T07:11:00Z</dcterms:created>
  <dcterms:modified xsi:type="dcterms:W3CDTF">2018-12-20T07:33:00Z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0x0101002F7A625AE9F5AB4A939F92BCAA7FEC02</vt:lpwstr>
  </property>
</Properties>
</file>