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E99F" w14:textId="073972C8" w:rsidR="00B24379" w:rsidRDefault="00B24379" w:rsidP="00B24379">
      <w:pPr>
        <w:jc w:val="center"/>
        <w:rPr>
          <w:rFonts w:cs="Calibri"/>
          <w:b/>
          <w:color w:val="000000"/>
          <w:sz w:val="28"/>
        </w:rPr>
      </w:pPr>
      <w:r w:rsidRPr="00B24379">
        <w:rPr>
          <w:rFonts w:cs="Calibri"/>
          <w:noProof/>
          <w:sz w:val="28"/>
          <w:highlight w:val="yellow"/>
          <w:lang w:eastAsia="cs-CZ"/>
        </w:rPr>
        <w:drawing>
          <wp:anchor distT="0" distB="0" distL="114300" distR="114300" simplePos="0" relativeHeight="251656192" behindDoc="0" locked="0" layoutInCell="1" allowOverlap="1" wp14:anchorId="3D7B82C9" wp14:editId="30050CC7">
            <wp:simplePos x="0" y="0"/>
            <wp:positionH relativeFrom="margin">
              <wp:posOffset>2520315</wp:posOffset>
            </wp:positionH>
            <wp:positionV relativeFrom="paragraph">
              <wp:posOffset>28575</wp:posOffset>
            </wp:positionV>
            <wp:extent cx="764433" cy="54000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29A2" w14:textId="77777777" w:rsidR="00B24379" w:rsidRDefault="00B24379" w:rsidP="00B24379">
      <w:pPr>
        <w:jc w:val="center"/>
        <w:rPr>
          <w:rFonts w:cs="Calibri"/>
          <w:b/>
          <w:color w:val="000000"/>
          <w:sz w:val="28"/>
        </w:rPr>
      </w:pPr>
    </w:p>
    <w:p w14:paraId="01F6D5E8" w14:textId="77777777" w:rsidR="00B24379" w:rsidRDefault="00B24379" w:rsidP="00B24379">
      <w:pPr>
        <w:jc w:val="center"/>
        <w:rPr>
          <w:rFonts w:cs="Calibri"/>
          <w:b/>
          <w:color w:val="000000"/>
          <w:sz w:val="28"/>
        </w:rPr>
      </w:pPr>
    </w:p>
    <w:p w14:paraId="383D3054" w14:textId="4B8734C5" w:rsidR="00716ABD" w:rsidRDefault="00716ABD" w:rsidP="00B24379">
      <w:pPr>
        <w:jc w:val="center"/>
        <w:rPr>
          <w:rFonts w:cs="Calibri"/>
          <w:b/>
          <w:color w:val="000000"/>
          <w:sz w:val="28"/>
        </w:rPr>
      </w:pPr>
      <w:bookmarkStart w:id="0" w:name="_GoBack"/>
      <w:r w:rsidRPr="00B24379">
        <w:rPr>
          <w:rFonts w:cs="Calibri"/>
          <w:b/>
          <w:color w:val="000000"/>
          <w:sz w:val="28"/>
        </w:rPr>
        <w:t>Kontrolní závěr z kontrolní akce</w:t>
      </w:r>
    </w:p>
    <w:p w14:paraId="1D00371F" w14:textId="77777777" w:rsidR="00B24379" w:rsidRPr="00B24379" w:rsidRDefault="00B24379" w:rsidP="00B24379">
      <w:pPr>
        <w:jc w:val="center"/>
        <w:rPr>
          <w:rFonts w:cs="Calibri"/>
          <w:b/>
          <w:color w:val="000000"/>
          <w:sz w:val="28"/>
        </w:rPr>
      </w:pPr>
    </w:p>
    <w:p w14:paraId="1E73E42E" w14:textId="475F2036" w:rsidR="00716ABD" w:rsidRDefault="00716ABD" w:rsidP="00B24379">
      <w:pPr>
        <w:jc w:val="center"/>
        <w:rPr>
          <w:rFonts w:cs="Calibri"/>
          <w:b/>
          <w:color w:val="000000"/>
          <w:sz w:val="28"/>
        </w:rPr>
      </w:pPr>
      <w:r w:rsidRPr="00B24379">
        <w:rPr>
          <w:rFonts w:cs="Calibri"/>
          <w:b/>
          <w:color w:val="000000"/>
          <w:sz w:val="28"/>
        </w:rPr>
        <w:t>1</w:t>
      </w:r>
      <w:r w:rsidR="009460EA">
        <w:rPr>
          <w:rFonts w:cs="Calibri"/>
          <w:b/>
          <w:color w:val="000000"/>
          <w:sz w:val="28"/>
        </w:rPr>
        <w:t>7</w:t>
      </w:r>
      <w:r w:rsidRPr="00B24379">
        <w:rPr>
          <w:rFonts w:cs="Calibri"/>
          <w:b/>
          <w:color w:val="000000"/>
          <w:sz w:val="28"/>
        </w:rPr>
        <w:t>/1</w:t>
      </w:r>
      <w:r w:rsidR="009460EA">
        <w:rPr>
          <w:rFonts w:cs="Calibri"/>
          <w:b/>
          <w:color w:val="000000"/>
          <w:sz w:val="28"/>
        </w:rPr>
        <w:t>3</w:t>
      </w:r>
    </w:p>
    <w:p w14:paraId="188DF1EF" w14:textId="77777777" w:rsidR="00B24379" w:rsidRPr="00B24379" w:rsidRDefault="00B24379" w:rsidP="00B24379">
      <w:pPr>
        <w:jc w:val="center"/>
        <w:rPr>
          <w:rFonts w:cs="Calibri"/>
          <w:b/>
          <w:color w:val="000000"/>
          <w:sz w:val="28"/>
        </w:rPr>
      </w:pPr>
    </w:p>
    <w:p w14:paraId="5F056E22" w14:textId="1AA4BA70" w:rsidR="00716ABD" w:rsidRPr="00B24379" w:rsidRDefault="00716ABD" w:rsidP="00B24379">
      <w:pPr>
        <w:jc w:val="center"/>
        <w:rPr>
          <w:rFonts w:cs="Calibri"/>
          <w:color w:val="000000"/>
          <w:sz w:val="28"/>
        </w:rPr>
      </w:pPr>
      <w:r w:rsidRPr="00B24379">
        <w:rPr>
          <w:rFonts w:cs="Calibri"/>
          <w:b/>
          <w:color w:val="000000"/>
          <w:sz w:val="28"/>
        </w:rPr>
        <w:t>Majetek a peněžní prostředky státu, se kterými je příslušn</w:t>
      </w:r>
      <w:r w:rsidR="009460EA">
        <w:rPr>
          <w:rFonts w:cs="Calibri"/>
          <w:b/>
          <w:color w:val="000000"/>
          <w:sz w:val="28"/>
        </w:rPr>
        <w:t>á</w:t>
      </w:r>
      <w:r w:rsidRPr="00B24379">
        <w:rPr>
          <w:rFonts w:cs="Calibri"/>
          <w:b/>
          <w:color w:val="000000"/>
          <w:sz w:val="28"/>
        </w:rPr>
        <w:t xml:space="preserve"> hospodařit</w:t>
      </w:r>
      <w:r w:rsidR="003D01DE" w:rsidRPr="00B24379">
        <w:rPr>
          <w:rFonts w:cs="Calibri"/>
          <w:b/>
          <w:color w:val="000000"/>
          <w:sz w:val="28"/>
        </w:rPr>
        <w:br/>
      </w:r>
      <w:r w:rsidR="009460EA">
        <w:rPr>
          <w:rFonts w:cs="Calibri"/>
          <w:b/>
          <w:color w:val="000000"/>
          <w:sz w:val="28"/>
        </w:rPr>
        <w:t xml:space="preserve">příspěvková organizace </w:t>
      </w:r>
      <w:r w:rsidR="003D01DE" w:rsidRPr="00B24379">
        <w:rPr>
          <w:rFonts w:cs="Calibri"/>
          <w:b/>
          <w:color w:val="000000"/>
          <w:sz w:val="28"/>
        </w:rPr>
        <w:t>Státní</w:t>
      </w:r>
      <w:r w:rsidR="009460EA">
        <w:rPr>
          <w:rFonts w:cs="Calibri"/>
          <w:b/>
          <w:color w:val="000000"/>
          <w:sz w:val="28"/>
        </w:rPr>
        <w:t xml:space="preserve"> zdravotní</w:t>
      </w:r>
      <w:r w:rsidR="003D01DE" w:rsidRPr="00B24379">
        <w:rPr>
          <w:rFonts w:cs="Calibri"/>
          <w:b/>
          <w:color w:val="000000"/>
          <w:sz w:val="28"/>
        </w:rPr>
        <w:t xml:space="preserve"> ústav</w:t>
      </w:r>
    </w:p>
    <w:bookmarkEnd w:id="0"/>
    <w:p w14:paraId="5C1C53C9" w14:textId="77777777" w:rsidR="00B24379" w:rsidRDefault="00B24379" w:rsidP="00B24379">
      <w:pPr>
        <w:jc w:val="both"/>
        <w:rPr>
          <w:rFonts w:cs="Calibri"/>
          <w:color w:val="000000"/>
        </w:rPr>
      </w:pPr>
    </w:p>
    <w:p w14:paraId="602DAB82" w14:textId="77777777" w:rsidR="00B24379" w:rsidRDefault="00B24379" w:rsidP="00B24379">
      <w:pPr>
        <w:jc w:val="both"/>
        <w:rPr>
          <w:rFonts w:cs="Calibri"/>
          <w:color w:val="000000"/>
        </w:rPr>
      </w:pPr>
    </w:p>
    <w:p w14:paraId="6E5EFBBF" w14:textId="4165DDF0" w:rsidR="00716ABD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Kontrolní akce byla zařazena do plánu kontrolní činnosti Nejvyššího kontrolního úřadu (dále</w:t>
      </w:r>
      <w:r w:rsidR="009B434B">
        <w:rPr>
          <w:rFonts w:cs="Calibri"/>
          <w:color w:val="000000"/>
        </w:rPr>
        <w:t xml:space="preserve"> </w:t>
      </w:r>
      <w:r w:rsidRPr="00B24379">
        <w:rPr>
          <w:rFonts w:cs="Calibri"/>
          <w:color w:val="000000"/>
        </w:rPr>
        <w:t xml:space="preserve">jen „NKÚ“) </w:t>
      </w:r>
      <w:r w:rsidR="004F7F34" w:rsidRPr="00B24379">
        <w:rPr>
          <w:rFonts w:cs="Calibri"/>
          <w:color w:val="000000"/>
        </w:rPr>
        <w:t>na rok 201</w:t>
      </w:r>
      <w:r w:rsidR="009460EA">
        <w:rPr>
          <w:rFonts w:cs="Calibri"/>
          <w:color w:val="000000"/>
        </w:rPr>
        <w:t>7</w:t>
      </w:r>
      <w:r w:rsidR="004F7F34" w:rsidRPr="00B24379">
        <w:rPr>
          <w:rFonts w:cs="Calibri"/>
          <w:color w:val="000000"/>
        </w:rPr>
        <w:t xml:space="preserve"> pod číslem 1</w:t>
      </w:r>
      <w:r w:rsidR="009460EA">
        <w:rPr>
          <w:rFonts w:cs="Calibri"/>
          <w:color w:val="000000"/>
        </w:rPr>
        <w:t>7</w:t>
      </w:r>
      <w:r w:rsidR="004F7F34" w:rsidRPr="00B24379">
        <w:rPr>
          <w:rFonts w:cs="Calibri"/>
          <w:color w:val="000000"/>
        </w:rPr>
        <w:t>/1</w:t>
      </w:r>
      <w:r w:rsidR="009460EA">
        <w:rPr>
          <w:rFonts w:cs="Calibri"/>
          <w:color w:val="000000"/>
        </w:rPr>
        <w:t>3</w:t>
      </w:r>
      <w:r w:rsidRPr="00B24379">
        <w:rPr>
          <w:rFonts w:cs="Calibri"/>
          <w:color w:val="000000"/>
        </w:rPr>
        <w:t>. Kontrolní akci řídil</w:t>
      </w:r>
      <w:r w:rsidR="004F7F34" w:rsidRPr="00B24379">
        <w:rPr>
          <w:rFonts w:cs="Calibri"/>
          <w:color w:val="000000"/>
        </w:rPr>
        <w:t>a</w:t>
      </w:r>
      <w:r w:rsidRPr="00B24379">
        <w:rPr>
          <w:rFonts w:cs="Calibri"/>
          <w:color w:val="000000"/>
        </w:rPr>
        <w:t xml:space="preserve"> a kontrolní závěr vypracoval</w:t>
      </w:r>
      <w:r w:rsidR="004F7F34" w:rsidRPr="00B24379">
        <w:rPr>
          <w:rFonts w:cs="Calibri"/>
          <w:color w:val="000000"/>
        </w:rPr>
        <w:t>a</w:t>
      </w:r>
      <w:r w:rsidRPr="00B24379">
        <w:rPr>
          <w:rFonts w:cs="Calibri"/>
          <w:color w:val="000000"/>
        </w:rPr>
        <w:t xml:space="preserve"> člen</w:t>
      </w:r>
      <w:r w:rsidR="004F7F34" w:rsidRPr="00B24379">
        <w:rPr>
          <w:rFonts w:cs="Calibri"/>
          <w:color w:val="000000"/>
        </w:rPr>
        <w:t>ka NKÚ RNDr</w:t>
      </w:r>
      <w:r w:rsidRPr="00B24379">
        <w:rPr>
          <w:rFonts w:cs="Calibri"/>
          <w:color w:val="000000"/>
        </w:rPr>
        <w:t xml:space="preserve">. </w:t>
      </w:r>
      <w:r w:rsidR="004F7F34" w:rsidRPr="00B24379">
        <w:rPr>
          <w:rFonts w:cs="Calibri"/>
          <w:color w:val="000000"/>
        </w:rPr>
        <w:t>Hana Pýchová</w:t>
      </w:r>
      <w:r w:rsidRPr="00B24379">
        <w:rPr>
          <w:rFonts w:cs="Calibri"/>
          <w:color w:val="000000"/>
        </w:rPr>
        <w:t>.</w:t>
      </w:r>
    </w:p>
    <w:p w14:paraId="16DEA355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4CECAFB8" w14:textId="106F1B06" w:rsidR="00716ABD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Cílem kontroly bylo prověřit hospodaření s majetkem a peněžními prostředk</w:t>
      </w:r>
      <w:r w:rsidR="003D01DE" w:rsidRPr="00B24379">
        <w:rPr>
          <w:rFonts w:cs="Calibri"/>
          <w:color w:val="000000"/>
        </w:rPr>
        <w:t xml:space="preserve">y </w:t>
      </w:r>
      <w:r w:rsidR="00A71E50" w:rsidRPr="00B24379">
        <w:rPr>
          <w:rFonts w:cs="Calibri"/>
          <w:color w:val="000000"/>
        </w:rPr>
        <w:t>státu, se</w:t>
      </w:r>
      <w:r w:rsidR="009B434B">
        <w:rPr>
          <w:rFonts w:cs="Calibri"/>
          <w:color w:val="000000"/>
        </w:rPr>
        <w:t xml:space="preserve"> </w:t>
      </w:r>
      <w:r w:rsidR="00A71E50" w:rsidRPr="00B24379">
        <w:rPr>
          <w:rFonts w:cs="Calibri"/>
          <w:color w:val="000000"/>
        </w:rPr>
        <w:t>kterými</w:t>
      </w:r>
      <w:r w:rsidR="009B434B">
        <w:rPr>
          <w:rFonts w:cs="Calibri"/>
          <w:color w:val="000000"/>
        </w:rPr>
        <w:t xml:space="preserve"> </w:t>
      </w:r>
      <w:r w:rsidR="003D01DE" w:rsidRPr="00B24379">
        <w:rPr>
          <w:rFonts w:cs="Calibri"/>
          <w:color w:val="000000"/>
        </w:rPr>
        <w:t>je příslušn</w:t>
      </w:r>
      <w:r w:rsidR="009460EA">
        <w:rPr>
          <w:rFonts w:cs="Calibri"/>
          <w:color w:val="000000"/>
        </w:rPr>
        <w:t>á</w:t>
      </w:r>
      <w:r w:rsidRPr="00B24379">
        <w:rPr>
          <w:rFonts w:cs="Calibri"/>
          <w:color w:val="000000"/>
        </w:rPr>
        <w:t xml:space="preserve"> hospodařit</w:t>
      </w:r>
      <w:r w:rsidR="009460EA">
        <w:rPr>
          <w:rFonts w:cs="Calibri"/>
          <w:color w:val="000000"/>
        </w:rPr>
        <w:t xml:space="preserve"> příspěvková organizace</w:t>
      </w:r>
      <w:r w:rsidRPr="00B24379">
        <w:rPr>
          <w:rFonts w:cs="Calibri"/>
          <w:color w:val="000000"/>
        </w:rPr>
        <w:t xml:space="preserve"> </w:t>
      </w:r>
      <w:r w:rsidR="003D01DE" w:rsidRPr="00B24379">
        <w:rPr>
          <w:rFonts w:cs="Calibri"/>
          <w:color w:val="000000"/>
        </w:rPr>
        <w:t xml:space="preserve">Státní </w:t>
      </w:r>
      <w:r w:rsidR="009460EA">
        <w:rPr>
          <w:rFonts w:cs="Calibri"/>
          <w:color w:val="000000"/>
        </w:rPr>
        <w:t xml:space="preserve">zdravotní </w:t>
      </w:r>
      <w:r w:rsidR="003D01DE" w:rsidRPr="00B24379">
        <w:rPr>
          <w:rFonts w:cs="Calibri"/>
          <w:color w:val="000000"/>
        </w:rPr>
        <w:t>ústav</w:t>
      </w:r>
      <w:r w:rsidRPr="00B24379">
        <w:rPr>
          <w:rFonts w:cs="Calibri"/>
          <w:color w:val="000000"/>
        </w:rPr>
        <w:t>.</w:t>
      </w:r>
    </w:p>
    <w:p w14:paraId="11F04CD5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2F1DFDE3" w14:textId="01B0F956" w:rsidR="00716ABD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Kont</w:t>
      </w:r>
      <w:r w:rsidR="00A77341" w:rsidRPr="00B24379">
        <w:rPr>
          <w:rFonts w:cs="Calibri"/>
          <w:color w:val="000000"/>
        </w:rPr>
        <w:t>rolovaným obdobím byly roky 201</w:t>
      </w:r>
      <w:r w:rsidR="009460EA">
        <w:rPr>
          <w:rFonts w:cs="Calibri"/>
          <w:color w:val="000000"/>
        </w:rPr>
        <w:t>4</w:t>
      </w:r>
      <w:r w:rsidR="00A77341" w:rsidRPr="00B24379">
        <w:rPr>
          <w:rFonts w:cs="Calibri"/>
          <w:color w:val="000000"/>
        </w:rPr>
        <w:t xml:space="preserve"> až 201</w:t>
      </w:r>
      <w:r w:rsidR="009460EA">
        <w:rPr>
          <w:rFonts w:cs="Calibri"/>
          <w:color w:val="000000"/>
        </w:rPr>
        <w:t>6</w:t>
      </w:r>
      <w:r w:rsidRPr="00B24379">
        <w:rPr>
          <w:rFonts w:cs="Calibri"/>
          <w:color w:val="000000"/>
        </w:rPr>
        <w:t>, v případě věcných souvislostí i</w:t>
      </w:r>
      <w:r w:rsidR="00AB3337">
        <w:rPr>
          <w:rFonts w:cs="Calibri"/>
          <w:color w:val="000000"/>
        </w:rPr>
        <w:t xml:space="preserve"> </w:t>
      </w:r>
      <w:r w:rsidRPr="00B24379">
        <w:rPr>
          <w:rFonts w:cs="Calibri"/>
          <w:color w:val="000000"/>
        </w:rPr>
        <w:t>období předcházející a</w:t>
      </w:r>
      <w:r w:rsidR="00AB3337">
        <w:rPr>
          <w:rFonts w:cs="Calibri"/>
          <w:color w:val="000000"/>
        </w:rPr>
        <w:t xml:space="preserve"> </w:t>
      </w:r>
      <w:r w:rsidRPr="00B24379">
        <w:rPr>
          <w:rFonts w:cs="Calibri"/>
          <w:color w:val="000000"/>
        </w:rPr>
        <w:t>následující. Kontrola byla prováděna</w:t>
      </w:r>
      <w:r w:rsidR="00A64BE6" w:rsidRPr="00B24379">
        <w:rPr>
          <w:rFonts w:cs="Calibri"/>
          <w:color w:val="000000"/>
        </w:rPr>
        <w:t xml:space="preserve"> u kontrolovan</w:t>
      </w:r>
      <w:r w:rsidR="009460EA">
        <w:rPr>
          <w:rFonts w:cs="Calibri"/>
          <w:color w:val="000000"/>
        </w:rPr>
        <w:t>é</w:t>
      </w:r>
      <w:r w:rsidR="00A64BE6" w:rsidRPr="00B24379">
        <w:rPr>
          <w:rFonts w:cs="Calibri"/>
          <w:color w:val="000000"/>
        </w:rPr>
        <w:t xml:space="preserve"> osob</w:t>
      </w:r>
      <w:r w:rsidR="009460EA">
        <w:rPr>
          <w:rFonts w:cs="Calibri"/>
          <w:color w:val="000000"/>
        </w:rPr>
        <w:t>y</w:t>
      </w:r>
      <w:r w:rsidRPr="00B24379">
        <w:rPr>
          <w:rFonts w:cs="Calibri"/>
          <w:color w:val="000000"/>
        </w:rPr>
        <w:t xml:space="preserve"> od </w:t>
      </w:r>
      <w:r w:rsidR="009460EA">
        <w:rPr>
          <w:rFonts w:cs="Calibri"/>
          <w:color w:val="000000"/>
        </w:rPr>
        <w:t>března</w:t>
      </w:r>
      <w:r w:rsidR="002F7DF1" w:rsidRPr="00B24379">
        <w:rPr>
          <w:rFonts w:cs="Calibri"/>
          <w:color w:val="000000"/>
        </w:rPr>
        <w:t xml:space="preserve"> </w:t>
      </w:r>
      <w:r w:rsidR="00A64BE6" w:rsidRPr="00B24379">
        <w:rPr>
          <w:rFonts w:cs="Calibri"/>
          <w:color w:val="000000"/>
        </w:rPr>
        <w:t>do</w:t>
      </w:r>
      <w:r w:rsidR="00AB3337">
        <w:rPr>
          <w:rFonts w:cs="Calibri"/>
          <w:color w:val="000000"/>
        </w:rPr>
        <w:t xml:space="preserve"> </w:t>
      </w:r>
      <w:r w:rsidR="009460EA">
        <w:rPr>
          <w:rFonts w:cs="Calibri"/>
          <w:color w:val="000000"/>
        </w:rPr>
        <w:t>října</w:t>
      </w:r>
      <w:r w:rsidRPr="00B24379">
        <w:rPr>
          <w:rFonts w:cs="Calibri"/>
          <w:color w:val="000000"/>
        </w:rPr>
        <w:t xml:space="preserve"> 201</w:t>
      </w:r>
      <w:r w:rsidR="009460EA">
        <w:rPr>
          <w:rFonts w:cs="Calibri"/>
          <w:color w:val="000000"/>
        </w:rPr>
        <w:t>7</w:t>
      </w:r>
      <w:r w:rsidRPr="00B24379">
        <w:rPr>
          <w:rFonts w:cs="Calibri"/>
          <w:color w:val="000000"/>
        </w:rPr>
        <w:t>.</w:t>
      </w:r>
    </w:p>
    <w:p w14:paraId="49EBBEA0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2CA1B15A" w14:textId="0394571B" w:rsidR="003800E3" w:rsidRPr="00B24379" w:rsidRDefault="00716ABD" w:rsidP="00B24379">
      <w:pPr>
        <w:jc w:val="both"/>
        <w:rPr>
          <w:rFonts w:cs="Calibri"/>
          <w:b/>
          <w:color w:val="000000"/>
        </w:rPr>
      </w:pPr>
      <w:r w:rsidRPr="00B24379">
        <w:rPr>
          <w:rFonts w:cs="Calibri"/>
          <w:b/>
          <w:color w:val="000000"/>
        </w:rPr>
        <w:t>Kontrolovan</w:t>
      </w:r>
      <w:r w:rsidR="00AB3337">
        <w:rPr>
          <w:rFonts w:cs="Calibri"/>
          <w:b/>
          <w:color w:val="000000"/>
        </w:rPr>
        <w:t>á</w:t>
      </w:r>
      <w:r w:rsidRPr="00B24379">
        <w:rPr>
          <w:rFonts w:cs="Calibri"/>
          <w:b/>
          <w:color w:val="000000"/>
        </w:rPr>
        <w:t xml:space="preserve"> osob</w:t>
      </w:r>
      <w:r w:rsidR="00AB3337">
        <w:rPr>
          <w:rFonts w:cs="Calibri"/>
          <w:b/>
          <w:color w:val="000000"/>
        </w:rPr>
        <w:t>a</w:t>
      </w:r>
      <w:r w:rsidR="003D01DE" w:rsidRPr="00B24379">
        <w:rPr>
          <w:rFonts w:cs="Calibri"/>
          <w:b/>
          <w:color w:val="000000"/>
        </w:rPr>
        <w:t>:</w:t>
      </w:r>
    </w:p>
    <w:p w14:paraId="53996D27" w14:textId="79D4DAFA" w:rsidR="00716ABD" w:rsidRDefault="003D01DE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Státní</w:t>
      </w:r>
      <w:r w:rsidR="009460EA">
        <w:rPr>
          <w:rFonts w:cs="Calibri"/>
          <w:color w:val="000000"/>
        </w:rPr>
        <w:t xml:space="preserve"> zdravotní</w:t>
      </w:r>
      <w:r w:rsidR="008F088B">
        <w:rPr>
          <w:rFonts w:cs="Calibri"/>
          <w:color w:val="000000"/>
        </w:rPr>
        <w:t xml:space="preserve"> ústav, Praha </w:t>
      </w:r>
      <w:r w:rsidR="002F7DF1" w:rsidRPr="00B24379">
        <w:rPr>
          <w:rFonts w:cs="Calibri"/>
          <w:color w:val="000000"/>
        </w:rPr>
        <w:t>(dále také „</w:t>
      </w:r>
      <w:r w:rsidRPr="00B24379">
        <w:rPr>
          <w:rFonts w:cs="Calibri"/>
          <w:color w:val="000000"/>
        </w:rPr>
        <w:t>S</w:t>
      </w:r>
      <w:r w:rsidR="009460EA">
        <w:rPr>
          <w:rFonts w:cs="Calibri"/>
          <w:color w:val="000000"/>
        </w:rPr>
        <w:t>Z</w:t>
      </w:r>
      <w:r w:rsidRPr="00B24379">
        <w:rPr>
          <w:rFonts w:cs="Calibri"/>
          <w:color w:val="000000"/>
        </w:rPr>
        <w:t>Ú</w:t>
      </w:r>
      <w:r w:rsidR="00716ABD" w:rsidRPr="00B24379">
        <w:rPr>
          <w:rFonts w:cs="Calibri"/>
          <w:color w:val="000000"/>
        </w:rPr>
        <w:t>“).</w:t>
      </w:r>
    </w:p>
    <w:p w14:paraId="26AC6789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3FFD44B7" w14:textId="578D83D1" w:rsidR="00716ABD" w:rsidRDefault="002F7DF1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color w:val="000000"/>
        </w:rPr>
        <w:t>Námitk</w:t>
      </w:r>
      <w:r w:rsidR="003D01DE" w:rsidRPr="00B24379">
        <w:rPr>
          <w:rFonts w:cs="Calibri"/>
          <w:color w:val="000000"/>
        </w:rPr>
        <w:t>y</w:t>
      </w:r>
      <w:r w:rsidR="00716ABD" w:rsidRPr="00B24379">
        <w:rPr>
          <w:rFonts w:cs="Calibri"/>
          <w:color w:val="000000"/>
        </w:rPr>
        <w:t xml:space="preserve"> proti </w:t>
      </w:r>
      <w:r w:rsidRPr="00B24379">
        <w:rPr>
          <w:rFonts w:cs="Calibri"/>
          <w:color w:val="000000"/>
        </w:rPr>
        <w:t>kontrolnímu protokolu, kter</w:t>
      </w:r>
      <w:r w:rsidR="003D01DE" w:rsidRPr="00B24379">
        <w:rPr>
          <w:rFonts w:cs="Calibri"/>
          <w:color w:val="000000"/>
        </w:rPr>
        <w:t>é</w:t>
      </w:r>
      <w:r w:rsidRPr="00B24379">
        <w:rPr>
          <w:rFonts w:cs="Calibri"/>
          <w:color w:val="000000"/>
        </w:rPr>
        <w:t xml:space="preserve"> podal </w:t>
      </w:r>
      <w:r w:rsidR="003D01DE" w:rsidRPr="00B24379">
        <w:rPr>
          <w:rFonts w:cs="Calibri"/>
          <w:color w:val="000000"/>
        </w:rPr>
        <w:t>S</w:t>
      </w:r>
      <w:r w:rsidR="009460EA">
        <w:rPr>
          <w:rFonts w:cs="Calibri"/>
          <w:color w:val="000000"/>
        </w:rPr>
        <w:t>Z</w:t>
      </w:r>
      <w:r w:rsidR="003D01DE" w:rsidRPr="00B24379">
        <w:rPr>
          <w:rFonts w:cs="Calibri"/>
          <w:color w:val="000000"/>
        </w:rPr>
        <w:t>Ú</w:t>
      </w:r>
      <w:r w:rsidRPr="00B24379">
        <w:rPr>
          <w:rFonts w:cs="Calibri"/>
          <w:color w:val="000000"/>
        </w:rPr>
        <w:t xml:space="preserve">, </w:t>
      </w:r>
      <w:r w:rsidR="003D01DE" w:rsidRPr="00B24379">
        <w:rPr>
          <w:rFonts w:cs="Calibri"/>
          <w:color w:val="000000"/>
        </w:rPr>
        <w:t>vypořád</w:t>
      </w:r>
      <w:r w:rsidR="005803AF">
        <w:rPr>
          <w:rFonts w:cs="Calibri"/>
          <w:color w:val="000000"/>
        </w:rPr>
        <w:t>al</w:t>
      </w:r>
      <w:r w:rsidR="002A159D" w:rsidRPr="00B24379">
        <w:rPr>
          <w:rFonts w:cs="Calibri"/>
          <w:color w:val="000000"/>
        </w:rPr>
        <w:t xml:space="preserve"> vedoucí</w:t>
      </w:r>
      <w:r w:rsidR="00716ABD" w:rsidRPr="00B24379">
        <w:rPr>
          <w:rFonts w:cs="Calibri"/>
          <w:color w:val="000000"/>
        </w:rPr>
        <w:t xml:space="preserve"> skupiny kontrolu</w:t>
      </w:r>
      <w:r w:rsidR="003800E3" w:rsidRPr="00B24379">
        <w:rPr>
          <w:rFonts w:cs="Calibri"/>
          <w:color w:val="000000"/>
        </w:rPr>
        <w:t xml:space="preserve">jících </w:t>
      </w:r>
      <w:r w:rsidR="009460EA">
        <w:rPr>
          <w:rFonts w:cs="Calibri"/>
          <w:color w:val="000000"/>
        </w:rPr>
        <w:t>rozhodnutím o námitkách.</w:t>
      </w:r>
    </w:p>
    <w:p w14:paraId="450DD691" w14:textId="2A4B60A0" w:rsidR="00B24379" w:rsidRDefault="00B24379" w:rsidP="00B24379">
      <w:pPr>
        <w:jc w:val="both"/>
        <w:rPr>
          <w:rFonts w:cs="Calibri"/>
          <w:color w:val="000000"/>
        </w:rPr>
      </w:pPr>
    </w:p>
    <w:p w14:paraId="28C6A7FA" w14:textId="77777777" w:rsidR="00B24379" w:rsidRPr="00B24379" w:rsidRDefault="00B24379" w:rsidP="00B24379">
      <w:pPr>
        <w:jc w:val="both"/>
        <w:rPr>
          <w:rFonts w:cs="Calibri"/>
          <w:color w:val="000000"/>
        </w:rPr>
      </w:pPr>
    </w:p>
    <w:p w14:paraId="7241E842" w14:textId="72302D83" w:rsidR="00716ABD" w:rsidRPr="00C973C2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b/>
          <w:i/>
          <w:color w:val="000000"/>
          <w:spacing w:val="40"/>
        </w:rPr>
        <w:t>Kolegium</w:t>
      </w:r>
      <w:r w:rsidR="008B1EA4" w:rsidRPr="008B1EA4">
        <w:rPr>
          <w:rFonts w:cs="Calibri"/>
          <w:b/>
          <w:i/>
          <w:color w:val="000000"/>
        </w:rPr>
        <w:t xml:space="preserve">  </w:t>
      </w:r>
      <w:r w:rsidRPr="008B1EA4">
        <w:rPr>
          <w:rFonts w:cs="Calibri"/>
          <w:b/>
          <w:i/>
          <w:color w:val="000000"/>
        </w:rPr>
        <w:t xml:space="preserve"> </w:t>
      </w:r>
      <w:r w:rsidRPr="00EA09E8">
        <w:rPr>
          <w:rFonts w:cs="Calibri"/>
          <w:b/>
          <w:i/>
          <w:color w:val="000000"/>
          <w:spacing w:val="40"/>
        </w:rPr>
        <w:t>NKÚ</w:t>
      </w:r>
      <w:r w:rsidR="008B1EA4">
        <w:rPr>
          <w:rFonts w:cs="Calibri"/>
          <w:b/>
          <w:i/>
          <w:color w:val="000000"/>
        </w:rPr>
        <w:t xml:space="preserve">  </w:t>
      </w:r>
      <w:r w:rsidRPr="00B24379">
        <w:rPr>
          <w:rFonts w:cs="Calibri"/>
          <w:b/>
          <w:i/>
          <w:color w:val="000000"/>
        </w:rPr>
        <w:t xml:space="preserve"> </w:t>
      </w:r>
      <w:r w:rsidRPr="00B24379">
        <w:rPr>
          <w:rFonts w:cs="Calibri"/>
          <w:color w:val="000000"/>
        </w:rPr>
        <w:t xml:space="preserve">na </w:t>
      </w:r>
      <w:r w:rsidRPr="00C973C2">
        <w:rPr>
          <w:rFonts w:cs="Calibri"/>
          <w:color w:val="000000"/>
        </w:rPr>
        <w:t xml:space="preserve">svém </w:t>
      </w:r>
      <w:r w:rsidR="00E6618B">
        <w:rPr>
          <w:rFonts w:cs="Calibri"/>
          <w:color w:val="000000"/>
        </w:rPr>
        <w:t>I</w:t>
      </w:r>
      <w:r w:rsidR="00C6207B" w:rsidRPr="00C973C2">
        <w:rPr>
          <w:rFonts w:cs="Calibri"/>
          <w:color w:val="000000"/>
        </w:rPr>
        <w:t>.</w:t>
      </w:r>
      <w:r w:rsidRPr="00C973C2">
        <w:rPr>
          <w:rFonts w:cs="Calibri"/>
          <w:color w:val="000000"/>
        </w:rPr>
        <w:t xml:space="preserve"> jednání, které se konalo dne </w:t>
      </w:r>
      <w:r w:rsidR="00E6618B">
        <w:rPr>
          <w:rFonts w:cs="Calibri"/>
          <w:color w:val="000000"/>
        </w:rPr>
        <w:t>22. ledna 2018</w:t>
      </w:r>
      <w:r w:rsidRPr="00C973C2">
        <w:rPr>
          <w:rFonts w:cs="Calibri"/>
          <w:color w:val="000000"/>
        </w:rPr>
        <w:t>,</w:t>
      </w:r>
    </w:p>
    <w:p w14:paraId="65782CA0" w14:textId="00E0030C" w:rsidR="00716ABD" w:rsidRPr="00B24379" w:rsidRDefault="002A159D" w:rsidP="00B24379">
      <w:pPr>
        <w:jc w:val="both"/>
        <w:rPr>
          <w:rFonts w:cs="Calibri"/>
          <w:color w:val="000000"/>
        </w:rPr>
      </w:pPr>
      <w:r w:rsidRPr="00C973C2">
        <w:rPr>
          <w:rFonts w:cs="Calibri"/>
          <w:b/>
          <w:i/>
          <w:color w:val="000000"/>
          <w:spacing w:val="40"/>
        </w:rPr>
        <w:t>s</w:t>
      </w:r>
      <w:r w:rsidR="00716ABD" w:rsidRPr="00C973C2">
        <w:rPr>
          <w:rFonts w:cs="Calibri"/>
          <w:b/>
          <w:i/>
          <w:color w:val="000000"/>
          <w:spacing w:val="40"/>
        </w:rPr>
        <w:t>chválilo</w:t>
      </w:r>
      <w:r w:rsidR="008B1EA4" w:rsidRPr="00C973C2">
        <w:rPr>
          <w:rFonts w:cs="Calibri"/>
          <w:b/>
          <w:i/>
          <w:color w:val="000000"/>
        </w:rPr>
        <w:t xml:space="preserve">  </w:t>
      </w:r>
      <w:r w:rsidR="00716ABD" w:rsidRPr="00C973C2">
        <w:rPr>
          <w:rFonts w:cs="Calibri"/>
          <w:b/>
          <w:i/>
          <w:color w:val="000000"/>
        </w:rPr>
        <w:t xml:space="preserve"> </w:t>
      </w:r>
      <w:r w:rsidR="00716ABD" w:rsidRPr="00EA09E8">
        <w:rPr>
          <w:rFonts w:cs="Calibri"/>
          <w:color w:val="000000"/>
        </w:rPr>
        <w:t>usnesením</w:t>
      </w:r>
      <w:r w:rsidR="002F7DF1" w:rsidRPr="00C973C2">
        <w:rPr>
          <w:rFonts w:cs="Calibri"/>
          <w:b/>
          <w:color w:val="000000"/>
        </w:rPr>
        <w:t xml:space="preserve"> </w:t>
      </w:r>
      <w:r w:rsidR="002F7DF1" w:rsidRPr="00C973C2">
        <w:rPr>
          <w:rFonts w:cs="Calibri"/>
          <w:color w:val="000000"/>
        </w:rPr>
        <w:t xml:space="preserve">č. </w:t>
      </w:r>
      <w:r w:rsidR="00783041">
        <w:rPr>
          <w:rFonts w:cs="Calibri"/>
          <w:color w:val="000000"/>
        </w:rPr>
        <w:t>7</w:t>
      </w:r>
      <w:r w:rsidR="002F7DF1" w:rsidRPr="00C973C2">
        <w:rPr>
          <w:rFonts w:cs="Calibri"/>
          <w:color w:val="000000"/>
        </w:rPr>
        <w:t>/</w:t>
      </w:r>
      <w:r w:rsidR="00783041">
        <w:rPr>
          <w:rFonts w:cs="Calibri"/>
          <w:color w:val="000000"/>
        </w:rPr>
        <w:t>I</w:t>
      </w:r>
      <w:r w:rsidR="002F7DF1" w:rsidRPr="00C973C2">
        <w:rPr>
          <w:rFonts w:cs="Calibri"/>
          <w:color w:val="000000"/>
        </w:rPr>
        <w:t>/201</w:t>
      </w:r>
      <w:r w:rsidR="000902FE">
        <w:rPr>
          <w:rFonts w:cs="Calibri"/>
          <w:color w:val="000000"/>
        </w:rPr>
        <w:t>8</w:t>
      </w:r>
    </w:p>
    <w:p w14:paraId="4E54F1AE" w14:textId="77777777" w:rsidR="00716ABD" w:rsidRPr="00B24379" w:rsidRDefault="00716ABD" w:rsidP="00B24379">
      <w:pPr>
        <w:jc w:val="both"/>
        <w:rPr>
          <w:rFonts w:cs="Calibri"/>
          <w:color w:val="000000"/>
        </w:rPr>
      </w:pPr>
      <w:r w:rsidRPr="00B24379">
        <w:rPr>
          <w:rFonts w:cs="Calibri"/>
          <w:b/>
          <w:i/>
          <w:color w:val="000000"/>
          <w:spacing w:val="40"/>
        </w:rPr>
        <w:t>kontrolní</w:t>
      </w:r>
      <w:r w:rsidRPr="00B24379">
        <w:rPr>
          <w:rFonts w:cs="Calibri"/>
          <w:b/>
          <w:i/>
          <w:color w:val="000000"/>
        </w:rPr>
        <w:t xml:space="preserve">   </w:t>
      </w:r>
      <w:r w:rsidRPr="00B24379">
        <w:rPr>
          <w:rFonts w:cs="Calibri"/>
          <w:b/>
          <w:i/>
          <w:color w:val="000000"/>
          <w:spacing w:val="40"/>
        </w:rPr>
        <w:t>závěr</w:t>
      </w:r>
      <w:r w:rsidRPr="00B24379">
        <w:rPr>
          <w:rFonts w:cs="Calibri"/>
          <w:b/>
          <w:i/>
          <w:color w:val="000000"/>
        </w:rPr>
        <w:t xml:space="preserve">   </w:t>
      </w:r>
      <w:r w:rsidRPr="00B24379">
        <w:rPr>
          <w:rFonts w:cs="Calibri"/>
          <w:color w:val="000000"/>
        </w:rPr>
        <w:t>v tomto znění:</w:t>
      </w:r>
    </w:p>
    <w:p w14:paraId="5710CB56" w14:textId="77777777" w:rsidR="00E96161" w:rsidRDefault="00E96161" w:rsidP="00E96161">
      <w:pPr>
        <w:spacing w:after="160"/>
        <w:rPr>
          <w:rFonts w:asciiTheme="minorHAnsi" w:hAnsiTheme="minorHAnsi" w:cstheme="minorHAnsi"/>
          <w:color w:val="000000"/>
        </w:rPr>
      </w:pPr>
    </w:p>
    <w:p w14:paraId="3A558479" w14:textId="77777777" w:rsidR="00E96161" w:rsidRDefault="00E96161" w:rsidP="00E96161">
      <w:pPr>
        <w:spacing w:after="160"/>
        <w:rPr>
          <w:rFonts w:asciiTheme="minorHAnsi" w:hAnsiTheme="minorHAnsi" w:cstheme="minorHAnsi"/>
          <w:color w:val="000000"/>
        </w:rPr>
      </w:pPr>
    </w:p>
    <w:p w14:paraId="7DC7F4D0" w14:textId="77777777" w:rsidR="00E96161" w:rsidRDefault="00E96161" w:rsidP="00E96161">
      <w:pPr>
        <w:spacing w:after="160"/>
        <w:rPr>
          <w:rFonts w:asciiTheme="minorHAnsi" w:hAnsiTheme="minorHAnsi" w:cstheme="minorHAnsi"/>
          <w:color w:val="000000"/>
        </w:rPr>
      </w:pPr>
    </w:p>
    <w:p w14:paraId="7B07CE1D" w14:textId="77777777" w:rsidR="00E96161" w:rsidRDefault="00E96161" w:rsidP="00E96161">
      <w:pPr>
        <w:spacing w:after="160"/>
        <w:rPr>
          <w:rFonts w:asciiTheme="minorHAnsi" w:hAnsiTheme="minorHAnsi" w:cstheme="minorHAnsi"/>
          <w:color w:val="000000"/>
        </w:rPr>
      </w:pPr>
    </w:p>
    <w:p w14:paraId="757B26CB" w14:textId="77777777" w:rsidR="00E96161" w:rsidRDefault="00E96161" w:rsidP="00E96161">
      <w:pPr>
        <w:spacing w:after="160"/>
        <w:rPr>
          <w:rFonts w:asciiTheme="minorHAnsi" w:hAnsiTheme="minorHAnsi" w:cstheme="minorHAnsi"/>
          <w:color w:val="000000"/>
        </w:rPr>
      </w:pPr>
    </w:p>
    <w:p w14:paraId="142271FA" w14:textId="5449DCDE" w:rsidR="00E96161" w:rsidRPr="0012121A" w:rsidRDefault="00E96161" w:rsidP="00250C2A">
      <w:pPr>
        <w:spacing w:after="160"/>
        <w:ind w:left="709" w:hanging="709"/>
        <w:rPr>
          <w:rFonts w:asciiTheme="minorHAnsi" w:hAnsiTheme="minorHAnsi" w:cstheme="minorHAnsi"/>
          <w:color w:val="000000"/>
        </w:rPr>
      </w:pPr>
      <w:r w:rsidRPr="0012121A">
        <w:rPr>
          <w:rFonts w:asciiTheme="minorHAnsi" w:hAnsiTheme="minorHAnsi" w:cstheme="minorHAnsi"/>
          <w:b/>
          <w:color w:val="000000"/>
        </w:rPr>
        <w:t>Pozn.:</w:t>
      </w:r>
      <w:r w:rsidRPr="0012121A">
        <w:rPr>
          <w:rFonts w:asciiTheme="minorHAnsi" w:hAnsiTheme="minorHAnsi" w:cstheme="minorHAnsi"/>
          <w:color w:val="000000"/>
        </w:rPr>
        <w:t xml:space="preserve"> </w:t>
      </w:r>
      <w:r w:rsidR="00250C2A">
        <w:rPr>
          <w:rFonts w:asciiTheme="minorHAnsi" w:hAnsiTheme="minorHAnsi" w:cstheme="minorHAnsi"/>
          <w:color w:val="000000"/>
        </w:rPr>
        <w:tab/>
      </w:r>
      <w:r w:rsidRPr="0012121A">
        <w:rPr>
          <w:rFonts w:asciiTheme="minorHAnsi" w:hAnsiTheme="minorHAnsi" w:cstheme="minorHAnsi"/>
          <w:color w:val="000000"/>
        </w:rPr>
        <w:t>Právní předpisy uvedené v tomto kontrolním závěru jsou aplikovány ve znění účinném pro kontrolované období.</w:t>
      </w:r>
    </w:p>
    <w:p w14:paraId="4804539B" w14:textId="77777777" w:rsidR="00716ABD" w:rsidRPr="00BA77B1" w:rsidRDefault="00716ABD" w:rsidP="006B327B">
      <w:pPr>
        <w:pStyle w:val="Nadpis1"/>
      </w:pPr>
      <w:r w:rsidRPr="00BA77B1">
        <w:lastRenderedPageBreak/>
        <w:t>I. Úvod</w:t>
      </w:r>
    </w:p>
    <w:p w14:paraId="437DD750" w14:textId="7C91310E" w:rsidR="00742863" w:rsidRDefault="00742863" w:rsidP="00742863">
      <w:pPr>
        <w:pStyle w:val="TextKP"/>
      </w:pPr>
      <w:r>
        <w:t>Státní zdravotní ústav byl zřízen ke dni 1. 1. 2003 na základě ustanovení § 86 odst. 2 zákona č. 258/2000 Sb.</w:t>
      </w:r>
      <w:r>
        <w:rPr>
          <w:rStyle w:val="Znakapoznpodarou"/>
        </w:rPr>
        <w:footnoteReference w:id="2"/>
      </w:r>
      <w:r>
        <w:t xml:space="preserve"> </w:t>
      </w:r>
      <w:r w:rsidR="003D604E">
        <w:t xml:space="preserve">SZÚ je příspěvkovou organizací </w:t>
      </w:r>
      <w:r>
        <w:t>podle zákona č. 219/2000 Sb.</w:t>
      </w:r>
      <w:r>
        <w:rPr>
          <w:rStyle w:val="Znakapoznpodarou"/>
        </w:rPr>
        <w:footnoteReference w:id="3"/>
      </w:r>
      <w:r>
        <w:t xml:space="preserve"> a účetní jednotkou podle zákona č. 563/1991 Sb.</w:t>
      </w:r>
      <w:r>
        <w:rPr>
          <w:rStyle w:val="Znakapoznpodarou"/>
        </w:rPr>
        <w:footnoteReference w:id="4"/>
      </w:r>
      <w:r>
        <w:t xml:space="preserve"> </w:t>
      </w:r>
      <w:r w:rsidR="003D604E">
        <w:t>Funkci zřizovatele SZÚ vykonává Minis</w:t>
      </w:r>
      <w:r>
        <w:t>terstv</w:t>
      </w:r>
      <w:r w:rsidR="003D604E">
        <w:t>o</w:t>
      </w:r>
      <w:r>
        <w:t xml:space="preserve"> zdra</w:t>
      </w:r>
      <w:r w:rsidR="003D604E">
        <w:t>votnictví ČR</w:t>
      </w:r>
      <w:r w:rsidR="00C96748">
        <w:t xml:space="preserve"> (dále také „</w:t>
      </w:r>
      <w:proofErr w:type="spellStart"/>
      <w:r w:rsidR="00C96748">
        <w:t>MZd</w:t>
      </w:r>
      <w:proofErr w:type="spellEnd"/>
      <w:r w:rsidR="00C96748">
        <w:t>“)</w:t>
      </w:r>
      <w:r w:rsidR="003D604E">
        <w:t xml:space="preserve"> a statutárním orgánem je ředitel SZÚ.</w:t>
      </w:r>
    </w:p>
    <w:p w14:paraId="4DB9FF77" w14:textId="470C8711" w:rsidR="00742863" w:rsidRPr="00290CC1" w:rsidRDefault="00742863" w:rsidP="00742863">
      <w:pPr>
        <w:pStyle w:val="TextKP"/>
      </w:pPr>
      <w:r w:rsidRPr="00290CC1">
        <w:t>Podle ustanovení § 86 odst. 2 zákona č. 258/2000 Sb. byl SZÚ zřízen k přípravě podkladů pro národní zdravotní politiku, pro</w:t>
      </w:r>
      <w:r w:rsidR="00E6283F">
        <w:t xml:space="preserve"> </w:t>
      </w:r>
      <w:r w:rsidRPr="00290CC1">
        <w:t>ochranu a podporu zdraví, k zajištění metodické a referenční činnosti na úseku ochrany veřejného zdraví, k monitorování a výzkumu vztahů životních podmínek a zdraví, k mezinárodní spolupráci, ke kontrole kv</w:t>
      </w:r>
      <w:r w:rsidR="004674EA" w:rsidRPr="00290CC1">
        <w:t>ality poskytovaných služeb v </w:t>
      </w:r>
      <w:r w:rsidRPr="00290CC1">
        <w:t xml:space="preserve">ochraně veřejného zdraví, k postgraduální výchově v lékařských oborech ochrany a podpory zdraví a pro zdravotní výchovu obyvatelstva. </w:t>
      </w:r>
    </w:p>
    <w:p w14:paraId="52CD18A3" w14:textId="015FD002" w:rsidR="00742863" w:rsidRDefault="00742863" w:rsidP="003D604E">
      <w:pPr>
        <w:pStyle w:val="TextKP"/>
      </w:pPr>
      <w:r w:rsidRPr="00E51821">
        <w:t>Kontrolovány byly peněžní prostředky vynaložené na úhradu vybraných náklad</w:t>
      </w:r>
      <w:r w:rsidR="00FD3594">
        <w:t>ů</w:t>
      </w:r>
      <w:r w:rsidRPr="00E51821">
        <w:t xml:space="preserve"> z čin</w:t>
      </w:r>
      <w:r>
        <w:t>nosti SZÚ v celkové výši</w:t>
      </w:r>
      <w:r w:rsidR="004674EA">
        <w:t xml:space="preserve"> </w:t>
      </w:r>
      <w:r>
        <w:t>62 954 tis.</w:t>
      </w:r>
      <w:r w:rsidRPr="00E51821">
        <w:t xml:space="preserve"> Kč, majetek SZÚ v celkové hodnotě 54 22</w:t>
      </w:r>
      <w:r>
        <w:t>7</w:t>
      </w:r>
      <w:r w:rsidRPr="00E51821">
        <w:t xml:space="preserve"> </w:t>
      </w:r>
      <w:r>
        <w:t>tis.</w:t>
      </w:r>
      <w:r w:rsidRPr="00E51821">
        <w:t xml:space="preserve"> Kč</w:t>
      </w:r>
      <w:r>
        <w:t xml:space="preserve"> a další finanční prostředky SZÚ v </w:t>
      </w:r>
      <w:r w:rsidRPr="00742863">
        <w:t>celkové výši 39 803 tis.</w:t>
      </w:r>
      <w:r>
        <w:t xml:space="preserve"> Kč.</w:t>
      </w:r>
    </w:p>
    <w:p w14:paraId="0230C427" w14:textId="353188A0" w:rsidR="004674EA" w:rsidRDefault="004674EA" w:rsidP="00E6283F">
      <w:pPr>
        <w:pStyle w:val="Titulek"/>
        <w:tabs>
          <w:tab w:val="clear" w:pos="7938"/>
          <w:tab w:val="right" w:pos="9072"/>
        </w:tabs>
      </w:pPr>
      <w:r>
        <w:t xml:space="preserve">Tabulka č. </w:t>
      </w:r>
      <w:fldSimple w:instr=" SEQ Tabulka_č. \* ARABIC ">
        <w:r w:rsidR="00293593">
          <w:rPr>
            <w:noProof/>
          </w:rPr>
          <w:t>1</w:t>
        </w:r>
      </w:fldSimple>
      <w:r>
        <w:t>: Náklady SZÚ v letech 2014 až 2016</w:t>
      </w:r>
      <w:r>
        <w:tab/>
        <w:t xml:space="preserve">(v </w:t>
      </w:r>
      <w:r w:rsidR="009871AC">
        <w:t xml:space="preserve">tis. </w:t>
      </w:r>
      <w:r>
        <w:t>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1283"/>
        <w:gridCol w:w="1309"/>
        <w:gridCol w:w="1309"/>
        <w:gridCol w:w="1309"/>
      </w:tblGrid>
      <w:tr w:rsidR="00774645" w:rsidRPr="00774645" w14:paraId="7DC8024B" w14:textId="77777777" w:rsidTr="00EA09E8">
        <w:trPr>
          <w:trHeight w:val="255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D21462D" w14:textId="13DC8D3B" w:rsidR="00774645" w:rsidRPr="00774645" w:rsidRDefault="00774645" w:rsidP="0077464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Účet (název)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08E2FC7" w14:textId="77777777" w:rsidR="00774645" w:rsidRPr="00774645" w:rsidRDefault="00774645" w:rsidP="0077464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SÚ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9CB897B" w14:textId="77777777" w:rsidR="00774645" w:rsidRPr="00774645" w:rsidRDefault="00774645" w:rsidP="0077464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066299F" w14:textId="77777777" w:rsidR="00774645" w:rsidRPr="00774645" w:rsidRDefault="00774645" w:rsidP="0077464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A579A52" w14:textId="77777777" w:rsidR="00774645" w:rsidRPr="00774645" w:rsidRDefault="00774645" w:rsidP="0077464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774645" w:rsidRPr="00774645" w14:paraId="753E0735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C6C9"/>
            <w:noWrap/>
            <w:vAlign w:val="center"/>
            <w:hideMark/>
          </w:tcPr>
          <w:p w14:paraId="7D0CF486" w14:textId="223B157B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C6C9"/>
            <w:noWrap/>
            <w:vAlign w:val="center"/>
            <w:hideMark/>
          </w:tcPr>
          <w:p w14:paraId="750DAD7D" w14:textId="77777777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8C59B82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348 081,88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FEB90E2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364 758,23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B2212F4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374 955,16</w:t>
            </w:r>
          </w:p>
        </w:tc>
      </w:tr>
      <w:tr w:rsidR="00774645" w:rsidRPr="00774645" w14:paraId="2FAE7EDF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8406" w14:textId="77777777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Náklady z činnosti (kromě osobních nákladů)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0B91E" w14:textId="77777777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6CB3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148 496,82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B65E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161 660,61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F57D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157 424,56</w:t>
            </w:r>
          </w:p>
        </w:tc>
      </w:tr>
      <w:tr w:rsidR="00774645" w:rsidRPr="00774645" w14:paraId="2ED18A54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0F46" w14:textId="77777777" w:rsidR="00774645" w:rsidRPr="00774645" w:rsidRDefault="00774645" w:rsidP="00774645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i/>
                <w:iCs/>
                <w:color w:val="000000"/>
                <w:sz w:val="20"/>
                <w:szCs w:val="20"/>
                <w:lang w:eastAsia="cs-CZ"/>
              </w:rPr>
              <w:t>Spotřeba materiálu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CE3E" w14:textId="77777777" w:rsidR="00774645" w:rsidRPr="00774645" w:rsidRDefault="00774645" w:rsidP="0077464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E3E1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54 952,15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3A41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65 711,20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1D8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60 414,56</w:t>
            </w:r>
          </w:p>
        </w:tc>
      </w:tr>
      <w:tr w:rsidR="00774645" w:rsidRPr="00774645" w14:paraId="6712874F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90B5" w14:textId="77777777" w:rsidR="00774645" w:rsidRPr="00774645" w:rsidRDefault="00774645" w:rsidP="00774645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i/>
                <w:iCs/>
                <w:color w:val="000000"/>
                <w:sz w:val="20"/>
                <w:szCs w:val="20"/>
                <w:lang w:eastAsia="cs-CZ"/>
              </w:rPr>
              <w:t>Spotřeba energie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4194" w14:textId="77777777" w:rsidR="00774645" w:rsidRPr="00774645" w:rsidRDefault="00774645" w:rsidP="0077464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8BBA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14 293,52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4AEB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16 388,28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E5E0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16 795,06</w:t>
            </w:r>
          </w:p>
        </w:tc>
      </w:tr>
      <w:tr w:rsidR="00774645" w:rsidRPr="00774645" w14:paraId="22CCF86A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BFBC" w14:textId="77777777" w:rsidR="00774645" w:rsidRPr="00774645" w:rsidRDefault="00774645" w:rsidP="00774645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i/>
                <w:iCs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678F" w14:textId="77777777" w:rsidR="00774645" w:rsidRPr="00774645" w:rsidRDefault="00774645" w:rsidP="0077464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81B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5 373,09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40B9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5 949,40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ECE6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5 835,62</w:t>
            </w:r>
          </w:p>
        </w:tc>
      </w:tr>
      <w:tr w:rsidR="00774645" w:rsidRPr="00774645" w14:paraId="7F823BDB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D193" w14:textId="77777777" w:rsidR="00774645" w:rsidRPr="00774645" w:rsidRDefault="00774645" w:rsidP="00774645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i/>
                <w:iCs/>
                <w:color w:val="000000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D0C9" w14:textId="77777777" w:rsidR="00774645" w:rsidRPr="00774645" w:rsidRDefault="00774645" w:rsidP="0077464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ADCC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29 716,31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1D7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27 633,83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9B5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29 901,62</w:t>
            </w:r>
          </w:p>
        </w:tc>
      </w:tr>
      <w:tr w:rsidR="00774645" w:rsidRPr="00774645" w14:paraId="421C8E7A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4F39" w14:textId="77777777" w:rsidR="00774645" w:rsidRPr="00774645" w:rsidRDefault="00774645" w:rsidP="00774645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i/>
                <w:iCs/>
                <w:color w:val="000000"/>
                <w:sz w:val="20"/>
                <w:szCs w:val="20"/>
                <w:lang w:eastAsia="cs-CZ"/>
              </w:rPr>
              <w:t>Odpisy dlouhodobého majetku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18E" w14:textId="77777777" w:rsidR="00774645" w:rsidRPr="00774645" w:rsidRDefault="00774645" w:rsidP="0077464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551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1E0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31 488,67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4E8C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34 235,18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011C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35 014,74</w:t>
            </w:r>
          </w:p>
        </w:tc>
      </w:tr>
      <w:tr w:rsidR="00774645" w:rsidRPr="00774645" w14:paraId="0EBF92BA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919" w14:textId="77777777" w:rsidR="00774645" w:rsidRPr="00774645" w:rsidRDefault="00774645" w:rsidP="00774645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i/>
                <w:iCs/>
                <w:color w:val="000000"/>
                <w:sz w:val="20"/>
                <w:szCs w:val="20"/>
                <w:lang w:eastAsia="cs-CZ"/>
              </w:rPr>
              <w:t>Náklady z DDM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0891" w14:textId="77777777" w:rsidR="00774645" w:rsidRPr="00774645" w:rsidRDefault="00774645" w:rsidP="0077464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558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460A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7 373,37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E3A5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4 696,81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199D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2 736,44</w:t>
            </w:r>
          </w:p>
        </w:tc>
      </w:tr>
      <w:tr w:rsidR="00774645" w:rsidRPr="00774645" w14:paraId="7226F079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C9241" w14:textId="77777777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Osobní náklady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3B9A7" w14:textId="77777777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270A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199 362,70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8FB6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202 927,14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143A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217 350,59</w:t>
            </w:r>
          </w:p>
        </w:tc>
      </w:tr>
      <w:tr w:rsidR="00774645" w:rsidRPr="00774645" w14:paraId="381EEC79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874" w14:textId="77777777" w:rsidR="00774645" w:rsidRPr="00774645" w:rsidRDefault="00774645" w:rsidP="00774645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i/>
                <w:iCs/>
                <w:color w:val="000000"/>
                <w:sz w:val="20"/>
                <w:szCs w:val="20"/>
                <w:lang w:eastAsia="cs-CZ"/>
              </w:rPr>
              <w:t>Mzdové náklady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35C8" w14:textId="77777777" w:rsidR="00774645" w:rsidRPr="00774645" w:rsidRDefault="00774645" w:rsidP="0077464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F2C1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146 405,74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9953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148 772,44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DC5F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158 745,46</w:t>
            </w:r>
          </w:p>
        </w:tc>
      </w:tr>
      <w:tr w:rsidR="00774645" w:rsidRPr="00774645" w14:paraId="65DA35EE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E22" w14:textId="77777777" w:rsidR="00774645" w:rsidRPr="00774645" w:rsidRDefault="00774645" w:rsidP="00774645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i/>
                <w:iCs/>
                <w:color w:val="000000"/>
                <w:sz w:val="20"/>
                <w:szCs w:val="20"/>
                <w:lang w:eastAsia="cs-CZ"/>
              </w:rPr>
              <w:t>Zákonné sociální pojištění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0F78" w14:textId="77777777" w:rsidR="00774645" w:rsidRPr="00774645" w:rsidRDefault="00774645" w:rsidP="00774645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C27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48 910,34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C86D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49 918,58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E9A4" w14:textId="77777777" w:rsidR="00774645" w:rsidRPr="00774645" w:rsidRDefault="00774645" w:rsidP="00774645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color w:val="000000"/>
                <w:sz w:val="20"/>
                <w:szCs w:val="20"/>
                <w:lang w:eastAsia="cs-CZ"/>
              </w:rPr>
              <w:t>53 460,26</w:t>
            </w:r>
          </w:p>
        </w:tc>
      </w:tr>
      <w:tr w:rsidR="00774645" w:rsidRPr="00774645" w14:paraId="4F84908E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E750" w14:textId="77777777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Náklady z činnosti (celkem)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F1EE" w14:textId="77777777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19B1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347 859,52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7A29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364 587,75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4F3D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374 775,15</w:t>
            </w:r>
          </w:p>
        </w:tc>
      </w:tr>
      <w:tr w:rsidR="00774645" w:rsidRPr="00774645" w14:paraId="067F4E5F" w14:textId="77777777" w:rsidTr="00774645">
        <w:trPr>
          <w:trHeight w:val="255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A76AC" w14:textId="77777777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Finanční náklady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6B37" w14:textId="77777777" w:rsidR="00774645" w:rsidRPr="00774645" w:rsidRDefault="00774645" w:rsidP="00774645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08CD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222,36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88EC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170,48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A784" w14:textId="77777777" w:rsidR="00774645" w:rsidRPr="00774645" w:rsidRDefault="00774645" w:rsidP="0077464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45">
              <w:rPr>
                <w:b/>
                <w:bCs/>
                <w:color w:val="000000"/>
                <w:sz w:val="20"/>
                <w:szCs w:val="20"/>
                <w:lang w:eastAsia="cs-CZ"/>
              </w:rPr>
              <w:t>180,01</w:t>
            </w:r>
          </w:p>
        </w:tc>
      </w:tr>
    </w:tbl>
    <w:p w14:paraId="7273F111" w14:textId="4FB3D18C" w:rsidR="00A269D2" w:rsidRDefault="00A269D2" w:rsidP="002028EB">
      <w:pPr>
        <w:pStyle w:val="Zdrojapozn"/>
        <w:ind w:left="567" w:hanging="567"/>
        <w:rPr>
          <w:rFonts w:asciiTheme="minorHAnsi" w:hAnsiTheme="minorHAnsi"/>
          <w:b/>
          <w:szCs w:val="20"/>
        </w:rPr>
      </w:pPr>
      <w:r w:rsidRPr="0012121A">
        <w:rPr>
          <w:b/>
        </w:rPr>
        <w:t>Zdroj:</w:t>
      </w:r>
      <w:r>
        <w:t xml:space="preserve"> </w:t>
      </w:r>
      <w:r w:rsidR="00E6283F">
        <w:tab/>
      </w:r>
      <w:r w:rsidR="005803AF">
        <w:t>v</w:t>
      </w:r>
      <w:r>
        <w:t xml:space="preserve">ýkaz zisku a ztráty </w:t>
      </w:r>
      <w:r w:rsidR="0012121A">
        <w:t xml:space="preserve">SZÚ (dále také „VZZ“) </w:t>
      </w:r>
      <w:r>
        <w:t xml:space="preserve">sestavený za období od 1. 1. 2014 do 31. 12. 2014, </w:t>
      </w:r>
      <w:r w:rsidR="005803AF">
        <w:t xml:space="preserve">VZZ sestavený za období </w:t>
      </w:r>
      <w:r>
        <w:t>od 1. 1. 2015 do 31. 12. 2015 a </w:t>
      </w:r>
      <w:r w:rsidR="005803AF">
        <w:t xml:space="preserve">VZZ sestavený za období </w:t>
      </w:r>
      <w:r>
        <w:t>od 1. 1. 2016 do 31. 12. 2016</w:t>
      </w:r>
      <w:r w:rsidR="002028EB">
        <w:t>.</w:t>
      </w:r>
    </w:p>
    <w:p w14:paraId="770029EE" w14:textId="62CF84E7" w:rsidR="00083C9F" w:rsidRDefault="00083C9F" w:rsidP="002028EB">
      <w:pPr>
        <w:pStyle w:val="Zdrojapozn"/>
        <w:ind w:left="567" w:hanging="567"/>
        <w:rPr>
          <w:rFonts w:asciiTheme="minorHAnsi" w:hAnsiTheme="minorHAnsi"/>
          <w:b/>
          <w:szCs w:val="20"/>
        </w:rPr>
      </w:pPr>
      <w:r w:rsidRPr="0012121A">
        <w:rPr>
          <w:rFonts w:asciiTheme="minorHAnsi" w:hAnsiTheme="minorHAnsi"/>
          <w:b/>
          <w:szCs w:val="20"/>
        </w:rPr>
        <w:t>Pozn.:</w:t>
      </w:r>
      <w:r>
        <w:rPr>
          <w:rFonts w:asciiTheme="minorHAnsi" w:hAnsiTheme="minorHAnsi"/>
          <w:szCs w:val="20"/>
        </w:rPr>
        <w:t xml:space="preserve"> </w:t>
      </w:r>
      <w:r w:rsidR="00E6283F">
        <w:rPr>
          <w:rFonts w:asciiTheme="minorHAnsi" w:hAnsiTheme="minorHAnsi"/>
          <w:szCs w:val="20"/>
        </w:rPr>
        <w:tab/>
      </w:r>
      <w:r w:rsidRPr="00083C9F">
        <w:rPr>
          <w:rFonts w:asciiTheme="minorHAnsi" w:hAnsiTheme="minorHAnsi"/>
          <w:szCs w:val="20"/>
        </w:rPr>
        <w:t>SZÚ v letech 2014 až 2016 vykázal v účetní</w:t>
      </w:r>
      <w:r w:rsidR="005803AF">
        <w:rPr>
          <w:rFonts w:asciiTheme="minorHAnsi" w:hAnsiTheme="minorHAnsi"/>
          <w:szCs w:val="20"/>
        </w:rPr>
        <w:t>ch</w:t>
      </w:r>
      <w:r w:rsidRPr="00083C9F">
        <w:rPr>
          <w:rFonts w:asciiTheme="minorHAnsi" w:hAnsiTheme="minorHAnsi"/>
          <w:szCs w:val="20"/>
        </w:rPr>
        <w:t xml:space="preserve"> závěr</w:t>
      </w:r>
      <w:r w:rsidR="005803AF">
        <w:rPr>
          <w:rFonts w:asciiTheme="minorHAnsi" w:hAnsiTheme="minorHAnsi"/>
          <w:szCs w:val="20"/>
        </w:rPr>
        <w:t>kách</w:t>
      </w:r>
      <w:r w:rsidRPr="00083C9F">
        <w:rPr>
          <w:rFonts w:asciiTheme="minorHAnsi" w:hAnsiTheme="minorHAnsi"/>
          <w:szCs w:val="20"/>
        </w:rPr>
        <w:t xml:space="preserve"> sestaven</w:t>
      </w:r>
      <w:r w:rsidR="005803AF">
        <w:rPr>
          <w:rFonts w:asciiTheme="minorHAnsi" w:hAnsiTheme="minorHAnsi"/>
          <w:szCs w:val="20"/>
        </w:rPr>
        <w:t>ých</w:t>
      </w:r>
      <w:r w:rsidRPr="00083C9F">
        <w:rPr>
          <w:rFonts w:asciiTheme="minorHAnsi" w:hAnsiTheme="minorHAnsi"/>
          <w:szCs w:val="20"/>
        </w:rPr>
        <w:t xml:space="preserve"> ke dn</w:t>
      </w:r>
      <w:r w:rsidR="005803AF">
        <w:rPr>
          <w:rFonts w:asciiTheme="minorHAnsi" w:hAnsiTheme="minorHAnsi"/>
          <w:szCs w:val="20"/>
        </w:rPr>
        <w:t>ům</w:t>
      </w:r>
      <w:r w:rsidRPr="00083C9F">
        <w:rPr>
          <w:rFonts w:asciiTheme="minorHAnsi" w:hAnsiTheme="minorHAnsi"/>
          <w:szCs w:val="20"/>
        </w:rPr>
        <w:t xml:space="preserve"> 31. 12.</w:t>
      </w:r>
      <w:r>
        <w:rPr>
          <w:rFonts w:asciiTheme="minorHAnsi" w:hAnsiTheme="minorHAnsi"/>
          <w:szCs w:val="20"/>
        </w:rPr>
        <w:t xml:space="preserve"> 2014, 31. 12. 2015 a </w:t>
      </w:r>
      <w:r w:rsidRPr="00083C9F">
        <w:rPr>
          <w:rFonts w:asciiTheme="minorHAnsi" w:hAnsiTheme="minorHAnsi"/>
          <w:szCs w:val="20"/>
        </w:rPr>
        <w:t>31. 12. 2016 vyrovnaný, resp. nulový výsledek hospodaření.</w:t>
      </w:r>
    </w:p>
    <w:p w14:paraId="14A0D083" w14:textId="110AB3B4" w:rsidR="00774645" w:rsidRDefault="00774645" w:rsidP="00E6283F">
      <w:pPr>
        <w:pStyle w:val="Titulek"/>
        <w:tabs>
          <w:tab w:val="clear" w:pos="7938"/>
          <w:tab w:val="right" w:pos="9072"/>
        </w:tabs>
        <w:rPr>
          <w:rFonts w:asciiTheme="minorHAnsi" w:hAnsiTheme="minorHAnsi"/>
          <w:b/>
          <w:sz w:val="20"/>
          <w:szCs w:val="20"/>
        </w:rPr>
      </w:pPr>
      <w:r>
        <w:t xml:space="preserve">Tabulka č. </w:t>
      </w:r>
      <w:fldSimple w:instr=" SEQ Tabulka_č. \* ARABIC ">
        <w:r w:rsidR="00293593">
          <w:rPr>
            <w:noProof/>
          </w:rPr>
          <w:t>2</w:t>
        </w:r>
      </w:fldSimple>
      <w:r>
        <w:t>: Aktiva SZÚ v letech 2014 až 2016</w:t>
      </w:r>
      <w:r w:rsidR="009871AC">
        <w:tab/>
        <w:t>(v tis.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1577"/>
        <w:gridCol w:w="1577"/>
        <w:gridCol w:w="1575"/>
      </w:tblGrid>
      <w:tr w:rsidR="00E96161" w:rsidRPr="00E96161" w14:paraId="4FDEFCBE" w14:textId="77777777" w:rsidTr="00E96161">
        <w:trPr>
          <w:trHeight w:val="255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B9F7C65" w14:textId="77777777" w:rsidR="00E96161" w:rsidRPr="00E96161" w:rsidRDefault="00E96161" w:rsidP="00E961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Účet (název)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07401A3" w14:textId="77777777" w:rsidR="00E96161" w:rsidRPr="00E96161" w:rsidRDefault="00E96161" w:rsidP="00E961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2014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D6FB271" w14:textId="77777777" w:rsidR="00E96161" w:rsidRPr="00E96161" w:rsidRDefault="00E96161" w:rsidP="00E961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2015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11D6601" w14:textId="77777777" w:rsidR="00E96161" w:rsidRPr="00E96161" w:rsidRDefault="00E96161" w:rsidP="00E961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2016</w:t>
            </w:r>
          </w:p>
        </w:tc>
      </w:tr>
      <w:tr w:rsidR="00E96161" w:rsidRPr="00E96161" w14:paraId="139245D1" w14:textId="77777777" w:rsidTr="00E96161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892F0B2" w14:textId="77777777" w:rsidR="00E96161" w:rsidRPr="00E96161" w:rsidRDefault="00E96161" w:rsidP="00E96161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Aktiva celkem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828B72D" w14:textId="77777777" w:rsidR="00E96161" w:rsidRPr="00E96161" w:rsidRDefault="00E96161" w:rsidP="00E961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b/>
                <w:bCs/>
                <w:color w:val="000000"/>
                <w:sz w:val="20"/>
                <w:szCs w:val="20"/>
                <w:lang w:eastAsia="cs-CZ"/>
              </w:rPr>
              <w:t>480 548,98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D08235F" w14:textId="77777777" w:rsidR="00E96161" w:rsidRPr="00E96161" w:rsidRDefault="00E96161" w:rsidP="00E961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b/>
                <w:bCs/>
                <w:color w:val="000000"/>
                <w:sz w:val="20"/>
                <w:szCs w:val="20"/>
                <w:lang w:eastAsia="cs-CZ"/>
              </w:rPr>
              <w:t>478 645,19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C41CE40" w14:textId="77777777" w:rsidR="00E96161" w:rsidRPr="00E96161" w:rsidRDefault="00E96161" w:rsidP="00E961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b/>
                <w:bCs/>
                <w:color w:val="000000"/>
                <w:sz w:val="20"/>
                <w:szCs w:val="20"/>
                <w:lang w:eastAsia="cs-CZ"/>
              </w:rPr>
              <w:t>452 280,99</w:t>
            </w:r>
          </w:p>
        </w:tc>
      </w:tr>
      <w:tr w:rsidR="00E96161" w:rsidRPr="00E96161" w14:paraId="41D4380A" w14:textId="77777777" w:rsidTr="00E96161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3139" w14:textId="77777777" w:rsidR="00E96161" w:rsidRPr="00E96161" w:rsidRDefault="00E96161" w:rsidP="00E96161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Stálá aktiva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50CA" w14:textId="77777777" w:rsidR="00E96161" w:rsidRPr="00E96161" w:rsidRDefault="00E96161" w:rsidP="00E961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b/>
                <w:bCs/>
                <w:color w:val="000000"/>
                <w:sz w:val="20"/>
                <w:szCs w:val="20"/>
                <w:lang w:eastAsia="cs-CZ"/>
              </w:rPr>
              <w:t>364 277,14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399" w14:textId="77777777" w:rsidR="00E96161" w:rsidRPr="00E96161" w:rsidRDefault="00E96161" w:rsidP="00E961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b/>
                <w:bCs/>
                <w:color w:val="000000"/>
                <w:sz w:val="20"/>
                <w:szCs w:val="20"/>
                <w:lang w:eastAsia="cs-CZ"/>
              </w:rPr>
              <w:t>358 610,60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4C34" w14:textId="77777777" w:rsidR="00E96161" w:rsidRPr="00E96161" w:rsidRDefault="00E96161" w:rsidP="00E961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b/>
                <w:bCs/>
                <w:color w:val="000000"/>
                <w:sz w:val="20"/>
                <w:szCs w:val="20"/>
                <w:lang w:eastAsia="cs-CZ"/>
              </w:rPr>
              <w:t>365 644,54</w:t>
            </w:r>
          </w:p>
        </w:tc>
      </w:tr>
      <w:tr w:rsidR="00E96161" w:rsidRPr="00E96161" w14:paraId="5A28E4FA" w14:textId="77777777" w:rsidTr="00E96161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A69C" w14:textId="77777777" w:rsidR="00E96161" w:rsidRPr="00E96161" w:rsidRDefault="00E96161" w:rsidP="00E96161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color w:val="000000"/>
                <w:sz w:val="20"/>
                <w:lang w:eastAsia="cs-CZ"/>
              </w:rPr>
              <w:t>Dlouhodobý nehmotný majetek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7362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13 842,49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3FBC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15 941,08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CD90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14 304,11</w:t>
            </w:r>
          </w:p>
        </w:tc>
      </w:tr>
      <w:tr w:rsidR="00E96161" w:rsidRPr="00E96161" w14:paraId="2EE703D3" w14:textId="77777777" w:rsidTr="00E96161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3896" w14:textId="77777777" w:rsidR="00E96161" w:rsidRPr="00E96161" w:rsidRDefault="00E96161" w:rsidP="00E96161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color w:val="000000"/>
                <w:sz w:val="20"/>
                <w:lang w:eastAsia="cs-CZ"/>
              </w:rPr>
              <w:t>Dlouhodobý hmotný majetek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D6AB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350 434,65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217C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342 669,52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50D7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351 340,44</w:t>
            </w:r>
          </w:p>
        </w:tc>
      </w:tr>
      <w:tr w:rsidR="00E96161" w:rsidRPr="00E96161" w14:paraId="487173B2" w14:textId="77777777" w:rsidTr="00E96161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8693" w14:textId="77777777" w:rsidR="00E96161" w:rsidRPr="00E96161" w:rsidRDefault="00E96161" w:rsidP="00E96161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Oběžná aktiva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95D6" w14:textId="77777777" w:rsidR="00E96161" w:rsidRPr="00E96161" w:rsidRDefault="00E96161" w:rsidP="00E961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b/>
                <w:bCs/>
                <w:color w:val="000000"/>
                <w:sz w:val="20"/>
                <w:szCs w:val="20"/>
                <w:lang w:eastAsia="cs-CZ"/>
              </w:rPr>
              <w:t>116 271,83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3E3" w14:textId="77777777" w:rsidR="00E96161" w:rsidRPr="00E96161" w:rsidRDefault="00E96161" w:rsidP="00E961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b/>
                <w:bCs/>
                <w:color w:val="000000"/>
                <w:sz w:val="20"/>
                <w:szCs w:val="20"/>
                <w:lang w:eastAsia="cs-CZ"/>
              </w:rPr>
              <w:t>120 034,58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10CD" w14:textId="77777777" w:rsidR="00E96161" w:rsidRPr="00E96161" w:rsidRDefault="00E96161" w:rsidP="00E961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b/>
                <w:bCs/>
                <w:color w:val="000000"/>
                <w:sz w:val="20"/>
                <w:szCs w:val="20"/>
                <w:lang w:eastAsia="cs-CZ"/>
              </w:rPr>
              <w:t>86 636,44</w:t>
            </w:r>
          </w:p>
        </w:tc>
      </w:tr>
      <w:tr w:rsidR="00E96161" w:rsidRPr="00E96161" w14:paraId="71935B5C" w14:textId="77777777" w:rsidTr="00E96161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4ABB" w14:textId="77777777" w:rsidR="00E96161" w:rsidRPr="00E96161" w:rsidRDefault="00E96161" w:rsidP="00E96161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color w:val="000000"/>
                <w:sz w:val="20"/>
                <w:lang w:eastAsia="cs-CZ"/>
              </w:rPr>
              <w:t>Zásoby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C452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11 911,48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5635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12 359,37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EF9E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13 128,94</w:t>
            </w:r>
          </w:p>
        </w:tc>
      </w:tr>
      <w:tr w:rsidR="00E96161" w:rsidRPr="00E96161" w14:paraId="4CCB8747" w14:textId="77777777" w:rsidTr="00E96161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C5E5" w14:textId="77777777" w:rsidR="00E96161" w:rsidRPr="00E96161" w:rsidRDefault="00E96161" w:rsidP="00E96161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color w:val="000000"/>
                <w:sz w:val="20"/>
                <w:lang w:eastAsia="cs-CZ"/>
              </w:rPr>
              <w:t>Krátkodobé pohledávky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434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11 987,90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9B5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13 507,88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8DED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16 731,75</w:t>
            </w:r>
          </w:p>
        </w:tc>
      </w:tr>
      <w:tr w:rsidR="00E96161" w:rsidRPr="00E96161" w14:paraId="645251BE" w14:textId="77777777" w:rsidTr="00E96161">
        <w:trPr>
          <w:trHeight w:val="255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81E4" w14:textId="77777777" w:rsidR="00E96161" w:rsidRPr="00E96161" w:rsidRDefault="00E96161" w:rsidP="00E96161">
            <w:pPr>
              <w:ind w:firstLineChars="100" w:firstLine="200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rFonts w:cs="Calibri"/>
                <w:color w:val="000000"/>
                <w:sz w:val="20"/>
                <w:lang w:eastAsia="cs-CZ"/>
              </w:rPr>
              <w:t>Krátkodobý finanční majetek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CC2A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92 372,45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33E8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94 167,34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484" w14:textId="77777777" w:rsidR="00E96161" w:rsidRPr="00E96161" w:rsidRDefault="00E96161" w:rsidP="00E96161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96161">
              <w:rPr>
                <w:color w:val="000000"/>
                <w:sz w:val="20"/>
                <w:szCs w:val="20"/>
                <w:lang w:eastAsia="cs-CZ"/>
              </w:rPr>
              <w:t>56 775,76</w:t>
            </w:r>
          </w:p>
        </w:tc>
      </w:tr>
    </w:tbl>
    <w:p w14:paraId="2C690BBA" w14:textId="0457F210" w:rsidR="00774645" w:rsidRDefault="00E96161" w:rsidP="00E6283F">
      <w:pPr>
        <w:pStyle w:val="Zdrojapozn"/>
        <w:ind w:left="567" w:hanging="567"/>
      </w:pPr>
      <w:r w:rsidRPr="0012121A">
        <w:rPr>
          <w:b/>
        </w:rPr>
        <w:t>Zdroj:</w:t>
      </w:r>
      <w:r w:rsidRPr="00E96161">
        <w:t xml:space="preserve"> </w:t>
      </w:r>
      <w:r w:rsidR="00E6283F">
        <w:tab/>
      </w:r>
      <w:r w:rsidR="005803AF">
        <w:t>r</w:t>
      </w:r>
      <w:r>
        <w:t>ozvah</w:t>
      </w:r>
      <w:r w:rsidR="005803AF">
        <w:t>y</w:t>
      </w:r>
      <w:r>
        <w:t xml:space="preserve"> </w:t>
      </w:r>
      <w:r w:rsidR="0012121A">
        <w:t xml:space="preserve">SZÚ </w:t>
      </w:r>
      <w:r w:rsidRPr="00E96161">
        <w:t>sestaven</w:t>
      </w:r>
      <w:r w:rsidR="005803AF">
        <w:t>é</w:t>
      </w:r>
      <w:r>
        <w:t xml:space="preserve"> ke dn</w:t>
      </w:r>
      <w:r w:rsidR="005803AF">
        <w:t>ům</w:t>
      </w:r>
      <w:r>
        <w:t xml:space="preserve"> </w:t>
      </w:r>
      <w:r w:rsidRPr="00E96161">
        <w:t>31. 12. 2014, 31. 12. 2015 a 31. 12. 2016</w:t>
      </w:r>
      <w:r w:rsidR="002028EB">
        <w:t>.</w:t>
      </w:r>
    </w:p>
    <w:p w14:paraId="0F7992D2" w14:textId="6BEBCFCD" w:rsidR="008842D0" w:rsidRPr="00D16D2C" w:rsidRDefault="00290CC1" w:rsidP="00AC7F4F">
      <w:pPr>
        <w:pStyle w:val="Nadpis1"/>
      </w:pPr>
      <w:r>
        <w:br w:type="page"/>
      </w:r>
      <w:r w:rsidR="006E0B57">
        <w:lastRenderedPageBreak/>
        <w:t>I</w:t>
      </w:r>
      <w:r w:rsidR="008842D0" w:rsidRPr="00D16D2C">
        <w:t>I. Shrnutí a vyhodnocení</w:t>
      </w:r>
    </w:p>
    <w:p w14:paraId="5B6C3B89" w14:textId="06C54733" w:rsidR="00DD60FF" w:rsidRPr="00DD60FF" w:rsidRDefault="00DD60FF" w:rsidP="00DD60FF">
      <w:pPr>
        <w:spacing w:before="120"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Kontrolou NKÚ byly zjištěny tyto skutečnosti:</w:t>
      </w:r>
    </w:p>
    <w:p w14:paraId="73F43344" w14:textId="69D857C7" w:rsidR="00DD60FF" w:rsidRPr="00DD60FF" w:rsidRDefault="00DD60FF" w:rsidP="00E6283F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Calibri"/>
        </w:rPr>
      </w:pPr>
      <w:r w:rsidRPr="00DD60FF">
        <w:rPr>
          <w:rFonts w:asciiTheme="minorHAnsi" w:hAnsiTheme="minorHAnsi" w:cs="Calibri"/>
          <w:b/>
        </w:rPr>
        <w:t>Vnitřní kontrolní systém SZÚ nebyl nastaven v souladu se zákonem a ne</w:t>
      </w:r>
      <w:r w:rsidR="00400850">
        <w:rPr>
          <w:rFonts w:asciiTheme="minorHAnsi" w:hAnsiTheme="minorHAnsi" w:cs="Calibri"/>
          <w:b/>
        </w:rPr>
        <w:t>byl</w:t>
      </w:r>
      <w:r w:rsidRPr="00DD60FF">
        <w:rPr>
          <w:rFonts w:asciiTheme="minorHAnsi" w:hAnsiTheme="minorHAnsi" w:cs="Calibri"/>
          <w:b/>
        </w:rPr>
        <w:t xml:space="preserve"> funkční</w:t>
      </w:r>
    </w:p>
    <w:p w14:paraId="42FA09A8" w14:textId="5330FE9C" w:rsidR="00DD60FF" w:rsidRDefault="00DD60FF" w:rsidP="00DD60FF">
      <w:pPr>
        <w:spacing w:before="120" w:after="120"/>
        <w:jc w:val="both"/>
        <w:rPr>
          <w:rFonts w:asciiTheme="minorHAnsi" w:hAnsiTheme="minorHAnsi" w:cs="Calibri"/>
        </w:rPr>
      </w:pPr>
      <w:r w:rsidRPr="00DD60FF">
        <w:rPr>
          <w:rFonts w:asciiTheme="minorHAnsi" w:hAnsiTheme="minorHAnsi" w:cs="Calibri"/>
        </w:rPr>
        <w:t>SZÚ minimálně v období od 1. 1. 2014 do 31. 5. 2016 nepostupoval v souladu se zákonem č. 320/2001 Sb.</w:t>
      </w:r>
      <w:r w:rsidRPr="00DD60FF">
        <w:rPr>
          <w:rFonts w:asciiTheme="minorHAnsi" w:hAnsiTheme="minorHAnsi" w:cs="Calibri"/>
          <w:vertAlign w:val="superscript"/>
        </w:rPr>
        <w:footnoteReference w:id="5"/>
      </w:r>
      <w:r w:rsidRPr="00DD60FF">
        <w:rPr>
          <w:rFonts w:asciiTheme="minorHAnsi" w:hAnsiTheme="minorHAnsi" w:cs="Calibri"/>
        </w:rPr>
        <w:t>, neboť v tomto období nebyli zaměstnanci SZÚ průkazně pověřeni k výkonu předběžné říd</w:t>
      </w:r>
      <w:r w:rsidR="00074740">
        <w:rPr>
          <w:rFonts w:asciiTheme="minorHAnsi" w:hAnsiTheme="minorHAnsi" w:cs="Calibri"/>
        </w:rPr>
        <w:t>i</w:t>
      </w:r>
      <w:r w:rsidRPr="00DD60FF">
        <w:rPr>
          <w:rFonts w:asciiTheme="minorHAnsi" w:hAnsiTheme="minorHAnsi" w:cs="Calibri"/>
        </w:rPr>
        <w:t xml:space="preserve">cí kontroly, </w:t>
      </w:r>
      <w:proofErr w:type="gramStart"/>
      <w:r w:rsidRPr="00DD60FF">
        <w:rPr>
          <w:rFonts w:asciiTheme="minorHAnsi" w:hAnsiTheme="minorHAnsi" w:cs="Calibri"/>
        </w:rPr>
        <w:t>tzn. nebyli</w:t>
      </w:r>
      <w:proofErr w:type="gramEnd"/>
      <w:r w:rsidRPr="00DD60FF">
        <w:rPr>
          <w:rFonts w:asciiTheme="minorHAnsi" w:hAnsiTheme="minorHAnsi" w:cs="Calibri"/>
        </w:rPr>
        <w:t xml:space="preserve"> stanoveni pracovníci oprávněn</w:t>
      </w:r>
      <w:r w:rsidR="00074740">
        <w:rPr>
          <w:rFonts w:asciiTheme="minorHAnsi" w:hAnsiTheme="minorHAnsi" w:cs="Calibri"/>
        </w:rPr>
        <w:t>í</w:t>
      </w:r>
      <w:r w:rsidRPr="00DD60FF">
        <w:rPr>
          <w:rFonts w:asciiTheme="minorHAnsi" w:hAnsiTheme="minorHAnsi" w:cs="Calibri"/>
        </w:rPr>
        <w:t xml:space="preserve"> ke</w:t>
      </w:r>
      <w:r w:rsidR="00D23948">
        <w:rPr>
          <w:rFonts w:asciiTheme="minorHAnsi" w:hAnsiTheme="minorHAnsi" w:cs="Calibri"/>
        </w:rPr>
        <w:t xml:space="preserve"> </w:t>
      </w:r>
      <w:r w:rsidRPr="00DD60FF">
        <w:rPr>
          <w:rFonts w:asciiTheme="minorHAnsi" w:hAnsiTheme="minorHAnsi" w:cs="Calibri"/>
        </w:rPr>
        <w:t>schvalování přípustnosti hospodářských operací</w:t>
      </w:r>
      <w:r>
        <w:rPr>
          <w:rFonts w:asciiTheme="minorHAnsi" w:hAnsiTheme="minorHAnsi" w:cs="Calibri"/>
        </w:rPr>
        <w:t xml:space="preserve">, tj. </w:t>
      </w:r>
      <w:r w:rsidRPr="00DD60FF">
        <w:rPr>
          <w:rFonts w:asciiTheme="minorHAnsi" w:hAnsiTheme="minorHAnsi" w:cs="Calibri"/>
        </w:rPr>
        <w:t>hlavní účetní, příkazce operace, správce rozpočtu.</w:t>
      </w:r>
      <w:r>
        <w:rPr>
          <w:rFonts w:asciiTheme="minorHAnsi" w:hAnsiTheme="minorHAnsi" w:cs="Calibri"/>
        </w:rPr>
        <w:t xml:space="preserve"> </w:t>
      </w:r>
      <w:r w:rsidRPr="00DD60FF">
        <w:rPr>
          <w:rFonts w:asciiTheme="minorHAnsi" w:hAnsiTheme="minorHAnsi" w:cs="Calibri"/>
        </w:rPr>
        <w:t>Kontrolou byly zjištěny skutečnosti prokazující nefunkčnos</w:t>
      </w:r>
      <w:r w:rsidR="006D488A">
        <w:rPr>
          <w:rFonts w:asciiTheme="minorHAnsi" w:hAnsiTheme="minorHAnsi" w:cs="Calibri"/>
        </w:rPr>
        <w:t>t vnitřního kontrolního systému</w:t>
      </w:r>
      <w:r w:rsidR="00A06C10">
        <w:rPr>
          <w:rFonts w:asciiTheme="minorHAnsi" w:hAnsiTheme="minorHAnsi" w:cs="Calibri"/>
        </w:rPr>
        <w:t>, jak</w:t>
      </w:r>
      <w:r w:rsidR="00EB5399">
        <w:rPr>
          <w:rFonts w:asciiTheme="minorHAnsi" w:hAnsiTheme="minorHAnsi" w:cs="Calibri"/>
        </w:rPr>
        <w:t xml:space="preserve"> </w:t>
      </w:r>
      <w:r w:rsidR="00213C37">
        <w:rPr>
          <w:rFonts w:asciiTheme="minorHAnsi" w:hAnsiTheme="minorHAnsi" w:cs="Calibri"/>
        </w:rPr>
        <w:t xml:space="preserve">dokládají příklady rozvedené v části III. </w:t>
      </w:r>
      <w:r w:rsidR="00074740">
        <w:rPr>
          <w:rFonts w:asciiTheme="minorHAnsi" w:hAnsiTheme="minorHAnsi" w:cs="Calibri"/>
        </w:rPr>
        <w:t xml:space="preserve">tohoto </w:t>
      </w:r>
      <w:r w:rsidR="00213C37">
        <w:rPr>
          <w:rFonts w:asciiTheme="minorHAnsi" w:hAnsiTheme="minorHAnsi" w:cs="Calibri"/>
        </w:rPr>
        <w:t>kontrolního závěru</w:t>
      </w:r>
      <w:r w:rsidR="00BA48BE">
        <w:rPr>
          <w:rFonts w:asciiTheme="minorHAnsi" w:hAnsiTheme="minorHAnsi" w:cs="Calibri"/>
        </w:rPr>
        <w:t>.</w:t>
      </w:r>
    </w:p>
    <w:p w14:paraId="23A9B78A" w14:textId="77777777" w:rsidR="00DD60FF" w:rsidRPr="00F211F8" w:rsidRDefault="00DD60FF" w:rsidP="00DD60FF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SZ</w:t>
      </w:r>
      <w:r w:rsidRPr="00F211F8">
        <w:rPr>
          <w:rFonts w:asciiTheme="minorHAnsi" w:hAnsiTheme="minorHAnsi" w:cs="Calibri"/>
          <w:b/>
          <w:color w:val="000000"/>
        </w:rPr>
        <w:t>Ú v roce 2014 nedodržel mzdový limit stanovený zřizovatelem</w:t>
      </w:r>
    </w:p>
    <w:p w14:paraId="40F2F02A" w14:textId="0FC0C482" w:rsidR="00DD60FF" w:rsidRDefault="00DD60FF" w:rsidP="00DD60FF">
      <w:pPr>
        <w:pStyle w:val="TextKP"/>
      </w:pPr>
      <w:proofErr w:type="spellStart"/>
      <w:r>
        <w:t>MZd</w:t>
      </w:r>
      <w:proofErr w:type="spellEnd"/>
      <w:r w:rsidRPr="00C96748">
        <w:t xml:space="preserve"> v roce 2014 </w:t>
      </w:r>
      <w:r w:rsidR="00BA48BE">
        <w:t>v souladu se zákonem č. 218/2000 Sb.</w:t>
      </w:r>
      <w:r w:rsidR="00A06C10">
        <w:rPr>
          <w:rStyle w:val="Znakapoznpodarou"/>
        </w:rPr>
        <w:footnoteReference w:id="6"/>
      </w:r>
      <w:r w:rsidR="00BA48BE">
        <w:t xml:space="preserve"> </w:t>
      </w:r>
      <w:r w:rsidRPr="00C96748">
        <w:t xml:space="preserve">stanovilo pro SZÚ </w:t>
      </w:r>
      <w:r>
        <w:t>z</w:t>
      </w:r>
      <w:r w:rsidRPr="00C96748">
        <w:t>ávazný limit mzdových nákladů ve výši</w:t>
      </w:r>
      <w:r>
        <w:t xml:space="preserve"> </w:t>
      </w:r>
      <w:r w:rsidRPr="00C96748">
        <w:t>125</w:t>
      </w:r>
      <w:r>
        <w:t> </w:t>
      </w:r>
      <w:r w:rsidRPr="00C96748">
        <w:t>526</w:t>
      </w:r>
      <w:r>
        <w:t>,62 tis. Kč. M</w:t>
      </w:r>
      <w:r w:rsidRPr="00C96748">
        <w:t xml:space="preserve">zdové náklady SZÚ </w:t>
      </w:r>
      <w:r>
        <w:t xml:space="preserve">však v roce 2014 </w:t>
      </w:r>
      <w:r w:rsidRPr="00C96748">
        <w:t>dosáhly celkové výše 146</w:t>
      </w:r>
      <w:r>
        <w:t> </w:t>
      </w:r>
      <w:r w:rsidRPr="00C96748">
        <w:t>40</w:t>
      </w:r>
      <w:r>
        <w:t>5,74 tis. Kč</w:t>
      </w:r>
      <w:r w:rsidR="00BA48BE">
        <w:t xml:space="preserve">, čímž </w:t>
      </w:r>
      <w:r>
        <w:t xml:space="preserve">SZÚ </w:t>
      </w:r>
      <w:r w:rsidR="00BA48BE">
        <w:t xml:space="preserve">jejich limit stanovený zřizovatelem </w:t>
      </w:r>
      <w:r>
        <w:t>překročil o 20 880,12 tis. Kč</w:t>
      </w:r>
      <w:r w:rsidR="00BA48BE">
        <w:t>.</w:t>
      </w:r>
      <w:r>
        <w:t xml:space="preserve"> SZÚ tak v roce 2014 hospodařil s peněžními prostředky získanými hlavní činností nad rámec finančních vztahů stanovených zřizovatelem</w:t>
      </w:r>
      <w:r w:rsidR="00BA48BE">
        <w:t xml:space="preserve">, čímž </w:t>
      </w:r>
      <w:r>
        <w:t>SZÚ uvedeným způsobem porušil rozpočtovou kázeň ve smyslu zákona č. 218/2000 Sb.</w:t>
      </w:r>
    </w:p>
    <w:p w14:paraId="1CB104D9" w14:textId="18B4737A" w:rsidR="00D16D2C" w:rsidRPr="0091735C" w:rsidRDefault="0091735C" w:rsidP="0012785E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color w:val="000000"/>
        </w:rPr>
        <w:t>SZÚ v letech 2015 a 201</w:t>
      </w:r>
      <w:r w:rsidR="00E15A64">
        <w:rPr>
          <w:rFonts w:asciiTheme="minorHAnsi" w:hAnsiTheme="minorHAnsi" w:cs="Calibri"/>
          <w:b/>
          <w:color w:val="000000"/>
        </w:rPr>
        <w:t xml:space="preserve">6 </w:t>
      </w:r>
      <w:r w:rsidR="00074740">
        <w:rPr>
          <w:rFonts w:asciiTheme="minorHAnsi" w:hAnsiTheme="minorHAnsi" w:cs="Calibri"/>
          <w:b/>
          <w:color w:val="000000"/>
        </w:rPr>
        <w:t xml:space="preserve">v rozporu s právními předpisy </w:t>
      </w:r>
      <w:r w:rsidR="00E54BDB">
        <w:rPr>
          <w:rFonts w:asciiTheme="minorHAnsi" w:hAnsiTheme="minorHAnsi" w:cs="Calibri"/>
          <w:b/>
          <w:color w:val="000000"/>
        </w:rPr>
        <w:t>vyrovn</w:t>
      </w:r>
      <w:r w:rsidR="00DD2EA6">
        <w:rPr>
          <w:rFonts w:asciiTheme="minorHAnsi" w:hAnsiTheme="minorHAnsi" w:cs="Calibri"/>
          <w:b/>
          <w:color w:val="000000"/>
        </w:rPr>
        <w:t>ával</w:t>
      </w:r>
      <w:r w:rsidR="00E54BDB">
        <w:rPr>
          <w:rFonts w:asciiTheme="minorHAnsi" w:hAnsiTheme="minorHAnsi" w:cs="Calibri"/>
          <w:b/>
          <w:color w:val="000000"/>
        </w:rPr>
        <w:t xml:space="preserve"> výsled</w:t>
      </w:r>
      <w:r w:rsidR="00DD2EA6">
        <w:rPr>
          <w:rFonts w:asciiTheme="minorHAnsi" w:hAnsiTheme="minorHAnsi" w:cs="Calibri"/>
          <w:b/>
          <w:color w:val="000000"/>
        </w:rPr>
        <w:t>e</w:t>
      </w:r>
      <w:r w:rsidR="00E54BDB">
        <w:rPr>
          <w:rFonts w:asciiTheme="minorHAnsi" w:hAnsiTheme="minorHAnsi" w:cs="Calibri"/>
          <w:b/>
          <w:color w:val="000000"/>
        </w:rPr>
        <w:t xml:space="preserve">k hospodaření </w:t>
      </w:r>
      <w:r w:rsidR="00F211F8">
        <w:rPr>
          <w:rFonts w:asciiTheme="minorHAnsi" w:hAnsiTheme="minorHAnsi" w:cs="Calibri"/>
          <w:b/>
          <w:color w:val="000000"/>
        </w:rPr>
        <w:t xml:space="preserve">použitím fondu reprodukce majetku </w:t>
      </w:r>
    </w:p>
    <w:p w14:paraId="7B8DE4C9" w14:textId="11641919" w:rsidR="0091735C" w:rsidRPr="00C96748" w:rsidRDefault="00B830A3" w:rsidP="00C96748">
      <w:pPr>
        <w:pStyle w:val="TextKP"/>
      </w:pPr>
      <w:r w:rsidRPr="00C96748">
        <w:t>SZÚ</w:t>
      </w:r>
      <w:r w:rsidR="00200250" w:rsidRPr="00C96748">
        <w:t xml:space="preserve"> </w:t>
      </w:r>
      <w:r w:rsidR="00290CC1">
        <w:t xml:space="preserve">v letech 2015 a 2016 čerpal </w:t>
      </w:r>
      <w:r w:rsidR="00290CC1" w:rsidRPr="00C96748">
        <w:t xml:space="preserve">prostředky fondu reprodukce majetku nad rámec možností použití vymezených taxativně </w:t>
      </w:r>
      <w:r w:rsidR="00290CC1">
        <w:t>zákonem č. </w:t>
      </w:r>
      <w:r w:rsidR="00290CC1" w:rsidRPr="00C96748">
        <w:t>218</w:t>
      </w:r>
      <w:r w:rsidR="00290CC1">
        <w:t>/2000 </w:t>
      </w:r>
      <w:r w:rsidR="00290CC1" w:rsidRPr="00C96748">
        <w:t>Sb.</w:t>
      </w:r>
      <w:r w:rsidR="008E0895">
        <w:t xml:space="preserve"> </w:t>
      </w:r>
      <w:r w:rsidR="00290CC1">
        <w:t>V roce 2015</w:t>
      </w:r>
      <w:r w:rsidR="008E0895">
        <w:t xml:space="preserve"> takto</w:t>
      </w:r>
      <w:r w:rsidR="00290CC1">
        <w:t xml:space="preserve"> použil prostředky ve výši </w:t>
      </w:r>
      <w:r w:rsidR="006B39AD" w:rsidRPr="00C96748">
        <w:t>1</w:t>
      </w:r>
      <w:r w:rsidR="006B327B">
        <w:t> </w:t>
      </w:r>
      <w:r w:rsidR="006B39AD" w:rsidRPr="00C96748">
        <w:t>81</w:t>
      </w:r>
      <w:r w:rsidR="006B327B">
        <w:t>6,95</w:t>
      </w:r>
      <w:r w:rsidR="006B39AD" w:rsidRPr="00C96748">
        <w:t xml:space="preserve"> </w:t>
      </w:r>
      <w:r w:rsidR="00290CC1">
        <w:t xml:space="preserve">tis. </w:t>
      </w:r>
      <w:r w:rsidR="006B39AD" w:rsidRPr="00C96748">
        <w:t>Kč</w:t>
      </w:r>
      <w:r w:rsidR="008E0895">
        <w:t xml:space="preserve"> a</w:t>
      </w:r>
      <w:r w:rsidR="006B39AD" w:rsidRPr="00C96748">
        <w:t xml:space="preserve"> </w:t>
      </w:r>
      <w:r w:rsidR="008E0895">
        <w:t>v roce 2016</w:t>
      </w:r>
      <w:r w:rsidR="00290CC1">
        <w:t xml:space="preserve"> ve výši </w:t>
      </w:r>
      <w:r w:rsidR="00290CC1" w:rsidRPr="00C96748">
        <w:t>5</w:t>
      </w:r>
      <w:r w:rsidR="006B327B">
        <w:t> </w:t>
      </w:r>
      <w:r w:rsidR="00290CC1" w:rsidRPr="00C96748">
        <w:t>08</w:t>
      </w:r>
      <w:r w:rsidR="006B327B">
        <w:t>6,73</w:t>
      </w:r>
      <w:r w:rsidR="00290CC1">
        <w:t xml:space="preserve"> tis.</w:t>
      </w:r>
      <w:r w:rsidR="00290CC1" w:rsidRPr="00C96748">
        <w:t xml:space="preserve"> Kč</w:t>
      </w:r>
      <w:r w:rsidR="00290CC1">
        <w:t>.</w:t>
      </w:r>
    </w:p>
    <w:p w14:paraId="1C945FD7" w14:textId="6C62D04C" w:rsidR="00200250" w:rsidRDefault="00200250" w:rsidP="00C96748">
      <w:pPr>
        <w:pStyle w:val="TextKP"/>
      </w:pPr>
      <w:r w:rsidRPr="00C96748">
        <w:t>SZÚ čerpal tyto prostředky fondu reprodukce majetku ke krytí části mzdových prostředků na</w:t>
      </w:r>
      <w:r w:rsidR="00CA6F5D">
        <w:t xml:space="preserve"> </w:t>
      </w:r>
      <w:r w:rsidRPr="00C96748">
        <w:t>platy zaměstnanců pracoviště údržby a dopravy a pracoviště hospodářské správy</w:t>
      </w:r>
      <w:r w:rsidR="00732F8A">
        <w:t xml:space="preserve">. </w:t>
      </w:r>
      <w:r w:rsidR="00267032">
        <w:t>P</w:t>
      </w:r>
      <w:r w:rsidR="00732F8A">
        <w:t>odle</w:t>
      </w:r>
      <w:r w:rsidR="00CA6F5D">
        <w:t xml:space="preserve"> </w:t>
      </w:r>
      <w:r w:rsidRPr="00C96748">
        <w:t xml:space="preserve">vyjádření SZÚ </w:t>
      </w:r>
      <w:r w:rsidR="008E0895">
        <w:t>se jednalo o</w:t>
      </w:r>
      <w:r w:rsidRPr="00C96748">
        <w:t xml:space="preserve"> dopočtenou výši k dosažení vyrovnaného hospodářského výsledku.</w:t>
      </w:r>
      <w:r w:rsidR="00516950" w:rsidRPr="00C96748">
        <w:t xml:space="preserve"> SZÚ se uvedeným způsobem dopustil porušení rozpo</w:t>
      </w:r>
      <w:r w:rsidR="00732F8A">
        <w:t>čtové kázně ve smyslu zákona č. </w:t>
      </w:r>
      <w:r w:rsidR="00516950" w:rsidRPr="00C96748">
        <w:t>218/2000 Sb.</w:t>
      </w:r>
    </w:p>
    <w:p w14:paraId="18B4348D" w14:textId="3FFD3BCB" w:rsidR="00C96748" w:rsidRDefault="00C96748" w:rsidP="0012785E">
      <w:pPr>
        <w:pStyle w:val="Odstavecseseznamem"/>
        <w:numPr>
          <w:ilvl w:val="0"/>
          <w:numId w:val="2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C96748">
        <w:rPr>
          <w:rFonts w:asciiTheme="minorHAnsi" w:hAnsiTheme="minorHAnsi" w:cs="Calibri"/>
          <w:b/>
          <w:color w:val="000000"/>
        </w:rPr>
        <w:t xml:space="preserve">SZÚ </w:t>
      </w:r>
      <w:r w:rsidR="00F211F8">
        <w:rPr>
          <w:rFonts w:asciiTheme="minorHAnsi" w:hAnsiTheme="minorHAnsi" w:cs="Calibri"/>
          <w:b/>
          <w:color w:val="000000"/>
        </w:rPr>
        <w:t xml:space="preserve">v roce 2014 </w:t>
      </w:r>
      <w:r w:rsidR="008E6893">
        <w:rPr>
          <w:rFonts w:asciiTheme="minorHAnsi" w:hAnsiTheme="minorHAnsi" w:cs="Calibri"/>
          <w:b/>
          <w:color w:val="000000"/>
        </w:rPr>
        <w:t xml:space="preserve">používal rezervní fond </w:t>
      </w:r>
      <w:r w:rsidR="00DD60FF">
        <w:rPr>
          <w:rFonts w:asciiTheme="minorHAnsi" w:hAnsiTheme="minorHAnsi" w:cs="Calibri"/>
          <w:b/>
          <w:color w:val="000000"/>
        </w:rPr>
        <w:t xml:space="preserve">neprůkazně a </w:t>
      </w:r>
      <w:r w:rsidR="008E6893">
        <w:rPr>
          <w:rFonts w:asciiTheme="minorHAnsi" w:hAnsiTheme="minorHAnsi" w:cs="Calibri"/>
          <w:b/>
          <w:color w:val="000000"/>
        </w:rPr>
        <w:t>netransparentně</w:t>
      </w:r>
    </w:p>
    <w:p w14:paraId="316F3B86" w14:textId="0334B878" w:rsidR="00686C49" w:rsidRDefault="00F425FF" w:rsidP="00E906EE">
      <w:pPr>
        <w:spacing w:before="120" w:after="120"/>
        <w:jc w:val="both"/>
        <w:rPr>
          <w:rFonts w:asciiTheme="minorHAnsi" w:hAnsiTheme="minorHAnsi" w:cs="Calibri"/>
          <w:color w:val="000000"/>
        </w:rPr>
      </w:pPr>
      <w:r w:rsidRPr="00F425FF">
        <w:rPr>
          <w:rFonts w:asciiTheme="minorHAnsi" w:hAnsiTheme="minorHAnsi" w:cs="Calibri"/>
          <w:color w:val="000000"/>
        </w:rPr>
        <w:t xml:space="preserve">SZÚ převedl </w:t>
      </w:r>
      <w:r>
        <w:rPr>
          <w:rFonts w:asciiTheme="minorHAnsi" w:hAnsiTheme="minorHAnsi" w:cs="Calibri"/>
          <w:color w:val="000000"/>
        </w:rPr>
        <w:t xml:space="preserve">dne 29. 1. 2014 </w:t>
      </w:r>
      <w:r w:rsidRPr="00F425FF">
        <w:rPr>
          <w:rFonts w:asciiTheme="minorHAnsi" w:hAnsiTheme="minorHAnsi" w:cs="Calibri"/>
          <w:color w:val="000000"/>
        </w:rPr>
        <w:t>peněžní prostředky v celkové výši 3</w:t>
      </w:r>
      <w:r w:rsidR="006B327B">
        <w:rPr>
          <w:rFonts w:asciiTheme="minorHAnsi" w:hAnsiTheme="minorHAnsi" w:cs="Calibri"/>
          <w:color w:val="000000"/>
        </w:rPr>
        <w:t> </w:t>
      </w:r>
      <w:r w:rsidRPr="00F425FF">
        <w:rPr>
          <w:rFonts w:asciiTheme="minorHAnsi" w:hAnsiTheme="minorHAnsi" w:cs="Calibri"/>
          <w:color w:val="000000"/>
        </w:rPr>
        <w:t>96</w:t>
      </w:r>
      <w:r w:rsidR="006B327B">
        <w:rPr>
          <w:rFonts w:asciiTheme="minorHAnsi" w:hAnsiTheme="minorHAnsi" w:cs="Calibri"/>
          <w:color w:val="000000"/>
        </w:rPr>
        <w:t>5,79</w:t>
      </w:r>
      <w:r w:rsidRPr="00F425FF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>tis.</w:t>
      </w:r>
      <w:r w:rsidRPr="00F425FF">
        <w:rPr>
          <w:rFonts w:asciiTheme="minorHAnsi" w:hAnsiTheme="minorHAnsi" w:cs="Calibri"/>
          <w:color w:val="000000"/>
        </w:rPr>
        <w:t xml:space="preserve"> Kč z</w:t>
      </w:r>
      <w:r>
        <w:rPr>
          <w:rFonts w:asciiTheme="minorHAnsi" w:hAnsiTheme="minorHAnsi" w:cs="Calibri"/>
          <w:color w:val="000000"/>
        </w:rPr>
        <w:t> běžného účtu</w:t>
      </w:r>
      <w:r w:rsidRPr="00F425FF">
        <w:rPr>
          <w:rFonts w:asciiTheme="minorHAnsi" w:hAnsiTheme="minorHAnsi" w:cs="Calibri"/>
          <w:color w:val="000000"/>
        </w:rPr>
        <w:t xml:space="preserve"> rezervního fondu na běžný účet </w:t>
      </w:r>
      <w:r>
        <w:rPr>
          <w:rFonts w:asciiTheme="minorHAnsi" w:hAnsiTheme="minorHAnsi" w:cs="Calibri"/>
          <w:color w:val="000000"/>
        </w:rPr>
        <w:t>SZÚ</w:t>
      </w:r>
      <w:r w:rsidR="00262B32">
        <w:rPr>
          <w:rFonts w:asciiTheme="minorHAnsi" w:hAnsiTheme="minorHAnsi" w:cs="Calibri"/>
          <w:color w:val="000000"/>
        </w:rPr>
        <w:t xml:space="preserve">. </w:t>
      </w:r>
      <w:r w:rsidRPr="00F425FF">
        <w:rPr>
          <w:rFonts w:asciiTheme="minorHAnsi" w:hAnsiTheme="minorHAnsi" w:cs="Calibri"/>
          <w:color w:val="000000"/>
        </w:rPr>
        <w:t>Z</w:t>
      </w:r>
      <w:r>
        <w:rPr>
          <w:rFonts w:asciiTheme="minorHAnsi" w:hAnsiTheme="minorHAnsi" w:cs="Calibri"/>
          <w:color w:val="000000"/>
        </w:rPr>
        <w:t> předlože</w:t>
      </w:r>
      <w:r w:rsidR="008E0895">
        <w:rPr>
          <w:rFonts w:asciiTheme="minorHAnsi" w:hAnsiTheme="minorHAnsi" w:cs="Calibri"/>
          <w:color w:val="000000"/>
        </w:rPr>
        <w:t>ných dokladů včetně přístupu do</w:t>
      </w:r>
      <w:r w:rsidR="00EB5399">
        <w:rPr>
          <w:rFonts w:asciiTheme="minorHAnsi" w:hAnsiTheme="minorHAnsi" w:cs="Calibri"/>
          <w:color w:val="000000"/>
        </w:rPr>
        <w:t xml:space="preserve"> </w:t>
      </w:r>
      <w:r>
        <w:rPr>
          <w:rFonts w:asciiTheme="minorHAnsi" w:hAnsiTheme="minorHAnsi" w:cs="Calibri"/>
          <w:color w:val="000000"/>
        </w:rPr>
        <w:t xml:space="preserve">ekonomického informačního systému SZÚ </w:t>
      </w:r>
      <w:r w:rsidRPr="00F425FF">
        <w:rPr>
          <w:rFonts w:asciiTheme="minorHAnsi" w:hAnsiTheme="minorHAnsi" w:cs="Calibri"/>
          <w:color w:val="000000"/>
        </w:rPr>
        <w:t xml:space="preserve">nelze prokázat, že </w:t>
      </w:r>
      <w:r w:rsidR="00262B32">
        <w:rPr>
          <w:rFonts w:asciiTheme="minorHAnsi" w:hAnsiTheme="minorHAnsi" w:cs="Calibri"/>
          <w:color w:val="000000"/>
        </w:rPr>
        <w:t>SZÚ</w:t>
      </w:r>
      <w:r w:rsidRPr="00F425FF">
        <w:rPr>
          <w:rFonts w:asciiTheme="minorHAnsi" w:hAnsiTheme="minorHAnsi" w:cs="Calibri"/>
          <w:color w:val="000000"/>
        </w:rPr>
        <w:t xml:space="preserve"> </w:t>
      </w:r>
      <w:r w:rsidR="00262B32">
        <w:rPr>
          <w:rFonts w:asciiTheme="minorHAnsi" w:hAnsiTheme="minorHAnsi" w:cs="Calibri"/>
          <w:color w:val="000000"/>
        </w:rPr>
        <w:t>tyto</w:t>
      </w:r>
      <w:r w:rsidRPr="00F425FF">
        <w:rPr>
          <w:rFonts w:asciiTheme="minorHAnsi" w:hAnsiTheme="minorHAnsi" w:cs="Calibri"/>
          <w:color w:val="000000"/>
        </w:rPr>
        <w:t xml:space="preserve"> peněžní prostředky použil v</w:t>
      </w:r>
      <w:r w:rsidR="00262B32">
        <w:rPr>
          <w:rFonts w:asciiTheme="minorHAnsi" w:hAnsiTheme="minorHAnsi" w:cs="Calibri"/>
          <w:color w:val="000000"/>
        </w:rPr>
        <w:t xml:space="preserve"> souladu s jejich určením. SZÚ tak </w:t>
      </w:r>
      <w:r w:rsidRPr="00F425FF">
        <w:rPr>
          <w:rFonts w:asciiTheme="minorHAnsi" w:hAnsiTheme="minorHAnsi" w:cs="Calibri"/>
          <w:color w:val="000000"/>
        </w:rPr>
        <w:t>nepostupoval v souladu s</w:t>
      </w:r>
      <w:r w:rsidR="008E0895">
        <w:rPr>
          <w:rFonts w:asciiTheme="minorHAnsi" w:hAnsiTheme="minorHAnsi" w:cs="Calibri"/>
          <w:color w:val="000000"/>
        </w:rPr>
        <w:t>e</w:t>
      </w:r>
      <w:r w:rsidRPr="00F425FF">
        <w:rPr>
          <w:rFonts w:asciiTheme="minorHAnsi" w:hAnsiTheme="minorHAnsi" w:cs="Calibri"/>
          <w:color w:val="000000"/>
        </w:rPr>
        <w:t xml:space="preserve"> </w:t>
      </w:r>
      <w:r w:rsidR="00262B32">
        <w:rPr>
          <w:rFonts w:asciiTheme="minorHAnsi" w:hAnsiTheme="minorHAnsi" w:cs="Calibri"/>
          <w:color w:val="000000"/>
        </w:rPr>
        <w:t>zákon</w:t>
      </w:r>
      <w:r w:rsidR="008E0895">
        <w:rPr>
          <w:rFonts w:asciiTheme="minorHAnsi" w:hAnsiTheme="minorHAnsi" w:cs="Calibri"/>
          <w:color w:val="000000"/>
        </w:rPr>
        <w:t xml:space="preserve">em </w:t>
      </w:r>
      <w:r w:rsidR="00262B32">
        <w:rPr>
          <w:rFonts w:asciiTheme="minorHAnsi" w:hAnsiTheme="minorHAnsi" w:cs="Calibri"/>
          <w:color w:val="000000"/>
        </w:rPr>
        <w:t>č. 218/2000 Sb.</w:t>
      </w:r>
      <w:r w:rsidR="0023051A">
        <w:rPr>
          <w:rFonts w:asciiTheme="minorHAnsi" w:hAnsiTheme="minorHAnsi" w:cs="Calibri"/>
          <w:color w:val="000000"/>
        </w:rPr>
        <w:t xml:space="preserve"> </w:t>
      </w:r>
    </w:p>
    <w:p w14:paraId="77FCFFEE" w14:textId="787217BA" w:rsidR="00AC7F4F" w:rsidRDefault="007B6251" w:rsidP="006D488A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="Calibri"/>
        </w:rPr>
      </w:pPr>
      <w:r w:rsidRPr="00DD60FF">
        <w:rPr>
          <w:rFonts w:asciiTheme="minorHAnsi" w:hAnsiTheme="minorHAnsi" w:cs="Calibri"/>
          <w:b/>
          <w:spacing w:val="-2"/>
        </w:rPr>
        <w:t xml:space="preserve">SZÚ </w:t>
      </w:r>
      <w:r w:rsidR="005F55A2" w:rsidRPr="00DD60FF">
        <w:rPr>
          <w:rFonts w:asciiTheme="minorHAnsi" w:hAnsiTheme="minorHAnsi" w:cs="Calibri"/>
          <w:b/>
          <w:spacing w:val="-2"/>
        </w:rPr>
        <w:t xml:space="preserve">pořizoval </w:t>
      </w:r>
      <w:r w:rsidR="003F3EB7" w:rsidRPr="00DD60FF">
        <w:rPr>
          <w:rFonts w:asciiTheme="minorHAnsi" w:hAnsiTheme="minorHAnsi" w:cs="Calibri"/>
          <w:b/>
          <w:spacing w:val="-2"/>
        </w:rPr>
        <w:t>speciální zdravotnický materiál</w:t>
      </w:r>
      <w:r w:rsidR="00DD60FF" w:rsidRPr="00DD60FF">
        <w:rPr>
          <w:rFonts w:asciiTheme="minorHAnsi" w:hAnsiTheme="minorHAnsi" w:cs="Calibri"/>
          <w:b/>
          <w:spacing w:val="-2"/>
        </w:rPr>
        <w:t xml:space="preserve"> v rozporu se </w:t>
      </w:r>
      <w:r w:rsidR="005D0605">
        <w:rPr>
          <w:rFonts w:asciiTheme="minorHAnsi" w:hAnsiTheme="minorHAnsi" w:cs="Calibri"/>
          <w:b/>
          <w:spacing w:val="-2"/>
        </w:rPr>
        <w:t xml:space="preserve">zákonem </w:t>
      </w:r>
      <w:r w:rsidR="00732F8A">
        <w:rPr>
          <w:rFonts w:asciiTheme="minorHAnsi" w:hAnsiTheme="minorHAnsi" w:cs="Calibri"/>
          <w:b/>
          <w:spacing w:val="-2"/>
        </w:rPr>
        <w:t>č. 137/2006 Sb.</w:t>
      </w:r>
    </w:p>
    <w:p w14:paraId="4BD6080D" w14:textId="21238301" w:rsidR="009A7511" w:rsidRDefault="005F55A2" w:rsidP="006D488A">
      <w:pPr>
        <w:spacing w:before="120" w:after="120"/>
        <w:jc w:val="both"/>
        <w:rPr>
          <w:rFonts w:asciiTheme="minorHAnsi" w:hAnsiTheme="minorHAnsi" w:cs="Calibri"/>
        </w:rPr>
      </w:pPr>
      <w:r w:rsidRPr="00AC7F4F">
        <w:rPr>
          <w:rFonts w:asciiTheme="minorHAnsi" w:hAnsiTheme="minorHAnsi" w:cs="Calibri"/>
        </w:rPr>
        <w:t xml:space="preserve">SZÚ </w:t>
      </w:r>
      <w:r w:rsidR="004268CC" w:rsidRPr="00AC7F4F">
        <w:rPr>
          <w:rFonts w:asciiTheme="minorHAnsi" w:hAnsiTheme="minorHAnsi" w:cs="Calibri"/>
        </w:rPr>
        <w:t>pořizoval</w:t>
      </w:r>
      <w:r w:rsidRPr="00AC7F4F">
        <w:rPr>
          <w:rFonts w:asciiTheme="minorHAnsi" w:hAnsiTheme="minorHAnsi" w:cs="Calibri"/>
        </w:rPr>
        <w:t xml:space="preserve"> dodávky </w:t>
      </w:r>
      <w:r w:rsidR="008403BE" w:rsidRPr="00AC7F4F">
        <w:rPr>
          <w:rFonts w:asciiTheme="minorHAnsi" w:hAnsiTheme="minorHAnsi" w:cs="Calibri"/>
        </w:rPr>
        <w:t>speciálního zdravotnického materiálu</w:t>
      </w:r>
      <w:r w:rsidR="00A32357">
        <w:rPr>
          <w:rFonts w:asciiTheme="minorHAnsi" w:hAnsiTheme="minorHAnsi" w:cs="Calibri"/>
        </w:rPr>
        <w:t xml:space="preserve"> (dále také „SZM“)</w:t>
      </w:r>
      <w:r w:rsidR="008403BE" w:rsidRPr="00AC7F4F">
        <w:rPr>
          <w:rFonts w:asciiTheme="minorHAnsi" w:hAnsiTheme="minorHAnsi" w:cs="Calibri"/>
        </w:rPr>
        <w:t xml:space="preserve"> </w:t>
      </w:r>
      <w:r w:rsidRPr="00AC7F4F">
        <w:rPr>
          <w:rFonts w:asciiTheme="minorHAnsi" w:hAnsiTheme="minorHAnsi" w:cs="Calibri"/>
        </w:rPr>
        <w:t>od dvou dodavatelů jako zakázky malého rozsahu formou samostatných objednávek, ačkoli celk</w:t>
      </w:r>
      <w:r w:rsidR="00A20722" w:rsidRPr="00AC7F4F">
        <w:rPr>
          <w:rFonts w:asciiTheme="minorHAnsi" w:hAnsiTheme="minorHAnsi" w:cs="Calibri"/>
        </w:rPr>
        <w:t>ová hodnota předmětných dodávek</w:t>
      </w:r>
      <w:r w:rsidRPr="00AC7F4F">
        <w:rPr>
          <w:rFonts w:asciiTheme="minorHAnsi" w:hAnsiTheme="minorHAnsi" w:cs="Calibri"/>
        </w:rPr>
        <w:t xml:space="preserve"> přesahovala</w:t>
      </w:r>
      <w:r w:rsidR="005063D7">
        <w:rPr>
          <w:rFonts w:asciiTheme="minorHAnsi" w:hAnsiTheme="minorHAnsi" w:cs="Calibri"/>
        </w:rPr>
        <w:t xml:space="preserve"> významně</w:t>
      </w:r>
      <w:r w:rsidRPr="00AC7F4F">
        <w:rPr>
          <w:rFonts w:asciiTheme="minorHAnsi" w:hAnsiTheme="minorHAnsi" w:cs="Calibri"/>
        </w:rPr>
        <w:t xml:space="preserve"> lim</w:t>
      </w:r>
      <w:r w:rsidR="008126FE" w:rsidRPr="00AC7F4F">
        <w:rPr>
          <w:rFonts w:asciiTheme="minorHAnsi" w:hAnsiTheme="minorHAnsi" w:cs="Calibri"/>
        </w:rPr>
        <w:t>it</w:t>
      </w:r>
      <w:r w:rsidR="00AD59E1">
        <w:rPr>
          <w:rFonts w:asciiTheme="minorHAnsi" w:hAnsiTheme="minorHAnsi" w:cs="Calibri"/>
        </w:rPr>
        <w:t xml:space="preserve"> pro zakázky malého rozsahu</w:t>
      </w:r>
      <w:r w:rsidR="008126FE" w:rsidRPr="00AC7F4F">
        <w:rPr>
          <w:rFonts w:asciiTheme="minorHAnsi" w:hAnsiTheme="minorHAnsi" w:cs="Calibri"/>
        </w:rPr>
        <w:t xml:space="preserve"> </w:t>
      </w:r>
      <w:r w:rsidR="008126FE" w:rsidRPr="00AC7F4F">
        <w:rPr>
          <w:rFonts w:asciiTheme="minorHAnsi" w:hAnsiTheme="minorHAnsi" w:cs="Calibri"/>
        </w:rPr>
        <w:lastRenderedPageBreak/>
        <w:t>podle zákona č. 137/2006 Sb.</w:t>
      </w:r>
      <w:r w:rsidR="008126FE">
        <w:rPr>
          <w:rStyle w:val="Znakapoznpodarou"/>
          <w:rFonts w:asciiTheme="minorHAnsi" w:hAnsiTheme="minorHAnsi" w:cs="Calibri"/>
        </w:rPr>
        <w:footnoteReference w:id="7"/>
      </w:r>
      <w:r w:rsidR="000849D3" w:rsidRPr="00AC7F4F">
        <w:rPr>
          <w:rFonts w:asciiTheme="minorHAnsi" w:hAnsiTheme="minorHAnsi" w:cs="Calibri"/>
        </w:rPr>
        <w:t xml:space="preserve"> </w:t>
      </w:r>
      <w:r w:rsidR="00AD59E1">
        <w:rPr>
          <w:rFonts w:asciiTheme="minorHAnsi" w:hAnsiTheme="minorHAnsi" w:cs="Calibri"/>
        </w:rPr>
        <w:t>nebo limit pro podlimitní veřejné zakázky podle</w:t>
      </w:r>
      <w:r w:rsidR="00351150">
        <w:rPr>
          <w:rFonts w:asciiTheme="minorHAnsi" w:hAnsiTheme="minorHAnsi" w:cs="Calibri"/>
        </w:rPr>
        <w:t xml:space="preserve"> </w:t>
      </w:r>
      <w:r w:rsidR="000849D3" w:rsidRPr="00AC7F4F">
        <w:rPr>
          <w:rFonts w:asciiTheme="minorHAnsi" w:hAnsiTheme="minorHAnsi" w:cs="Calibri"/>
        </w:rPr>
        <w:t>nařízení vlády č. 77/2008 Sb.</w:t>
      </w:r>
      <w:r w:rsidR="000849D3">
        <w:rPr>
          <w:rStyle w:val="Znakapoznpodarou"/>
          <w:rFonts w:asciiTheme="minorHAnsi" w:hAnsiTheme="minorHAnsi" w:cs="Calibri"/>
        </w:rPr>
        <w:footnoteReference w:id="8"/>
      </w:r>
      <w:r w:rsidR="005063D7">
        <w:rPr>
          <w:rFonts w:asciiTheme="minorHAnsi" w:hAnsiTheme="minorHAnsi" w:cs="Calibri"/>
        </w:rPr>
        <w:t xml:space="preserve"> </w:t>
      </w:r>
    </w:p>
    <w:p w14:paraId="47ECE861" w14:textId="1B70A77C" w:rsidR="000548B9" w:rsidRPr="002C577E" w:rsidRDefault="000548B9" w:rsidP="006D488A">
      <w:pPr>
        <w:spacing w:before="120" w:after="120"/>
        <w:jc w:val="both"/>
        <w:rPr>
          <w:rFonts w:asciiTheme="minorHAnsi" w:hAnsiTheme="minorHAnsi" w:cs="Calibri"/>
        </w:rPr>
      </w:pPr>
      <w:r w:rsidRPr="000548B9">
        <w:rPr>
          <w:rFonts w:asciiTheme="minorHAnsi" w:hAnsiTheme="minorHAnsi" w:cs="Calibri"/>
        </w:rPr>
        <w:t>SZÚ se</w:t>
      </w:r>
      <w:r w:rsidR="008A7E0C">
        <w:rPr>
          <w:rFonts w:asciiTheme="minorHAnsi" w:hAnsiTheme="minorHAnsi" w:cs="Calibri"/>
        </w:rPr>
        <w:t xml:space="preserve"> </w:t>
      </w:r>
      <w:r w:rsidRPr="000548B9">
        <w:rPr>
          <w:rFonts w:asciiTheme="minorHAnsi" w:hAnsiTheme="minorHAnsi" w:cs="Calibri"/>
        </w:rPr>
        <w:t>uvedený</w:t>
      </w:r>
      <w:r w:rsidR="008A7E0C">
        <w:rPr>
          <w:rFonts w:asciiTheme="minorHAnsi" w:hAnsiTheme="minorHAnsi" w:cs="Calibri"/>
        </w:rPr>
        <w:t>m způsobem</w:t>
      </w:r>
      <w:r w:rsidRPr="000548B9">
        <w:rPr>
          <w:rFonts w:asciiTheme="minorHAnsi" w:hAnsiTheme="minorHAnsi" w:cs="Calibri"/>
        </w:rPr>
        <w:t xml:space="preserve"> dopustil porušení rozpo</w:t>
      </w:r>
      <w:r w:rsidR="00732F8A">
        <w:rPr>
          <w:rFonts w:asciiTheme="minorHAnsi" w:hAnsiTheme="minorHAnsi" w:cs="Calibri"/>
        </w:rPr>
        <w:t>čtové kázně ve smyslu zákona č. </w:t>
      </w:r>
      <w:r w:rsidRPr="000548B9">
        <w:rPr>
          <w:rFonts w:asciiTheme="minorHAnsi" w:hAnsiTheme="minorHAnsi" w:cs="Calibri"/>
        </w:rPr>
        <w:t>218/2000 Sb.</w:t>
      </w:r>
    </w:p>
    <w:p w14:paraId="365ABC56" w14:textId="6A656EE3" w:rsidR="001A1104" w:rsidRDefault="00DA22C9" w:rsidP="0012785E">
      <w:pPr>
        <w:numPr>
          <w:ilvl w:val="0"/>
          <w:numId w:val="2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t xml:space="preserve">SZÚ </w:t>
      </w:r>
      <w:r w:rsidR="00400850">
        <w:rPr>
          <w:b/>
        </w:rPr>
        <w:t xml:space="preserve">nepostupoval </w:t>
      </w:r>
      <w:r>
        <w:rPr>
          <w:b/>
        </w:rPr>
        <w:t>při</w:t>
      </w:r>
      <w:r w:rsidR="00CA6F5D">
        <w:rPr>
          <w:b/>
        </w:rPr>
        <w:t xml:space="preserve"> </w:t>
      </w:r>
      <w:r w:rsidR="006D488A">
        <w:rPr>
          <w:b/>
        </w:rPr>
        <w:t>správě majetku</w:t>
      </w:r>
      <w:r w:rsidR="00400850">
        <w:rPr>
          <w:b/>
        </w:rPr>
        <w:t xml:space="preserve"> v souladu s právními předpisy</w:t>
      </w:r>
    </w:p>
    <w:p w14:paraId="7911CB51" w14:textId="71C46525" w:rsidR="00DA22C9" w:rsidRPr="00DA22C9" w:rsidRDefault="00DA22C9" w:rsidP="006D488A">
      <w:pPr>
        <w:pStyle w:val="Odstavecseseznamem"/>
        <w:numPr>
          <w:ilvl w:val="0"/>
          <w:numId w:val="15"/>
        </w:numPr>
        <w:spacing w:before="120" w:after="120"/>
        <w:ind w:left="284" w:hanging="284"/>
        <w:jc w:val="both"/>
      </w:pPr>
      <w:r>
        <w:rPr>
          <w:b/>
        </w:rPr>
        <w:t xml:space="preserve">SZÚ zrekonstruoval stravovací zařízení včetně dodávky a montáže </w:t>
      </w:r>
      <w:proofErr w:type="spellStart"/>
      <w:r>
        <w:rPr>
          <w:b/>
        </w:rPr>
        <w:t>gastro</w:t>
      </w:r>
      <w:proofErr w:type="spellEnd"/>
      <w:r>
        <w:rPr>
          <w:b/>
        </w:rPr>
        <w:t xml:space="preserve"> technologií, které následně </w:t>
      </w:r>
      <w:r w:rsidR="00A20722">
        <w:rPr>
          <w:b/>
        </w:rPr>
        <w:t>devět</w:t>
      </w:r>
      <w:r>
        <w:rPr>
          <w:b/>
        </w:rPr>
        <w:t xml:space="preserve"> měsíců nevyužíval</w:t>
      </w:r>
    </w:p>
    <w:p w14:paraId="2F306498" w14:textId="4F960FC8" w:rsidR="00686C49" w:rsidRDefault="002C577E" w:rsidP="00DA22C9">
      <w:pPr>
        <w:spacing w:before="120" w:after="120"/>
        <w:jc w:val="both"/>
      </w:pPr>
      <w:r>
        <w:t xml:space="preserve">Investiční akce byla zaregistrována v červnu 2015 a </w:t>
      </w:r>
      <w:r w:rsidR="00C04BC7">
        <w:t>zahrnovala z</w:t>
      </w:r>
      <w:r w:rsidR="000E62F4" w:rsidRPr="000E62F4">
        <w:t>ařízení pro přípravu potravin v celkové pořizovací ceně 14</w:t>
      </w:r>
      <w:r w:rsidR="000E62F4">
        <w:t> </w:t>
      </w:r>
      <w:r w:rsidR="000E62F4" w:rsidRPr="000E62F4">
        <w:t>8</w:t>
      </w:r>
      <w:r w:rsidR="000E62F4">
        <w:t>50 tis.</w:t>
      </w:r>
      <w:r w:rsidR="000E62F4" w:rsidRPr="000E62F4">
        <w:t xml:space="preserve"> Kč </w:t>
      </w:r>
      <w:r w:rsidR="000E62F4">
        <w:t xml:space="preserve">a </w:t>
      </w:r>
      <w:r w:rsidR="000E62F4" w:rsidRPr="000E62F4">
        <w:t>stavební část rekon</w:t>
      </w:r>
      <w:r>
        <w:t>strukce stravovacího zařízení v </w:t>
      </w:r>
      <w:r w:rsidR="000E62F4" w:rsidRPr="000E62F4">
        <w:t>celkové pořizovací ceně 16</w:t>
      </w:r>
      <w:r w:rsidR="000E62F4">
        <w:t> </w:t>
      </w:r>
      <w:r w:rsidR="000E62F4" w:rsidRPr="000E62F4">
        <w:t>658</w:t>
      </w:r>
      <w:r w:rsidR="000E62F4">
        <w:t xml:space="preserve"> tis.</w:t>
      </w:r>
      <w:r w:rsidR="000E62F4" w:rsidRPr="000E62F4">
        <w:t xml:space="preserve"> Kč</w:t>
      </w:r>
      <w:r w:rsidR="00C04BC7">
        <w:t xml:space="preserve">. </w:t>
      </w:r>
      <w:r w:rsidR="004F488E">
        <w:t xml:space="preserve">Majetek </w:t>
      </w:r>
      <w:r w:rsidR="000E62F4" w:rsidRPr="000E62F4">
        <w:t>byl</w:t>
      </w:r>
      <w:r w:rsidR="000E059C">
        <w:t xml:space="preserve"> </w:t>
      </w:r>
      <w:r w:rsidR="000E62F4" w:rsidRPr="000E62F4">
        <w:t>zařazen</w:t>
      </w:r>
      <w:r>
        <w:t xml:space="preserve"> do</w:t>
      </w:r>
      <w:r w:rsidR="00CA6F5D">
        <w:t xml:space="preserve"> </w:t>
      </w:r>
      <w:r w:rsidR="000E62F4" w:rsidRPr="000E62F4">
        <w:t xml:space="preserve">užívání </w:t>
      </w:r>
      <w:r w:rsidR="00001F2B">
        <w:t xml:space="preserve">dne </w:t>
      </w:r>
      <w:r w:rsidR="004F488E">
        <w:t>23. a</w:t>
      </w:r>
      <w:r w:rsidR="000E62F4" w:rsidRPr="000E62F4">
        <w:t xml:space="preserve"> 31. 12. 2016</w:t>
      </w:r>
      <w:r w:rsidR="00001F2B">
        <w:t>, přičemž</w:t>
      </w:r>
      <w:r w:rsidR="000E62F4" w:rsidRPr="000E62F4">
        <w:t xml:space="preserve"> </w:t>
      </w:r>
      <w:r w:rsidR="00001F2B">
        <w:t>p</w:t>
      </w:r>
      <w:r w:rsidR="000E62F4" w:rsidRPr="000E62F4">
        <w:t>rovoz jídelny byl</w:t>
      </w:r>
      <w:r w:rsidR="000E059C">
        <w:t xml:space="preserve"> </w:t>
      </w:r>
      <w:r w:rsidR="00F80FBE">
        <w:t>vzhledem k opakov</w:t>
      </w:r>
      <w:r w:rsidR="00074740">
        <w:t>ání</w:t>
      </w:r>
      <w:r w:rsidR="00F80FBE">
        <w:t xml:space="preserve"> zadávací</w:t>
      </w:r>
      <w:r w:rsidR="00074740">
        <w:t>ho</w:t>
      </w:r>
      <w:r w:rsidR="00F80FBE">
        <w:t xml:space="preserve"> řízení </w:t>
      </w:r>
      <w:r w:rsidR="00420178">
        <w:t xml:space="preserve">na provozovatele stravovacích služeb </w:t>
      </w:r>
      <w:r w:rsidR="000E059C">
        <w:t xml:space="preserve">zahájen </w:t>
      </w:r>
      <w:r w:rsidR="00150AB6">
        <w:t xml:space="preserve">až </w:t>
      </w:r>
      <w:r w:rsidR="000E059C">
        <w:t>dne 2. 10. </w:t>
      </w:r>
      <w:r w:rsidR="000E62F4" w:rsidRPr="000E62F4">
        <w:t>2017.</w:t>
      </w:r>
      <w:r>
        <w:t xml:space="preserve"> </w:t>
      </w:r>
      <w:r w:rsidR="00001F2B">
        <w:t xml:space="preserve">Uvedeným postupem </w:t>
      </w:r>
      <w:r w:rsidR="000E62F4">
        <w:t xml:space="preserve">SZÚ </w:t>
      </w:r>
      <w:r w:rsidR="00484FA4">
        <w:t xml:space="preserve">porušil povinnost plnit </w:t>
      </w:r>
      <w:r>
        <w:t xml:space="preserve">určené úkoly nejhospodárnějším způsobem ve smyslu </w:t>
      </w:r>
      <w:r w:rsidR="000E62F4">
        <w:t>zákon</w:t>
      </w:r>
      <w:r>
        <w:t>a</w:t>
      </w:r>
      <w:r w:rsidR="000E62F4">
        <w:t xml:space="preserve"> č. 218/2000 Sb. </w:t>
      </w:r>
      <w:r>
        <w:t xml:space="preserve">a současně </w:t>
      </w:r>
      <w:r w:rsidR="000E62F4">
        <w:t xml:space="preserve">majetek (peněžní prostředky) nevyužíval hospodárně k plnění funkcí státu </w:t>
      </w:r>
      <w:r>
        <w:t>a k výkonu stanovených činností ve smyslu zákona č. 219/2000 Sb.</w:t>
      </w:r>
    </w:p>
    <w:p w14:paraId="57715E2E" w14:textId="75F51E2B" w:rsidR="00B95F69" w:rsidRPr="00DA22C9" w:rsidRDefault="00484FA4" w:rsidP="00B95F69">
      <w:pPr>
        <w:pStyle w:val="Odstavecseseznamem"/>
        <w:numPr>
          <w:ilvl w:val="0"/>
          <w:numId w:val="15"/>
        </w:numPr>
        <w:spacing w:before="120" w:after="120"/>
        <w:ind w:left="284" w:hanging="284"/>
        <w:jc w:val="both"/>
        <w:rPr>
          <w:b/>
        </w:rPr>
      </w:pPr>
      <w:r>
        <w:rPr>
          <w:b/>
        </w:rPr>
        <w:t>Ú</w:t>
      </w:r>
      <w:r w:rsidR="00B95F69">
        <w:rPr>
          <w:b/>
        </w:rPr>
        <w:t xml:space="preserve">hradu </w:t>
      </w:r>
      <w:r>
        <w:rPr>
          <w:b/>
        </w:rPr>
        <w:t xml:space="preserve">za ubytování nestanovil </w:t>
      </w:r>
      <w:r w:rsidRPr="00DA22C9">
        <w:rPr>
          <w:b/>
        </w:rPr>
        <w:t>SZÚ</w:t>
      </w:r>
      <w:r w:rsidRPr="00336867">
        <w:t xml:space="preserve"> </w:t>
      </w:r>
      <w:r w:rsidRPr="009E2C4C">
        <w:rPr>
          <w:b/>
        </w:rPr>
        <w:t>svým</w:t>
      </w:r>
      <w:r>
        <w:t xml:space="preserve"> </w:t>
      </w:r>
      <w:r w:rsidR="00B95F69">
        <w:rPr>
          <w:b/>
        </w:rPr>
        <w:t>zaměstnanců</w:t>
      </w:r>
      <w:r w:rsidR="00420178">
        <w:rPr>
          <w:b/>
        </w:rPr>
        <w:t>m</w:t>
      </w:r>
      <w:r w:rsidR="00B95F69">
        <w:rPr>
          <w:b/>
        </w:rPr>
        <w:t xml:space="preserve"> způsobem stanoveným v zákoně č. 218/2000 Sb.</w:t>
      </w:r>
    </w:p>
    <w:p w14:paraId="3336F9FB" w14:textId="57933F05" w:rsidR="00B95F69" w:rsidRDefault="00B95F69" w:rsidP="00B95F69">
      <w:pPr>
        <w:pStyle w:val="TextKP"/>
      </w:pPr>
      <w:r w:rsidRPr="00B1364B">
        <w:t>SZÚ poskytuje ubytovací služby svým zaměs</w:t>
      </w:r>
      <w:r>
        <w:t>tnancům</w:t>
      </w:r>
      <w:r w:rsidRPr="00803B08">
        <w:rPr>
          <w:rFonts w:eastAsia="SimSun" w:cs="Calibri"/>
          <w:kern w:val="1"/>
          <w:lang w:eastAsia="hi-IN" w:bidi="hi-IN"/>
        </w:rPr>
        <w:t xml:space="preserve"> </w:t>
      </w:r>
      <w:r w:rsidRPr="00803B08">
        <w:t>ve dvou objektech</w:t>
      </w:r>
      <w:r w:rsidR="00732F8A">
        <w:t>. Podle ustanovení § </w:t>
      </w:r>
      <w:r>
        <w:t>68 zákona č. 218/2000 Sb. musí úhrada za ubytování odpovídat výdajům a poměrné části odpisů, případně nákladům souvisejícím s poskytovanou službou, např. náklad</w:t>
      </w:r>
      <w:r w:rsidR="00484FA4">
        <w:t>ům</w:t>
      </w:r>
      <w:r>
        <w:t xml:space="preserve"> související</w:t>
      </w:r>
      <w:r w:rsidR="00484FA4">
        <w:t>m</w:t>
      </w:r>
      <w:r>
        <w:t xml:space="preserve"> s provozem, včetně údržby a oprav. Vlastnímu zaměstnanci může příspěvková organizace uhradit částku až do výše 50 %. </w:t>
      </w:r>
    </w:p>
    <w:p w14:paraId="1DA1D232" w14:textId="652CD619" w:rsidR="00484FA4" w:rsidRDefault="00B95F69" w:rsidP="00B95F69">
      <w:pPr>
        <w:pStyle w:val="TextKP"/>
      </w:pPr>
      <w:r>
        <w:t xml:space="preserve">Kontrolou bylo zjištěno, že SZÚ při poskytování služeb ubytování svým zaměstnancům nepožadoval </w:t>
      </w:r>
      <w:r w:rsidR="00484FA4">
        <w:t xml:space="preserve">od těchto zaměstnanců </w:t>
      </w:r>
      <w:r>
        <w:t>úhradu poměrné části odpisů a dalších nákladů v podobě údržby a oprav.</w:t>
      </w:r>
      <w:r w:rsidR="00484FA4">
        <w:t xml:space="preserve"> </w:t>
      </w:r>
    </w:p>
    <w:p w14:paraId="5F20E1E8" w14:textId="486905A0" w:rsidR="00B95F69" w:rsidRDefault="00B95F69" w:rsidP="00B95F69">
      <w:pPr>
        <w:pStyle w:val="TextKP"/>
      </w:pPr>
      <w:r>
        <w:t>Dále bylo zjištěno, že:</w:t>
      </w:r>
    </w:p>
    <w:p w14:paraId="33755CE4" w14:textId="77777777" w:rsidR="00686C49" w:rsidRDefault="00B95F69" w:rsidP="00686C49">
      <w:pPr>
        <w:pStyle w:val="TextKP"/>
        <w:numPr>
          <w:ilvl w:val="0"/>
          <w:numId w:val="21"/>
        </w:numPr>
        <w:spacing w:before="60"/>
        <w:ind w:left="426" w:hanging="284"/>
      </w:pPr>
      <w:r>
        <w:t>SZÚ nesleduje náklady spojené s užíváním objektů;</w:t>
      </w:r>
    </w:p>
    <w:p w14:paraId="1E9D0A99" w14:textId="387975EA" w:rsidR="00686C49" w:rsidRPr="00686C49" w:rsidRDefault="00686C49" w:rsidP="00686C49">
      <w:pPr>
        <w:pStyle w:val="TextKP"/>
        <w:numPr>
          <w:ilvl w:val="0"/>
          <w:numId w:val="21"/>
        </w:numPr>
        <w:spacing w:before="60"/>
        <w:ind w:left="426" w:hanging="284"/>
      </w:pPr>
      <w:r w:rsidRPr="00686C49">
        <w:t xml:space="preserve">úhrada za ubytování nebyla od roku 2009 aktualizována a nezahrnuje všechny výdaje a náklady podle zákona č. 218/2000 Sb. </w:t>
      </w:r>
    </w:p>
    <w:p w14:paraId="736305E7" w14:textId="577142FC" w:rsidR="00B95F69" w:rsidRDefault="00B95F69" w:rsidP="00B95F69">
      <w:pPr>
        <w:spacing w:before="120" w:after="120"/>
        <w:jc w:val="both"/>
      </w:pPr>
      <w:r w:rsidRPr="00F8339A">
        <w:rPr>
          <w:b/>
        </w:rPr>
        <w:t xml:space="preserve">SZÚ </w:t>
      </w:r>
      <w:r>
        <w:rPr>
          <w:b/>
        </w:rPr>
        <w:t xml:space="preserve">v případě poskytování ubytovacích služeb svým zaměstnancům </w:t>
      </w:r>
      <w:r w:rsidRPr="00F8339A">
        <w:rPr>
          <w:b/>
        </w:rPr>
        <w:t>nepostupoval v souladu s režimem upraveným v ustanovení § 68 zákona č. 218/2000 Sb</w:t>
      </w:r>
      <w:r w:rsidRPr="009E2C4C">
        <w:rPr>
          <w:b/>
        </w:rPr>
        <w:t xml:space="preserve">. </w:t>
      </w:r>
      <w:r w:rsidR="009E2C4C" w:rsidRPr="009E2C4C">
        <w:rPr>
          <w:b/>
        </w:rPr>
        <w:t xml:space="preserve">V důsledku toho nedodržel povinnost plnit </w:t>
      </w:r>
      <w:r w:rsidRPr="009E2C4C">
        <w:rPr>
          <w:b/>
        </w:rPr>
        <w:t>určené úkoly nejhospodárnějším způsobem ve smyslu zákona</w:t>
      </w:r>
      <w:r w:rsidRPr="00F8339A">
        <w:rPr>
          <w:b/>
        </w:rPr>
        <w:t xml:space="preserve"> č.</w:t>
      </w:r>
      <w:r w:rsidR="00CA6F5D">
        <w:rPr>
          <w:b/>
        </w:rPr>
        <w:t> </w:t>
      </w:r>
      <w:r w:rsidRPr="00F8339A">
        <w:rPr>
          <w:b/>
        </w:rPr>
        <w:t>218/2000</w:t>
      </w:r>
      <w:r w:rsidR="00CA6F5D">
        <w:rPr>
          <w:b/>
        </w:rPr>
        <w:t> </w:t>
      </w:r>
      <w:r w:rsidRPr="00F8339A">
        <w:rPr>
          <w:b/>
        </w:rPr>
        <w:t>Sb.</w:t>
      </w:r>
      <w:r w:rsidRPr="00663600">
        <w:t xml:space="preserve"> </w:t>
      </w:r>
      <w:r>
        <w:rPr>
          <w:b/>
        </w:rPr>
        <w:t>a</w:t>
      </w:r>
      <w:r w:rsidR="00CA6F5D">
        <w:rPr>
          <w:b/>
        </w:rPr>
        <w:t xml:space="preserve"> </w:t>
      </w:r>
      <w:r>
        <w:rPr>
          <w:b/>
        </w:rPr>
        <w:t xml:space="preserve">současně </w:t>
      </w:r>
      <w:r w:rsidRPr="00663600">
        <w:rPr>
          <w:b/>
        </w:rPr>
        <w:t xml:space="preserve">majetek nevyužíval hospodárně k plnění funkcí státu </w:t>
      </w:r>
      <w:r>
        <w:rPr>
          <w:b/>
        </w:rPr>
        <w:t>a</w:t>
      </w:r>
      <w:r w:rsidR="00D373DE">
        <w:rPr>
          <w:b/>
        </w:rPr>
        <w:t xml:space="preserve"> </w:t>
      </w:r>
      <w:r>
        <w:rPr>
          <w:b/>
        </w:rPr>
        <w:t>k</w:t>
      </w:r>
      <w:r w:rsidR="00CA6F5D">
        <w:rPr>
          <w:b/>
        </w:rPr>
        <w:t> </w:t>
      </w:r>
      <w:r>
        <w:rPr>
          <w:b/>
        </w:rPr>
        <w:t>výkonu stanovených činností v souladu se zákonem č. 219/2000 Sb.</w:t>
      </w:r>
    </w:p>
    <w:p w14:paraId="64164973" w14:textId="695D1014" w:rsidR="00565BEA" w:rsidRPr="006D488A" w:rsidRDefault="00565BEA" w:rsidP="00C53E44">
      <w:pPr>
        <w:pStyle w:val="Odstavecseseznamem"/>
        <w:keepNext/>
        <w:numPr>
          <w:ilvl w:val="0"/>
          <w:numId w:val="15"/>
        </w:numPr>
        <w:spacing w:before="120" w:after="120"/>
        <w:ind w:left="284" w:hanging="284"/>
        <w:jc w:val="both"/>
        <w:rPr>
          <w:b/>
        </w:rPr>
      </w:pPr>
      <w:r w:rsidRPr="006D488A">
        <w:rPr>
          <w:b/>
        </w:rPr>
        <w:lastRenderedPageBreak/>
        <w:t xml:space="preserve">SZÚ poskytoval </w:t>
      </w:r>
      <w:r w:rsidR="004E6F11">
        <w:rPr>
          <w:b/>
        </w:rPr>
        <w:t>vedoucímu zaměstnanci</w:t>
      </w:r>
      <w:r w:rsidRPr="006D488A">
        <w:rPr>
          <w:b/>
        </w:rPr>
        <w:t xml:space="preserve"> </w:t>
      </w:r>
      <w:r w:rsidR="00484FA4">
        <w:rPr>
          <w:b/>
        </w:rPr>
        <w:t>vozidlo</w:t>
      </w:r>
      <w:r w:rsidR="00484FA4" w:rsidRPr="006D488A">
        <w:rPr>
          <w:b/>
        </w:rPr>
        <w:t xml:space="preserve"> </w:t>
      </w:r>
      <w:r w:rsidR="002D3234">
        <w:rPr>
          <w:b/>
        </w:rPr>
        <w:t xml:space="preserve">výhradně </w:t>
      </w:r>
      <w:r w:rsidRPr="006D488A">
        <w:rPr>
          <w:b/>
        </w:rPr>
        <w:t xml:space="preserve">pro služební účely, </w:t>
      </w:r>
      <w:r w:rsidR="002D3234">
        <w:rPr>
          <w:b/>
        </w:rPr>
        <w:t xml:space="preserve">avšak </w:t>
      </w:r>
      <w:r w:rsidR="00A47C9A">
        <w:rPr>
          <w:b/>
        </w:rPr>
        <w:t xml:space="preserve">ten ho </w:t>
      </w:r>
      <w:r w:rsidRPr="006D488A">
        <w:rPr>
          <w:b/>
        </w:rPr>
        <w:t>využív</w:t>
      </w:r>
      <w:r w:rsidR="00A47C9A">
        <w:rPr>
          <w:b/>
        </w:rPr>
        <w:t>al</w:t>
      </w:r>
      <w:r w:rsidRPr="006D488A">
        <w:rPr>
          <w:b/>
        </w:rPr>
        <w:t xml:space="preserve"> bez</w:t>
      </w:r>
      <w:r w:rsidR="00A47C9A">
        <w:rPr>
          <w:b/>
        </w:rPr>
        <w:t>ú</w:t>
      </w:r>
      <w:r w:rsidRPr="006D488A">
        <w:rPr>
          <w:b/>
        </w:rPr>
        <w:t>platně i pro soukromé účely</w:t>
      </w:r>
    </w:p>
    <w:p w14:paraId="158DFB7C" w14:textId="020BCD98" w:rsidR="00565BEA" w:rsidRDefault="00565BEA" w:rsidP="00565BEA">
      <w:pPr>
        <w:spacing w:before="120" w:after="120"/>
        <w:jc w:val="both"/>
      </w:pPr>
      <w:r>
        <w:t>SZÚ poskytoval bez</w:t>
      </w:r>
      <w:r w:rsidR="00420178">
        <w:t>ú</w:t>
      </w:r>
      <w:r>
        <w:t xml:space="preserve">platně od listopadu 2014 </w:t>
      </w:r>
      <w:r w:rsidR="004E6F11">
        <w:t>vedoucímu</w:t>
      </w:r>
      <w:r w:rsidR="004076FB">
        <w:t xml:space="preserve"> zaměstnanci</w:t>
      </w:r>
      <w:r w:rsidR="002D3234">
        <w:t xml:space="preserve"> automobil, ale </w:t>
      </w:r>
      <w:r w:rsidR="00D373DE">
        <w:t>zmíněný zaměstnanec jej</w:t>
      </w:r>
      <w:r w:rsidR="002D3234">
        <w:t xml:space="preserve"> využív</w:t>
      </w:r>
      <w:r w:rsidR="00D373DE">
        <w:t>al</w:t>
      </w:r>
      <w:r w:rsidR="002D3234">
        <w:t xml:space="preserve"> i k soukromým účelům. </w:t>
      </w:r>
      <w:r w:rsidR="007B4845">
        <w:t xml:space="preserve">Podíl </w:t>
      </w:r>
      <w:r w:rsidR="00D373DE">
        <w:t xml:space="preserve">soukromých </w:t>
      </w:r>
      <w:r w:rsidR="007B4845">
        <w:t>jízd činil dle najetých kilometrů 40 %.</w:t>
      </w:r>
    </w:p>
    <w:p w14:paraId="673C3B58" w14:textId="496BA512" w:rsidR="000804EB" w:rsidRPr="000804EB" w:rsidRDefault="000804EB" w:rsidP="00C53E44">
      <w:pPr>
        <w:keepNext/>
        <w:numPr>
          <w:ilvl w:val="0"/>
          <w:numId w:val="2"/>
        </w:numPr>
        <w:spacing w:before="120" w:after="120"/>
        <w:ind w:left="397" w:hanging="397"/>
        <w:jc w:val="both"/>
        <w:rPr>
          <w:b/>
        </w:rPr>
      </w:pPr>
      <w:r w:rsidRPr="000804EB">
        <w:rPr>
          <w:b/>
        </w:rPr>
        <w:t>NKÚ zjistil dále nedostatky:</w:t>
      </w:r>
    </w:p>
    <w:p w14:paraId="528F8AC9" w14:textId="0DF99AC0" w:rsidR="00DA22C9" w:rsidRDefault="006D488A" w:rsidP="005A58E4">
      <w:pPr>
        <w:numPr>
          <w:ilvl w:val="0"/>
          <w:numId w:val="3"/>
        </w:numPr>
        <w:spacing w:before="60"/>
        <w:ind w:left="284" w:hanging="284"/>
        <w:jc w:val="both"/>
      </w:pPr>
      <w:r>
        <w:t>v oblasti zajištění a výkonu i</w:t>
      </w:r>
      <w:r w:rsidR="00DA22C9">
        <w:t>nterní</w:t>
      </w:r>
      <w:r>
        <w:t>ho</w:t>
      </w:r>
      <w:r w:rsidR="00DA22C9">
        <w:t xml:space="preserve"> audit</w:t>
      </w:r>
      <w:r>
        <w:t>u;</w:t>
      </w:r>
    </w:p>
    <w:p w14:paraId="0919B0C9" w14:textId="1C661196" w:rsidR="00D92BC6" w:rsidRDefault="000804EB" w:rsidP="005A58E4">
      <w:pPr>
        <w:numPr>
          <w:ilvl w:val="0"/>
          <w:numId w:val="3"/>
        </w:numPr>
        <w:spacing w:before="60"/>
        <w:ind w:left="284" w:hanging="284"/>
        <w:jc w:val="both"/>
      </w:pPr>
      <w:r w:rsidRPr="000804EB">
        <w:t>v oblasti účtování o majetku</w:t>
      </w:r>
      <w:r w:rsidR="00756C4D">
        <w:t>,</w:t>
      </w:r>
      <w:r w:rsidRPr="000804EB">
        <w:t xml:space="preserve"> </w:t>
      </w:r>
      <w:r w:rsidR="00114796">
        <w:t xml:space="preserve">jeho oceňování, </w:t>
      </w:r>
      <w:r w:rsidRPr="000804EB">
        <w:t xml:space="preserve">odepisování </w:t>
      </w:r>
      <w:r>
        <w:t>a provádění jeho inventarizace</w:t>
      </w:r>
      <w:r w:rsidRPr="000804EB">
        <w:t>;</w:t>
      </w:r>
    </w:p>
    <w:p w14:paraId="2F9647A8" w14:textId="77777777" w:rsidR="00E6283F" w:rsidRDefault="00D92BC6" w:rsidP="004677B5">
      <w:pPr>
        <w:numPr>
          <w:ilvl w:val="0"/>
          <w:numId w:val="3"/>
        </w:numPr>
        <w:spacing w:before="60"/>
        <w:ind w:left="284" w:hanging="284"/>
        <w:jc w:val="both"/>
      </w:pPr>
      <w:r w:rsidRPr="00D92BC6">
        <w:t xml:space="preserve">v oblasti zadávání veřejných zakázek </w:t>
      </w:r>
      <w:r w:rsidR="003B0C44">
        <w:t>malého rozsahu.</w:t>
      </w:r>
      <w:r w:rsidR="00E6283F">
        <w:t xml:space="preserve"> </w:t>
      </w:r>
    </w:p>
    <w:p w14:paraId="6EB74430" w14:textId="5FA3B7D6" w:rsidR="00E6283F" w:rsidRDefault="00E6283F">
      <w:pPr>
        <w:spacing w:after="160" w:line="259" w:lineRule="auto"/>
      </w:pPr>
      <w:r>
        <w:br w:type="page"/>
      </w:r>
    </w:p>
    <w:p w14:paraId="78B18D8C" w14:textId="05946BFD" w:rsidR="00E6283F" w:rsidRPr="00E6283F" w:rsidRDefault="00E6283F" w:rsidP="006B327B">
      <w:pPr>
        <w:pStyle w:val="Nadpis2"/>
        <w:rPr>
          <w:sz w:val="28"/>
          <w:szCs w:val="28"/>
        </w:rPr>
      </w:pPr>
      <w:r w:rsidRPr="00E6283F">
        <w:rPr>
          <w:sz w:val="28"/>
          <w:szCs w:val="28"/>
        </w:rPr>
        <w:lastRenderedPageBreak/>
        <w:t>III. Skutečnosti zjištěné při kontrole</w:t>
      </w:r>
    </w:p>
    <w:p w14:paraId="07BFC606" w14:textId="796A28F1" w:rsidR="000B6004" w:rsidRPr="00E602EC" w:rsidRDefault="000B6004" w:rsidP="006B327B">
      <w:pPr>
        <w:pStyle w:val="Nadpis2"/>
      </w:pPr>
      <w:r w:rsidRPr="006E4235">
        <w:t>K části II. bodu 1:</w:t>
      </w:r>
    </w:p>
    <w:p w14:paraId="654A7EF3" w14:textId="6F90E635" w:rsidR="00786B1F" w:rsidRPr="00786B1F" w:rsidRDefault="00786B1F" w:rsidP="00786B1F">
      <w:pPr>
        <w:pStyle w:val="TextKP"/>
      </w:pPr>
      <w:r w:rsidRPr="00786B1F">
        <w:rPr>
          <w:b/>
        </w:rPr>
        <w:t>Vnitřní kontrolní systém SZÚ nebyl nastaven v souladu se zákonem a ne</w:t>
      </w:r>
      <w:r w:rsidR="007E43E4">
        <w:rPr>
          <w:b/>
        </w:rPr>
        <w:t>byl</w:t>
      </w:r>
      <w:r w:rsidRPr="00786B1F">
        <w:rPr>
          <w:b/>
        </w:rPr>
        <w:t xml:space="preserve"> funkční</w:t>
      </w:r>
    </w:p>
    <w:p w14:paraId="75F52949" w14:textId="3F599D05" w:rsidR="00786B1F" w:rsidRPr="00786B1F" w:rsidRDefault="00786B1F" w:rsidP="00786B1F">
      <w:pPr>
        <w:pStyle w:val="TextKP"/>
      </w:pPr>
      <w:r>
        <w:t>V SZÚ nebyli</w:t>
      </w:r>
      <w:r w:rsidRPr="00786B1F">
        <w:t xml:space="preserve"> do 1. 6. 2016 stanoveni pracovníci oprávněn</w:t>
      </w:r>
      <w:r w:rsidR="00D373DE">
        <w:t>í</w:t>
      </w:r>
      <w:r w:rsidRPr="00786B1F">
        <w:t xml:space="preserve"> ke schvalování přípustnosti operací</w:t>
      </w:r>
      <w:r>
        <w:t xml:space="preserve">, tj. </w:t>
      </w:r>
      <w:r w:rsidRPr="00786B1F">
        <w:t>hlavní účetní, příkazce operace, správce rozpočtu</w:t>
      </w:r>
      <w:r>
        <w:t>. SZÚ</w:t>
      </w:r>
      <w:r w:rsidR="00CA6F5D">
        <w:t xml:space="preserve"> </w:t>
      </w:r>
      <w:r w:rsidRPr="00786B1F">
        <w:t>tak</w:t>
      </w:r>
      <w:r w:rsidR="00CA6F5D">
        <w:t xml:space="preserve"> </w:t>
      </w:r>
      <w:r w:rsidRPr="00786B1F">
        <w:t>minimálně v období od 1. 1. 2014 do 31. 5. 2016 nepostupoval v souladu s ust</w:t>
      </w:r>
      <w:r w:rsidR="006B6CA0">
        <w:t>anovením § 26 odst. 1 zákona č. </w:t>
      </w:r>
      <w:r w:rsidRPr="00786B1F">
        <w:t xml:space="preserve">320/2001 Sb. </w:t>
      </w:r>
      <w:r w:rsidR="003C180E">
        <w:t>Ani o</w:t>
      </w:r>
      <w:r w:rsidR="003C180E" w:rsidRPr="00786B1F">
        <w:t>rganizační směrnic</w:t>
      </w:r>
      <w:r w:rsidR="003C180E">
        <w:t>e</w:t>
      </w:r>
      <w:r w:rsidR="003C180E" w:rsidRPr="00786B1F">
        <w:t xml:space="preserve"> č. 7/2016</w:t>
      </w:r>
      <w:r w:rsidR="003C180E">
        <w:rPr>
          <w:rStyle w:val="Znakapoznpodarou"/>
        </w:rPr>
        <w:footnoteReference w:id="9"/>
      </w:r>
      <w:r w:rsidR="007D63ED">
        <w:t>,</w:t>
      </w:r>
      <w:r w:rsidR="003C180E">
        <w:t xml:space="preserve"> účinná od 1. 6. 2016, nebyla do doby ukončení kontroly v</w:t>
      </w:r>
      <w:r w:rsidR="00AC7F4F">
        <w:t> souladu se</w:t>
      </w:r>
      <w:r w:rsidR="008322A5">
        <w:t xml:space="preserve"> zákonem č. 320/2001 Sb. a</w:t>
      </w:r>
      <w:r w:rsidR="00CA6F5D">
        <w:t xml:space="preserve"> </w:t>
      </w:r>
      <w:r w:rsidRPr="00786B1F">
        <w:t>vyhláškou č. 416/2004 Sb.</w:t>
      </w:r>
      <w:r w:rsidR="00AC7F4F">
        <w:rPr>
          <w:rStyle w:val="Znakapoznpodarou"/>
        </w:rPr>
        <w:footnoteReference w:id="10"/>
      </w:r>
      <w:r w:rsidRPr="00786B1F">
        <w:t xml:space="preserve"> </w:t>
      </w:r>
    </w:p>
    <w:p w14:paraId="7F92D859" w14:textId="6A2DE795" w:rsidR="0062153D" w:rsidRDefault="00786B1F" w:rsidP="00786B1F">
      <w:pPr>
        <w:pStyle w:val="TextKP"/>
      </w:pPr>
      <w:r w:rsidRPr="00786B1F">
        <w:t>Kontrolou byly zjištěny skutečnosti prokazující nefunkčnost</w:t>
      </w:r>
      <w:r w:rsidR="0062153D">
        <w:t xml:space="preserve"> vnitřního kontrolního systému:</w:t>
      </w:r>
    </w:p>
    <w:p w14:paraId="593DBCC5" w14:textId="142D26AC" w:rsidR="00786B1F" w:rsidRPr="00786B1F" w:rsidRDefault="00786B1F" w:rsidP="0062153D">
      <w:pPr>
        <w:pStyle w:val="TextKP"/>
        <w:numPr>
          <w:ilvl w:val="0"/>
          <w:numId w:val="15"/>
        </w:numPr>
        <w:ind w:left="284" w:hanging="284"/>
      </w:pPr>
      <w:r w:rsidRPr="00786B1F">
        <w:t xml:space="preserve">SZÚ v roce 2017 uhradil fakturu za činnost technického dozoru v hodnotě 360 tis. Kč bez DPH, i když tato faktura byla vystavena společností s ručením omezeným, se kterou SZÚ neměl uzavřenu smlouvu </w:t>
      </w:r>
      <w:r w:rsidR="00A3254F">
        <w:t>(</w:t>
      </w:r>
      <w:r w:rsidRPr="00786B1F">
        <w:t>smlouvu SZÚ uzavřel dne 2. 5. 2016 s fyzicko</w:t>
      </w:r>
      <w:r w:rsidR="00542C31">
        <w:t>u osobou</w:t>
      </w:r>
      <w:r w:rsidR="00A3254F">
        <w:t>)</w:t>
      </w:r>
      <w:r w:rsidR="00542C31">
        <w:t>.</w:t>
      </w:r>
    </w:p>
    <w:p w14:paraId="307FB718" w14:textId="23314664" w:rsidR="00786B1F" w:rsidRPr="00542C31" w:rsidRDefault="00786B1F" w:rsidP="0062153D">
      <w:pPr>
        <w:pStyle w:val="TextKP"/>
        <w:ind w:left="284"/>
        <w:rPr>
          <w:b/>
        </w:rPr>
      </w:pPr>
      <w:r w:rsidRPr="00542C31">
        <w:rPr>
          <w:b/>
        </w:rPr>
        <w:t xml:space="preserve">SZÚ porušil ustanovení § 14 odst. 4 zákona č. 219/2000 Sb. tím, že nevyužíval </w:t>
      </w:r>
      <w:r w:rsidR="00AC7199" w:rsidRPr="00542C31">
        <w:rPr>
          <w:b/>
        </w:rPr>
        <w:t xml:space="preserve">důsledně </w:t>
      </w:r>
      <w:r w:rsidRPr="00542C31">
        <w:rPr>
          <w:b/>
        </w:rPr>
        <w:t xml:space="preserve">všechny právní prostředky při hájení práv státu jako vlastníka, neboť uhradil přijatou fakturu, aniž by tuto fakturu rozporoval z titulu chybně uvedeného dodavatele. </w:t>
      </w:r>
    </w:p>
    <w:p w14:paraId="491E7079" w14:textId="4C69FB51" w:rsidR="00786B1F" w:rsidRPr="00542C31" w:rsidRDefault="00786B1F" w:rsidP="0062153D">
      <w:pPr>
        <w:pStyle w:val="TextKP"/>
        <w:ind w:left="284"/>
        <w:rPr>
          <w:b/>
        </w:rPr>
      </w:pPr>
      <w:r w:rsidRPr="00542C31">
        <w:rPr>
          <w:b/>
        </w:rPr>
        <w:t>Výše uvedeným jednáním se SZÚ dopustil porušení rozpočtové kázně ve</w:t>
      </w:r>
      <w:r w:rsidR="00CA6F5D">
        <w:rPr>
          <w:b/>
        </w:rPr>
        <w:t xml:space="preserve"> </w:t>
      </w:r>
      <w:r w:rsidRPr="00542C31">
        <w:rPr>
          <w:b/>
        </w:rPr>
        <w:t xml:space="preserve">smyslu zákona č. 218/2000 Sb., </w:t>
      </w:r>
      <w:r w:rsidR="00AC7199">
        <w:rPr>
          <w:b/>
        </w:rPr>
        <w:t xml:space="preserve">a to </w:t>
      </w:r>
      <w:r w:rsidRPr="00542C31">
        <w:rPr>
          <w:b/>
        </w:rPr>
        <w:t>minimálně ve výši 360 tis. Kč.</w:t>
      </w:r>
    </w:p>
    <w:p w14:paraId="0C6EC9B2" w14:textId="5E486DA5" w:rsidR="00786B1F" w:rsidRPr="00786B1F" w:rsidRDefault="00786B1F" w:rsidP="0062153D">
      <w:pPr>
        <w:pStyle w:val="TextKP"/>
        <w:numPr>
          <w:ilvl w:val="0"/>
          <w:numId w:val="16"/>
        </w:numPr>
        <w:ind w:left="284" w:hanging="284"/>
      </w:pPr>
      <w:r w:rsidRPr="00786B1F">
        <w:t xml:space="preserve">V SZÚ není prováděna příkazcem operace a správcem </w:t>
      </w:r>
      <w:r w:rsidR="00BA236C">
        <w:t>rozpočtu předběžná kontrola při</w:t>
      </w:r>
      <w:r w:rsidR="00CA6F5D">
        <w:t xml:space="preserve"> </w:t>
      </w:r>
      <w:r w:rsidRPr="00786B1F">
        <w:t xml:space="preserve">řízení veřejných výdajů před vznikem závazku orgánu veřejné správy, </w:t>
      </w:r>
      <w:r w:rsidR="00AC7199">
        <w:t>v důsledku čehož</w:t>
      </w:r>
      <w:r w:rsidR="00AC7199" w:rsidRPr="00786B1F">
        <w:t xml:space="preserve"> </w:t>
      </w:r>
      <w:r w:rsidRPr="00786B1F">
        <w:t>nemůže být ze</w:t>
      </w:r>
      <w:r w:rsidR="00CA6F5D">
        <w:t xml:space="preserve"> </w:t>
      </w:r>
      <w:r w:rsidRPr="00786B1F">
        <w:t>strany příkazce operace a hlavního účetního kontrolován soulad výše závazku s</w:t>
      </w:r>
      <w:r w:rsidR="00AC7199">
        <w:t xml:space="preserve"> výší </w:t>
      </w:r>
      <w:r w:rsidRPr="00786B1F">
        <w:t>individuální</w:t>
      </w:r>
      <w:r w:rsidR="00AC7199">
        <w:t>ho</w:t>
      </w:r>
      <w:r w:rsidRPr="00786B1F">
        <w:t xml:space="preserve"> příslib</w:t>
      </w:r>
      <w:r w:rsidR="00AC7199">
        <w:t>u</w:t>
      </w:r>
      <w:r w:rsidRPr="00786B1F">
        <w:t xml:space="preserve"> nebo limitovan</w:t>
      </w:r>
      <w:r w:rsidR="00AC7199">
        <w:t>ého</w:t>
      </w:r>
      <w:r w:rsidRPr="00786B1F">
        <w:t xml:space="preserve"> příslib</w:t>
      </w:r>
      <w:r w:rsidR="00AC7199">
        <w:t>u</w:t>
      </w:r>
      <w:r w:rsidRPr="00786B1F">
        <w:t xml:space="preserve"> </w:t>
      </w:r>
      <w:r w:rsidR="00BA236C">
        <w:t>po</w:t>
      </w:r>
      <w:r w:rsidRPr="00786B1F">
        <w:t xml:space="preserve">dle </w:t>
      </w:r>
      <w:r w:rsidR="007E4D19">
        <w:t xml:space="preserve">ustanovení </w:t>
      </w:r>
      <w:r w:rsidR="00BA236C">
        <w:t>§ 14 odst. 2 písm. </w:t>
      </w:r>
      <w:r w:rsidRPr="00786B1F">
        <w:t xml:space="preserve">b) a </w:t>
      </w:r>
      <w:r w:rsidR="007E4D19">
        <w:t xml:space="preserve">ustanovení </w:t>
      </w:r>
      <w:r w:rsidRPr="00786B1F">
        <w:t>§ 14 odst. 4 písm. c) a d) vyhlášky č. 416/2004 Sb.</w:t>
      </w:r>
    </w:p>
    <w:p w14:paraId="113C5D80" w14:textId="0DA7E23A" w:rsidR="00786B1F" w:rsidRPr="00786B1F" w:rsidRDefault="00786B1F" w:rsidP="00A06C10">
      <w:pPr>
        <w:pStyle w:val="TextKP"/>
        <w:numPr>
          <w:ilvl w:val="0"/>
          <w:numId w:val="16"/>
        </w:numPr>
        <w:ind w:left="284" w:hanging="284"/>
      </w:pPr>
      <w:r w:rsidRPr="00786B1F">
        <w:t xml:space="preserve">SZÚ nemá vnitřní kontrolní systém </w:t>
      </w:r>
      <w:r w:rsidR="004677B5" w:rsidRPr="00786B1F">
        <w:t xml:space="preserve">nastaven </w:t>
      </w:r>
      <w:r w:rsidRPr="00786B1F">
        <w:t>tak, aby mohla být kontrolována výše a splatnost vzniklého závazku, neb</w:t>
      </w:r>
      <w:r w:rsidR="00756C4D">
        <w:t>oť SZÚ nepřiřazuje objednávky a</w:t>
      </w:r>
      <w:r w:rsidR="00CA6F5D">
        <w:t xml:space="preserve"> </w:t>
      </w:r>
      <w:r w:rsidRPr="00786B1F">
        <w:t xml:space="preserve">faktury </w:t>
      </w:r>
      <w:r w:rsidR="008322A5">
        <w:t>k uzavřeným smlouvám a dodatkům.</w:t>
      </w:r>
      <w:r w:rsidR="00FA7FA7">
        <w:t xml:space="preserve"> </w:t>
      </w:r>
      <w:r w:rsidR="00213C37">
        <w:t>Vlivem této skutečnosti SZÚ minimálně ve</w:t>
      </w:r>
      <w:r w:rsidR="00CA6F5D">
        <w:t xml:space="preserve"> </w:t>
      </w:r>
      <w:r w:rsidR="00FA7FA7">
        <w:t xml:space="preserve">dvou případech uhradil </w:t>
      </w:r>
      <w:r w:rsidR="00213C37">
        <w:t xml:space="preserve">chybnou </w:t>
      </w:r>
      <w:r w:rsidR="00FA7FA7">
        <w:t xml:space="preserve">fakturu, čímž </w:t>
      </w:r>
      <w:r w:rsidR="004677B5">
        <w:t xml:space="preserve">se dopustil </w:t>
      </w:r>
      <w:r w:rsidR="00213C37">
        <w:t>poruš</w:t>
      </w:r>
      <w:r w:rsidR="004677B5">
        <w:t>ení</w:t>
      </w:r>
      <w:r w:rsidR="00FA7FA7">
        <w:t xml:space="preserve"> rozpočtov</w:t>
      </w:r>
      <w:r w:rsidR="004677B5">
        <w:t>é</w:t>
      </w:r>
      <w:r w:rsidR="00FA7FA7">
        <w:t xml:space="preserve"> káz</w:t>
      </w:r>
      <w:r w:rsidR="004677B5">
        <w:t>ně</w:t>
      </w:r>
      <w:r w:rsidR="00213C37">
        <w:t xml:space="preserve"> minimálně ve výši </w:t>
      </w:r>
      <w:r w:rsidR="00213C37" w:rsidRPr="00213C37">
        <w:t>99</w:t>
      </w:r>
      <w:r w:rsidR="00213C37">
        <w:t> </w:t>
      </w:r>
      <w:r w:rsidR="00213C37" w:rsidRPr="00213C37">
        <w:t>22</w:t>
      </w:r>
      <w:r w:rsidR="00213C37">
        <w:t>0 Kč.</w:t>
      </w:r>
    </w:p>
    <w:p w14:paraId="53DBC071" w14:textId="49DDCA1E" w:rsidR="00786B1F" w:rsidRPr="00786B1F" w:rsidRDefault="00786B1F" w:rsidP="0062153D">
      <w:pPr>
        <w:pStyle w:val="TextKP"/>
        <w:numPr>
          <w:ilvl w:val="0"/>
          <w:numId w:val="16"/>
        </w:numPr>
        <w:ind w:left="284" w:hanging="284"/>
      </w:pPr>
      <w:r w:rsidRPr="00786B1F">
        <w:t xml:space="preserve">SZÚ nevede úplnou evidenci uzavřených smluv. Některé předložené smlouvy nebyly </w:t>
      </w:r>
      <w:r w:rsidR="003C180E">
        <w:t xml:space="preserve">vůbec </w:t>
      </w:r>
      <w:r w:rsidRPr="00786B1F">
        <w:t xml:space="preserve">evidovány v evidenci smluv </w:t>
      </w:r>
      <w:r w:rsidR="00C75FEC">
        <w:t xml:space="preserve">SZÚ </w:t>
      </w:r>
      <w:r w:rsidRPr="00786B1F">
        <w:t>a v jiné</w:t>
      </w:r>
      <w:r w:rsidR="00BA236C">
        <w:t>m případě SZÚ neregistroval, že</w:t>
      </w:r>
      <w:r w:rsidR="004677B5">
        <w:t xml:space="preserve"> </w:t>
      </w:r>
      <w:r w:rsidRPr="00786B1F">
        <w:t>daná smlouva včetně</w:t>
      </w:r>
      <w:r w:rsidR="008322A5">
        <w:t xml:space="preserve"> dodatků již není platná.</w:t>
      </w:r>
    </w:p>
    <w:p w14:paraId="30729571" w14:textId="77777777" w:rsidR="00786B1F" w:rsidRDefault="00786B1F" w:rsidP="0062153D">
      <w:pPr>
        <w:pStyle w:val="TextKP"/>
        <w:numPr>
          <w:ilvl w:val="0"/>
          <w:numId w:val="16"/>
        </w:numPr>
        <w:ind w:left="284" w:hanging="284"/>
      </w:pPr>
      <w:r w:rsidRPr="00786B1F">
        <w:t>SZÚ nevede úplný přehled a evidenci využívaného cizího majetku, včetně závazků plynoucích z jeho užívání.</w:t>
      </w:r>
    </w:p>
    <w:p w14:paraId="7C1BCC87" w14:textId="1D1F39EA" w:rsidR="00786B1F" w:rsidRDefault="00786B1F" w:rsidP="0062153D">
      <w:pPr>
        <w:pStyle w:val="TextKP"/>
        <w:numPr>
          <w:ilvl w:val="0"/>
          <w:numId w:val="16"/>
        </w:numPr>
        <w:ind w:left="284" w:hanging="284"/>
      </w:pPr>
      <w:r w:rsidRPr="00786B1F">
        <w:t>SZÚ účtuje o závazcích i o nákladech v</w:t>
      </w:r>
      <w:r w:rsidR="00BD2D52">
        <w:t> </w:t>
      </w:r>
      <w:r w:rsidRPr="00786B1F">
        <w:t>okamžiku</w:t>
      </w:r>
      <w:r w:rsidR="00BD2D52">
        <w:t xml:space="preserve"> před provedením předběžné říd</w:t>
      </w:r>
      <w:r w:rsidR="00070DE4">
        <w:t>i</w:t>
      </w:r>
      <w:r w:rsidR="00BD2D52">
        <w:t>cí kontroly</w:t>
      </w:r>
      <w:r w:rsidRPr="00786B1F">
        <w:t>, kdy účetní doklad neobsahuje podpisový záznam osoby odpovědné za</w:t>
      </w:r>
      <w:r w:rsidR="00CA6F5D">
        <w:t xml:space="preserve"> </w:t>
      </w:r>
      <w:r w:rsidRPr="00786B1F">
        <w:t>účetní případ a kdy není ověřen soulad zápisu na účetním dokladu se skutečností. Účetní záznamy tak nejsou průkazné ve smyslu zákona č. 563/1991 Sb.</w:t>
      </w:r>
    </w:p>
    <w:p w14:paraId="50E8DE60" w14:textId="77777777" w:rsidR="008322A5" w:rsidRPr="005C3CCF" w:rsidRDefault="008322A5" w:rsidP="008322A5">
      <w:pPr>
        <w:pStyle w:val="Nadpis2"/>
      </w:pPr>
      <w:r w:rsidRPr="005C3CCF">
        <w:lastRenderedPageBreak/>
        <w:t>K části II. bodu 2:</w:t>
      </w:r>
    </w:p>
    <w:p w14:paraId="25141819" w14:textId="77777777" w:rsidR="008322A5" w:rsidRPr="0012121A" w:rsidRDefault="008322A5" w:rsidP="008322A5">
      <w:pPr>
        <w:spacing w:before="120" w:after="120"/>
        <w:jc w:val="both"/>
        <w:rPr>
          <w:rFonts w:asciiTheme="minorHAnsi" w:hAnsiTheme="minorHAnsi" w:cs="Calibri"/>
          <w:b/>
          <w:color w:val="000000"/>
        </w:rPr>
      </w:pPr>
      <w:r w:rsidRPr="0012121A">
        <w:rPr>
          <w:rFonts w:asciiTheme="minorHAnsi" w:hAnsiTheme="minorHAnsi" w:cs="Calibri"/>
          <w:b/>
          <w:color w:val="000000"/>
        </w:rPr>
        <w:t>SZÚ v roce 2014 nedodržel mzdový limit stanovený zřizovatelem</w:t>
      </w:r>
    </w:p>
    <w:p w14:paraId="3E6380A5" w14:textId="1672B5D8" w:rsidR="008322A5" w:rsidRPr="00AC7F4F" w:rsidRDefault="008322A5" w:rsidP="008322A5">
      <w:pPr>
        <w:pStyle w:val="TextKP"/>
        <w:rPr>
          <w:b/>
        </w:rPr>
      </w:pPr>
      <w:r w:rsidRPr="00AC7F4F">
        <w:rPr>
          <w:b/>
        </w:rPr>
        <w:t>SZÚ nepostupoval v souladu s</w:t>
      </w:r>
      <w:r w:rsidR="000A05C4">
        <w:rPr>
          <w:b/>
        </w:rPr>
        <w:t xml:space="preserve"> ustanovením </w:t>
      </w:r>
      <w:r w:rsidRPr="00AC7F4F">
        <w:rPr>
          <w:b/>
        </w:rPr>
        <w:t xml:space="preserve">§ 53 odst. 1 zákona č. 218/2000 Sb., když v roce 2014 čerpal peněžní prostředky na mzdové náklady v celkové výši 146 405,74 </w:t>
      </w:r>
      <w:r w:rsidR="00BA236C">
        <w:rPr>
          <w:b/>
        </w:rPr>
        <w:t>tis. Kč, ačkoli</w:t>
      </w:r>
      <w:r w:rsidR="00CA6F5D">
        <w:rPr>
          <w:b/>
        </w:rPr>
        <w:t xml:space="preserve"> </w:t>
      </w:r>
      <w:r w:rsidRPr="00AC7F4F">
        <w:rPr>
          <w:b/>
        </w:rPr>
        <w:t>v rámci finančních vztahů stanovených zřizovatelem měl stanoven limit mzdových nákladů v celkové výši 125 526,62 tis. Kč, čímž tento limit pře</w:t>
      </w:r>
      <w:r w:rsidR="00BA236C">
        <w:rPr>
          <w:b/>
        </w:rPr>
        <w:t>kročil o 20 880,12 tis. Kč. SZÚ</w:t>
      </w:r>
      <w:r w:rsidR="00CA6F5D">
        <w:rPr>
          <w:b/>
        </w:rPr>
        <w:t xml:space="preserve"> </w:t>
      </w:r>
      <w:r w:rsidRPr="00AC7F4F">
        <w:rPr>
          <w:b/>
        </w:rPr>
        <w:t>tak v roce 2014 hospodařil s peněžními prostředky získanými hlavní činností nad rámec finančních vztahů stanovených zřizovatelem.</w:t>
      </w:r>
    </w:p>
    <w:p w14:paraId="0A4B0446" w14:textId="49B6DC16" w:rsidR="008322A5" w:rsidRPr="00AC7F4F" w:rsidRDefault="008322A5" w:rsidP="008322A5">
      <w:pPr>
        <w:pStyle w:val="TextKP"/>
        <w:rPr>
          <w:b/>
        </w:rPr>
      </w:pPr>
      <w:r w:rsidRPr="00AC7F4F">
        <w:rPr>
          <w:b/>
        </w:rPr>
        <w:t xml:space="preserve">SZÚ uvedeným způsobem porušil rozpočtovou kázeň ve smyslu </w:t>
      </w:r>
      <w:r w:rsidR="000A05C4">
        <w:rPr>
          <w:b/>
        </w:rPr>
        <w:t xml:space="preserve">ustanovení </w:t>
      </w:r>
      <w:r w:rsidR="00BA236C">
        <w:rPr>
          <w:b/>
        </w:rPr>
        <w:t>§ 44 odst. 1 písm. </w:t>
      </w:r>
      <w:r w:rsidRPr="00AC7F4F">
        <w:rPr>
          <w:b/>
        </w:rPr>
        <w:t>a) zákona č. 218/2000 Sb., neboť peněžní prostředky ve výši 20 880,12 tis. Kč použil neoprávněně, když překročil limit mzdových nákladů stanovený zřizovatelem, resp. porušil povinnost stanovenou právním předpisem tím, že</w:t>
      </w:r>
      <w:r w:rsidR="00CA6F5D">
        <w:rPr>
          <w:b/>
        </w:rPr>
        <w:t xml:space="preserve"> </w:t>
      </w:r>
      <w:r w:rsidRPr="00AC7F4F">
        <w:rPr>
          <w:b/>
        </w:rPr>
        <w:t>s peněžními prostředky získanými hlavní činností a ze státního rozpočtu hospodařil nad rámec finančních vztahů stanovených zřizovatelem.</w:t>
      </w:r>
    </w:p>
    <w:p w14:paraId="150BE106" w14:textId="77777777" w:rsidR="008322A5" w:rsidRPr="005E1E86" w:rsidRDefault="008322A5" w:rsidP="008322A5">
      <w:pPr>
        <w:pStyle w:val="Nadpis2"/>
        <w:rPr>
          <w:szCs w:val="22"/>
        </w:rPr>
      </w:pPr>
      <w:r w:rsidRPr="005E4188">
        <w:t>K části II. bodu 3:</w:t>
      </w:r>
    </w:p>
    <w:p w14:paraId="2E1D8D2F" w14:textId="21D62E72" w:rsidR="00D07E2F" w:rsidRPr="0091735C" w:rsidRDefault="00D07E2F" w:rsidP="00D07E2F">
      <w:pPr>
        <w:spacing w:before="120"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color w:val="000000"/>
        </w:rPr>
        <w:t xml:space="preserve">SZÚ v letech 2015 a 2016 </w:t>
      </w:r>
      <w:r w:rsidR="000367D7">
        <w:rPr>
          <w:rFonts w:asciiTheme="minorHAnsi" w:hAnsiTheme="minorHAnsi" w:cs="Calibri"/>
          <w:b/>
          <w:color w:val="000000"/>
        </w:rPr>
        <w:t xml:space="preserve">v rozporu s právními předpisy </w:t>
      </w:r>
      <w:r>
        <w:rPr>
          <w:rFonts w:asciiTheme="minorHAnsi" w:hAnsiTheme="minorHAnsi" w:cs="Calibri"/>
          <w:b/>
          <w:color w:val="000000"/>
        </w:rPr>
        <w:t xml:space="preserve">vyrovnával výsledek hospodaření použitím fondu reprodukce majetku </w:t>
      </w:r>
    </w:p>
    <w:p w14:paraId="57A37607" w14:textId="1B08985D" w:rsidR="00E92264" w:rsidRDefault="000367D7" w:rsidP="00E92264">
      <w:pPr>
        <w:pStyle w:val="TextKP"/>
      </w:pPr>
      <w:r>
        <w:t>NKÚ prověřil</w:t>
      </w:r>
      <w:r w:rsidR="00E92264">
        <w:t xml:space="preserve"> tvorb</w:t>
      </w:r>
      <w:r>
        <w:t>u</w:t>
      </w:r>
      <w:r w:rsidR="00E92264">
        <w:t xml:space="preserve"> a čerpání fondu reprodukce majetku (dále také „FRM“) v letech 2014 až 2016. </w:t>
      </w:r>
      <w:r w:rsidR="00CD21D2">
        <w:t>Kontrolou bylo ověřeno, že SZÚ tvořil FRM v kontrolovaném období pouze ve výši odpisů hmotného a nehmotného dlouhodobého majetku. Ze strany čerpání FRM bylo kontrolou zjištěno, že SZÚ v letech 2015 a 2016 čerpal FRM ke krytí část</w:t>
      </w:r>
      <w:r>
        <w:t>i</w:t>
      </w:r>
      <w:r w:rsidR="00CD21D2">
        <w:t xml:space="preserve"> mzdových prostředků. </w:t>
      </w:r>
      <w:r w:rsidR="00E92264">
        <w:t>Následující tabulka uvádí přehled tvorby a čerpání FRM v kontrolovaném období.</w:t>
      </w:r>
    </w:p>
    <w:p w14:paraId="34F3D5B1" w14:textId="61CEA7BD" w:rsidR="00E92264" w:rsidRPr="009944EB" w:rsidRDefault="00E92264" w:rsidP="000367D7">
      <w:pPr>
        <w:pStyle w:val="Titulek"/>
        <w:tabs>
          <w:tab w:val="clear" w:pos="7938"/>
          <w:tab w:val="right" w:pos="9072"/>
        </w:tabs>
      </w:pPr>
      <w:r>
        <w:t xml:space="preserve">Tabulka č. </w:t>
      </w:r>
      <w:fldSimple w:instr=" SEQ Tabulka_č. \* ARABIC ">
        <w:r w:rsidR="00293593">
          <w:rPr>
            <w:noProof/>
          </w:rPr>
          <w:t>3</w:t>
        </w:r>
      </w:fldSimple>
      <w:r>
        <w:t>: Přehled tvorby a čerpání FRM v letech 2014 až 2016</w:t>
      </w:r>
      <w:r>
        <w:tab/>
        <w:t xml:space="preserve">(v </w:t>
      </w:r>
      <w:r w:rsidR="008A7E0C">
        <w:t xml:space="preserve">tis. </w:t>
      </w:r>
      <w:r>
        <w:t>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698"/>
        <w:gridCol w:w="1700"/>
        <w:gridCol w:w="1700"/>
      </w:tblGrid>
      <w:tr w:rsidR="00A8796D" w:rsidRPr="00A8796D" w14:paraId="116DD91E" w14:textId="77777777" w:rsidTr="00A8796D">
        <w:trPr>
          <w:trHeight w:val="255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62BDB39F" w14:textId="77777777" w:rsidR="00A8796D" w:rsidRPr="00A8796D" w:rsidRDefault="00A8796D" w:rsidP="00A8796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Údaj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2A0BCEB" w14:textId="77777777" w:rsidR="00A8796D" w:rsidRPr="00A8796D" w:rsidRDefault="00A8796D" w:rsidP="00A8796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B7C5B44" w14:textId="77777777" w:rsidR="00A8796D" w:rsidRPr="00A8796D" w:rsidRDefault="00A8796D" w:rsidP="00A8796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CC5F5A7" w14:textId="77777777" w:rsidR="00A8796D" w:rsidRPr="00A8796D" w:rsidRDefault="00A8796D" w:rsidP="00A8796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A8796D" w:rsidRPr="00A8796D" w14:paraId="4D4FECD6" w14:textId="77777777" w:rsidTr="00A8796D">
        <w:trPr>
          <w:trHeight w:val="25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3E2F1862" w14:textId="77777777" w:rsidR="00A8796D" w:rsidRPr="00A8796D" w:rsidRDefault="00A8796D" w:rsidP="00A8796D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Počáteční stav fondu k 1. 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FC74231" w14:textId="77777777" w:rsidR="00A8796D" w:rsidRPr="00A8796D" w:rsidRDefault="00A8796D" w:rsidP="00A8796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41 485,50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A431C6F" w14:textId="77777777" w:rsidR="00A8796D" w:rsidRPr="00A8796D" w:rsidRDefault="00A8796D" w:rsidP="00A8796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53 111,77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BA67E81" w14:textId="77777777" w:rsidR="00A8796D" w:rsidRPr="00A8796D" w:rsidRDefault="00A8796D" w:rsidP="00A8796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56 094,97</w:t>
            </w:r>
          </w:p>
        </w:tc>
      </w:tr>
      <w:tr w:rsidR="00A8796D" w:rsidRPr="00A8796D" w14:paraId="7C7F1E56" w14:textId="77777777" w:rsidTr="00A8796D">
        <w:trPr>
          <w:trHeight w:val="25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9CA5" w14:textId="77777777" w:rsidR="00A8796D" w:rsidRPr="00A8796D" w:rsidRDefault="00A8796D" w:rsidP="00A8796D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Tvorba fondu (z odpisů)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23AE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30 988,67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DD4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34 235,18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2BFC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35 014,74</w:t>
            </w:r>
          </w:p>
        </w:tc>
      </w:tr>
      <w:tr w:rsidR="00A8796D" w:rsidRPr="00A8796D" w14:paraId="4A1EF180" w14:textId="77777777" w:rsidTr="00A8796D">
        <w:trPr>
          <w:trHeight w:val="25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780" w14:textId="77777777" w:rsidR="00A8796D" w:rsidRPr="00A8796D" w:rsidRDefault="00A8796D" w:rsidP="00A8796D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Čerpání fondu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4674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19 362,39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9885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31 251,98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11FD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64 277,88</w:t>
            </w:r>
          </w:p>
        </w:tc>
      </w:tr>
      <w:tr w:rsidR="00A8796D" w:rsidRPr="00A8796D" w14:paraId="6B4C73D1" w14:textId="77777777" w:rsidTr="00A8796D">
        <w:trPr>
          <w:trHeight w:val="25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621" w14:textId="7B78970A" w:rsidR="00A8796D" w:rsidRPr="00A8796D" w:rsidRDefault="00A8796D" w:rsidP="00A8796D">
            <w:pPr>
              <w:ind w:firstLine="17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i/>
                <w:iCs/>
                <w:color w:val="000000"/>
                <w:sz w:val="20"/>
                <w:szCs w:val="20"/>
                <w:lang w:eastAsia="cs-CZ"/>
              </w:rPr>
              <w:t xml:space="preserve">Pořízení a </w:t>
            </w:r>
            <w:r>
              <w:rPr>
                <w:i/>
                <w:iCs/>
                <w:color w:val="000000"/>
                <w:sz w:val="20"/>
                <w:szCs w:val="20"/>
                <w:lang w:eastAsia="cs-CZ"/>
              </w:rPr>
              <w:t xml:space="preserve">technické zhodnocení </w:t>
            </w:r>
            <w:r w:rsidRPr="00A8796D">
              <w:rPr>
                <w:i/>
                <w:iCs/>
                <w:color w:val="000000"/>
                <w:sz w:val="20"/>
                <w:szCs w:val="20"/>
                <w:lang w:eastAsia="cs-CZ"/>
              </w:rPr>
              <w:t>DHM a DNM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689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16 571,07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162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23 485,63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8523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50 619,10</w:t>
            </w:r>
          </w:p>
        </w:tc>
      </w:tr>
      <w:tr w:rsidR="00A8796D" w:rsidRPr="00A8796D" w14:paraId="4D6E7DBE" w14:textId="77777777" w:rsidTr="00A8796D">
        <w:trPr>
          <w:trHeight w:val="25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0C8A" w14:textId="77777777" w:rsidR="00A8796D" w:rsidRPr="00A8796D" w:rsidRDefault="00A8796D" w:rsidP="00A8796D">
            <w:pPr>
              <w:ind w:firstLine="17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i/>
                <w:iCs/>
                <w:color w:val="000000"/>
                <w:sz w:val="20"/>
                <w:szCs w:val="20"/>
                <w:lang w:eastAsia="cs-CZ"/>
              </w:rPr>
              <w:t>Opravy a udržování majetku (SÚ 511)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EE77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2 791,32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071A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5 949,40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28F1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5 835,62</w:t>
            </w:r>
          </w:p>
        </w:tc>
      </w:tr>
      <w:tr w:rsidR="00A8796D" w:rsidRPr="00A8796D" w14:paraId="736394A3" w14:textId="77777777" w:rsidTr="00A8796D">
        <w:trPr>
          <w:trHeight w:val="25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B3D9" w14:textId="5242251B" w:rsidR="00A8796D" w:rsidRPr="00A8796D" w:rsidRDefault="00A8796D" w:rsidP="00A8796D">
            <w:pPr>
              <w:ind w:firstLine="17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i/>
                <w:iCs/>
                <w:color w:val="000000"/>
                <w:sz w:val="20"/>
                <w:szCs w:val="20"/>
                <w:lang w:eastAsia="cs-CZ"/>
              </w:rPr>
              <w:t>Pořízení krátkodobého majetku (SÚ 558</w:t>
            </w:r>
            <w:r w:rsidR="000367D7">
              <w:rPr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4CCC" w14:textId="77777777" w:rsidR="00A8796D" w:rsidRPr="00A8796D" w:rsidRDefault="00A8796D" w:rsidP="00A8796D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F418" w14:textId="77777777" w:rsidR="00A8796D" w:rsidRPr="00A8796D" w:rsidRDefault="00A8796D" w:rsidP="00A8796D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0939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2 736,44</w:t>
            </w:r>
          </w:p>
        </w:tc>
      </w:tr>
      <w:tr w:rsidR="00A8796D" w:rsidRPr="00A8796D" w14:paraId="462420EB" w14:textId="77777777" w:rsidTr="00A8796D">
        <w:trPr>
          <w:trHeight w:val="25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A359D" w14:textId="77777777" w:rsidR="00A8796D" w:rsidRPr="00A8796D" w:rsidRDefault="00A8796D" w:rsidP="00A8796D">
            <w:pPr>
              <w:ind w:firstLine="170"/>
              <w:rPr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i/>
                <w:iCs/>
                <w:color w:val="000000"/>
                <w:sz w:val="20"/>
                <w:szCs w:val="20"/>
                <w:lang w:eastAsia="cs-CZ"/>
              </w:rPr>
              <w:t>Čerpání na pokrytí mzdových nákladů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7A061" w14:textId="77777777" w:rsidR="00A8796D" w:rsidRPr="00A8796D" w:rsidRDefault="00A8796D" w:rsidP="00A8796D">
            <w:pPr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062A3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1 816,95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4BFF0" w14:textId="77777777" w:rsidR="00A8796D" w:rsidRPr="00A8796D" w:rsidRDefault="00A8796D" w:rsidP="00A8796D">
            <w:pPr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color w:val="000000"/>
                <w:sz w:val="20"/>
                <w:szCs w:val="20"/>
                <w:lang w:eastAsia="cs-CZ"/>
              </w:rPr>
              <w:t>5 086,73</w:t>
            </w:r>
          </w:p>
        </w:tc>
      </w:tr>
      <w:tr w:rsidR="00A8796D" w:rsidRPr="00A8796D" w14:paraId="45877220" w14:textId="77777777" w:rsidTr="00A8796D">
        <w:trPr>
          <w:trHeight w:val="255"/>
        </w:trPr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730FC331" w14:textId="77777777" w:rsidR="00A8796D" w:rsidRPr="00A8796D" w:rsidRDefault="00A8796D" w:rsidP="00A8796D">
            <w:pPr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Konečný stav fondu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EC01740" w14:textId="77777777" w:rsidR="00A8796D" w:rsidRPr="00A8796D" w:rsidRDefault="00A8796D" w:rsidP="00A8796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53 111,77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A48D42E" w14:textId="77777777" w:rsidR="00A8796D" w:rsidRPr="00A8796D" w:rsidRDefault="00A8796D" w:rsidP="00A8796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56 094,97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700D210" w14:textId="77777777" w:rsidR="00A8796D" w:rsidRPr="00A8796D" w:rsidRDefault="00A8796D" w:rsidP="00A8796D">
            <w:pPr>
              <w:jc w:val="righ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796D">
              <w:rPr>
                <w:b/>
                <w:bCs/>
                <w:color w:val="000000"/>
                <w:sz w:val="20"/>
                <w:szCs w:val="20"/>
                <w:lang w:eastAsia="cs-CZ"/>
              </w:rPr>
              <w:t>26 831,83</w:t>
            </w:r>
          </w:p>
        </w:tc>
      </w:tr>
    </w:tbl>
    <w:p w14:paraId="4CAB1F55" w14:textId="61D6733D" w:rsidR="00E92264" w:rsidRDefault="00E92264" w:rsidP="00E92264">
      <w:pPr>
        <w:pStyle w:val="Zdrojapozn"/>
      </w:pPr>
      <w:r w:rsidRPr="00F75C19">
        <w:rPr>
          <w:b/>
        </w:rPr>
        <w:t>Zdroj:</w:t>
      </w:r>
      <w:r>
        <w:t xml:space="preserve"> EIS MD NAV, účetní závěrk</w:t>
      </w:r>
      <w:r w:rsidR="000367D7">
        <w:t>y</w:t>
      </w:r>
      <w:r>
        <w:t xml:space="preserve"> sestaven</w:t>
      </w:r>
      <w:r w:rsidR="000367D7">
        <w:t>é</w:t>
      </w:r>
      <w:r>
        <w:t xml:space="preserve"> ke dn</w:t>
      </w:r>
      <w:r w:rsidR="000367D7">
        <w:t>ům</w:t>
      </w:r>
      <w:r>
        <w:t xml:space="preserve"> 31. 12. 2014, 31. 12. 2015 a 31. 12. 2016</w:t>
      </w:r>
      <w:r w:rsidR="00F75C19">
        <w:t>.</w:t>
      </w:r>
    </w:p>
    <w:p w14:paraId="313CC553" w14:textId="2D23E3A3" w:rsidR="00686C49" w:rsidRDefault="00E92264" w:rsidP="00E92264">
      <w:pPr>
        <w:pStyle w:val="TextKP"/>
        <w:rPr>
          <w:b/>
        </w:rPr>
      </w:pPr>
      <w:r w:rsidRPr="00D360F8">
        <w:rPr>
          <w:b/>
        </w:rPr>
        <w:t>SZÚ nepostupoval v souladu s</w:t>
      </w:r>
      <w:r w:rsidR="007B5B72">
        <w:rPr>
          <w:b/>
        </w:rPr>
        <w:t xml:space="preserve"> ustanovením</w:t>
      </w:r>
      <w:r w:rsidRPr="00D360F8">
        <w:rPr>
          <w:b/>
        </w:rPr>
        <w:t xml:space="preserve"> § 58 odst. 2 zákona č. 218</w:t>
      </w:r>
      <w:r w:rsidR="001C18F0">
        <w:rPr>
          <w:b/>
        </w:rPr>
        <w:t>/2000 Sb., neboť ke</w:t>
      </w:r>
      <w:r w:rsidR="00CA6F5D">
        <w:rPr>
          <w:b/>
        </w:rPr>
        <w:t xml:space="preserve"> </w:t>
      </w:r>
      <w:r>
        <w:rPr>
          <w:b/>
        </w:rPr>
        <w:t>dni 31. 12. </w:t>
      </w:r>
      <w:r w:rsidRPr="00D360F8">
        <w:rPr>
          <w:b/>
        </w:rPr>
        <w:t>2015 čerp</w:t>
      </w:r>
      <w:r w:rsidR="008776CC">
        <w:rPr>
          <w:b/>
        </w:rPr>
        <w:t>al</w:t>
      </w:r>
      <w:r w:rsidRPr="00D360F8">
        <w:rPr>
          <w:b/>
        </w:rPr>
        <w:t xml:space="preserve"> </w:t>
      </w:r>
      <w:r>
        <w:rPr>
          <w:b/>
        </w:rPr>
        <w:t>fond reprodukce majetku</w:t>
      </w:r>
      <w:r w:rsidRPr="00D360F8">
        <w:rPr>
          <w:b/>
        </w:rPr>
        <w:t xml:space="preserve"> ve výši 1</w:t>
      </w:r>
      <w:r w:rsidR="006B327B">
        <w:rPr>
          <w:b/>
        </w:rPr>
        <w:t> </w:t>
      </w:r>
      <w:r w:rsidRPr="00D360F8">
        <w:rPr>
          <w:b/>
        </w:rPr>
        <w:t>81</w:t>
      </w:r>
      <w:r w:rsidR="006B327B">
        <w:rPr>
          <w:b/>
        </w:rPr>
        <w:t>6,95</w:t>
      </w:r>
      <w:r w:rsidR="003C6542">
        <w:rPr>
          <w:b/>
        </w:rPr>
        <w:t xml:space="preserve"> tis.</w:t>
      </w:r>
      <w:r w:rsidRPr="00D360F8">
        <w:rPr>
          <w:b/>
        </w:rPr>
        <w:t xml:space="preserve"> Kč</w:t>
      </w:r>
      <w:r w:rsidR="00F44AA1">
        <w:rPr>
          <w:b/>
        </w:rPr>
        <w:t xml:space="preserve"> a</w:t>
      </w:r>
      <w:r w:rsidR="00FF7032">
        <w:rPr>
          <w:b/>
        </w:rPr>
        <w:t xml:space="preserve"> </w:t>
      </w:r>
      <w:r>
        <w:rPr>
          <w:b/>
        </w:rPr>
        <w:t>ke</w:t>
      </w:r>
      <w:r w:rsidR="00FF7032">
        <w:rPr>
          <w:b/>
        </w:rPr>
        <w:t xml:space="preserve"> </w:t>
      </w:r>
      <w:r w:rsidR="001C18F0">
        <w:rPr>
          <w:b/>
        </w:rPr>
        <w:t>dni 31. 12. 2016 ve</w:t>
      </w:r>
      <w:r w:rsidR="00CA6F5D">
        <w:rPr>
          <w:b/>
        </w:rPr>
        <w:t xml:space="preserve"> </w:t>
      </w:r>
      <w:r w:rsidRPr="00D360F8">
        <w:rPr>
          <w:b/>
        </w:rPr>
        <w:t>výši 5</w:t>
      </w:r>
      <w:r w:rsidR="006B327B">
        <w:rPr>
          <w:b/>
        </w:rPr>
        <w:t> </w:t>
      </w:r>
      <w:r w:rsidRPr="00D360F8">
        <w:rPr>
          <w:b/>
        </w:rPr>
        <w:t>08</w:t>
      </w:r>
      <w:r w:rsidR="006B327B">
        <w:rPr>
          <w:b/>
        </w:rPr>
        <w:t>6,73 </w:t>
      </w:r>
      <w:r w:rsidR="003C6542">
        <w:rPr>
          <w:b/>
        </w:rPr>
        <w:t>tis.</w:t>
      </w:r>
      <w:r w:rsidRPr="00D360F8">
        <w:rPr>
          <w:b/>
        </w:rPr>
        <w:t xml:space="preserve"> Kč </w:t>
      </w:r>
      <w:r>
        <w:rPr>
          <w:b/>
        </w:rPr>
        <w:t>na pokrytí</w:t>
      </w:r>
      <w:r w:rsidRPr="00D360F8">
        <w:rPr>
          <w:b/>
        </w:rPr>
        <w:t xml:space="preserve"> mzdových </w:t>
      </w:r>
      <w:r w:rsidR="00F16AB9">
        <w:rPr>
          <w:b/>
        </w:rPr>
        <w:t>nákladů,</w:t>
      </w:r>
      <w:r>
        <w:rPr>
          <w:b/>
        </w:rPr>
        <w:t xml:space="preserve"> </w:t>
      </w:r>
      <w:r w:rsidRPr="00D360F8">
        <w:rPr>
          <w:b/>
        </w:rPr>
        <w:t>ačkoliv</w:t>
      </w:r>
      <w:r w:rsidR="006B327B">
        <w:rPr>
          <w:b/>
        </w:rPr>
        <w:t xml:space="preserve"> citované ustanovení zákona č. </w:t>
      </w:r>
      <w:r w:rsidRPr="00D360F8">
        <w:rPr>
          <w:b/>
        </w:rPr>
        <w:t xml:space="preserve">218/2000 Sb. </w:t>
      </w:r>
      <w:r>
        <w:rPr>
          <w:b/>
        </w:rPr>
        <w:t>tento účel</w:t>
      </w:r>
      <w:r w:rsidRPr="00D360F8">
        <w:rPr>
          <w:b/>
        </w:rPr>
        <w:t xml:space="preserve"> </w:t>
      </w:r>
      <w:r>
        <w:rPr>
          <w:b/>
        </w:rPr>
        <w:t>použití prostředků</w:t>
      </w:r>
      <w:r w:rsidRPr="00D360F8">
        <w:rPr>
          <w:b/>
        </w:rPr>
        <w:t xml:space="preserve"> fondu</w:t>
      </w:r>
      <w:r w:rsidR="003C6542">
        <w:rPr>
          <w:b/>
        </w:rPr>
        <w:t xml:space="preserve"> reprodukce majetku neumožňuje</w:t>
      </w:r>
      <w:r w:rsidR="00F44AA1">
        <w:rPr>
          <w:b/>
        </w:rPr>
        <w:t xml:space="preserve">. </w:t>
      </w:r>
      <w:r>
        <w:rPr>
          <w:b/>
        </w:rPr>
        <w:t>SZÚ</w:t>
      </w:r>
      <w:r w:rsidR="00CA6F5D">
        <w:rPr>
          <w:b/>
        </w:rPr>
        <w:t xml:space="preserve"> </w:t>
      </w:r>
      <w:r>
        <w:rPr>
          <w:b/>
        </w:rPr>
        <w:t xml:space="preserve">čerpal prostředky </w:t>
      </w:r>
      <w:r w:rsidR="008E2C48">
        <w:rPr>
          <w:b/>
        </w:rPr>
        <w:t xml:space="preserve">FRM </w:t>
      </w:r>
      <w:r>
        <w:rPr>
          <w:b/>
        </w:rPr>
        <w:t>ke krytí části mzdových</w:t>
      </w:r>
      <w:r w:rsidR="00F16AB9">
        <w:rPr>
          <w:b/>
        </w:rPr>
        <w:t xml:space="preserve"> nákladů</w:t>
      </w:r>
      <w:r>
        <w:rPr>
          <w:b/>
        </w:rPr>
        <w:t xml:space="preserve"> na</w:t>
      </w:r>
      <w:r w:rsidR="00CA6F5D">
        <w:rPr>
          <w:b/>
        </w:rPr>
        <w:t xml:space="preserve"> </w:t>
      </w:r>
      <w:r w:rsidRPr="003F1E8C">
        <w:rPr>
          <w:b/>
        </w:rPr>
        <w:t>platy zaměstnanců střediska 195</w:t>
      </w:r>
      <w:r w:rsidR="009261AD">
        <w:rPr>
          <w:b/>
        </w:rPr>
        <w:t> </w:t>
      </w:r>
      <w:r w:rsidRPr="00B428C8">
        <w:rPr>
          <w:b/>
          <w:i/>
        </w:rPr>
        <w:t>Pracoviště údržby a dopravy</w:t>
      </w:r>
      <w:r w:rsidRPr="003F1E8C">
        <w:rPr>
          <w:b/>
        </w:rPr>
        <w:t xml:space="preserve"> a 196 </w:t>
      </w:r>
      <w:r w:rsidRPr="00B428C8">
        <w:rPr>
          <w:b/>
          <w:i/>
        </w:rPr>
        <w:t>Pracoviště hospodářské správy</w:t>
      </w:r>
      <w:r w:rsidR="008E2C48">
        <w:rPr>
          <w:b/>
        </w:rPr>
        <w:t>. Podle</w:t>
      </w:r>
      <w:r w:rsidR="00CA6F5D">
        <w:rPr>
          <w:b/>
        </w:rPr>
        <w:t xml:space="preserve"> </w:t>
      </w:r>
      <w:r w:rsidR="008E2C48">
        <w:rPr>
          <w:b/>
        </w:rPr>
        <w:t>vyjádření SZÚ se</w:t>
      </w:r>
      <w:r w:rsidR="00CA6F5D">
        <w:rPr>
          <w:b/>
        </w:rPr>
        <w:t xml:space="preserve"> </w:t>
      </w:r>
      <w:r>
        <w:rPr>
          <w:b/>
        </w:rPr>
        <w:t>jednalo o</w:t>
      </w:r>
      <w:r w:rsidR="00CA6F5D">
        <w:rPr>
          <w:b/>
        </w:rPr>
        <w:t xml:space="preserve"> </w:t>
      </w:r>
      <w:r>
        <w:rPr>
          <w:b/>
        </w:rPr>
        <w:t>„</w:t>
      </w:r>
      <w:r w:rsidRPr="0018003B">
        <w:rPr>
          <w:b/>
          <w:i/>
        </w:rPr>
        <w:t>dopočtenou výši k dosažení vyrovnaného hospodářského výsledku</w:t>
      </w:r>
      <w:r>
        <w:rPr>
          <w:b/>
        </w:rPr>
        <w:t>“</w:t>
      </w:r>
      <w:r w:rsidRPr="003F1E8C">
        <w:rPr>
          <w:b/>
        </w:rPr>
        <w:t>.</w:t>
      </w:r>
      <w:r w:rsidR="0023051A">
        <w:rPr>
          <w:b/>
        </w:rPr>
        <w:t xml:space="preserve"> </w:t>
      </w:r>
    </w:p>
    <w:p w14:paraId="036AC7E4" w14:textId="2CC4F285" w:rsidR="00E92264" w:rsidRPr="00FE429D" w:rsidRDefault="00E92264" w:rsidP="00E92264">
      <w:pPr>
        <w:pStyle w:val="TextKP"/>
        <w:rPr>
          <w:b/>
        </w:rPr>
      </w:pPr>
      <w:r w:rsidRPr="00FE429D">
        <w:rPr>
          <w:b/>
        </w:rPr>
        <w:t xml:space="preserve">SZÚ uvedeným způsobem porušil rozpočtovou kázeň ve smyslu </w:t>
      </w:r>
      <w:r w:rsidR="00D77FED">
        <w:rPr>
          <w:b/>
        </w:rPr>
        <w:t xml:space="preserve">ustanovení </w:t>
      </w:r>
      <w:r w:rsidRPr="00FE429D">
        <w:rPr>
          <w:b/>
        </w:rPr>
        <w:t>§ 44 odst. 1 p</w:t>
      </w:r>
      <w:r w:rsidR="001C18F0">
        <w:rPr>
          <w:b/>
        </w:rPr>
        <w:t>ísm. </w:t>
      </w:r>
      <w:r>
        <w:rPr>
          <w:b/>
        </w:rPr>
        <w:t>a) zákona č. 218/2000 </w:t>
      </w:r>
      <w:r w:rsidRPr="00FE429D">
        <w:rPr>
          <w:b/>
        </w:rPr>
        <w:t>Sb.</w:t>
      </w:r>
      <w:r w:rsidR="008E2C48">
        <w:rPr>
          <w:b/>
        </w:rPr>
        <w:t>, neboť peněžní prostředky ve</w:t>
      </w:r>
      <w:r w:rsidR="00CA6F5D">
        <w:rPr>
          <w:b/>
        </w:rPr>
        <w:t xml:space="preserve"> </w:t>
      </w:r>
      <w:r w:rsidRPr="00FE429D">
        <w:rPr>
          <w:b/>
        </w:rPr>
        <w:t xml:space="preserve">výši </w:t>
      </w:r>
      <w:r>
        <w:rPr>
          <w:b/>
        </w:rPr>
        <w:t>1</w:t>
      </w:r>
      <w:r w:rsidR="006B327B">
        <w:rPr>
          <w:b/>
        </w:rPr>
        <w:t> </w:t>
      </w:r>
      <w:r>
        <w:rPr>
          <w:b/>
        </w:rPr>
        <w:t>81</w:t>
      </w:r>
      <w:r w:rsidR="006B327B">
        <w:rPr>
          <w:b/>
        </w:rPr>
        <w:t>6,95</w:t>
      </w:r>
      <w:r w:rsidR="003C6542">
        <w:rPr>
          <w:b/>
        </w:rPr>
        <w:t xml:space="preserve"> tis.</w:t>
      </w:r>
      <w:r>
        <w:rPr>
          <w:b/>
        </w:rPr>
        <w:t xml:space="preserve"> Kč v roce </w:t>
      </w:r>
      <w:r>
        <w:rPr>
          <w:b/>
        </w:rPr>
        <w:lastRenderedPageBreak/>
        <w:t>2015 a peněžní prostředky ve výši 5</w:t>
      </w:r>
      <w:r w:rsidR="006B327B">
        <w:rPr>
          <w:b/>
        </w:rPr>
        <w:t> </w:t>
      </w:r>
      <w:r>
        <w:rPr>
          <w:b/>
        </w:rPr>
        <w:t>08</w:t>
      </w:r>
      <w:r w:rsidR="006B327B">
        <w:rPr>
          <w:b/>
        </w:rPr>
        <w:t>6,73</w:t>
      </w:r>
      <w:r w:rsidR="003C6542">
        <w:rPr>
          <w:b/>
        </w:rPr>
        <w:t xml:space="preserve"> tis.</w:t>
      </w:r>
      <w:r>
        <w:rPr>
          <w:b/>
        </w:rPr>
        <w:t xml:space="preserve"> Kč v roce 2016</w:t>
      </w:r>
      <w:r w:rsidRPr="00FE429D">
        <w:rPr>
          <w:b/>
        </w:rPr>
        <w:t xml:space="preserve"> použil neoprávněně,</w:t>
      </w:r>
      <w:r>
        <w:rPr>
          <w:b/>
        </w:rPr>
        <w:t xml:space="preserve"> </w:t>
      </w:r>
      <w:r w:rsidR="00A3254F">
        <w:rPr>
          <w:b/>
        </w:rPr>
        <w:t>když</w:t>
      </w:r>
      <w:r w:rsidR="00CA6F5D">
        <w:rPr>
          <w:b/>
        </w:rPr>
        <w:t xml:space="preserve"> </w:t>
      </w:r>
      <w:r>
        <w:rPr>
          <w:b/>
        </w:rPr>
        <w:t>čerpal prostředky fondu reprodukce majetku v rozporu se zák</w:t>
      </w:r>
      <w:r w:rsidR="00D77FED">
        <w:rPr>
          <w:b/>
        </w:rPr>
        <w:t>onem č. 218/2000 Sb.</w:t>
      </w:r>
    </w:p>
    <w:p w14:paraId="7D62CE7C" w14:textId="77777777" w:rsidR="005D0605" w:rsidRPr="00BB7D21" w:rsidRDefault="005D0605" w:rsidP="005D0605">
      <w:pPr>
        <w:pStyle w:val="Nadpis2"/>
      </w:pPr>
      <w:r w:rsidRPr="00BB7D21">
        <w:t>K části II. bodu 4:</w:t>
      </w:r>
    </w:p>
    <w:p w14:paraId="22AB1806" w14:textId="1BBE0D2D" w:rsidR="0012121A" w:rsidRPr="0012121A" w:rsidRDefault="0012121A" w:rsidP="0012121A">
      <w:pPr>
        <w:spacing w:before="120" w:after="120"/>
        <w:jc w:val="both"/>
        <w:rPr>
          <w:rFonts w:asciiTheme="minorHAnsi" w:hAnsiTheme="minorHAnsi" w:cs="Calibri"/>
          <w:b/>
          <w:color w:val="000000"/>
        </w:rPr>
      </w:pPr>
      <w:r w:rsidRPr="0012121A">
        <w:rPr>
          <w:rFonts w:asciiTheme="minorHAnsi" w:hAnsiTheme="minorHAnsi" w:cs="Calibri"/>
          <w:b/>
          <w:color w:val="000000"/>
        </w:rPr>
        <w:t>SZÚ v roce 2014 používal rezervní fond</w:t>
      </w:r>
      <w:r w:rsidR="002F5D40">
        <w:rPr>
          <w:rFonts w:asciiTheme="minorHAnsi" w:hAnsiTheme="minorHAnsi" w:cs="Calibri"/>
          <w:b/>
          <w:color w:val="000000"/>
        </w:rPr>
        <w:t xml:space="preserve"> neprůkazně a</w:t>
      </w:r>
      <w:r w:rsidRPr="0012121A">
        <w:rPr>
          <w:rFonts w:asciiTheme="minorHAnsi" w:hAnsiTheme="minorHAnsi" w:cs="Calibri"/>
          <w:b/>
          <w:color w:val="000000"/>
        </w:rPr>
        <w:t xml:space="preserve"> netransparentně</w:t>
      </w:r>
    </w:p>
    <w:p w14:paraId="2EB5C25F" w14:textId="13C8F15A" w:rsidR="00A52BED" w:rsidRDefault="00F80496" w:rsidP="00627B42">
      <w:pPr>
        <w:pStyle w:val="TextKP"/>
      </w:pPr>
      <w:r>
        <w:t>NKÚ prověřil</w:t>
      </w:r>
      <w:r w:rsidR="00A52BED" w:rsidRPr="00F22A47">
        <w:t xml:space="preserve"> tvorb</w:t>
      </w:r>
      <w:r>
        <w:t>u</w:t>
      </w:r>
      <w:r w:rsidR="00A52BED" w:rsidRPr="00F22A47">
        <w:t xml:space="preserve"> a čerpání </w:t>
      </w:r>
      <w:r w:rsidR="00A52BED">
        <w:t xml:space="preserve">rezervního </w:t>
      </w:r>
      <w:r w:rsidR="00A52BED" w:rsidRPr="00F22A47">
        <w:t xml:space="preserve">fondu </w:t>
      </w:r>
      <w:r w:rsidR="0096377E">
        <w:t>SZÚ</w:t>
      </w:r>
      <w:r w:rsidR="00627B42">
        <w:t xml:space="preserve"> v letech 2014 až</w:t>
      </w:r>
      <w:r>
        <w:t xml:space="preserve"> </w:t>
      </w:r>
      <w:r w:rsidR="00A52BED" w:rsidRPr="00F22A47">
        <w:t xml:space="preserve">2016. </w:t>
      </w:r>
      <w:r w:rsidR="00A52BED" w:rsidRPr="00D07431">
        <w:t>SZÚ</w:t>
      </w:r>
      <w:r>
        <w:rPr>
          <w:b/>
        </w:rPr>
        <w:t xml:space="preserve"> </w:t>
      </w:r>
      <w:r w:rsidR="00A52BED" w:rsidRPr="00D07431">
        <w:t>prostřednictvím rezervního fondu účtuje o</w:t>
      </w:r>
      <w:r w:rsidR="00CA6F5D">
        <w:t xml:space="preserve"> </w:t>
      </w:r>
      <w:r w:rsidR="00A52BED" w:rsidRPr="00D07431">
        <w:t>prostředcích poskytnutý</w:t>
      </w:r>
      <w:r w:rsidR="00F44AA1">
        <w:t>ch</w:t>
      </w:r>
      <w:r w:rsidR="005D0605">
        <w:t xml:space="preserve"> SZÚ ze</w:t>
      </w:r>
      <w:r>
        <w:t xml:space="preserve"> </w:t>
      </w:r>
      <w:r w:rsidR="00A52BED" w:rsidRPr="00D07431">
        <w:t>zahraničí</w:t>
      </w:r>
      <w:r w:rsidR="00627B42">
        <w:t xml:space="preserve">. </w:t>
      </w:r>
      <w:r w:rsidR="00A52BED">
        <w:t>Kontrolou byla prověřena pr</w:t>
      </w:r>
      <w:r w:rsidR="005063D7">
        <w:t>ůkaznost</w:t>
      </w:r>
      <w:r w:rsidR="00A52BED">
        <w:t xml:space="preserve"> vybraných převodů z rezervního fondu na</w:t>
      </w:r>
      <w:r w:rsidR="00CA6F5D">
        <w:t xml:space="preserve"> </w:t>
      </w:r>
      <w:r w:rsidR="00A52BED">
        <w:t>běžný účet, resp. pr</w:t>
      </w:r>
      <w:r w:rsidR="005063D7">
        <w:t>ůkaz</w:t>
      </w:r>
      <w:r w:rsidR="00A52BED">
        <w:t>nost</w:t>
      </w:r>
      <w:r>
        <w:t>,</w:t>
      </w:r>
      <w:r w:rsidR="00A52BED">
        <w:t xml:space="preserve"> na jaký účel byly peněžní prostředky z rezervního fondu použity. </w:t>
      </w:r>
      <w:r w:rsidR="00627B42">
        <w:t>Ve</w:t>
      </w:r>
      <w:r w:rsidR="00CA6F5D">
        <w:rPr>
          <w:b/>
        </w:rPr>
        <w:t xml:space="preserve"> </w:t>
      </w:r>
      <w:r w:rsidR="00627B42">
        <w:t>většině případ</w:t>
      </w:r>
      <w:r>
        <w:t>ů</w:t>
      </w:r>
      <w:r w:rsidR="00627B42">
        <w:t xml:space="preserve"> se jednalo o</w:t>
      </w:r>
      <w:r w:rsidR="00A52BED">
        <w:t xml:space="preserve"> hromadné převody k více projektům</w:t>
      </w:r>
      <w:r w:rsidR="00F44AA1">
        <w:t>.</w:t>
      </w:r>
    </w:p>
    <w:p w14:paraId="5166F35B" w14:textId="334A8756" w:rsidR="00A52BED" w:rsidRPr="00EA4B14" w:rsidRDefault="00A52BED" w:rsidP="00A52BED">
      <w:pPr>
        <w:pStyle w:val="TextKP"/>
        <w:rPr>
          <w:b/>
        </w:rPr>
      </w:pPr>
      <w:r>
        <w:rPr>
          <w:b/>
        </w:rPr>
        <w:t>SZÚ nepostupoval v souladu s</w:t>
      </w:r>
      <w:r w:rsidR="00697EA1">
        <w:rPr>
          <w:b/>
        </w:rPr>
        <w:t xml:space="preserve"> ustanovením </w:t>
      </w:r>
      <w:r>
        <w:rPr>
          <w:b/>
        </w:rPr>
        <w:t>§ 57 odst. 4 zákona č. 218/2000 Sb. tím, že ke</w:t>
      </w:r>
      <w:r w:rsidR="00CA6F5D">
        <w:rPr>
          <w:b/>
        </w:rPr>
        <w:t xml:space="preserve"> </w:t>
      </w:r>
      <w:r>
        <w:rPr>
          <w:b/>
        </w:rPr>
        <w:t>dni 31. 1. 2014 převedl peněžní prostředky v celkové výši 3</w:t>
      </w:r>
      <w:r w:rsidR="006B327B">
        <w:rPr>
          <w:b/>
        </w:rPr>
        <w:t> </w:t>
      </w:r>
      <w:r>
        <w:rPr>
          <w:b/>
        </w:rPr>
        <w:t>96</w:t>
      </w:r>
      <w:r w:rsidR="006B327B">
        <w:rPr>
          <w:b/>
        </w:rPr>
        <w:t>5,79</w:t>
      </w:r>
      <w:r w:rsidR="00EE5F9A">
        <w:rPr>
          <w:b/>
        </w:rPr>
        <w:t xml:space="preserve"> tis.</w:t>
      </w:r>
      <w:r>
        <w:rPr>
          <w:b/>
        </w:rPr>
        <w:t xml:space="preserve"> Kč z rezervního fondu</w:t>
      </w:r>
      <w:r>
        <w:rPr>
          <w:b/>
          <w:i/>
        </w:rPr>
        <w:t xml:space="preserve"> </w:t>
      </w:r>
      <w:r>
        <w:rPr>
          <w:b/>
        </w:rPr>
        <w:t>(z</w:t>
      </w:r>
      <w:r w:rsidR="001C18F0">
        <w:rPr>
          <w:b/>
        </w:rPr>
        <w:t> </w:t>
      </w:r>
      <w:r>
        <w:rPr>
          <w:b/>
        </w:rPr>
        <w:t xml:space="preserve">běžného účtu rezervního fondu AÚ 245202 – </w:t>
      </w:r>
      <w:r>
        <w:rPr>
          <w:b/>
          <w:i/>
        </w:rPr>
        <w:t>Rezervní fond</w:t>
      </w:r>
      <w:r>
        <w:rPr>
          <w:b/>
        </w:rPr>
        <w:t xml:space="preserve">) na běžný účet (AÚ 241016 </w:t>
      </w:r>
      <w:r w:rsidR="00F80496">
        <w:rPr>
          <w:b/>
        </w:rPr>
        <w:t>–</w:t>
      </w:r>
      <w:r w:rsidRPr="006138E3">
        <w:rPr>
          <w:b/>
        </w:rPr>
        <w:t xml:space="preserve"> </w:t>
      </w:r>
      <w:r w:rsidRPr="006138E3">
        <w:rPr>
          <w:b/>
          <w:i/>
        </w:rPr>
        <w:t>Běžný účet-ČNB</w:t>
      </w:r>
      <w:r w:rsidR="00EE5F9A">
        <w:rPr>
          <w:b/>
        </w:rPr>
        <w:t xml:space="preserve">), i když </w:t>
      </w:r>
      <w:r w:rsidR="0096377E">
        <w:rPr>
          <w:b/>
        </w:rPr>
        <w:t xml:space="preserve">z podkladů pro provedení operace </w:t>
      </w:r>
      <w:r>
        <w:rPr>
          <w:b/>
        </w:rPr>
        <w:t>nebylo průkazné</w:t>
      </w:r>
      <w:r w:rsidR="00F86D1D">
        <w:rPr>
          <w:b/>
        </w:rPr>
        <w:t>,</w:t>
      </w:r>
      <w:r>
        <w:rPr>
          <w:b/>
        </w:rPr>
        <w:t xml:space="preserve"> </w:t>
      </w:r>
      <w:r w:rsidR="00F86D1D">
        <w:rPr>
          <w:b/>
        </w:rPr>
        <w:t>zda</w:t>
      </w:r>
      <w:r>
        <w:rPr>
          <w:b/>
        </w:rPr>
        <w:t xml:space="preserve"> tyto peněžní prostředky </w:t>
      </w:r>
      <w:r w:rsidR="00F86D1D">
        <w:rPr>
          <w:b/>
        </w:rPr>
        <w:t xml:space="preserve">byly </w:t>
      </w:r>
      <w:r>
        <w:rPr>
          <w:b/>
        </w:rPr>
        <w:t>vynaloženy</w:t>
      </w:r>
      <w:r w:rsidR="00F86D1D">
        <w:rPr>
          <w:b/>
        </w:rPr>
        <w:t xml:space="preserve"> v souladu s jejich určením</w:t>
      </w:r>
      <w:r>
        <w:rPr>
          <w:b/>
        </w:rPr>
        <w:t>. Z předložených dokladů a</w:t>
      </w:r>
      <w:r w:rsidR="00F80496">
        <w:rPr>
          <w:b/>
        </w:rPr>
        <w:t>ni</w:t>
      </w:r>
      <w:r w:rsidR="00CA6F5D">
        <w:rPr>
          <w:b/>
        </w:rPr>
        <w:t xml:space="preserve"> </w:t>
      </w:r>
      <w:r>
        <w:rPr>
          <w:b/>
        </w:rPr>
        <w:t>z</w:t>
      </w:r>
      <w:r w:rsidR="0096377E">
        <w:rPr>
          <w:b/>
        </w:rPr>
        <w:t> údajů</w:t>
      </w:r>
      <w:r>
        <w:rPr>
          <w:b/>
        </w:rPr>
        <w:t xml:space="preserve"> </w:t>
      </w:r>
      <w:r w:rsidR="00EE5F9A">
        <w:rPr>
          <w:b/>
        </w:rPr>
        <w:t>ekonomického informačního systému SZÚ</w:t>
      </w:r>
      <w:r>
        <w:rPr>
          <w:b/>
        </w:rPr>
        <w:t xml:space="preserve"> nelze prokázat, že </w:t>
      </w:r>
      <w:r w:rsidR="008A7E0C">
        <w:rPr>
          <w:b/>
        </w:rPr>
        <w:t>SZÚ</w:t>
      </w:r>
      <w:r>
        <w:rPr>
          <w:b/>
        </w:rPr>
        <w:t xml:space="preserve"> peněžní prostředky poskytnuté ze zahraničí, </w:t>
      </w:r>
      <w:r w:rsidR="001A3BAF">
        <w:rPr>
          <w:b/>
        </w:rPr>
        <w:t xml:space="preserve">které </w:t>
      </w:r>
      <w:r w:rsidR="00F80496">
        <w:rPr>
          <w:b/>
        </w:rPr>
        <w:t>byly</w:t>
      </w:r>
      <w:r w:rsidR="001A3BAF">
        <w:rPr>
          <w:b/>
        </w:rPr>
        <w:t xml:space="preserve"> zdrojem rezervního fondu SZÚ</w:t>
      </w:r>
      <w:r>
        <w:rPr>
          <w:b/>
        </w:rPr>
        <w:t>, použil v</w:t>
      </w:r>
      <w:r w:rsidR="001A12FC">
        <w:rPr>
          <w:b/>
        </w:rPr>
        <w:t> </w:t>
      </w:r>
      <w:r>
        <w:rPr>
          <w:b/>
        </w:rPr>
        <w:t>roce</w:t>
      </w:r>
      <w:r w:rsidR="001A12FC">
        <w:rPr>
          <w:b/>
        </w:rPr>
        <w:t> </w:t>
      </w:r>
      <w:r>
        <w:rPr>
          <w:b/>
        </w:rPr>
        <w:t xml:space="preserve">2014 v uvedené </w:t>
      </w:r>
      <w:r w:rsidR="006B327B">
        <w:rPr>
          <w:b/>
        </w:rPr>
        <w:t>výši</w:t>
      </w:r>
      <w:r>
        <w:rPr>
          <w:b/>
        </w:rPr>
        <w:t xml:space="preserve"> v souladu s jejich určením.</w:t>
      </w:r>
    </w:p>
    <w:p w14:paraId="1D520655" w14:textId="77777777" w:rsidR="005D0605" w:rsidRPr="00EE07AF" w:rsidRDefault="005D0605" w:rsidP="005D0605">
      <w:pPr>
        <w:pStyle w:val="Nadpis2"/>
      </w:pPr>
      <w:r w:rsidRPr="00EE07AF">
        <w:t>K části II. bodu 5:</w:t>
      </w:r>
    </w:p>
    <w:p w14:paraId="51322E9D" w14:textId="347A8F74" w:rsidR="002B7A34" w:rsidRDefault="0012121A" w:rsidP="005D0605">
      <w:pPr>
        <w:pStyle w:val="TextKP"/>
        <w:numPr>
          <w:ilvl w:val="0"/>
          <w:numId w:val="17"/>
        </w:numPr>
        <w:spacing w:after="120"/>
        <w:ind w:left="284" w:hanging="284"/>
        <w:rPr>
          <w:b/>
        </w:rPr>
      </w:pPr>
      <w:r w:rsidRPr="0012121A">
        <w:rPr>
          <w:b/>
        </w:rPr>
        <w:t xml:space="preserve">SZÚ pořizoval </w:t>
      </w:r>
      <w:r w:rsidR="00B95F69">
        <w:rPr>
          <w:b/>
        </w:rPr>
        <w:t xml:space="preserve">speciální zdravotnický materiál </w:t>
      </w:r>
      <w:r w:rsidR="005D0605">
        <w:rPr>
          <w:b/>
        </w:rPr>
        <w:t xml:space="preserve">v rozporu se zákonem </w:t>
      </w:r>
      <w:r w:rsidR="00B95F69">
        <w:rPr>
          <w:b/>
        </w:rPr>
        <w:t>č. 137/2006 Sb.</w:t>
      </w:r>
    </w:p>
    <w:p w14:paraId="053358E7" w14:textId="5A9A4834" w:rsidR="004839F3" w:rsidRDefault="00AC3EA0" w:rsidP="00AC3EA0">
      <w:pPr>
        <w:pStyle w:val="TextKP"/>
      </w:pPr>
      <w:r>
        <w:rPr>
          <w:rFonts w:eastAsia="Calibri"/>
        </w:rPr>
        <w:t xml:space="preserve">SZÚ si od roku 2006 najímá na základě dvou nájemních smluv čtyři speciální přístroje pro národní referenční laboratoře (dále také „NRL“), resp. NRL oddělení virových hepatitid a NRL oddělení HIV/AIDS. </w:t>
      </w:r>
      <w:r w:rsidR="00676A51">
        <w:rPr>
          <w:rFonts w:eastAsia="Calibri"/>
        </w:rPr>
        <w:t>Nájemní smlouvy nejsou vedeny v jednotné evidenci smluv</w:t>
      </w:r>
      <w:r w:rsidR="00F86D1D">
        <w:rPr>
          <w:rFonts w:eastAsia="Calibri"/>
        </w:rPr>
        <w:t xml:space="preserve"> SZÚ</w:t>
      </w:r>
      <w:r w:rsidR="00676A51">
        <w:rPr>
          <w:rFonts w:eastAsia="Calibri"/>
        </w:rPr>
        <w:t>.</w:t>
      </w:r>
    </w:p>
    <w:p w14:paraId="73451280" w14:textId="722D035F" w:rsidR="00AC3EA0" w:rsidRPr="00676A51" w:rsidRDefault="00AC3EA0" w:rsidP="00AC3EA0">
      <w:pPr>
        <w:pStyle w:val="TextKP"/>
      </w:pPr>
      <w:r>
        <w:t xml:space="preserve">Obě nájemní smlouvy SZÚ uzavřel </w:t>
      </w:r>
      <w:r w:rsidRPr="007C79D6">
        <w:rPr>
          <w:u w:val="single"/>
        </w:rPr>
        <w:t>na dobu neurčitou</w:t>
      </w:r>
      <w:r>
        <w:t xml:space="preserve"> s možností v</w:t>
      </w:r>
      <w:r w:rsidR="005D0605">
        <w:t xml:space="preserve">ypovědět smlouvy </w:t>
      </w:r>
      <w:r>
        <w:t xml:space="preserve">bez udání důvodu s výpovědní lhůtou </w:t>
      </w:r>
      <w:r w:rsidR="000741C4">
        <w:t>tři</w:t>
      </w:r>
      <w:r>
        <w:t xml:space="preserve"> měsíce. </w:t>
      </w:r>
      <w:r w:rsidR="004839F3">
        <w:t xml:space="preserve">Výše nájemného se v průběhu platnosti smluv </w:t>
      </w:r>
      <w:r w:rsidR="00945433">
        <w:t>neměnila a činila</w:t>
      </w:r>
      <w:r w:rsidR="004839F3">
        <w:t xml:space="preserve"> 17 300 Kč včetně DPH</w:t>
      </w:r>
      <w:r w:rsidR="00945433">
        <w:t>, nicméně za stejné dva přístroje SZÚ platil v jednom případě nájemné ve výši 12 350 Kč včetně DPH a v druhém případě jen 4 950 Kč včetně DPH</w:t>
      </w:r>
      <w:r w:rsidR="004839F3">
        <w:t>.</w:t>
      </w:r>
      <w:r w:rsidR="00945433">
        <w:t xml:space="preserve"> </w:t>
      </w:r>
      <w:r w:rsidR="004839F3" w:rsidRPr="004839F3">
        <w:rPr>
          <w:u w:val="single"/>
        </w:rPr>
        <w:t>SZÚ</w:t>
      </w:r>
      <w:r w:rsidR="004839F3">
        <w:rPr>
          <w:u w:val="single"/>
        </w:rPr>
        <w:t xml:space="preserve"> zvolil</w:t>
      </w:r>
      <w:r w:rsidR="005D0605">
        <w:rPr>
          <w:u w:val="single"/>
        </w:rPr>
        <w:t xml:space="preserve"> </w:t>
      </w:r>
      <w:r w:rsidR="004839F3" w:rsidRPr="004839F3">
        <w:rPr>
          <w:u w:val="single"/>
        </w:rPr>
        <w:t xml:space="preserve">uzavřením nájemních smluv také dodavatele </w:t>
      </w:r>
      <w:r w:rsidR="00676A51">
        <w:rPr>
          <w:u w:val="single"/>
        </w:rPr>
        <w:t>SZM</w:t>
      </w:r>
      <w:r w:rsidR="004839F3" w:rsidRPr="004839F3">
        <w:rPr>
          <w:u w:val="single"/>
        </w:rPr>
        <w:t>, neboť se zavázal používat pro provoz přístrojů výhradně rea</w:t>
      </w:r>
      <w:r w:rsidR="00676A51">
        <w:rPr>
          <w:u w:val="single"/>
        </w:rPr>
        <w:t>gencie dodávané pronajímatelem.</w:t>
      </w:r>
    </w:p>
    <w:p w14:paraId="5DBC53BF" w14:textId="24AD20EB" w:rsidR="004839F3" w:rsidRPr="00F16AB9" w:rsidRDefault="004839F3" w:rsidP="004839F3">
      <w:pPr>
        <w:pStyle w:val="TextKP"/>
        <w:rPr>
          <w:b/>
        </w:rPr>
      </w:pPr>
      <w:r>
        <w:t xml:space="preserve">Kontrolou bylo zjištěno, že pronajímatel </w:t>
      </w:r>
      <w:proofErr w:type="gramStart"/>
      <w:r>
        <w:t>vystavil</w:t>
      </w:r>
      <w:proofErr w:type="gramEnd"/>
      <w:r>
        <w:t xml:space="preserve"> poslední fakturu za pronájem přístrojů </w:t>
      </w:r>
      <w:r w:rsidR="00D521A8">
        <w:t>za</w:t>
      </w:r>
      <w:r w:rsidR="00D8673A">
        <w:t xml:space="preserve"> </w:t>
      </w:r>
      <w:r>
        <w:t xml:space="preserve">období prosinec 2014, i když </w:t>
      </w:r>
      <w:r w:rsidR="003D5E0D">
        <w:t xml:space="preserve">ani jedna </w:t>
      </w:r>
      <w:r>
        <w:t>smlouv</w:t>
      </w:r>
      <w:r w:rsidR="003D5E0D">
        <w:t>a</w:t>
      </w:r>
      <w:r>
        <w:t xml:space="preserve"> nebyl</w:t>
      </w:r>
      <w:r w:rsidR="003D5E0D">
        <w:t>a</w:t>
      </w:r>
      <w:r>
        <w:t xml:space="preserve"> vypověze</w:t>
      </w:r>
      <w:r w:rsidR="00D521A8">
        <w:t>n</w:t>
      </w:r>
      <w:r w:rsidR="003D5E0D">
        <w:t>a</w:t>
      </w:r>
      <w:r w:rsidR="00D521A8">
        <w:t xml:space="preserve"> a </w:t>
      </w:r>
      <w:r w:rsidR="003D5E0D">
        <w:t xml:space="preserve">obě </w:t>
      </w:r>
      <w:r w:rsidR="00D521A8">
        <w:t>jsou v platnosti. Od 1. 1. </w:t>
      </w:r>
      <w:r>
        <w:t>2015 SZÚ neplatí pronajímateli za</w:t>
      </w:r>
      <w:r w:rsidR="00CA6F5D">
        <w:t xml:space="preserve"> </w:t>
      </w:r>
      <w:r>
        <w:t xml:space="preserve">pronájem přístrojů. </w:t>
      </w:r>
      <w:r w:rsidR="001A3BAF">
        <w:t xml:space="preserve">Vnitřní kontrolní systém </w:t>
      </w:r>
      <w:r>
        <w:t>SZÚ tuto skutečnost nezjistil</w:t>
      </w:r>
      <w:r w:rsidR="001A3BAF">
        <w:t>.</w:t>
      </w:r>
    </w:p>
    <w:p w14:paraId="0D76A34D" w14:textId="509D0F09" w:rsidR="0012121A" w:rsidRDefault="00676A51" w:rsidP="00D521A8">
      <w:pPr>
        <w:pStyle w:val="TextKP"/>
      </w:pPr>
      <w:r>
        <w:t>SZÚ p</w:t>
      </w:r>
      <w:r w:rsidR="00D521A8">
        <w:t xml:space="preserve">o uzavření nájemních smluv na přístroje v březnu 2006 </w:t>
      </w:r>
      <w:r>
        <w:t xml:space="preserve">uzavřel </w:t>
      </w:r>
      <w:r w:rsidR="00E21E11">
        <w:t xml:space="preserve">dne 20. 12. 2006 </w:t>
      </w:r>
      <w:r w:rsidR="0023549A">
        <w:t>na</w:t>
      </w:r>
      <w:r w:rsidR="00B9673F">
        <w:t xml:space="preserve"> </w:t>
      </w:r>
      <w:r w:rsidR="0023549A">
        <w:t>základě jednacího řízení bez uveřejnění</w:t>
      </w:r>
      <w:r w:rsidR="00905954">
        <w:t xml:space="preserve"> </w:t>
      </w:r>
      <w:r w:rsidR="00E21E11">
        <w:t>s </w:t>
      </w:r>
      <w:r w:rsidR="00D521A8">
        <w:t xml:space="preserve">pronajímatelem </w:t>
      </w:r>
      <w:r w:rsidR="003D5E0D">
        <w:t>„k</w:t>
      </w:r>
      <w:r w:rsidR="00D521A8">
        <w:t>upní smlouvu o</w:t>
      </w:r>
      <w:r w:rsidR="00CA6F5D">
        <w:t xml:space="preserve"> </w:t>
      </w:r>
      <w:r w:rsidR="00D521A8">
        <w:t>dodávkách materiálu</w:t>
      </w:r>
      <w:r w:rsidR="003D5E0D">
        <w:t>“</w:t>
      </w:r>
      <w:r w:rsidR="00D521A8">
        <w:t xml:space="preserve"> č. 20/2006</w:t>
      </w:r>
      <w:r w:rsidR="000741C4">
        <w:t xml:space="preserve"> (dále také „kupní smlouva“)</w:t>
      </w:r>
      <w:r w:rsidR="00E21E11" w:rsidRPr="00E21E11">
        <w:t xml:space="preserve"> na dobu neurčitou</w:t>
      </w:r>
      <w:r w:rsidR="000741C4">
        <w:t xml:space="preserve"> s možností výpovědi bez udání důvodu s výpovědní lhůtou tři měsíce</w:t>
      </w:r>
      <w:r w:rsidR="00D521A8">
        <w:t xml:space="preserve">. </w:t>
      </w:r>
      <w:r w:rsidR="001C18F0">
        <w:t>Položky SZM a jejich cen</w:t>
      </w:r>
      <w:r w:rsidR="003D5E0D">
        <w:t>y</w:t>
      </w:r>
      <w:r w:rsidR="00D521A8">
        <w:t xml:space="preserve"> j</w:t>
      </w:r>
      <w:r w:rsidR="003D5E0D">
        <w:t>sou</w:t>
      </w:r>
      <w:r w:rsidR="00D521A8">
        <w:t xml:space="preserve"> stanoven</w:t>
      </w:r>
      <w:r w:rsidR="003D5E0D">
        <w:t>y</w:t>
      </w:r>
      <w:r w:rsidR="00D521A8">
        <w:t xml:space="preserve"> </w:t>
      </w:r>
      <w:r w:rsidR="000741C4">
        <w:t>v</w:t>
      </w:r>
      <w:r w:rsidR="00D521A8">
        <w:t xml:space="preserve">e výši </w:t>
      </w:r>
      <w:r w:rsidR="00E21E11">
        <w:t>po</w:t>
      </w:r>
      <w:r w:rsidR="00D521A8">
        <w:t xml:space="preserve">dle </w:t>
      </w:r>
      <w:r w:rsidR="00E21E11">
        <w:t>p</w:t>
      </w:r>
      <w:r w:rsidR="00D521A8">
        <w:t xml:space="preserve">řílohy č. 1. </w:t>
      </w:r>
      <w:r w:rsidR="000741C4">
        <w:t>k</w:t>
      </w:r>
      <w:r w:rsidR="00D521A8">
        <w:t>upní smlouv</w:t>
      </w:r>
      <w:r w:rsidR="000741C4">
        <w:t>y.</w:t>
      </w:r>
      <w:r w:rsidR="00D521A8">
        <w:t xml:space="preserve"> </w:t>
      </w:r>
    </w:p>
    <w:p w14:paraId="7D00B894" w14:textId="77BA7608" w:rsidR="00D521A8" w:rsidRDefault="00141D66" w:rsidP="00141D66">
      <w:pPr>
        <w:pStyle w:val="TextKP"/>
      </w:pPr>
      <w:r>
        <w:t>Kontrolou předložené dokumentace bylo zjištěno, že SZÚ v letech 2014 až 2016 nakupoval od</w:t>
      </w:r>
      <w:r w:rsidR="00B9673F">
        <w:t xml:space="preserve"> </w:t>
      </w:r>
      <w:r>
        <w:t xml:space="preserve">pronajímatele také </w:t>
      </w:r>
      <w:r w:rsidR="000741C4">
        <w:t>SZM</w:t>
      </w:r>
      <w:r w:rsidR="00150AB6">
        <w:t xml:space="preserve"> nad rámec přílohy č. 1 kupní smlouvy</w:t>
      </w:r>
      <w:r w:rsidRPr="00A941B8">
        <w:t>. V roce 2014 SZÚ takto nakoupil materiál v celkové výši 11</w:t>
      </w:r>
      <w:r w:rsidR="00E21E11">
        <w:t> </w:t>
      </w:r>
      <w:r w:rsidRPr="00A941B8">
        <w:t>012</w:t>
      </w:r>
      <w:r w:rsidR="00E21E11">
        <w:t>,46</w:t>
      </w:r>
      <w:r w:rsidRPr="00A941B8">
        <w:t> tis. Kč bez DPH, v roce 2015 v celkové výši 13</w:t>
      </w:r>
      <w:r w:rsidR="00E21E11">
        <w:t> </w:t>
      </w:r>
      <w:r w:rsidRPr="00A941B8">
        <w:t>177</w:t>
      </w:r>
      <w:r w:rsidR="00E21E11">
        <w:t>,46</w:t>
      </w:r>
      <w:r w:rsidR="001C18F0">
        <w:t> </w:t>
      </w:r>
      <w:r w:rsidRPr="00A941B8">
        <w:t>tis. Kč bez DPH a v</w:t>
      </w:r>
      <w:r w:rsidR="00E21E11">
        <w:t> roce 2016 v celkové výši 14 724,86</w:t>
      </w:r>
      <w:r w:rsidRPr="00A941B8">
        <w:t xml:space="preserve"> tis. Kč bez DPH.</w:t>
      </w:r>
    </w:p>
    <w:p w14:paraId="481C642A" w14:textId="35B12FB7" w:rsidR="00141D66" w:rsidRPr="00FC5E93" w:rsidRDefault="00141D66" w:rsidP="00141D66">
      <w:pPr>
        <w:pStyle w:val="TextKP"/>
        <w:rPr>
          <w:b/>
        </w:rPr>
      </w:pPr>
      <w:r>
        <w:rPr>
          <w:b/>
        </w:rPr>
        <w:lastRenderedPageBreak/>
        <w:t>SZÚ</w:t>
      </w:r>
      <w:r w:rsidRPr="00FC5E93">
        <w:rPr>
          <w:b/>
        </w:rPr>
        <w:t xml:space="preserve"> nepostupoval</w:t>
      </w:r>
      <w:r>
        <w:rPr>
          <w:b/>
        </w:rPr>
        <w:t xml:space="preserve"> podle </w:t>
      </w:r>
      <w:r w:rsidRPr="00141D66">
        <w:rPr>
          <w:b/>
        </w:rPr>
        <w:t>zákona č. 137/2006 Sb., když v</w:t>
      </w:r>
      <w:r>
        <w:rPr>
          <w:b/>
        </w:rPr>
        <w:t> letech 2014 až 2016</w:t>
      </w:r>
      <w:r w:rsidR="00F90C3E">
        <w:rPr>
          <w:b/>
        </w:rPr>
        <w:t xml:space="preserve"> zadával</w:t>
      </w:r>
      <w:r w:rsidRPr="00141D66">
        <w:rPr>
          <w:b/>
        </w:rPr>
        <w:t xml:space="preserve"> veřejné zakázky na dodávky </w:t>
      </w:r>
      <w:r>
        <w:rPr>
          <w:b/>
        </w:rPr>
        <w:t>speciálního zdravotnického materiálu</w:t>
      </w:r>
      <w:r w:rsidR="00A941B8" w:rsidRPr="00A941B8">
        <w:t xml:space="preserve"> </w:t>
      </w:r>
      <w:r w:rsidR="00A941B8">
        <w:rPr>
          <w:b/>
        </w:rPr>
        <w:t>j</w:t>
      </w:r>
      <w:r w:rsidR="00A941B8" w:rsidRPr="00A941B8">
        <w:rPr>
          <w:b/>
        </w:rPr>
        <w:t>ako zakázky malého rozsahu</w:t>
      </w:r>
      <w:r w:rsidRPr="00141D66">
        <w:rPr>
          <w:b/>
        </w:rPr>
        <w:t xml:space="preserve">, ačkoli celková hodnota dodávek činila </w:t>
      </w:r>
      <w:r w:rsidR="00A941B8" w:rsidRPr="00141D66">
        <w:rPr>
          <w:b/>
        </w:rPr>
        <w:t>v roce 201</w:t>
      </w:r>
      <w:r w:rsidR="00A941B8">
        <w:rPr>
          <w:b/>
        </w:rPr>
        <w:t xml:space="preserve">4 </w:t>
      </w:r>
      <w:r w:rsidRPr="00141D66">
        <w:rPr>
          <w:b/>
        </w:rPr>
        <w:t xml:space="preserve">minimálně </w:t>
      </w:r>
      <w:r w:rsidR="00A941B8" w:rsidRPr="00A941B8">
        <w:rPr>
          <w:b/>
        </w:rPr>
        <w:t>11</w:t>
      </w:r>
      <w:r w:rsidR="00E21E11">
        <w:rPr>
          <w:b/>
        </w:rPr>
        <w:t> </w:t>
      </w:r>
      <w:r w:rsidR="00A941B8" w:rsidRPr="00A941B8">
        <w:rPr>
          <w:b/>
        </w:rPr>
        <w:t>012</w:t>
      </w:r>
      <w:r w:rsidR="00E21E11">
        <w:rPr>
          <w:b/>
        </w:rPr>
        <w:t>,46</w:t>
      </w:r>
      <w:r w:rsidR="00A941B8" w:rsidRPr="00A941B8">
        <w:rPr>
          <w:b/>
        </w:rPr>
        <w:t xml:space="preserve"> tis. Kč bez DPH</w:t>
      </w:r>
      <w:r w:rsidR="00A941B8">
        <w:rPr>
          <w:b/>
        </w:rPr>
        <w:t>,</w:t>
      </w:r>
      <w:r w:rsidR="00A941B8" w:rsidRPr="00A941B8">
        <w:rPr>
          <w:b/>
        </w:rPr>
        <w:t xml:space="preserve"> </w:t>
      </w:r>
      <w:r w:rsidR="000741C4">
        <w:rPr>
          <w:b/>
        </w:rPr>
        <w:t>v </w:t>
      </w:r>
      <w:r w:rsidRPr="00141D66">
        <w:rPr>
          <w:b/>
        </w:rPr>
        <w:t>roce 201</w:t>
      </w:r>
      <w:r w:rsidR="00A941B8">
        <w:rPr>
          <w:b/>
        </w:rPr>
        <w:t xml:space="preserve">5 minimálně </w:t>
      </w:r>
      <w:r w:rsidR="00A941B8" w:rsidRPr="00A941B8">
        <w:rPr>
          <w:b/>
        </w:rPr>
        <w:t>13</w:t>
      </w:r>
      <w:r w:rsidR="00E21E11">
        <w:rPr>
          <w:b/>
        </w:rPr>
        <w:t> </w:t>
      </w:r>
      <w:r w:rsidR="00A941B8" w:rsidRPr="00A941B8">
        <w:rPr>
          <w:b/>
        </w:rPr>
        <w:t>177</w:t>
      </w:r>
      <w:r w:rsidR="00E21E11">
        <w:rPr>
          <w:b/>
        </w:rPr>
        <w:t>,46</w:t>
      </w:r>
      <w:r w:rsidR="00A941B8" w:rsidRPr="00A941B8">
        <w:rPr>
          <w:b/>
        </w:rPr>
        <w:t xml:space="preserve"> tis. Kč bez DPH</w:t>
      </w:r>
      <w:r w:rsidR="00A941B8">
        <w:rPr>
          <w:b/>
        </w:rPr>
        <w:t xml:space="preserve"> a v roce 2016 minimálně </w:t>
      </w:r>
      <w:r w:rsidR="00A941B8" w:rsidRPr="00A941B8">
        <w:rPr>
          <w:b/>
        </w:rPr>
        <w:t>14</w:t>
      </w:r>
      <w:r w:rsidR="00E21E11">
        <w:rPr>
          <w:b/>
        </w:rPr>
        <w:t> </w:t>
      </w:r>
      <w:r w:rsidR="00A941B8" w:rsidRPr="00A941B8">
        <w:rPr>
          <w:b/>
        </w:rPr>
        <w:t>72</w:t>
      </w:r>
      <w:r w:rsidR="00E21E11">
        <w:rPr>
          <w:b/>
        </w:rPr>
        <w:t>4,86</w:t>
      </w:r>
      <w:r w:rsidR="00A941B8" w:rsidRPr="00A941B8">
        <w:rPr>
          <w:b/>
        </w:rPr>
        <w:t xml:space="preserve"> tis. Kč bez DPH</w:t>
      </w:r>
      <w:r w:rsidRPr="00141D66">
        <w:rPr>
          <w:b/>
        </w:rPr>
        <w:t xml:space="preserve">. </w:t>
      </w:r>
      <w:r w:rsidR="00A941B8">
        <w:rPr>
          <w:b/>
        </w:rPr>
        <w:t>SZÚ</w:t>
      </w:r>
      <w:r w:rsidRPr="00141D66">
        <w:rPr>
          <w:b/>
        </w:rPr>
        <w:t xml:space="preserve"> tímto postupem porušil </w:t>
      </w:r>
      <w:r w:rsidR="000741C4">
        <w:rPr>
          <w:b/>
        </w:rPr>
        <w:t>ustanovení</w:t>
      </w:r>
      <w:r w:rsidRPr="00141D66">
        <w:rPr>
          <w:b/>
        </w:rPr>
        <w:t xml:space="preserve"> § 13 odst. 3 zákona č. 137</w:t>
      </w:r>
      <w:r w:rsidR="000741C4">
        <w:rPr>
          <w:b/>
        </w:rPr>
        <w:t>/2006 Sb., neboť</w:t>
      </w:r>
      <w:r w:rsidR="000B7012">
        <w:rPr>
          <w:b/>
        </w:rPr>
        <w:t xml:space="preserve"> </w:t>
      </w:r>
      <w:r w:rsidRPr="00141D66">
        <w:rPr>
          <w:b/>
        </w:rPr>
        <w:t xml:space="preserve">rozdělil předmět veřejných zakázek, čímž došlo ke snížení předpokládané hodnoty pod finanční limit stanovený zákonem č. 137/2006 Sb. </w:t>
      </w:r>
      <w:r>
        <w:rPr>
          <w:b/>
        </w:rPr>
        <w:t>SZÚ</w:t>
      </w:r>
      <w:r w:rsidR="000741C4">
        <w:rPr>
          <w:b/>
        </w:rPr>
        <w:t xml:space="preserve"> také</w:t>
      </w:r>
      <w:r w:rsidRPr="00FC5E93">
        <w:rPr>
          <w:b/>
        </w:rPr>
        <w:t xml:space="preserve"> neměl možnost vyhodnotit ekonomickou výhodnost potenciální nabídk</w:t>
      </w:r>
      <w:r>
        <w:rPr>
          <w:b/>
        </w:rPr>
        <w:t>y ve</w:t>
      </w:r>
      <w:r w:rsidR="00CA6F5D">
        <w:rPr>
          <w:b/>
        </w:rPr>
        <w:t xml:space="preserve"> </w:t>
      </w:r>
      <w:r>
        <w:rPr>
          <w:b/>
        </w:rPr>
        <w:t>srovnání s alternativními možnostmi zajištění svých povinností vyplývajících SZÚ ze</w:t>
      </w:r>
      <w:r w:rsidR="000B7012">
        <w:rPr>
          <w:b/>
        </w:rPr>
        <w:t xml:space="preserve"> </w:t>
      </w:r>
      <w:r>
        <w:rPr>
          <w:b/>
        </w:rPr>
        <w:t>zákona č. 258/2000 Sb</w:t>
      </w:r>
      <w:r w:rsidRPr="00FC5E93">
        <w:rPr>
          <w:b/>
        </w:rPr>
        <w:t>.</w:t>
      </w:r>
    </w:p>
    <w:p w14:paraId="7B0B89F2" w14:textId="008E2BDE" w:rsidR="00141D66" w:rsidRPr="001E6FBB" w:rsidRDefault="00141D66" w:rsidP="00141D66">
      <w:pPr>
        <w:pStyle w:val="TextKP"/>
        <w:rPr>
          <w:b/>
        </w:rPr>
      </w:pPr>
      <w:r w:rsidRPr="001E6FBB">
        <w:rPr>
          <w:b/>
        </w:rPr>
        <w:t xml:space="preserve">Výše uvedeným jednáním se SZÚ dopustil porušení rozpočtové kázně ve smyslu ustanovení § 44 odst. 1 písm. a) </w:t>
      </w:r>
      <w:r w:rsidR="00BD2D52">
        <w:rPr>
          <w:b/>
        </w:rPr>
        <w:t>zákona č. 218/2000 Sb.</w:t>
      </w:r>
      <w:r>
        <w:rPr>
          <w:b/>
        </w:rPr>
        <w:t xml:space="preserve">, </w:t>
      </w:r>
      <w:r w:rsidR="003D5E0D">
        <w:rPr>
          <w:b/>
        </w:rPr>
        <w:t xml:space="preserve">a to </w:t>
      </w:r>
      <w:r w:rsidR="00A14B3D">
        <w:rPr>
          <w:b/>
        </w:rPr>
        <w:t>minimálně ve výši 38</w:t>
      </w:r>
      <w:r w:rsidR="00E21E11">
        <w:rPr>
          <w:b/>
        </w:rPr>
        <w:t> </w:t>
      </w:r>
      <w:r w:rsidR="00A14B3D">
        <w:rPr>
          <w:b/>
        </w:rPr>
        <w:t>914</w:t>
      </w:r>
      <w:r w:rsidR="00E21E11">
        <w:rPr>
          <w:b/>
        </w:rPr>
        <w:t>,78</w:t>
      </w:r>
      <w:r w:rsidR="00A14B3D">
        <w:rPr>
          <w:b/>
        </w:rPr>
        <w:t xml:space="preserve"> tis. Kč.</w:t>
      </w:r>
    </w:p>
    <w:p w14:paraId="5C93F3A6" w14:textId="6980605C" w:rsidR="004E5E2B" w:rsidRDefault="004E5E2B" w:rsidP="004E5E2B">
      <w:pPr>
        <w:spacing w:before="120"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Od druhého dodavatele si SZÚ</w:t>
      </w:r>
      <w:r w:rsidR="00A22DA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jeden přístroj pro NR</w:t>
      </w:r>
      <w:r w:rsidR="000741C4">
        <w:rPr>
          <w:rFonts w:asciiTheme="minorHAnsi" w:hAnsiTheme="minorHAnsi" w:cs="Calibri"/>
        </w:rPr>
        <w:t xml:space="preserve">L oddělení virových hepatitid </w:t>
      </w:r>
      <w:r w:rsidR="00B5212A">
        <w:rPr>
          <w:rFonts w:asciiTheme="minorHAnsi" w:hAnsiTheme="minorHAnsi" w:cs="Calibri"/>
        </w:rPr>
        <w:t xml:space="preserve">najímá za 2 000 Kč měsíčně </w:t>
      </w:r>
      <w:r w:rsidR="000741C4">
        <w:rPr>
          <w:rFonts w:asciiTheme="minorHAnsi" w:hAnsiTheme="minorHAnsi" w:cs="Calibri"/>
        </w:rPr>
        <w:t>a </w:t>
      </w:r>
      <w:r w:rsidR="00945433">
        <w:rPr>
          <w:rFonts w:asciiTheme="minorHAnsi" w:hAnsiTheme="minorHAnsi" w:cs="Calibri"/>
        </w:rPr>
        <w:t xml:space="preserve">druhý </w:t>
      </w:r>
      <w:r w:rsidR="00FB7742">
        <w:rPr>
          <w:rFonts w:asciiTheme="minorHAnsi" w:hAnsiTheme="minorHAnsi" w:cs="Calibri"/>
        </w:rPr>
        <w:t>totožný</w:t>
      </w:r>
      <w:r w:rsidR="00945433">
        <w:rPr>
          <w:rFonts w:asciiTheme="minorHAnsi" w:hAnsiTheme="minorHAnsi" w:cs="Calibri"/>
        </w:rPr>
        <w:t xml:space="preserve"> přístroj </w:t>
      </w:r>
      <w:r w:rsidR="00B5212A">
        <w:rPr>
          <w:rFonts w:asciiTheme="minorHAnsi" w:hAnsiTheme="minorHAnsi" w:cs="Calibri"/>
        </w:rPr>
        <w:t xml:space="preserve">pro NRL oddělení HIV/AIDS </w:t>
      </w:r>
      <w:r w:rsidR="00945433">
        <w:rPr>
          <w:rFonts w:asciiTheme="minorHAnsi" w:hAnsiTheme="minorHAnsi" w:cs="Calibri"/>
        </w:rPr>
        <w:t>si SZÚ bezplatně vypůjčil</w:t>
      </w:r>
      <w:r w:rsidR="00B5212A">
        <w:rPr>
          <w:rFonts w:asciiTheme="minorHAnsi" w:hAnsiTheme="minorHAnsi" w:cs="Calibri"/>
        </w:rPr>
        <w:t>. SZÚ</w:t>
      </w:r>
      <w:r w:rsidRPr="004E5E2B">
        <w:rPr>
          <w:rFonts w:asciiTheme="minorHAnsi" w:hAnsiTheme="minorHAnsi" w:cs="Calibri"/>
        </w:rPr>
        <w:t xml:space="preserve"> zvolil uzavřením </w:t>
      </w:r>
      <w:r>
        <w:rPr>
          <w:rFonts w:asciiTheme="minorHAnsi" w:hAnsiTheme="minorHAnsi" w:cs="Calibri"/>
        </w:rPr>
        <w:t>příslušných</w:t>
      </w:r>
      <w:r w:rsidRPr="004E5E2B">
        <w:rPr>
          <w:rFonts w:asciiTheme="minorHAnsi" w:hAnsiTheme="minorHAnsi" w:cs="Calibri"/>
        </w:rPr>
        <w:t xml:space="preserve"> smluv </w:t>
      </w:r>
      <w:r w:rsidR="009A7511">
        <w:rPr>
          <w:rFonts w:asciiTheme="minorHAnsi" w:hAnsiTheme="minorHAnsi" w:cs="Calibri"/>
        </w:rPr>
        <w:t xml:space="preserve">současně i stejného </w:t>
      </w:r>
      <w:r w:rsidRPr="004E5E2B">
        <w:rPr>
          <w:rFonts w:asciiTheme="minorHAnsi" w:hAnsiTheme="minorHAnsi" w:cs="Calibri"/>
        </w:rPr>
        <w:t>d</w:t>
      </w:r>
      <w:r w:rsidR="009A7511">
        <w:rPr>
          <w:rFonts w:asciiTheme="minorHAnsi" w:hAnsiTheme="minorHAnsi" w:cs="Calibri"/>
        </w:rPr>
        <w:t>od</w:t>
      </w:r>
      <w:r w:rsidRPr="004E5E2B">
        <w:rPr>
          <w:rFonts w:asciiTheme="minorHAnsi" w:hAnsiTheme="minorHAnsi" w:cs="Calibri"/>
        </w:rPr>
        <w:t xml:space="preserve">avatele </w:t>
      </w:r>
      <w:r w:rsidR="000741C4">
        <w:rPr>
          <w:rFonts w:asciiTheme="minorHAnsi" w:hAnsiTheme="minorHAnsi" w:cs="Calibri"/>
        </w:rPr>
        <w:t>SZM</w:t>
      </w:r>
      <w:r w:rsidRPr="004E5E2B">
        <w:rPr>
          <w:rFonts w:asciiTheme="minorHAnsi" w:hAnsiTheme="minorHAnsi" w:cs="Calibri"/>
        </w:rPr>
        <w:t>.</w:t>
      </w:r>
    </w:p>
    <w:p w14:paraId="339A0BE1" w14:textId="7E6A2545" w:rsidR="00F31C4E" w:rsidRDefault="00A14B3D" w:rsidP="00115962">
      <w:pPr>
        <w:spacing w:before="120"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SZÚ od roku 2013 pořizoval </w:t>
      </w:r>
      <w:r w:rsidR="00B5212A">
        <w:rPr>
          <w:rFonts w:asciiTheme="minorHAnsi" w:hAnsiTheme="minorHAnsi" w:cs="Calibri"/>
        </w:rPr>
        <w:t>SZM</w:t>
      </w:r>
      <w:r>
        <w:rPr>
          <w:rFonts w:asciiTheme="minorHAnsi" w:hAnsiTheme="minorHAnsi" w:cs="Calibri"/>
        </w:rPr>
        <w:t xml:space="preserve"> pro přístroj</w:t>
      </w:r>
      <w:r w:rsidR="00034569">
        <w:rPr>
          <w:rFonts w:asciiTheme="minorHAnsi" w:hAnsiTheme="minorHAnsi" w:cs="Calibri"/>
        </w:rPr>
        <w:t xml:space="preserve"> určený pro NRL oddělení virových hepatitid </w:t>
      </w:r>
      <w:r>
        <w:rPr>
          <w:rFonts w:asciiTheme="minorHAnsi" w:hAnsiTheme="minorHAnsi" w:cs="Calibri"/>
        </w:rPr>
        <w:t xml:space="preserve">formou samostatných objednávek, </w:t>
      </w:r>
      <w:r w:rsidR="00115962">
        <w:rPr>
          <w:rFonts w:asciiTheme="minorHAnsi" w:hAnsiTheme="minorHAnsi" w:cs="Calibri"/>
        </w:rPr>
        <w:t>resp. SZÚ uvedl, že si č</w:t>
      </w:r>
      <w:r w:rsidR="00115962" w:rsidRPr="00115962">
        <w:rPr>
          <w:rFonts w:asciiTheme="minorHAnsi" w:hAnsiTheme="minorHAnsi" w:cs="Calibri"/>
        </w:rPr>
        <w:t xml:space="preserve">inidla do </w:t>
      </w:r>
      <w:r w:rsidR="00115962">
        <w:rPr>
          <w:rFonts w:asciiTheme="minorHAnsi" w:hAnsiTheme="minorHAnsi" w:cs="Calibri"/>
        </w:rPr>
        <w:t xml:space="preserve">najatého </w:t>
      </w:r>
      <w:r w:rsidR="00115962" w:rsidRPr="00115962">
        <w:rPr>
          <w:rFonts w:asciiTheme="minorHAnsi" w:hAnsiTheme="minorHAnsi" w:cs="Calibri"/>
        </w:rPr>
        <w:t>přístroje nakupov</w:t>
      </w:r>
      <w:r w:rsidR="00115962">
        <w:rPr>
          <w:rFonts w:asciiTheme="minorHAnsi" w:hAnsiTheme="minorHAnsi" w:cs="Calibri"/>
        </w:rPr>
        <w:t xml:space="preserve">al na základě </w:t>
      </w:r>
      <w:r w:rsidR="00115962" w:rsidRPr="00115962">
        <w:rPr>
          <w:rFonts w:asciiTheme="minorHAnsi" w:hAnsiTheme="minorHAnsi" w:cs="Calibri"/>
        </w:rPr>
        <w:t xml:space="preserve">dodatku </w:t>
      </w:r>
      <w:r w:rsidR="00115962">
        <w:rPr>
          <w:rFonts w:asciiTheme="minorHAnsi" w:hAnsiTheme="minorHAnsi" w:cs="Calibri"/>
        </w:rPr>
        <w:t>ke smlouvě</w:t>
      </w:r>
      <w:r w:rsidR="00362306">
        <w:rPr>
          <w:rFonts w:asciiTheme="minorHAnsi" w:hAnsiTheme="minorHAnsi" w:cs="Calibri"/>
        </w:rPr>
        <w:t xml:space="preserve"> </w:t>
      </w:r>
      <w:r w:rsidR="003D5E0D">
        <w:rPr>
          <w:rFonts w:asciiTheme="minorHAnsi" w:hAnsiTheme="minorHAnsi" w:cs="Calibri"/>
        </w:rPr>
        <w:t xml:space="preserve">– tato smlouva </w:t>
      </w:r>
      <w:r w:rsidR="00362306">
        <w:rPr>
          <w:rFonts w:asciiTheme="minorHAnsi" w:hAnsiTheme="minorHAnsi" w:cs="Calibri"/>
        </w:rPr>
        <w:t>však byla jinou smlouvou výslovně zrušen</w:t>
      </w:r>
      <w:r w:rsidR="003D5E0D">
        <w:rPr>
          <w:rFonts w:asciiTheme="minorHAnsi" w:hAnsiTheme="minorHAnsi" w:cs="Calibri"/>
        </w:rPr>
        <w:t>a</w:t>
      </w:r>
      <w:r w:rsidR="00362306">
        <w:rPr>
          <w:rFonts w:asciiTheme="minorHAnsi" w:hAnsiTheme="minorHAnsi" w:cs="Calibri"/>
        </w:rPr>
        <w:t>, včetně dodatků.</w:t>
      </w:r>
      <w:r w:rsidR="00115962">
        <w:rPr>
          <w:rFonts w:asciiTheme="minorHAnsi" w:hAnsiTheme="minorHAnsi" w:cs="Calibri"/>
        </w:rPr>
        <w:t xml:space="preserve"> </w:t>
      </w:r>
      <w:r w:rsidR="00D57779">
        <w:rPr>
          <w:rFonts w:asciiTheme="minorHAnsi" w:hAnsiTheme="minorHAnsi" w:cs="Calibri"/>
        </w:rPr>
        <w:t>T</w:t>
      </w:r>
      <w:r w:rsidR="003D5E0D">
        <w:rPr>
          <w:rFonts w:asciiTheme="minorHAnsi" w:hAnsiTheme="minorHAnsi" w:cs="Calibri"/>
        </w:rPr>
        <w:t>ento fakt</w:t>
      </w:r>
      <w:r w:rsidR="00115962" w:rsidRPr="00115962">
        <w:rPr>
          <w:rFonts w:asciiTheme="minorHAnsi" w:hAnsiTheme="minorHAnsi" w:cs="Calibri"/>
        </w:rPr>
        <w:t xml:space="preserve"> </w:t>
      </w:r>
      <w:r w:rsidR="00115962">
        <w:rPr>
          <w:rFonts w:asciiTheme="minorHAnsi" w:hAnsiTheme="minorHAnsi" w:cs="Calibri"/>
        </w:rPr>
        <w:t>mimo jiné</w:t>
      </w:r>
      <w:r w:rsidR="00115962" w:rsidRPr="00115962">
        <w:rPr>
          <w:rFonts w:asciiTheme="minorHAnsi" w:hAnsiTheme="minorHAnsi" w:cs="Calibri"/>
        </w:rPr>
        <w:t xml:space="preserve"> </w:t>
      </w:r>
      <w:r w:rsidR="00362306">
        <w:rPr>
          <w:rFonts w:asciiTheme="minorHAnsi" w:hAnsiTheme="minorHAnsi" w:cs="Calibri"/>
        </w:rPr>
        <w:t>dokládá</w:t>
      </w:r>
      <w:r w:rsidR="00115962" w:rsidRPr="00115962">
        <w:rPr>
          <w:rFonts w:asciiTheme="minorHAnsi" w:hAnsiTheme="minorHAnsi" w:cs="Calibri"/>
        </w:rPr>
        <w:t xml:space="preserve"> nefunkčn</w:t>
      </w:r>
      <w:r w:rsidR="00362306">
        <w:rPr>
          <w:rFonts w:asciiTheme="minorHAnsi" w:hAnsiTheme="minorHAnsi" w:cs="Calibri"/>
        </w:rPr>
        <w:t>ost</w:t>
      </w:r>
      <w:r w:rsidR="00115962" w:rsidRPr="00115962">
        <w:rPr>
          <w:rFonts w:asciiTheme="minorHAnsi" w:hAnsiTheme="minorHAnsi" w:cs="Calibri"/>
        </w:rPr>
        <w:t xml:space="preserve"> vnitřní</w:t>
      </w:r>
      <w:r w:rsidR="00362306">
        <w:rPr>
          <w:rFonts w:asciiTheme="minorHAnsi" w:hAnsiTheme="minorHAnsi" w:cs="Calibri"/>
        </w:rPr>
        <w:t>ho</w:t>
      </w:r>
      <w:r w:rsidR="00115962" w:rsidRPr="00115962">
        <w:rPr>
          <w:rFonts w:asciiTheme="minorHAnsi" w:hAnsiTheme="minorHAnsi" w:cs="Calibri"/>
        </w:rPr>
        <w:t xml:space="preserve"> kontrolní</w:t>
      </w:r>
      <w:r w:rsidR="00362306">
        <w:rPr>
          <w:rFonts w:asciiTheme="minorHAnsi" w:hAnsiTheme="minorHAnsi" w:cs="Calibri"/>
        </w:rPr>
        <w:t>ho</w:t>
      </w:r>
      <w:r w:rsidR="00115962" w:rsidRPr="00115962">
        <w:rPr>
          <w:rFonts w:asciiTheme="minorHAnsi" w:hAnsiTheme="minorHAnsi" w:cs="Calibri"/>
        </w:rPr>
        <w:t xml:space="preserve"> systém</w:t>
      </w:r>
      <w:r w:rsidR="00362306">
        <w:rPr>
          <w:rFonts w:asciiTheme="minorHAnsi" w:hAnsiTheme="minorHAnsi" w:cs="Calibri"/>
        </w:rPr>
        <w:t>u SZÚ</w:t>
      </w:r>
      <w:r w:rsidR="00115962" w:rsidRPr="00115962">
        <w:rPr>
          <w:rFonts w:asciiTheme="minorHAnsi" w:hAnsiTheme="minorHAnsi" w:cs="Calibri"/>
        </w:rPr>
        <w:t>.</w:t>
      </w:r>
      <w:r w:rsidR="008D2260">
        <w:rPr>
          <w:rFonts w:asciiTheme="minorHAnsi" w:hAnsiTheme="minorHAnsi" w:cs="Calibri"/>
        </w:rPr>
        <w:t xml:space="preserve"> SZÚ takto pořídil SZM minimálně ve výši 6 088,96 tis. Kč včetně DPH.</w:t>
      </w:r>
    </w:p>
    <w:p w14:paraId="71DA305C" w14:textId="1B476A0B" w:rsidR="00FB7742" w:rsidRPr="007E3AE4" w:rsidRDefault="00FB7742" w:rsidP="00FB7742">
      <w:pPr>
        <w:pStyle w:val="TextKP"/>
        <w:rPr>
          <w:b/>
        </w:rPr>
      </w:pPr>
      <w:r w:rsidRPr="007E3AE4">
        <w:rPr>
          <w:b/>
        </w:rPr>
        <w:t xml:space="preserve">SZÚ nepostupoval podle zákona č. 137/2006 Sb., když </w:t>
      </w:r>
      <w:r>
        <w:rPr>
          <w:b/>
        </w:rPr>
        <w:t xml:space="preserve">od 10. 4. 2013 dodávky speciálního zdravotnického materiálu pro přístroj najatý pro NRL oddělení virových hepatitid </w:t>
      </w:r>
      <w:r w:rsidR="00E41279">
        <w:rPr>
          <w:b/>
        </w:rPr>
        <w:t xml:space="preserve">pořizoval </w:t>
      </w:r>
      <w:r>
        <w:rPr>
          <w:b/>
        </w:rPr>
        <w:t>formou samostatných objednávek</w:t>
      </w:r>
      <w:r w:rsidRPr="007E3AE4">
        <w:rPr>
          <w:b/>
        </w:rPr>
        <w:t>,</w:t>
      </w:r>
      <w:r w:rsidRPr="007E3AE4">
        <w:t xml:space="preserve"> </w:t>
      </w:r>
      <w:r w:rsidRPr="007E3AE4">
        <w:rPr>
          <w:b/>
        </w:rPr>
        <w:t xml:space="preserve">aniž by zvolil k výběru dodavatele dodávek </w:t>
      </w:r>
      <w:r w:rsidR="00362306">
        <w:rPr>
          <w:b/>
        </w:rPr>
        <w:t>j</w:t>
      </w:r>
      <w:r w:rsidRPr="007E3AE4">
        <w:rPr>
          <w:b/>
        </w:rPr>
        <w:t xml:space="preserve">eden z druhů zadávacího řízení </w:t>
      </w:r>
      <w:r w:rsidR="00115962">
        <w:rPr>
          <w:b/>
        </w:rPr>
        <w:t>podle ustanovení § 21 zákona č. </w:t>
      </w:r>
      <w:r w:rsidR="00362306">
        <w:rPr>
          <w:b/>
        </w:rPr>
        <w:t>137/2006 Sb.</w:t>
      </w:r>
      <w:r w:rsidR="00CA6F5D">
        <w:rPr>
          <w:b/>
        </w:rPr>
        <w:t xml:space="preserve"> </w:t>
      </w:r>
      <w:r w:rsidR="00E41279">
        <w:rPr>
          <w:b/>
        </w:rPr>
        <w:t xml:space="preserve">Přitom </w:t>
      </w:r>
      <w:r w:rsidR="00362306">
        <w:rPr>
          <w:b/>
        </w:rPr>
        <w:t>se</w:t>
      </w:r>
      <w:r w:rsidR="00CA6F5D">
        <w:rPr>
          <w:b/>
        </w:rPr>
        <w:t xml:space="preserve"> </w:t>
      </w:r>
      <w:r w:rsidRPr="007E3AE4">
        <w:rPr>
          <w:b/>
        </w:rPr>
        <w:t>jednalo o zak</w:t>
      </w:r>
      <w:r>
        <w:rPr>
          <w:b/>
        </w:rPr>
        <w:t>ázku s </w:t>
      </w:r>
      <w:r w:rsidRPr="007E3AE4">
        <w:rPr>
          <w:b/>
        </w:rPr>
        <w:t xml:space="preserve">předpokládaným </w:t>
      </w:r>
      <w:r>
        <w:rPr>
          <w:b/>
        </w:rPr>
        <w:t xml:space="preserve">minimálním </w:t>
      </w:r>
      <w:r w:rsidRPr="007E3AE4">
        <w:rPr>
          <w:b/>
        </w:rPr>
        <w:t xml:space="preserve">ročním plněním </w:t>
      </w:r>
      <w:r>
        <w:rPr>
          <w:b/>
        </w:rPr>
        <w:t>833</w:t>
      </w:r>
      <w:r w:rsidR="00E21E11">
        <w:rPr>
          <w:b/>
        </w:rPr>
        <w:t>,35</w:t>
      </w:r>
      <w:r>
        <w:rPr>
          <w:b/>
        </w:rPr>
        <w:t xml:space="preserve"> tis.</w:t>
      </w:r>
      <w:r w:rsidR="001C18F0">
        <w:rPr>
          <w:b/>
        </w:rPr>
        <w:t xml:space="preserve"> Kč bez</w:t>
      </w:r>
      <w:r w:rsidR="00CA6F5D">
        <w:rPr>
          <w:b/>
        </w:rPr>
        <w:t xml:space="preserve"> </w:t>
      </w:r>
      <w:r w:rsidRPr="007E3AE4">
        <w:rPr>
          <w:b/>
        </w:rPr>
        <w:t xml:space="preserve">DPH, tj. </w:t>
      </w:r>
      <w:r>
        <w:rPr>
          <w:b/>
        </w:rPr>
        <w:t>minimálně 3</w:t>
      </w:r>
      <w:r w:rsidR="00E21E11">
        <w:rPr>
          <w:b/>
        </w:rPr>
        <w:t> </w:t>
      </w:r>
      <w:r>
        <w:rPr>
          <w:b/>
        </w:rPr>
        <w:t>333</w:t>
      </w:r>
      <w:r w:rsidR="00E21E11">
        <w:rPr>
          <w:b/>
        </w:rPr>
        <w:t>,41</w:t>
      </w:r>
      <w:r>
        <w:rPr>
          <w:b/>
        </w:rPr>
        <w:t> tis.</w:t>
      </w:r>
      <w:r w:rsidRPr="007E3AE4">
        <w:rPr>
          <w:b/>
        </w:rPr>
        <w:t xml:space="preserve"> Kč bez DPH </w:t>
      </w:r>
      <w:r>
        <w:rPr>
          <w:b/>
        </w:rPr>
        <w:t xml:space="preserve">za </w:t>
      </w:r>
      <w:r w:rsidR="00A3254F">
        <w:rPr>
          <w:b/>
        </w:rPr>
        <w:t xml:space="preserve">období </w:t>
      </w:r>
      <w:r>
        <w:rPr>
          <w:b/>
        </w:rPr>
        <w:t>48 měsíců po</w:t>
      </w:r>
      <w:r w:rsidR="00115962">
        <w:rPr>
          <w:b/>
        </w:rPr>
        <w:t xml:space="preserve">dle </w:t>
      </w:r>
      <w:r w:rsidR="007B4FD4">
        <w:rPr>
          <w:b/>
        </w:rPr>
        <w:t xml:space="preserve">ustanovení </w:t>
      </w:r>
      <w:r w:rsidR="00115962">
        <w:rPr>
          <w:b/>
        </w:rPr>
        <w:t>§</w:t>
      </w:r>
      <w:r w:rsidR="001C18F0">
        <w:rPr>
          <w:b/>
        </w:rPr>
        <w:t> </w:t>
      </w:r>
      <w:r w:rsidR="00115962">
        <w:rPr>
          <w:b/>
        </w:rPr>
        <w:t>14</w:t>
      </w:r>
      <w:r w:rsidR="001C18F0">
        <w:rPr>
          <w:b/>
        </w:rPr>
        <w:t> </w:t>
      </w:r>
      <w:r w:rsidR="00115962">
        <w:rPr>
          <w:b/>
        </w:rPr>
        <w:t>odst. 1 písm. </w:t>
      </w:r>
      <w:r>
        <w:rPr>
          <w:b/>
        </w:rPr>
        <w:t>b) zákona č. 137/2006 Sb.</w:t>
      </w:r>
      <w:r w:rsidRPr="007E3AE4">
        <w:rPr>
          <w:b/>
        </w:rPr>
        <w:t>, tj.</w:t>
      </w:r>
      <w:r>
        <w:rPr>
          <w:b/>
        </w:rPr>
        <w:t> </w:t>
      </w:r>
      <w:r w:rsidRPr="007E3AE4">
        <w:rPr>
          <w:b/>
        </w:rPr>
        <w:t>nadlimitní veřejnou za</w:t>
      </w:r>
      <w:r w:rsidR="00115962">
        <w:rPr>
          <w:b/>
        </w:rPr>
        <w:t xml:space="preserve">kázku ve smyslu </w:t>
      </w:r>
      <w:r w:rsidR="007B4FD4">
        <w:rPr>
          <w:b/>
        </w:rPr>
        <w:t xml:space="preserve">ustanovení </w:t>
      </w:r>
      <w:r w:rsidR="00115962">
        <w:rPr>
          <w:b/>
        </w:rPr>
        <w:t xml:space="preserve">§ 12 odst. 1 </w:t>
      </w:r>
      <w:r w:rsidR="00E41279">
        <w:rPr>
          <w:b/>
        </w:rPr>
        <w:t xml:space="preserve">zákona </w:t>
      </w:r>
      <w:r w:rsidR="00115962">
        <w:rPr>
          <w:b/>
        </w:rPr>
        <w:t>č. </w:t>
      </w:r>
      <w:r w:rsidRPr="007E3AE4">
        <w:rPr>
          <w:b/>
        </w:rPr>
        <w:t xml:space="preserve">137/2006 </w:t>
      </w:r>
      <w:r>
        <w:rPr>
          <w:b/>
        </w:rPr>
        <w:t>Sb. ve</w:t>
      </w:r>
      <w:r w:rsidR="00E41279">
        <w:rPr>
          <w:b/>
        </w:rPr>
        <w:t xml:space="preserve"> </w:t>
      </w:r>
      <w:r w:rsidRPr="007E3AE4">
        <w:rPr>
          <w:b/>
        </w:rPr>
        <w:t>spojení s</w:t>
      </w:r>
      <w:r>
        <w:rPr>
          <w:b/>
        </w:rPr>
        <w:t> </w:t>
      </w:r>
      <w:r w:rsidRPr="007E3AE4">
        <w:rPr>
          <w:b/>
        </w:rPr>
        <w:t>nařízením vlády č. 77/2008 Sb. Zvoleným postupem SZÚ neměl možnost vyhodnotit ekonomickou výhodnost potenciální nabídky ve</w:t>
      </w:r>
      <w:r w:rsidR="00CA6F5D">
        <w:rPr>
          <w:b/>
        </w:rPr>
        <w:t xml:space="preserve"> </w:t>
      </w:r>
      <w:r w:rsidRPr="007E3AE4">
        <w:rPr>
          <w:b/>
        </w:rPr>
        <w:t>srovnání s alternativními možnostmi zajištění svých povinností vyplývajících SZÚ ze</w:t>
      </w:r>
      <w:r w:rsidR="00CA6F5D">
        <w:rPr>
          <w:b/>
        </w:rPr>
        <w:t xml:space="preserve"> </w:t>
      </w:r>
      <w:r w:rsidRPr="007E3AE4">
        <w:rPr>
          <w:b/>
        </w:rPr>
        <w:t>zákona č. 258/2000 Sb.</w:t>
      </w:r>
    </w:p>
    <w:p w14:paraId="02DB741D" w14:textId="39478B64" w:rsidR="00034569" w:rsidRPr="00034569" w:rsidRDefault="00034569" w:rsidP="00034569">
      <w:pPr>
        <w:pStyle w:val="TextKP"/>
        <w:rPr>
          <w:b/>
        </w:rPr>
      </w:pPr>
      <w:r w:rsidRPr="00034569">
        <w:rPr>
          <w:b/>
        </w:rPr>
        <w:t>Výše uvedeným jednáním se SZÚ dopustil porušení rozpočtové kázně ve smyslu ustanovení § 44 odst. 1 písm. a)</w:t>
      </w:r>
      <w:r w:rsidR="00BD2D52">
        <w:rPr>
          <w:b/>
        </w:rPr>
        <w:t xml:space="preserve"> zákona č. 218/2000 Sb.</w:t>
      </w:r>
      <w:r w:rsidR="00115962">
        <w:rPr>
          <w:b/>
        </w:rPr>
        <w:t xml:space="preserve">, </w:t>
      </w:r>
      <w:r w:rsidR="00E41279">
        <w:rPr>
          <w:b/>
        </w:rPr>
        <w:t xml:space="preserve">a to </w:t>
      </w:r>
      <w:r w:rsidR="00115962">
        <w:rPr>
          <w:b/>
        </w:rPr>
        <w:t>minimálně ve výši 5</w:t>
      </w:r>
      <w:r w:rsidR="00196FF9">
        <w:rPr>
          <w:b/>
        </w:rPr>
        <w:t> </w:t>
      </w:r>
      <w:r w:rsidR="00115962">
        <w:rPr>
          <w:b/>
        </w:rPr>
        <w:t>032</w:t>
      </w:r>
      <w:r w:rsidR="00196FF9">
        <w:rPr>
          <w:b/>
        </w:rPr>
        <w:t>,20</w:t>
      </w:r>
      <w:r w:rsidR="00115962">
        <w:rPr>
          <w:b/>
        </w:rPr>
        <w:t xml:space="preserve"> tis. Kč</w:t>
      </w:r>
      <w:r w:rsidR="008D2260">
        <w:rPr>
          <w:b/>
        </w:rPr>
        <w:t xml:space="preserve"> (hodnota dodávek SZM bez DPH)</w:t>
      </w:r>
      <w:r w:rsidR="00115962">
        <w:rPr>
          <w:b/>
        </w:rPr>
        <w:t>.</w:t>
      </w:r>
    </w:p>
    <w:p w14:paraId="1EC6BA54" w14:textId="1718E2D0" w:rsidR="00A14B3D" w:rsidRDefault="00A14B3D" w:rsidP="00A14B3D">
      <w:pPr>
        <w:spacing w:before="120"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 stejným dodavatelem uzavřel </w:t>
      </w:r>
      <w:r w:rsidR="00E41279">
        <w:rPr>
          <w:rFonts w:asciiTheme="minorHAnsi" w:hAnsiTheme="minorHAnsi" w:cs="Calibri"/>
        </w:rPr>
        <w:t xml:space="preserve">SZÚ </w:t>
      </w:r>
      <w:r>
        <w:rPr>
          <w:rFonts w:asciiTheme="minorHAnsi" w:hAnsiTheme="minorHAnsi" w:cs="Calibri"/>
        </w:rPr>
        <w:t xml:space="preserve">v roce 2013 k druhému přístroji </w:t>
      </w:r>
      <w:r w:rsidR="00034569">
        <w:rPr>
          <w:rFonts w:asciiTheme="minorHAnsi" w:hAnsiTheme="minorHAnsi" w:cs="Calibri"/>
        </w:rPr>
        <w:t xml:space="preserve">určenému pro NRL oddělení HIV/AIDS </w:t>
      </w:r>
      <w:r w:rsidR="00E41279">
        <w:rPr>
          <w:rFonts w:asciiTheme="minorHAnsi" w:hAnsiTheme="minorHAnsi" w:cs="Calibri"/>
        </w:rPr>
        <w:t>„s</w:t>
      </w:r>
      <w:r>
        <w:rPr>
          <w:rFonts w:asciiTheme="minorHAnsi" w:hAnsiTheme="minorHAnsi" w:cs="Calibri"/>
        </w:rPr>
        <w:t>mlouvu o výpůjčce a kupní smlouvu</w:t>
      </w:r>
      <w:r w:rsidR="00E41279">
        <w:rPr>
          <w:rFonts w:asciiTheme="minorHAnsi" w:hAnsiTheme="minorHAnsi" w:cs="Calibri"/>
        </w:rPr>
        <w:t>“</w:t>
      </w:r>
      <w:r>
        <w:rPr>
          <w:rFonts w:asciiTheme="minorHAnsi" w:hAnsiTheme="minorHAnsi" w:cs="Calibri"/>
        </w:rPr>
        <w:t xml:space="preserve"> č. 80/2013, aniž by zvolil k výběru dodavatele dodávek jeden z druhů zadávacího řízení podle</w:t>
      </w:r>
      <w:r w:rsidR="00696A6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zá</w:t>
      </w:r>
      <w:r w:rsidR="00115962">
        <w:rPr>
          <w:rFonts w:asciiTheme="minorHAnsi" w:hAnsiTheme="minorHAnsi" w:cs="Calibri"/>
        </w:rPr>
        <w:t xml:space="preserve">kona č. 137/2006 Sb., </w:t>
      </w:r>
      <w:r w:rsidR="00E41279">
        <w:rPr>
          <w:rFonts w:asciiTheme="minorHAnsi" w:hAnsiTheme="minorHAnsi" w:cs="Calibri"/>
        </w:rPr>
        <w:t>přitom</w:t>
      </w:r>
      <w:r w:rsidR="00CA6F5D">
        <w:rPr>
          <w:rFonts w:asciiTheme="minorHAnsi" w:hAnsiTheme="minorHAnsi" w:cs="Calibri"/>
        </w:rPr>
        <w:t xml:space="preserve"> </w:t>
      </w:r>
      <w:r w:rsidR="00034569">
        <w:rPr>
          <w:rFonts w:asciiTheme="minorHAnsi" w:hAnsiTheme="minorHAnsi" w:cs="Calibri"/>
        </w:rPr>
        <w:t>se</w:t>
      </w:r>
      <w:r w:rsidR="00CA6F5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jednalo o zakázku s předpokládaným ročním plněním 1 005 tis. Kč bez DPH, tj.</w:t>
      </w:r>
      <w:r w:rsidR="00115962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>7</w:t>
      </w:r>
      <w:r w:rsidR="00115962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>035</w:t>
      </w:r>
      <w:r w:rsidR="00115962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>tis. Kč bez DPH po dobu trvání smlouvy (7 let), tj. nadlimitní veřejnou zakázku ve</w:t>
      </w:r>
      <w:r w:rsidR="00696A6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smyslu zákona č.</w:t>
      </w:r>
      <w:r w:rsidR="00E41279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>137/2006 Sb. a nařízení vlády</w:t>
      </w:r>
      <w:r w:rsidR="00696A6A">
        <w:rPr>
          <w:rFonts w:asciiTheme="minorHAnsi" w:hAnsiTheme="minorHAnsi" w:cs="Calibri"/>
        </w:rPr>
        <w:t xml:space="preserve"> č.</w:t>
      </w:r>
      <w:r>
        <w:rPr>
          <w:rFonts w:asciiTheme="minorHAnsi" w:hAnsiTheme="minorHAnsi" w:cs="Calibri"/>
        </w:rPr>
        <w:t xml:space="preserve"> 77/2008 Sb.</w:t>
      </w:r>
    </w:p>
    <w:p w14:paraId="223A9D82" w14:textId="29D5C8F1" w:rsidR="00F90C3E" w:rsidRDefault="00F90C3E" w:rsidP="00F90C3E">
      <w:pPr>
        <w:pStyle w:val="TextKP"/>
        <w:rPr>
          <w:b/>
        </w:rPr>
      </w:pPr>
      <w:r w:rsidRPr="008E732A">
        <w:rPr>
          <w:b/>
        </w:rPr>
        <w:t>SZÚ nepostupoval podle zákona č. 137/2006 Sb.</w:t>
      </w:r>
      <w:r>
        <w:rPr>
          <w:b/>
        </w:rPr>
        <w:t>,</w:t>
      </w:r>
      <w:r w:rsidRPr="008E732A">
        <w:rPr>
          <w:b/>
        </w:rPr>
        <w:t xml:space="preserve"> když v</w:t>
      </w:r>
      <w:r>
        <w:rPr>
          <w:b/>
        </w:rPr>
        <w:t> roce 2013</w:t>
      </w:r>
      <w:r w:rsidRPr="008E732A">
        <w:rPr>
          <w:b/>
        </w:rPr>
        <w:t xml:space="preserve"> zad</w:t>
      </w:r>
      <w:r>
        <w:rPr>
          <w:b/>
        </w:rPr>
        <w:t>al</w:t>
      </w:r>
      <w:r w:rsidRPr="008E732A">
        <w:rPr>
          <w:b/>
        </w:rPr>
        <w:t xml:space="preserve"> </w:t>
      </w:r>
      <w:r>
        <w:rPr>
          <w:b/>
        </w:rPr>
        <w:t xml:space="preserve">nadlimitní </w:t>
      </w:r>
      <w:r w:rsidRPr="008E732A">
        <w:rPr>
          <w:b/>
        </w:rPr>
        <w:t>veřejn</w:t>
      </w:r>
      <w:r>
        <w:rPr>
          <w:b/>
        </w:rPr>
        <w:t>ou zakázku</w:t>
      </w:r>
      <w:r w:rsidRPr="008E732A">
        <w:rPr>
          <w:b/>
        </w:rPr>
        <w:t xml:space="preserve"> na dodávky </w:t>
      </w:r>
      <w:r>
        <w:rPr>
          <w:b/>
        </w:rPr>
        <w:t>speciálního zdravotnického materiálu</w:t>
      </w:r>
      <w:r w:rsidRPr="008E732A">
        <w:rPr>
          <w:b/>
        </w:rPr>
        <w:t xml:space="preserve"> pro </w:t>
      </w:r>
      <w:r>
        <w:rPr>
          <w:b/>
        </w:rPr>
        <w:t xml:space="preserve">speciální </w:t>
      </w:r>
      <w:r w:rsidRPr="008E732A">
        <w:rPr>
          <w:b/>
        </w:rPr>
        <w:t>přístroj</w:t>
      </w:r>
      <w:r w:rsidR="00115962">
        <w:rPr>
          <w:b/>
        </w:rPr>
        <w:t xml:space="preserve"> určený pro NRL oddělení HIV/AIDS</w:t>
      </w:r>
      <w:r>
        <w:rPr>
          <w:b/>
        </w:rPr>
        <w:t>,</w:t>
      </w:r>
      <w:r w:rsidRPr="008E732A">
        <w:t xml:space="preserve"> </w:t>
      </w:r>
      <w:r w:rsidRPr="008E732A">
        <w:rPr>
          <w:b/>
        </w:rPr>
        <w:t>aniž</w:t>
      </w:r>
      <w:r w:rsidR="00CA6F5D">
        <w:t xml:space="preserve"> </w:t>
      </w:r>
      <w:r w:rsidRPr="008E732A">
        <w:rPr>
          <w:b/>
        </w:rPr>
        <w:t xml:space="preserve">by zvolil k výběru dodavatele </w:t>
      </w:r>
      <w:r>
        <w:rPr>
          <w:b/>
        </w:rPr>
        <w:t>materiálu</w:t>
      </w:r>
      <w:r w:rsidRPr="008E732A">
        <w:rPr>
          <w:b/>
        </w:rPr>
        <w:t xml:space="preserve"> jeden z druhů zadávacího řízení </w:t>
      </w:r>
      <w:r>
        <w:rPr>
          <w:b/>
        </w:rPr>
        <w:t>po</w:t>
      </w:r>
      <w:r w:rsidRPr="008E732A">
        <w:rPr>
          <w:b/>
        </w:rPr>
        <w:t>dle</w:t>
      </w:r>
      <w:r w:rsidR="00696A6A">
        <w:rPr>
          <w:b/>
        </w:rPr>
        <w:t xml:space="preserve"> </w:t>
      </w:r>
      <w:r w:rsidRPr="008E732A">
        <w:rPr>
          <w:b/>
        </w:rPr>
        <w:t>ustanovení § 21 zákona č. 137/2006 Sb.</w:t>
      </w:r>
      <w:r w:rsidR="00696A6A">
        <w:rPr>
          <w:b/>
        </w:rPr>
        <w:t xml:space="preserve"> J</w:t>
      </w:r>
      <w:r w:rsidRPr="008E732A">
        <w:rPr>
          <w:b/>
        </w:rPr>
        <w:t xml:space="preserve">ednalo </w:t>
      </w:r>
      <w:r w:rsidR="00696A6A">
        <w:rPr>
          <w:b/>
        </w:rPr>
        <w:t xml:space="preserve">se </w:t>
      </w:r>
      <w:r w:rsidRPr="008E732A">
        <w:rPr>
          <w:b/>
        </w:rPr>
        <w:t>o zakázku s</w:t>
      </w:r>
      <w:r w:rsidR="00696A6A">
        <w:rPr>
          <w:b/>
        </w:rPr>
        <w:t> </w:t>
      </w:r>
      <w:r>
        <w:rPr>
          <w:b/>
        </w:rPr>
        <w:t>předpokládaným ročním plněním 1 </w:t>
      </w:r>
      <w:r w:rsidRPr="008E732A">
        <w:rPr>
          <w:b/>
        </w:rPr>
        <w:t xml:space="preserve">005 </w:t>
      </w:r>
      <w:r>
        <w:rPr>
          <w:b/>
        </w:rPr>
        <w:t>tis.</w:t>
      </w:r>
      <w:r w:rsidRPr="008E732A">
        <w:rPr>
          <w:b/>
        </w:rPr>
        <w:t xml:space="preserve"> Kč bez DPH, tj. 7 035 </w:t>
      </w:r>
      <w:r>
        <w:rPr>
          <w:b/>
        </w:rPr>
        <w:t xml:space="preserve">tis. </w:t>
      </w:r>
      <w:r w:rsidRPr="008E732A">
        <w:rPr>
          <w:b/>
        </w:rPr>
        <w:t xml:space="preserve">Kč bez DPH po dobu </w:t>
      </w:r>
      <w:r w:rsidRPr="008E732A">
        <w:rPr>
          <w:b/>
        </w:rPr>
        <w:lastRenderedPageBreak/>
        <w:t>trvání smlouvy (7</w:t>
      </w:r>
      <w:r>
        <w:t> </w:t>
      </w:r>
      <w:r w:rsidRPr="008E732A">
        <w:rPr>
          <w:b/>
        </w:rPr>
        <w:t xml:space="preserve">let), </w:t>
      </w:r>
      <w:r w:rsidR="00696A6A">
        <w:rPr>
          <w:b/>
        </w:rPr>
        <w:t>a tedy</w:t>
      </w:r>
      <w:r w:rsidRPr="008E732A">
        <w:rPr>
          <w:b/>
        </w:rPr>
        <w:t xml:space="preserve"> nadlimitní veřejnou zakázku ve smyslu </w:t>
      </w:r>
      <w:r w:rsidR="007B4FD4">
        <w:rPr>
          <w:b/>
        </w:rPr>
        <w:t xml:space="preserve">ustanovení </w:t>
      </w:r>
      <w:r>
        <w:rPr>
          <w:b/>
        </w:rPr>
        <w:t>§ 12</w:t>
      </w:r>
      <w:r w:rsidRPr="008E732A">
        <w:rPr>
          <w:b/>
        </w:rPr>
        <w:t xml:space="preserve"> </w:t>
      </w:r>
      <w:r>
        <w:rPr>
          <w:b/>
        </w:rPr>
        <w:t xml:space="preserve">odst. 1 zákona </w:t>
      </w:r>
      <w:r w:rsidRPr="008E732A">
        <w:rPr>
          <w:b/>
        </w:rPr>
        <w:t>č. 137/2006 Sb.</w:t>
      </w:r>
      <w:r>
        <w:rPr>
          <w:b/>
        </w:rPr>
        <w:t xml:space="preserve"> ve</w:t>
      </w:r>
      <w:r w:rsidR="00CA6F5D">
        <w:rPr>
          <w:b/>
        </w:rPr>
        <w:t xml:space="preserve"> </w:t>
      </w:r>
      <w:r>
        <w:rPr>
          <w:b/>
        </w:rPr>
        <w:t>spojení s </w:t>
      </w:r>
      <w:r w:rsidRPr="008E732A">
        <w:rPr>
          <w:b/>
        </w:rPr>
        <w:t>nařízení</w:t>
      </w:r>
      <w:r>
        <w:rPr>
          <w:b/>
        </w:rPr>
        <w:t>m</w:t>
      </w:r>
      <w:r w:rsidRPr="008E732A">
        <w:rPr>
          <w:b/>
        </w:rPr>
        <w:t xml:space="preserve"> vlády</w:t>
      </w:r>
      <w:r>
        <w:rPr>
          <w:b/>
        </w:rPr>
        <w:t xml:space="preserve"> č. </w:t>
      </w:r>
      <w:r w:rsidRPr="008E732A">
        <w:rPr>
          <w:b/>
        </w:rPr>
        <w:t>77/2008 Sb.</w:t>
      </w:r>
      <w:r>
        <w:rPr>
          <w:b/>
        </w:rPr>
        <w:t xml:space="preserve"> Zvoleným postupem </w:t>
      </w:r>
      <w:r w:rsidRPr="008E732A">
        <w:rPr>
          <w:b/>
        </w:rPr>
        <w:t>SZÚ neměl možnost vyhodnotit ekonomickou výhodnost potenciální nabídky ve</w:t>
      </w:r>
      <w:r w:rsidR="00CA6F5D">
        <w:rPr>
          <w:b/>
        </w:rPr>
        <w:t xml:space="preserve"> </w:t>
      </w:r>
      <w:r w:rsidRPr="008E732A">
        <w:rPr>
          <w:b/>
        </w:rPr>
        <w:t>srovnání s alternativními možnostmi zajištění svých povinností vyplývajících SZÚ ze</w:t>
      </w:r>
      <w:r w:rsidR="00696A6A">
        <w:rPr>
          <w:b/>
        </w:rPr>
        <w:t xml:space="preserve"> </w:t>
      </w:r>
      <w:r w:rsidRPr="008E732A">
        <w:rPr>
          <w:b/>
        </w:rPr>
        <w:t>zákona č. 258/2000 Sb.</w:t>
      </w:r>
    </w:p>
    <w:p w14:paraId="7468CE20" w14:textId="1C6FDFA5" w:rsidR="00FB7742" w:rsidRPr="00FB7742" w:rsidRDefault="00FB7742" w:rsidP="00FB7742">
      <w:pPr>
        <w:pStyle w:val="TextKP"/>
        <w:rPr>
          <w:b/>
        </w:rPr>
      </w:pPr>
      <w:r w:rsidRPr="00FB7742">
        <w:rPr>
          <w:b/>
        </w:rPr>
        <w:t xml:space="preserve">Výše uvedeným jednáním se SZÚ dopustil porušení rozpočtové kázně ve smyslu ustanovení § 44 odst. 1 písm. a) </w:t>
      </w:r>
      <w:r w:rsidR="00BD2D52">
        <w:rPr>
          <w:b/>
        </w:rPr>
        <w:t>zákona č. 218/2000 Sb.</w:t>
      </w:r>
      <w:r w:rsidR="008D2260">
        <w:rPr>
          <w:b/>
        </w:rPr>
        <w:t xml:space="preserve">, </w:t>
      </w:r>
      <w:r w:rsidR="00696A6A">
        <w:rPr>
          <w:b/>
        </w:rPr>
        <w:t xml:space="preserve">a to </w:t>
      </w:r>
      <w:r w:rsidR="008D2260">
        <w:rPr>
          <w:b/>
        </w:rPr>
        <w:t>minimálně ve výši 7 035 tis. Kč bez DPH.</w:t>
      </w:r>
    </w:p>
    <w:p w14:paraId="340E8663" w14:textId="249BE1D0" w:rsidR="00141D66" w:rsidRDefault="00A14B3D" w:rsidP="00A14B3D">
      <w:pPr>
        <w:pStyle w:val="TextKP"/>
        <w:rPr>
          <w:rFonts w:cs="Calibri"/>
        </w:rPr>
      </w:pPr>
      <w:r>
        <w:rPr>
          <w:rFonts w:cs="Calibri"/>
        </w:rPr>
        <w:t xml:space="preserve">V případě dodávek </w:t>
      </w:r>
      <w:r w:rsidR="00362306">
        <w:rPr>
          <w:rFonts w:cs="Calibri"/>
        </w:rPr>
        <w:t>SZM</w:t>
      </w:r>
      <w:r>
        <w:rPr>
          <w:rFonts w:cs="Calibri"/>
        </w:rPr>
        <w:t xml:space="preserve"> od stejného dodavatele SZÚ pochy</w:t>
      </w:r>
      <w:r w:rsidR="00362306">
        <w:rPr>
          <w:rFonts w:cs="Calibri"/>
        </w:rPr>
        <w:t xml:space="preserve">bil již v roce 2009, když mu přímo zadal </w:t>
      </w:r>
      <w:r w:rsidR="00023A32">
        <w:rPr>
          <w:rFonts w:cs="Calibri"/>
        </w:rPr>
        <w:t>pod</w:t>
      </w:r>
      <w:r>
        <w:rPr>
          <w:rFonts w:cs="Calibri"/>
        </w:rPr>
        <w:t>limitní veřejnou zakázku na dodávky nových produktů pro nově najatý přístroj formou dodatku č. 1 evidovaného pod č</w:t>
      </w:r>
      <w:r w:rsidR="00696A6A">
        <w:rPr>
          <w:rFonts w:cs="Calibri"/>
        </w:rPr>
        <w:t>íslem</w:t>
      </w:r>
      <w:r w:rsidR="00362306">
        <w:rPr>
          <w:rFonts w:cs="Calibri"/>
        </w:rPr>
        <w:t xml:space="preserve"> 29/2009 ke smlouvě č. 19/2006.</w:t>
      </w:r>
    </w:p>
    <w:p w14:paraId="59EC6509" w14:textId="53695F84" w:rsidR="00FB7742" w:rsidRDefault="00FB7742" w:rsidP="00FB7742">
      <w:pPr>
        <w:pStyle w:val="TextKP"/>
        <w:rPr>
          <w:b/>
        </w:rPr>
      </w:pPr>
      <w:r w:rsidRPr="00FB7742">
        <w:rPr>
          <w:b/>
        </w:rPr>
        <w:t xml:space="preserve">SZÚ nepostupoval podle zákona č. 137/2006 Sb., když v roce 2009 zadal </w:t>
      </w:r>
      <w:r w:rsidR="00023A32">
        <w:rPr>
          <w:b/>
        </w:rPr>
        <w:t>po</w:t>
      </w:r>
      <w:r w:rsidRPr="00FB7742">
        <w:rPr>
          <w:b/>
        </w:rPr>
        <w:t xml:space="preserve">dlimitní veřejnou zakázku na dodávky materiálu pro speciální přístroj formou </w:t>
      </w:r>
      <w:r w:rsidR="00696A6A">
        <w:rPr>
          <w:b/>
        </w:rPr>
        <w:t xml:space="preserve">smluvního </w:t>
      </w:r>
      <w:r w:rsidRPr="00FB7742">
        <w:rPr>
          <w:b/>
        </w:rPr>
        <w:t>dodatku č. 1 evidovaného pod číslem 29/2009, aniž by zvolil k výběru dodavatele materiálu pro nový přístroj (nové produkty) jeden z druhů zadávacího řízení podle ustanovení § 21 zákona č.</w:t>
      </w:r>
      <w:r w:rsidR="00696A6A">
        <w:rPr>
          <w:b/>
        </w:rPr>
        <w:t> </w:t>
      </w:r>
      <w:r w:rsidRPr="00FB7742">
        <w:rPr>
          <w:b/>
        </w:rPr>
        <w:t>137/2006 Sb.</w:t>
      </w:r>
      <w:r w:rsidR="00CA6F5D">
        <w:rPr>
          <w:b/>
        </w:rPr>
        <w:t xml:space="preserve"> </w:t>
      </w:r>
      <w:r w:rsidR="00696A6A">
        <w:rPr>
          <w:b/>
        </w:rPr>
        <w:t>J</w:t>
      </w:r>
      <w:r w:rsidRPr="00FB7742">
        <w:rPr>
          <w:b/>
        </w:rPr>
        <w:t>ednalo</w:t>
      </w:r>
      <w:r w:rsidR="00696A6A">
        <w:rPr>
          <w:b/>
        </w:rPr>
        <w:t xml:space="preserve"> se</w:t>
      </w:r>
      <w:r w:rsidRPr="00FB7742">
        <w:rPr>
          <w:b/>
        </w:rPr>
        <w:t xml:space="preserve"> o zakázku s předpokládaným ročním plněním 833</w:t>
      </w:r>
      <w:r w:rsidR="00196FF9">
        <w:rPr>
          <w:b/>
        </w:rPr>
        <w:t>,33</w:t>
      </w:r>
      <w:r w:rsidRPr="00FB7742">
        <w:rPr>
          <w:b/>
        </w:rPr>
        <w:t xml:space="preserve"> tis. Kč bez DPH, tj. 3</w:t>
      </w:r>
      <w:r w:rsidR="00196FF9">
        <w:rPr>
          <w:b/>
        </w:rPr>
        <w:t> </w:t>
      </w:r>
      <w:r w:rsidRPr="00FB7742">
        <w:rPr>
          <w:b/>
        </w:rPr>
        <w:t>333</w:t>
      </w:r>
      <w:r w:rsidR="00196FF9">
        <w:rPr>
          <w:b/>
        </w:rPr>
        <w:t>,41</w:t>
      </w:r>
      <w:r w:rsidRPr="00FB7742">
        <w:rPr>
          <w:b/>
        </w:rPr>
        <w:t xml:space="preserve"> tis. Kč bez DPH </w:t>
      </w:r>
      <w:r w:rsidR="00A3254F">
        <w:rPr>
          <w:b/>
        </w:rPr>
        <w:t>za období</w:t>
      </w:r>
      <w:r w:rsidRPr="00FB7742">
        <w:rPr>
          <w:b/>
        </w:rPr>
        <w:t xml:space="preserve"> 48 měsíců, </w:t>
      </w:r>
      <w:r w:rsidR="00696A6A">
        <w:rPr>
          <w:b/>
        </w:rPr>
        <w:t>a tedy</w:t>
      </w:r>
      <w:r w:rsidRPr="00FB7742">
        <w:rPr>
          <w:b/>
        </w:rPr>
        <w:t xml:space="preserve"> podlimit</w:t>
      </w:r>
      <w:r w:rsidR="00023A32">
        <w:rPr>
          <w:b/>
        </w:rPr>
        <w:t xml:space="preserve">ní veřejnou zakázku ve smyslu </w:t>
      </w:r>
      <w:r w:rsidR="007B4FD4">
        <w:rPr>
          <w:b/>
        </w:rPr>
        <w:t xml:space="preserve">ustanovení </w:t>
      </w:r>
      <w:r w:rsidR="00023A32">
        <w:rPr>
          <w:b/>
        </w:rPr>
        <w:t>§ </w:t>
      </w:r>
      <w:r w:rsidRPr="00FB7742">
        <w:rPr>
          <w:b/>
        </w:rPr>
        <w:t>12 odst. 2 zákona č. 137/2006 Sb</w:t>
      </w:r>
      <w:r w:rsidR="00023A32">
        <w:rPr>
          <w:b/>
        </w:rPr>
        <w:t>.</w:t>
      </w:r>
      <w:r w:rsidR="00023A32" w:rsidRPr="00023A32">
        <w:t xml:space="preserve"> </w:t>
      </w:r>
      <w:r w:rsidR="00023A32">
        <w:rPr>
          <w:b/>
        </w:rPr>
        <w:t xml:space="preserve">ve spojení s </w:t>
      </w:r>
      <w:r w:rsidR="00023A32" w:rsidRPr="00023A32">
        <w:rPr>
          <w:b/>
        </w:rPr>
        <w:t>nařízením vlády č.</w:t>
      </w:r>
      <w:r w:rsidR="00696A6A">
        <w:rPr>
          <w:b/>
        </w:rPr>
        <w:t> </w:t>
      </w:r>
      <w:r w:rsidR="00023A32" w:rsidRPr="00023A32">
        <w:rPr>
          <w:b/>
        </w:rPr>
        <w:t>77/2008 Sb.</w:t>
      </w:r>
      <w:r w:rsidRPr="00FB7742">
        <w:rPr>
          <w:b/>
        </w:rPr>
        <w:t xml:space="preserve"> Zvoleným postupem SZÚ neměl možnost vyhodnotit ekonomickou výhodnost pote</w:t>
      </w:r>
      <w:r w:rsidR="00F31C4E">
        <w:rPr>
          <w:b/>
        </w:rPr>
        <w:t>nciální nabídky ve srovnání s </w:t>
      </w:r>
      <w:r w:rsidRPr="00FB7742">
        <w:rPr>
          <w:b/>
        </w:rPr>
        <w:t xml:space="preserve">alternativními možnostmi zajištění svých </w:t>
      </w:r>
      <w:r w:rsidR="00023A32">
        <w:rPr>
          <w:b/>
        </w:rPr>
        <w:t>povinností vyplývajících SZÚ ze</w:t>
      </w:r>
      <w:r w:rsidR="00CA6F5D">
        <w:rPr>
          <w:b/>
        </w:rPr>
        <w:t xml:space="preserve"> </w:t>
      </w:r>
      <w:r w:rsidRPr="00FB7742">
        <w:rPr>
          <w:b/>
        </w:rPr>
        <w:t>zákona č.</w:t>
      </w:r>
      <w:r w:rsidR="00F31C4E">
        <w:rPr>
          <w:b/>
        </w:rPr>
        <w:t> </w:t>
      </w:r>
      <w:r w:rsidRPr="00FB7742">
        <w:rPr>
          <w:b/>
        </w:rPr>
        <w:t>258/2000 Sb.</w:t>
      </w:r>
    </w:p>
    <w:p w14:paraId="19B6CDAF" w14:textId="14A54EF1" w:rsidR="001C18F0" w:rsidRDefault="0038646D" w:rsidP="00B95F69">
      <w:pPr>
        <w:spacing w:before="120"/>
        <w:jc w:val="both"/>
        <w:rPr>
          <w:b/>
        </w:rPr>
      </w:pPr>
      <w:r w:rsidRPr="0038646D">
        <w:rPr>
          <w:b/>
        </w:rPr>
        <w:t xml:space="preserve">Výše uvedeným jednáním se SZÚ dopustil porušení rozpočtové kázně ve smyslu ustanovení § 44 odst. 1 písm. a) </w:t>
      </w:r>
      <w:r w:rsidR="00BD2D52">
        <w:rPr>
          <w:b/>
        </w:rPr>
        <w:t>zákona č. 218/2000 Sb.</w:t>
      </w:r>
      <w:r w:rsidRPr="0038646D">
        <w:rPr>
          <w:b/>
        </w:rPr>
        <w:t xml:space="preserve">, </w:t>
      </w:r>
      <w:r w:rsidR="00696A6A">
        <w:rPr>
          <w:b/>
        </w:rPr>
        <w:t xml:space="preserve">a to </w:t>
      </w:r>
      <w:r w:rsidRPr="0038646D">
        <w:rPr>
          <w:b/>
        </w:rPr>
        <w:t xml:space="preserve">minimálně ve výši </w:t>
      </w:r>
      <w:r>
        <w:rPr>
          <w:b/>
        </w:rPr>
        <w:t>3 333,41</w:t>
      </w:r>
      <w:r w:rsidRPr="0038646D">
        <w:rPr>
          <w:b/>
        </w:rPr>
        <w:t xml:space="preserve"> tis. Kč bez DPH.</w:t>
      </w:r>
    </w:p>
    <w:p w14:paraId="2AD6B214" w14:textId="61E4829D" w:rsidR="001C18F0" w:rsidRPr="001C18F0" w:rsidRDefault="0012121A" w:rsidP="001C18F0">
      <w:pPr>
        <w:pStyle w:val="Odstavecseseznamem"/>
        <w:numPr>
          <w:ilvl w:val="0"/>
          <w:numId w:val="22"/>
        </w:numPr>
        <w:spacing w:before="120" w:after="120"/>
        <w:ind w:left="284" w:hanging="284"/>
        <w:contextualSpacing w:val="0"/>
        <w:jc w:val="both"/>
        <w:rPr>
          <w:rFonts w:cs="Arial"/>
          <w:bCs/>
        </w:rPr>
      </w:pPr>
      <w:r w:rsidRPr="001C18F0">
        <w:rPr>
          <w:b/>
        </w:rPr>
        <w:t xml:space="preserve">SZÚ </w:t>
      </w:r>
      <w:r w:rsidR="00B0777B" w:rsidRPr="001C18F0">
        <w:rPr>
          <w:b/>
        </w:rPr>
        <w:t>pořizoval</w:t>
      </w:r>
      <w:r w:rsidRPr="001C18F0">
        <w:rPr>
          <w:b/>
        </w:rPr>
        <w:t xml:space="preserve"> </w:t>
      </w:r>
      <w:r w:rsidR="007003CB" w:rsidRPr="001C18F0">
        <w:rPr>
          <w:b/>
        </w:rPr>
        <w:t xml:space="preserve">služby </w:t>
      </w:r>
      <w:r w:rsidR="00696A6A">
        <w:rPr>
          <w:b/>
        </w:rPr>
        <w:t>pro</w:t>
      </w:r>
      <w:r w:rsidRPr="001C18F0">
        <w:rPr>
          <w:b/>
        </w:rPr>
        <w:t xml:space="preserve"> laboratoř</w:t>
      </w:r>
      <w:r w:rsidR="00696A6A">
        <w:rPr>
          <w:b/>
        </w:rPr>
        <w:t>e</w:t>
      </w:r>
      <w:r w:rsidRPr="001C18F0">
        <w:rPr>
          <w:b/>
        </w:rPr>
        <w:t xml:space="preserve"> </w:t>
      </w:r>
      <w:r w:rsidR="0096377E" w:rsidRPr="001C18F0">
        <w:rPr>
          <w:b/>
        </w:rPr>
        <w:t>v rozporu se zákonem</w:t>
      </w:r>
      <w:r w:rsidR="00B95F69" w:rsidRPr="001C18F0">
        <w:rPr>
          <w:b/>
        </w:rPr>
        <w:t xml:space="preserve"> č. 137/2006 Sb.</w:t>
      </w:r>
      <w:r w:rsidR="0096377E" w:rsidRPr="001C18F0">
        <w:rPr>
          <w:b/>
        </w:rPr>
        <w:t xml:space="preserve"> </w:t>
      </w:r>
    </w:p>
    <w:p w14:paraId="6F4E7BD2" w14:textId="55FA5B63" w:rsidR="00D07E2F" w:rsidRPr="001C18F0" w:rsidRDefault="00814311" w:rsidP="001C18F0">
      <w:pPr>
        <w:spacing w:before="120"/>
        <w:jc w:val="both"/>
        <w:rPr>
          <w:rFonts w:cs="Arial"/>
          <w:bCs/>
        </w:rPr>
      </w:pPr>
      <w:r w:rsidRPr="001C18F0">
        <w:rPr>
          <w:rFonts w:cs="Arial"/>
          <w:bCs/>
        </w:rPr>
        <w:t>Kontrolou předložených faktur vystavených v letech 2013 až 2016 poskytovatelem služeb čištění laboratoří bylo zjištěno, že některá plnění byla pr</w:t>
      </w:r>
      <w:r w:rsidR="00C77FFC" w:rsidRPr="001C18F0">
        <w:rPr>
          <w:rFonts w:cs="Arial"/>
          <w:bCs/>
        </w:rPr>
        <w:t>ováděna na základě objednávek a </w:t>
      </w:r>
      <w:r w:rsidRPr="001C18F0">
        <w:rPr>
          <w:rFonts w:cs="Arial"/>
          <w:bCs/>
        </w:rPr>
        <w:t xml:space="preserve">některá plnění byla prováděna na základě smlouvy. V druhém případě však </w:t>
      </w:r>
      <w:r w:rsidR="00C77FFC" w:rsidRPr="001C18F0">
        <w:rPr>
          <w:rFonts w:cs="Arial"/>
          <w:bCs/>
        </w:rPr>
        <w:t xml:space="preserve">byla smlouva </w:t>
      </w:r>
      <w:r w:rsidRPr="001C18F0">
        <w:rPr>
          <w:rFonts w:cs="Arial"/>
          <w:bCs/>
        </w:rPr>
        <w:t>vždy označena jako „S 2019“. Vzhledem k tomu, že jsou v současné době v platnosti dvě smlouvy – č. 9/2007 a č. 311/2014 – uzavřené se stejným dodavatelem, navíc s totožným předmětem plnění, není vůbec zřejmé, ke které z těchto smlu</w:t>
      </w:r>
      <w:r w:rsidR="00CB2199" w:rsidRPr="001C18F0">
        <w:rPr>
          <w:rFonts w:cs="Arial"/>
          <w:bCs/>
        </w:rPr>
        <w:t xml:space="preserve">v se jednotlivá plnění vztahují, což opět </w:t>
      </w:r>
      <w:r w:rsidR="00C77FFC" w:rsidRPr="001C18F0">
        <w:rPr>
          <w:rFonts w:cs="Arial"/>
          <w:bCs/>
        </w:rPr>
        <w:t>svědčí o nefunkčnosti vnitřního kontrolního systému SZÚ</w:t>
      </w:r>
      <w:r w:rsidR="00432BFE" w:rsidRPr="001C18F0">
        <w:rPr>
          <w:rFonts w:cs="Arial"/>
          <w:bCs/>
        </w:rPr>
        <w:t>.</w:t>
      </w:r>
    </w:p>
    <w:p w14:paraId="2C6B56A1" w14:textId="1460AC15" w:rsidR="00D07E2F" w:rsidRPr="001C7DC9" w:rsidRDefault="00CB2199" w:rsidP="00D07E2F">
      <w:pPr>
        <w:spacing w:before="120"/>
        <w:jc w:val="both"/>
        <w:rPr>
          <w:rFonts w:cs="Arial"/>
          <w:bCs/>
        </w:rPr>
      </w:pPr>
      <w:r>
        <w:rPr>
          <w:rFonts w:cs="Arial"/>
          <w:bCs/>
        </w:rPr>
        <w:t>Objem</w:t>
      </w:r>
      <w:r w:rsidR="00C77FFC">
        <w:rPr>
          <w:rFonts w:cs="Arial"/>
          <w:bCs/>
        </w:rPr>
        <w:t xml:space="preserve"> služeb</w:t>
      </w:r>
      <w:r>
        <w:rPr>
          <w:rFonts w:cs="Arial"/>
          <w:bCs/>
        </w:rPr>
        <w:t xml:space="preserve"> </w:t>
      </w:r>
      <w:r w:rsidR="00432BFE">
        <w:rPr>
          <w:rFonts w:cs="Arial"/>
          <w:bCs/>
        </w:rPr>
        <w:t>realizovaný</w:t>
      </w:r>
      <w:r>
        <w:rPr>
          <w:rFonts w:cs="Arial"/>
          <w:bCs/>
        </w:rPr>
        <w:t xml:space="preserve">ch poskytovatelem </w:t>
      </w:r>
      <w:r w:rsidR="00D07E2F" w:rsidRPr="001C7DC9">
        <w:rPr>
          <w:rFonts w:cs="Arial"/>
          <w:bCs/>
        </w:rPr>
        <w:t xml:space="preserve">v letech 2013 až 2016 </w:t>
      </w:r>
      <w:r w:rsidR="00432BFE">
        <w:rPr>
          <w:rFonts w:cs="Arial"/>
          <w:bCs/>
        </w:rPr>
        <w:t xml:space="preserve">byl </w:t>
      </w:r>
      <w:r w:rsidR="00D07E2F" w:rsidRPr="001C7DC9">
        <w:rPr>
          <w:rFonts w:cs="Arial"/>
          <w:bCs/>
        </w:rPr>
        <w:t>v celkové hodnotě 2</w:t>
      </w:r>
      <w:r w:rsidR="00415B03">
        <w:rPr>
          <w:rFonts w:cs="Arial"/>
          <w:bCs/>
        </w:rPr>
        <w:t> </w:t>
      </w:r>
      <w:r w:rsidR="00D07E2F" w:rsidRPr="001C7DC9">
        <w:rPr>
          <w:rFonts w:cs="Arial"/>
          <w:bCs/>
        </w:rPr>
        <w:t>58</w:t>
      </w:r>
      <w:r w:rsidR="00415B03">
        <w:rPr>
          <w:rFonts w:cs="Arial"/>
          <w:bCs/>
        </w:rPr>
        <w:t>7,72</w:t>
      </w:r>
      <w:r w:rsidR="00C77FFC">
        <w:rPr>
          <w:rFonts w:cs="Arial"/>
          <w:bCs/>
        </w:rPr>
        <w:t xml:space="preserve"> tis.</w:t>
      </w:r>
      <w:r w:rsidR="00D07E2F">
        <w:rPr>
          <w:b/>
        </w:rPr>
        <w:t> </w:t>
      </w:r>
      <w:r w:rsidR="00D07E2F" w:rsidRPr="001C7DC9">
        <w:rPr>
          <w:rFonts w:cs="Arial"/>
          <w:bCs/>
        </w:rPr>
        <w:t>Kč bez DPH, z toho plnění v hodnotě 485</w:t>
      </w:r>
      <w:r w:rsidR="00415B03">
        <w:rPr>
          <w:rFonts w:cs="Arial"/>
          <w:bCs/>
        </w:rPr>
        <w:t>,39</w:t>
      </w:r>
      <w:r w:rsidR="00D07E2F" w:rsidRPr="001C7DC9">
        <w:rPr>
          <w:rFonts w:cs="Arial"/>
          <w:bCs/>
        </w:rPr>
        <w:t> </w:t>
      </w:r>
      <w:r w:rsidR="00C77FFC">
        <w:rPr>
          <w:rFonts w:cs="Arial"/>
          <w:bCs/>
        </w:rPr>
        <w:t xml:space="preserve">tis. Kč bez DPH byla </w:t>
      </w:r>
      <w:r w:rsidR="00432BFE">
        <w:rPr>
          <w:rFonts w:cs="Arial"/>
          <w:bCs/>
        </w:rPr>
        <w:t>provedena na </w:t>
      </w:r>
      <w:r w:rsidR="00D07E2F" w:rsidRPr="001702CA">
        <w:rPr>
          <w:rFonts w:cs="Arial"/>
          <w:bCs/>
        </w:rPr>
        <w:t>základě smluv a plnění v hodnotě 2</w:t>
      </w:r>
      <w:r w:rsidR="00415B03">
        <w:rPr>
          <w:rFonts w:cs="Arial"/>
          <w:bCs/>
        </w:rPr>
        <w:t> </w:t>
      </w:r>
      <w:r w:rsidR="00D07E2F" w:rsidRPr="001702CA">
        <w:rPr>
          <w:rFonts w:cs="Arial"/>
          <w:bCs/>
        </w:rPr>
        <w:t>102</w:t>
      </w:r>
      <w:r w:rsidR="00415B03">
        <w:rPr>
          <w:rFonts w:cs="Arial"/>
          <w:bCs/>
        </w:rPr>
        <w:t>,33</w:t>
      </w:r>
      <w:r w:rsidR="00D07E2F" w:rsidRPr="001702CA">
        <w:rPr>
          <w:rFonts w:cs="Arial"/>
          <w:bCs/>
        </w:rPr>
        <w:t> </w:t>
      </w:r>
      <w:r w:rsidR="00C77FFC">
        <w:rPr>
          <w:rFonts w:cs="Arial"/>
          <w:bCs/>
        </w:rPr>
        <w:t>tis.</w:t>
      </w:r>
      <w:r w:rsidR="00D07E2F" w:rsidRPr="001702CA">
        <w:rPr>
          <w:rFonts w:cs="Arial"/>
          <w:bCs/>
        </w:rPr>
        <w:t xml:space="preserve"> Kč bez DPH byla p</w:t>
      </w:r>
      <w:r w:rsidR="00C77FFC">
        <w:rPr>
          <w:rFonts w:cs="Arial"/>
          <w:bCs/>
        </w:rPr>
        <w:t>rovedena na základě objednávek.</w:t>
      </w:r>
    </w:p>
    <w:p w14:paraId="157BFE62" w14:textId="13A66A4A" w:rsidR="00D07E2F" w:rsidRPr="001C7DC9" w:rsidRDefault="00D07E2F" w:rsidP="00D07E2F">
      <w:pPr>
        <w:spacing w:before="120"/>
        <w:jc w:val="both"/>
        <w:rPr>
          <w:rFonts w:cs="Arial"/>
          <w:b/>
          <w:bCs/>
        </w:rPr>
      </w:pPr>
      <w:r w:rsidRPr="001C7DC9">
        <w:rPr>
          <w:rFonts w:cs="Arial"/>
          <w:b/>
          <w:bCs/>
        </w:rPr>
        <w:t>SZÚ nepostupoval podle zákona č. 137/2006 Sb., když v letech 2013 až 2016 částečně zadával servis čistých prostor laboratoře BL 3 formou samostatných objednávek, ačkoliv</w:t>
      </w:r>
      <w:r w:rsidR="00696A6A">
        <w:rPr>
          <w:rFonts w:cs="Arial"/>
          <w:b/>
          <w:bCs/>
        </w:rPr>
        <w:t xml:space="preserve"> </w:t>
      </w:r>
      <w:r w:rsidRPr="001C7DC9">
        <w:rPr>
          <w:rFonts w:cs="Arial"/>
          <w:b/>
          <w:bCs/>
        </w:rPr>
        <w:t>celková hodnota těchto prací v roce 2013 činila 730</w:t>
      </w:r>
      <w:r w:rsidR="00415B03">
        <w:rPr>
          <w:rFonts w:cs="Arial"/>
          <w:b/>
          <w:bCs/>
        </w:rPr>
        <w:t>,45</w:t>
      </w:r>
      <w:r>
        <w:rPr>
          <w:rFonts w:cs="Arial"/>
          <w:b/>
          <w:bCs/>
        </w:rPr>
        <w:t> </w:t>
      </w:r>
      <w:r w:rsidR="00C77FFC">
        <w:rPr>
          <w:rFonts w:cs="Arial"/>
          <w:b/>
          <w:bCs/>
        </w:rPr>
        <w:t>tis.</w:t>
      </w:r>
      <w:r>
        <w:rPr>
          <w:rFonts w:cs="Arial"/>
          <w:b/>
          <w:bCs/>
        </w:rPr>
        <w:t xml:space="preserve"> Kč bez DPH (z toho 68</w:t>
      </w:r>
      <w:r w:rsidR="00415B03">
        <w:rPr>
          <w:rFonts w:cs="Arial"/>
          <w:b/>
          <w:bCs/>
        </w:rPr>
        <w:t>4,65</w:t>
      </w:r>
      <w:r w:rsidR="00696A6A">
        <w:rPr>
          <w:rFonts w:cs="Arial"/>
          <w:b/>
          <w:bCs/>
        </w:rPr>
        <w:t> </w:t>
      </w:r>
      <w:r w:rsidR="00C77FFC">
        <w:rPr>
          <w:rFonts w:cs="Arial"/>
          <w:b/>
          <w:bCs/>
        </w:rPr>
        <w:t>tis.</w:t>
      </w:r>
      <w:r>
        <w:rPr>
          <w:rFonts w:cs="Arial"/>
          <w:b/>
          <w:bCs/>
        </w:rPr>
        <w:t> </w:t>
      </w:r>
      <w:r w:rsidRPr="001C7DC9">
        <w:rPr>
          <w:rFonts w:cs="Arial"/>
          <w:b/>
          <w:bCs/>
        </w:rPr>
        <w:t>Kč bez</w:t>
      </w:r>
      <w:r w:rsidR="00CD61CD">
        <w:rPr>
          <w:rFonts w:cs="Arial"/>
          <w:b/>
          <w:bCs/>
        </w:rPr>
        <w:t xml:space="preserve"> </w:t>
      </w:r>
      <w:r w:rsidR="00C77FFC">
        <w:rPr>
          <w:rFonts w:cs="Arial"/>
          <w:b/>
          <w:bCs/>
        </w:rPr>
        <w:t>DPH na</w:t>
      </w:r>
      <w:r w:rsidR="00696A6A">
        <w:rPr>
          <w:rFonts w:cs="Arial"/>
          <w:b/>
          <w:bCs/>
        </w:rPr>
        <w:t xml:space="preserve"> </w:t>
      </w:r>
      <w:r w:rsidRPr="001C7DC9">
        <w:rPr>
          <w:rFonts w:cs="Arial"/>
          <w:b/>
          <w:bCs/>
        </w:rPr>
        <w:t>základě objednávek), v roce 2014 činila 564</w:t>
      </w:r>
      <w:r w:rsidR="00415B03">
        <w:rPr>
          <w:rFonts w:cs="Arial"/>
          <w:b/>
          <w:bCs/>
        </w:rPr>
        <w:t>,46</w:t>
      </w:r>
      <w:r w:rsidRPr="001C7DC9">
        <w:rPr>
          <w:rFonts w:cs="Arial"/>
          <w:b/>
          <w:bCs/>
        </w:rPr>
        <w:t> </w:t>
      </w:r>
      <w:r w:rsidR="00C77FFC">
        <w:rPr>
          <w:rFonts w:cs="Arial"/>
          <w:b/>
          <w:bCs/>
        </w:rPr>
        <w:t xml:space="preserve">tis. </w:t>
      </w:r>
      <w:r w:rsidRPr="001C7DC9">
        <w:rPr>
          <w:rFonts w:cs="Arial"/>
          <w:b/>
          <w:bCs/>
        </w:rPr>
        <w:t>Kč bez DPH (z toho 47</w:t>
      </w:r>
      <w:r w:rsidR="00415B03">
        <w:rPr>
          <w:rFonts w:cs="Arial"/>
          <w:b/>
          <w:bCs/>
        </w:rPr>
        <w:t>0,98</w:t>
      </w:r>
      <w:r w:rsidR="000B7012">
        <w:rPr>
          <w:rFonts w:cs="Arial"/>
          <w:b/>
          <w:bCs/>
        </w:rPr>
        <w:t> </w:t>
      </w:r>
      <w:r w:rsidR="003E214B">
        <w:rPr>
          <w:rFonts w:cs="Arial"/>
          <w:b/>
          <w:bCs/>
        </w:rPr>
        <w:t>tis.</w:t>
      </w:r>
      <w:r w:rsidR="000B7012">
        <w:rPr>
          <w:rFonts w:cs="Arial"/>
          <w:b/>
          <w:bCs/>
        </w:rPr>
        <w:t> </w:t>
      </w:r>
      <w:r w:rsidR="003E214B">
        <w:rPr>
          <w:rFonts w:cs="Arial"/>
          <w:b/>
          <w:bCs/>
        </w:rPr>
        <w:t>Kč bez</w:t>
      </w:r>
      <w:r w:rsidR="00696A6A">
        <w:rPr>
          <w:rFonts w:cs="Arial"/>
          <w:b/>
          <w:bCs/>
        </w:rPr>
        <w:t xml:space="preserve"> </w:t>
      </w:r>
      <w:r w:rsidR="00C77FFC">
        <w:rPr>
          <w:rFonts w:cs="Arial"/>
          <w:b/>
          <w:bCs/>
        </w:rPr>
        <w:t>DPH na</w:t>
      </w:r>
      <w:r w:rsidR="00696A6A">
        <w:rPr>
          <w:rFonts w:cs="Arial"/>
          <w:b/>
          <w:bCs/>
        </w:rPr>
        <w:t xml:space="preserve"> </w:t>
      </w:r>
      <w:r w:rsidRPr="001C7DC9">
        <w:rPr>
          <w:rFonts w:cs="Arial"/>
          <w:b/>
          <w:bCs/>
        </w:rPr>
        <w:t>základě objednávek), v roce 2015 činila 67</w:t>
      </w:r>
      <w:r w:rsidR="00415B03">
        <w:rPr>
          <w:rFonts w:cs="Arial"/>
          <w:b/>
          <w:bCs/>
        </w:rPr>
        <w:t>4,68</w:t>
      </w:r>
      <w:r w:rsidR="00C77FFC">
        <w:rPr>
          <w:rFonts w:cs="Arial"/>
          <w:b/>
          <w:bCs/>
        </w:rPr>
        <w:t xml:space="preserve"> tis.</w:t>
      </w:r>
      <w:r w:rsidR="007B4FD4">
        <w:rPr>
          <w:rFonts w:cs="Arial"/>
          <w:b/>
          <w:bCs/>
        </w:rPr>
        <w:t xml:space="preserve"> Kč bez DPH (z </w:t>
      </w:r>
      <w:r w:rsidRPr="001C7DC9">
        <w:rPr>
          <w:rFonts w:cs="Arial"/>
          <w:b/>
          <w:bCs/>
        </w:rPr>
        <w:t>toho</w:t>
      </w:r>
      <w:r w:rsidR="003E214B">
        <w:rPr>
          <w:rFonts w:cs="Arial"/>
          <w:b/>
          <w:bCs/>
        </w:rPr>
        <w:t> </w:t>
      </w:r>
      <w:r w:rsidRPr="001C7DC9">
        <w:rPr>
          <w:rFonts w:cs="Arial"/>
          <w:b/>
          <w:bCs/>
        </w:rPr>
        <w:t>482</w:t>
      </w:r>
      <w:r w:rsidR="00415B03">
        <w:rPr>
          <w:rFonts w:cs="Arial"/>
          <w:b/>
          <w:bCs/>
        </w:rPr>
        <w:t>,24</w:t>
      </w:r>
      <w:r w:rsidRPr="001C7DC9">
        <w:rPr>
          <w:rFonts w:cs="Arial"/>
          <w:b/>
          <w:bCs/>
        </w:rPr>
        <w:t> </w:t>
      </w:r>
      <w:r w:rsidR="00C77FFC">
        <w:rPr>
          <w:rFonts w:cs="Arial"/>
          <w:b/>
          <w:bCs/>
        </w:rPr>
        <w:t>tis.</w:t>
      </w:r>
      <w:r w:rsidR="003E214B">
        <w:rPr>
          <w:rFonts w:cs="Arial"/>
          <w:b/>
          <w:bCs/>
        </w:rPr>
        <w:t> </w:t>
      </w:r>
      <w:r w:rsidR="00C77FFC">
        <w:rPr>
          <w:rFonts w:cs="Arial"/>
          <w:b/>
          <w:bCs/>
        </w:rPr>
        <w:t>Kč bez DPH na</w:t>
      </w:r>
      <w:r w:rsidR="00CA6F5D">
        <w:rPr>
          <w:rFonts w:cs="Arial"/>
          <w:b/>
          <w:bCs/>
        </w:rPr>
        <w:t xml:space="preserve"> </w:t>
      </w:r>
      <w:r w:rsidRPr="001C7DC9">
        <w:rPr>
          <w:rFonts w:cs="Arial"/>
          <w:b/>
          <w:bCs/>
        </w:rPr>
        <w:t>základě objednávek) a v roce 2016 činila 618</w:t>
      </w:r>
      <w:r w:rsidR="00415B03">
        <w:rPr>
          <w:rFonts w:cs="Arial"/>
          <w:b/>
          <w:bCs/>
        </w:rPr>
        <w:t>,14</w:t>
      </w:r>
      <w:r w:rsidRPr="001C7DC9">
        <w:rPr>
          <w:rFonts w:cs="Arial"/>
          <w:b/>
          <w:bCs/>
        </w:rPr>
        <w:t> </w:t>
      </w:r>
      <w:r w:rsidR="00C77FFC">
        <w:rPr>
          <w:rFonts w:cs="Arial"/>
          <w:b/>
          <w:bCs/>
        </w:rPr>
        <w:t xml:space="preserve">tis. </w:t>
      </w:r>
      <w:r w:rsidRPr="001C7DC9">
        <w:rPr>
          <w:rFonts w:cs="Arial"/>
          <w:b/>
          <w:bCs/>
        </w:rPr>
        <w:t>Kč bez</w:t>
      </w:r>
      <w:r w:rsidR="00696A6A">
        <w:rPr>
          <w:rFonts w:cs="Arial"/>
          <w:b/>
          <w:bCs/>
        </w:rPr>
        <w:t xml:space="preserve"> </w:t>
      </w:r>
      <w:r w:rsidRPr="001C7DC9">
        <w:rPr>
          <w:rFonts w:cs="Arial"/>
          <w:b/>
          <w:bCs/>
        </w:rPr>
        <w:t>DPH (z toho 464</w:t>
      </w:r>
      <w:r w:rsidR="00415B03">
        <w:rPr>
          <w:rFonts w:cs="Arial"/>
          <w:b/>
          <w:bCs/>
        </w:rPr>
        <w:t>,46</w:t>
      </w:r>
      <w:r w:rsidRPr="001C7DC9">
        <w:rPr>
          <w:rFonts w:cs="Arial"/>
          <w:b/>
          <w:bCs/>
        </w:rPr>
        <w:t> </w:t>
      </w:r>
      <w:r w:rsidR="00C77FFC">
        <w:rPr>
          <w:rFonts w:cs="Arial"/>
          <w:b/>
          <w:bCs/>
        </w:rPr>
        <w:t>tis.</w:t>
      </w:r>
      <w:r w:rsidR="00696A6A">
        <w:rPr>
          <w:rFonts w:cs="Arial"/>
          <w:b/>
          <w:bCs/>
        </w:rPr>
        <w:t> </w:t>
      </w:r>
      <w:r w:rsidRPr="001C7DC9">
        <w:rPr>
          <w:rFonts w:cs="Arial"/>
          <w:b/>
          <w:bCs/>
        </w:rPr>
        <w:t>Kč bez DPH na základě objednávek), tj. za roky 2013 až 2016 celkem 2</w:t>
      </w:r>
      <w:r w:rsidR="00415B03">
        <w:rPr>
          <w:rFonts w:cs="Arial"/>
          <w:b/>
          <w:bCs/>
        </w:rPr>
        <w:t> </w:t>
      </w:r>
      <w:r w:rsidRPr="001C7DC9">
        <w:rPr>
          <w:rFonts w:cs="Arial"/>
          <w:b/>
          <w:bCs/>
        </w:rPr>
        <w:t>587</w:t>
      </w:r>
      <w:r w:rsidR="00415B03">
        <w:rPr>
          <w:rFonts w:cs="Arial"/>
          <w:b/>
          <w:bCs/>
        </w:rPr>
        <w:t>,</w:t>
      </w:r>
      <w:r w:rsidRPr="001C7DC9">
        <w:rPr>
          <w:rFonts w:cs="Arial"/>
          <w:b/>
          <w:bCs/>
        </w:rPr>
        <w:t>72</w:t>
      </w:r>
      <w:r w:rsidR="00696A6A">
        <w:rPr>
          <w:rFonts w:cs="Arial"/>
          <w:b/>
          <w:bCs/>
        </w:rPr>
        <w:t> </w:t>
      </w:r>
      <w:r w:rsidR="00415B03">
        <w:rPr>
          <w:rFonts w:cs="Arial"/>
          <w:b/>
          <w:bCs/>
        </w:rPr>
        <w:t>tis.</w:t>
      </w:r>
      <w:r w:rsidR="00696A6A">
        <w:rPr>
          <w:rFonts w:cs="Arial"/>
          <w:b/>
          <w:bCs/>
        </w:rPr>
        <w:t> </w:t>
      </w:r>
      <w:r w:rsidRPr="001C7DC9">
        <w:rPr>
          <w:rFonts w:cs="Arial"/>
          <w:b/>
          <w:bCs/>
        </w:rPr>
        <w:t>Kč bez DPH (z</w:t>
      </w:r>
      <w:r>
        <w:rPr>
          <w:rFonts w:cs="Arial"/>
          <w:b/>
          <w:bCs/>
        </w:rPr>
        <w:t> </w:t>
      </w:r>
      <w:r w:rsidRPr="001C7DC9">
        <w:rPr>
          <w:rFonts w:cs="Arial"/>
          <w:b/>
          <w:bCs/>
        </w:rPr>
        <w:t>toho celkem 2</w:t>
      </w:r>
      <w:r w:rsidR="00415B03">
        <w:rPr>
          <w:rFonts w:cs="Arial"/>
          <w:b/>
          <w:bCs/>
        </w:rPr>
        <w:t> </w:t>
      </w:r>
      <w:r w:rsidRPr="001C7DC9">
        <w:rPr>
          <w:rFonts w:cs="Arial"/>
          <w:b/>
          <w:bCs/>
        </w:rPr>
        <w:t>102</w:t>
      </w:r>
      <w:r w:rsidR="00415B03">
        <w:rPr>
          <w:rFonts w:cs="Arial"/>
          <w:b/>
          <w:bCs/>
        </w:rPr>
        <w:t>,</w:t>
      </w:r>
      <w:r w:rsidRPr="001C7DC9">
        <w:rPr>
          <w:rFonts w:cs="Arial"/>
          <w:b/>
          <w:bCs/>
        </w:rPr>
        <w:t>33</w:t>
      </w:r>
      <w:r w:rsidR="00415B03">
        <w:rPr>
          <w:rFonts w:cs="Arial"/>
          <w:b/>
          <w:bCs/>
        </w:rPr>
        <w:t xml:space="preserve"> tis.</w:t>
      </w:r>
      <w:r w:rsidRPr="001C7DC9">
        <w:rPr>
          <w:rFonts w:cs="Arial"/>
          <w:b/>
          <w:bCs/>
        </w:rPr>
        <w:t xml:space="preserve"> Kč bez </w:t>
      </w:r>
      <w:r>
        <w:rPr>
          <w:rFonts w:cs="Arial"/>
          <w:b/>
          <w:bCs/>
        </w:rPr>
        <w:t>DPH na základě objednávek). SZÚ</w:t>
      </w:r>
      <w:r w:rsidR="00696A6A">
        <w:rPr>
          <w:rFonts w:cs="Arial"/>
          <w:b/>
          <w:bCs/>
        </w:rPr>
        <w:t xml:space="preserve"> </w:t>
      </w:r>
      <w:r w:rsidRPr="001C7DC9">
        <w:rPr>
          <w:rFonts w:cs="Arial"/>
          <w:b/>
          <w:bCs/>
        </w:rPr>
        <w:t>nestanovil předpokládanou hodnotu veřejné zakázky na servis čistých prostor laboratoře BL</w:t>
      </w:r>
      <w:r w:rsidR="00696A6A">
        <w:rPr>
          <w:rFonts w:cs="Arial"/>
          <w:b/>
          <w:bCs/>
        </w:rPr>
        <w:t> </w:t>
      </w:r>
      <w:r w:rsidRPr="001C7DC9">
        <w:rPr>
          <w:rFonts w:cs="Arial"/>
          <w:b/>
          <w:bCs/>
        </w:rPr>
        <w:t>3 podle ustanovení § 15 zákona č. 137/2006 Sb.</w:t>
      </w:r>
    </w:p>
    <w:p w14:paraId="73DC64A9" w14:textId="20A4281B" w:rsidR="00D07E2F" w:rsidRPr="001E6FBB" w:rsidRDefault="00D07E2F" w:rsidP="00D07E2F">
      <w:pPr>
        <w:pStyle w:val="TextKP"/>
        <w:rPr>
          <w:b/>
        </w:rPr>
      </w:pPr>
      <w:r w:rsidRPr="001E6FBB">
        <w:rPr>
          <w:b/>
        </w:rPr>
        <w:lastRenderedPageBreak/>
        <w:t>Výše uvedeným jednáním se SZÚ dopustil porušení rozpočtové kázně ve smyslu ustanovení § 44 odst. 1 písm. a) ve spojení s ustanovením § 3 písm. e) zákona č. 218/2000 </w:t>
      </w:r>
      <w:r>
        <w:rPr>
          <w:b/>
        </w:rPr>
        <w:t xml:space="preserve">Sb., </w:t>
      </w:r>
      <w:r w:rsidR="000501B7">
        <w:rPr>
          <w:b/>
        </w:rPr>
        <w:t xml:space="preserve">a to </w:t>
      </w:r>
      <w:r w:rsidR="00415B03">
        <w:rPr>
          <w:b/>
        </w:rPr>
        <w:t>minimálně ve výši 2 102,33 tis. Kč</w:t>
      </w:r>
      <w:r>
        <w:rPr>
          <w:b/>
        </w:rPr>
        <w:t>.</w:t>
      </w:r>
    </w:p>
    <w:p w14:paraId="41AAD64A" w14:textId="1D552FBF" w:rsidR="001F231B" w:rsidRPr="007D3288" w:rsidRDefault="001F231B" w:rsidP="00C502C2">
      <w:pPr>
        <w:pStyle w:val="Nadpis2"/>
      </w:pPr>
      <w:r w:rsidRPr="007D3288">
        <w:t>K části II. bodu 6:</w:t>
      </w:r>
    </w:p>
    <w:p w14:paraId="0BDB259B" w14:textId="737196B2" w:rsidR="00432BFE" w:rsidRDefault="00400850" w:rsidP="0012121A">
      <w:pPr>
        <w:pStyle w:val="TextKP"/>
        <w:spacing w:after="120"/>
        <w:rPr>
          <w:b/>
        </w:rPr>
      </w:pPr>
      <w:r>
        <w:rPr>
          <w:b/>
        </w:rPr>
        <w:t>SZÚ nepostupoval</w:t>
      </w:r>
      <w:r w:rsidR="00432BFE" w:rsidRPr="00432BFE">
        <w:rPr>
          <w:b/>
        </w:rPr>
        <w:t xml:space="preserve"> při správě majetku</w:t>
      </w:r>
      <w:r>
        <w:rPr>
          <w:b/>
        </w:rPr>
        <w:t xml:space="preserve"> v souladu s právními předpisy</w:t>
      </w:r>
    </w:p>
    <w:p w14:paraId="4B039BAE" w14:textId="3B3FC4F7" w:rsidR="00D62211" w:rsidRDefault="0012121A" w:rsidP="00432BFE">
      <w:pPr>
        <w:pStyle w:val="TextKP"/>
        <w:numPr>
          <w:ilvl w:val="0"/>
          <w:numId w:val="17"/>
        </w:numPr>
        <w:spacing w:after="120"/>
        <w:ind w:left="284" w:hanging="284"/>
        <w:rPr>
          <w:b/>
        </w:rPr>
      </w:pPr>
      <w:r w:rsidRPr="0012121A">
        <w:rPr>
          <w:b/>
        </w:rPr>
        <w:t xml:space="preserve">SZÚ zrekonstruoval stravovací zařízení včetně dodávky a montáže </w:t>
      </w:r>
      <w:proofErr w:type="spellStart"/>
      <w:r w:rsidRPr="0012121A">
        <w:rPr>
          <w:b/>
        </w:rPr>
        <w:t>gastro</w:t>
      </w:r>
      <w:proofErr w:type="spellEnd"/>
      <w:r w:rsidRPr="0012121A">
        <w:rPr>
          <w:b/>
        </w:rPr>
        <w:t xml:space="preserve"> technologií, které následně 9 měsíců nevyužíval</w:t>
      </w:r>
    </w:p>
    <w:p w14:paraId="67FD4961" w14:textId="7C1571C1" w:rsidR="004132E2" w:rsidRPr="008F4A71" w:rsidRDefault="004132E2" w:rsidP="008F4A71">
      <w:pPr>
        <w:pStyle w:val="TextKP"/>
      </w:pPr>
      <w:r>
        <w:t xml:space="preserve">V souvislosti s rekonstrukcí stravovacího zařízení byly realizovány </w:t>
      </w:r>
      <w:r w:rsidR="000501B7">
        <w:t>čtyři</w:t>
      </w:r>
      <w:r>
        <w:t xml:space="preserve"> veřejné zakázky malého rozsahu na služby a</w:t>
      </w:r>
      <w:r w:rsidR="00CA6F5D">
        <w:t xml:space="preserve"> </w:t>
      </w:r>
      <w:r>
        <w:t>jedna podlimitní veř</w:t>
      </w:r>
      <w:r w:rsidR="001A3BAF">
        <w:t xml:space="preserve">ejná zakázka na stavební práce. </w:t>
      </w:r>
      <w:r w:rsidR="008F4A71">
        <w:t xml:space="preserve">SZÚ </w:t>
      </w:r>
      <w:r>
        <w:t xml:space="preserve">převzal </w:t>
      </w:r>
      <w:r w:rsidR="008F4A71">
        <w:t>dne 6.</w:t>
      </w:r>
      <w:r w:rsidR="001A3BAF">
        <w:t> 11. </w:t>
      </w:r>
      <w:r w:rsidR="008F4A71">
        <w:t xml:space="preserve">2016 </w:t>
      </w:r>
      <w:r>
        <w:t xml:space="preserve">zařízení pro přípravu potravin a </w:t>
      </w:r>
      <w:r w:rsidR="008F4A71">
        <w:t xml:space="preserve">dne 9. 11. 2016 </w:t>
      </w:r>
      <w:r>
        <w:t>převzal SZÚ stavební část rekonstrukce. Kolaudační souhlas s užíváním stavby byl vydán dne 7. 12. 2016.</w:t>
      </w:r>
      <w:r w:rsidR="008F4A71">
        <w:t xml:space="preserve"> </w:t>
      </w:r>
      <w:r w:rsidR="00C502C2">
        <w:t>Zařízení pro přípravu potravin v celkové pořizovací ceně</w:t>
      </w:r>
      <w:r w:rsidR="00C502C2" w:rsidRPr="00E860BB">
        <w:t xml:space="preserve"> 14</w:t>
      </w:r>
      <w:r w:rsidR="00C502C2">
        <w:t> </w:t>
      </w:r>
      <w:r w:rsidR="00C502C2" w:rsidRPr="00E860BB">
        <w:t>849</w:t>
      </w:r>
      <w:r w:rsidR="00C502C2">
        <w:t>,</w:t>
      </w:r>
      <w:r w:rsidR="00C502C2" w:rsidRPr="00E860BB">
        <w:t>99</w:t>
      </w:r>
      <w:r w:rsidR="00C502C2">
        <w:t xml:space="preserve"> tis. Kč bylo zařazeno do</w:t>
      </w:r>
      <w:r w:rsidR="00CA6F5D">
        <w:t xml:space="preserve"> </w:t>
      </w:r>
      <w:r w:rsidR="00C502C2">
        <w:t>u</w:t>
      </w:r>
      <w:r w:rsidR="001A3BAF">
        <w:t>žívání dne 23. </w:t>
      </w:r>
      <w:r w:rsidR="00C502C2">
        <w:t xml:space="preserve">12. 2016, stavební část rekonstrukce stravovacího zařízení v celkové pořizovací ceně </w:t>
      </w:r>
      <w:r w:rsidR="00C502C2" w:rsidRPr="00E860BB">
        <w:t>16</w:t>
      </w:r>
      <w:r w:rsidR="00C502C2">
        <w:t> </w:t>
      </w:r>
      <w:r w:rsidR="00C502C2" w:rsidRPr="00E860BB">
        <w:t>657</w:t>
      </w:r>
      <w:r w:rsidR="00C502C2">
        <w:t>,</w:t>
      </w:r>
      <w:r w:rsidR="00C502C2" w:rsidRPr="00E860BB">
        <w:t>80</w:t>
      </w:r>
      <w:r w:rsidR="00C502C2">
        <w:t xml:space="preserve"> tis. Kč byla zařaze</w:t>
      </w:r>
      <w:r w:rsidR="002C70FB">
        <w:t>na do užívání dne 31. 12. 2016.</w:t>
      </w:r>
      <w:r w:rsidR="008F4A71">
        <w:t xml:space="preserve"> C</w:t>
      </w:r>
      <w:r>
        <w:t>elková cena díla</w:t>
      </w:r>
      <w:r w:rsidR="008F4A71">
        <w:t xml:space="preserve"> byla </w:t>
      </w:r>
      <w:r>
        <w:t>31</w:t>
      </w:r>
      <w:r w:rsidR="00CC563F">
        <w:t> 507,80</w:t>
      </w:r>
      <w:r w:rsidR="00B27C5D">
        <w:t> </w:t>
      </w:r>
      <w:r w:rsidR="00C502C2">
        <w:t>tis.</w:t>
      </w:r>
      <w:r>
        <w:t xml:space="preserve"> Kč, z toho dotace </w:t>
      </w:r>
      <w:proofErr w:type="spellStart"/>
      <w:r>
        <w:t>MZ</w:t>
      </w:r>
      <w:r w:rsidR="00C502C2">
        <w:t>d</w:t>
      </w:r>
      <w:proofErr w:type="spellEnd"/>
      <w:r>
        <w:t xml:space="preserve"> ve schválené výši 13</w:t>
      </w:r>
      <w:r w:rsidR="00C502C2">
        <w:t> </w:t>
      </w:r>
      <w:r>
        <w:t>809</w:t>
      </w:r>
      <w:r w:rsidR="00C502C2">
        <w:t>,</w:t>
      </w:r>
      <w:r>
        <w:t>8</w:t>
      </w:r>
      <w:r w:rsidR="00C502C2">
        <w:t>4 tis.</w:t>
      </w:r>
      <w:r w:rsidR="002C70FB">
        <w:t xml:space="preserve"> Kč.</w:t>
      </w:r>
    </w:p>
    <w:p w14:paraId="0B26915A" w14:textId="5DB9E6E2" w:rsidR="004132E2" w:rsidRDefault="00B27C5D" w:rsidP="004132E2">
      <w:pPr>
        <w:spacing w:before="120"/>
        <w:jc w:val="both"/>
      </w:pPr>
      <w:r w:rsidRPr="00B27C5D">
        <w:t>Následně byla opakovaně realizována zakázka na provozovatele stravovacího zařízení</w:t>
      </w:r>
      <w:r>
        <w:t xml:space="preserve">. </w:t>
      </w:r>
      <w:r w:rsidR="003E214B">
        <w:t>D</w:t>
      </w:r>
      <w:r>
        <w:t>ne 5. </w:t>
      </w:r>
      <w:r w:rsidR="003E214B">
        <w:t xml:space="preserve">4. 2017 SZÚ </w:t>
      </w:r>
      <w:r>
        <w:t>zrušil</w:t>
      </w:r>
      <w:r w:rsidR="003E214B">
        <w:t xml:space="preserve"> po prozkoumání zaslaných námitek</w:t>
      </w:r>
      <w:r>
        <w:t xml:space="preserve"> </w:t>
      </w:r>
      <w:r w:rsidR="003E214B">
        <w:t>pů</w:t>
      </w:r>
      <w:r>
        <w:t>vodní výběrové řízení s tím, že </w:t>
      </w:r>
      <w:r w:rsidR="003E214B">
        <w:t xml:space="preserve">po příslušných úpravách zadávací dokumentace neprodleně vyhlásí nové zadávací řízení. </w:t>
      </w:r>
      <w:r w:rsidR="004132E2">
        <w:t xml:space="preserve">Smlouva s dodavatelem stravovacích služeb a prodeje doplňkového sortimentu byla uzavřena </w:t>
      </w:r>
      <w:r w:rsidR="008F4A71">
        <w:t xml:space="preserve">dne </w:t>
      </w:r>
      <w:r w:rsidR="004132E2">
        <w:t>28. 8. 2017, prostory včetně s</w:t>
      </w:r>
      <w:r w:rsidR="002C70FB">
        <w:t>travovacího zařízení</w:t>
      </w:r>
      <w:r w:rsidR="008F4A71">
        <w:t xml:space="preserve"> byly</w:t>
      </w:r>
      <w:r w:rsidR="002C70FB">
        <w:t xml:space="preserve"> předány </w:t>
      </w:r>
      <w:r w:rsidR="008F4A71">
        <w:t xml:space="preserve">dne </w:t>
      </w:r>
      <w:r w:rsidR="002C70FB">
        <w:t>7. </w:t>
      </w:r>
      <w:r w:rsidR="004132E2">
        <w:t>9.</w:t>
      </w:r>
      <w:r w:rsidR="002C70FB">
        <w:t> </w:t>
      </w:r>
      <w:r w:rsidR="004132E2">
        <w:t>2017 a provoz jídeln</w:t>
      </w:r>
      <w:r w:rsidR="00C502C2">
        <w:t>y byl zahájen dne 2. 10. 2017.</w:t>
      </w:r>
    </w:p>
    <w:p w14:paraId="67A64B1B" w14:textId="07D5CC43" w:rsidR="00415B03" w:rsidRDefault="004132E2" w:rsidP="002C70FB">
      <w:pPr>
        <w:spacing w:before="120"/>
        <w:jc w:val="both"/>
        <w:rPr>
          <w:rFonts w:cs="Calibri"/>
          <w:b/>
        </w:rPr>
      </w:pPr>
      <w:r w:rsidRPr="00534F7A">
        <w:rPr>
          <w:rFonts w:cs="Calibri"/>
          <w:b/>
        </w:rPr>
        <w:t>SZÚ nepostupoval v souladu s ustanovením § 53 odst. 4 zákona č. 218/2000 Sb., neboť</w:t>
      </w:r>
      <w:r w:rsidR="00D50472">
        <w:rPr>
          <w:rFonts w:cs="Calibri"/>
          <w:b/>
        </w:rPr>
        <w:t xml:space="preserve"> </w:t>
      </w:r>
      <w:r>
        <w:rPr>
          <w:rFonts w:cs="Calibri"/>
          <w:b/>
        </w:rPr>
        <w:t xml:space="preserve">tím, že zařízení jídelny způsobilé k provozu po dobu minimálně </w:t>
      </w:r>
      <w:r w:rsidR="008F4A71">
        <w:rPr>
          <w:rFonts w:cs="Calibri"/>
          <w:b/>
        </w:rPr>
        <w:t>devíti</w:t>
      </w:r>
      <w:r>
        <w:rPr>
          <w:rFonts w:cs="Calibri"/>
          <w:b/>
        </w:rPr>
        <w:t xml:space="preserve"> měsíců nevyužíval, </w:t>
      </w:r>
      <w:r w:rsidRPr="00534F7A">
        <w:rPr>
          <w:rFonts w:cs="Calibri"/>
          <w:b/>
        </w:rPr>
        <w:t>nedbal, aby</w:t>
      </w:r>
      <w:r w:rsidR="00CA6F5D">
        <w:rPr>
          <w:rFonts w:cs="Calibri"/>
          <w:b/>
        </w:rPr>
        <w:t xml:space="preserve"> </w:t>
      </w:r>
      <w:r w:rsidRPr="00534F7A">
        <w:rPr>
          <w:rFonts w:cs="Calibri"/>
          <w:b/>
        </w:rPr>
        <w:t>plnil určené ú</w:t>
      </w:r>
      <w:r>
        <w:rPr>
          <w:rFonts w:cs="Calibri"/>
          <w:b/>
        </w:rPr>
        <w:t>koly nejhospodárnějším způsobem</w:t>
      </w:r>
      <w:r w:rsidRPr="00534F7A">
        <w:rPr>
          <w:rFonts w:cs="Calibri"/>
          <w:b/>
        </w:rPr>
        <w:t>.</w:t>
      </w:r>
      <w:r w:rsidR="002C70FB">
        <w:rPr>
          <w:rFonts w:cs="Calibri"/>
          <w:b/>
        </w:rPr>
        <w:t xml:space="preserve"> </w:t>
      </w:r>
      <w:r w:rsidRPr="00534F7A">
        <w:rPr>
          <w:rFonts w:cs="Calibri"/>
          <w:b/>
        </w:rPr>
        <w:t>Současně SZÚ nepostupoval v souladu s</w:t>
      </w:r>
      <w:r w:rsidR="007B4FD4">
        <w:rPr>
          <w:rFonts w:cs="Calibri"/>
          <w:b/>
        </w:rPr>
        <w:t xml:space="preserve"> ustanovením </w:t>
      </w:r>
      <w:r w:rsidRPr="00534F7A">
        <w:rPr>
          <w:rFonts w:cs="Calibri"/>
          <w:b/>
        </w:rPr>
        <w:t>§ 14 odst. 1 zákona č. 219/2000 Sb., neboť</w:t>
      </w:r>
      <w:r w:rsidR="00CA6F5D">
        <w:rPr>
          <w:rFonts w:cs="Calibri"/>
          <w:b/>
        </w:rPr>
        <w:t xml:space="preserve"> </w:t>
      </w:r>
      <w:r w:rsidRPr="00534F7A">
        <w:rPr>
          <w:rFonts w:cs="Calibri"/>
          <w:b/>
        </w:rPr>
        <w:t>majetek (peněžní prostředky) nevyužíval hospodárně k plnění funkcí státu a</w:t>
      </w:r>
      <w:r w:rsidR="00CA6F5D">
        <w:rPr>
          <w:rFonts w:cs="Calibri"/>
          <w:b/>
        </w:rPr>
        <w:t xml:space="preserve"> </w:t>
      </w:r>
      <w:r w:rsidRPr="00534F7A">
        <w:rPr>
          <w:rFonts w:cs="Calibri"/>
          <w:b/>
        </w:rPr>
        <w:t>k výkonu stanovených činností.</w:t>
      </w:r>
    </w:p>
    <w:p w14:paraId="401900AF" w14:textId="58F94E35" w:rsidR="00B95F69" w:rsidRPr="0041289F" w:rsidRDefault="00B95F69" w:rsidP="00B95F69">
      <w:pPr>
        <w:pStyle w:val="TextKP"/>
        <w:numPr>
          <w:ilvl w:val="0"/>
          <w:numId w:val="17"/>
        </w:numPr>
        <w:spacing w:after="120"/>
        <w:ind w:left="284" w:hanging="284"/>
        <w:rPr>
          <w:rFonts w:eastAsia="SimSun" w:cs="Calibri"/>
          <w:kern w:val="1"/>
          <w:lang w:eastAsia="hi-IN" w:bidi="hi-IN"/>
        </w:rPr>
      </w:pPr>
      <w:r w:rsidRPr="0041289F">
        <w:rPr>
          <w:b/>
        </w:rPr>
        <w:t xml:space="preserve">SZÚ </w:t>
      </w:r>
      <w:r w:rsidR="000501B7">
        <w:rPr>
          <w:b/>
        </w:rPr>
        <w:t xml:space="preserve">svým </w:t>
      </w:r>
      <w:r w:rsidR="000501B7" w:rsidRPr="0041289F">
        <w:rPr>
          <w:b/>
        </w:rPr>
        <w:t>zaměstnanců</w:t>
      </w:r>
      <w:r w:rsidR="000501B7">
        <w:rPr>
          <w:b/>
        </w:rPr>
        <w:t>m</w:t>
      </w:r>
      <w:r w:rsidR="000501B7" w:rsidRPr="0041289F">
        <w:rPr>
          <w:b/>
        </w:rPr>
        <w:t xml:space="preserve"> </w:t>
      </w:r>
      <w:r w:rsidRPr="0041289F">
        <w:rPr>
          <w:b/>
        </w:rPr>
        <w:t>nestanovil úhradu za ubytování způsobem stanoveným v</w:t>
      </w:r>
      <w:r w:rsidR="000501B7">
        <w:rPr>
          <w:b/>
        </w:rPr>
        <w:t> </w:t>
      </w:r>
      <w:r w:rsidRPr="0041289F">
        <w:rPr>
          <w:b/>
        </w:rPr>
        <w:t xml:space="preserve">zákoně č. 218/2000 Sb. </w:t>
      </w:r>
    </w:p>
    <w:p w14:paraId="1A3C016F" w14:textId="5D061259" w:rsidR="00B95F69" w:rsidRDefault="00B95F69" w:rsidP="00B95F69">
      <w:pPr>
        <w:spacing w:before="120"/>
        <w:jc w:val="both"/>
        <w:rPr>
          <w:rFonts w:eastAsia="SimSun" w:cs="Calibri"/>
          <w:kern w:val="1"/>
          <w:lang w:eastAsia="hi-IN" w:bidi="hi-IN"/>
        </w:rPr>
      </w:pPr>
      <w:r w:rsidRPr="0041289F">
        <w:rPr>
          <w:rFonts w:eastAsia="SimSun" w:cs="Calibri"/>
          <w:kern w:val="1"/>
          <w:lang w:eastAsia="hi-IN" w:bidi="hi-IN"/>
        </w:rPr>
        <w:t xml:space="preserve">SZÚ poskytuje ubytovací služby svým zaměstnancům ve dvou </w:t>
      </w:r>
      <w:r w:rsidR="003E214B">
        <w:rPr>
          <w:rFonts w:eastAsia="SimSun" w:cs="Calibri"/>
          <w:kern w:val="1"/>
          <w:lang w:eastAsia="hi-IN" w:bidi="hi-IN"/>
        </w:rPr>
        <w:t>objektech. První objekt nebyl v </w:t>
      </w:r>
      <w:r w:rsidRPr="0041289F">
        <w:rPr>
          <w:rFonts w:eastAsia="SimSun" w:cs="Calibri"/>
          <w:kern w:val="1"/>
          <w:lang w:eastAsia="hi-IN" w:bidi="hi-IN"/>
        </w:rPr>
        <w:t xml:space="preserve">posledních letech rekonstruován a jsou zde poskytovány jednotlivé pokoje. Druhý objekt prošel významnou rekonstrukcí v roce 2013 a jsou zde poskytovány k ubytování zaměstnancům SZÚ samostatné byty. Celkem SZÚ předložil seznam devatenácti smluv o poskytnutí ubytovací služby (dále také „smlouvy“). Ke kontrole byly vybrány tři smluvní vztahy k poskytování ubytovací služby v prvním objektu a pět smluvních vztahů k poskytování </w:t>
      </w:r>
      <w:r>
        <w:rPr>
          <w:rFonts w:eastAsia="SimSun" w:cs="Calibri"/>
          <w:kern w:val="1"/>
          <w:lang w:eastAsia="hi-IN" w:bidi="hi-IN"/>
        </w:rPr>
        <w:t>ubytovací služby</w:t>
      </w:r>
      <w:r w:rsidRPr="0041289F">
        <w:rPr>
          <w:rFonts w:eastAsia="SimSun" w:cs="Calibri"/>
          <w:kern w:val="1"/>
          <w:lang w:eastAsia="hi-IN" w:bidi="hi-IN"/>
        </w:rPr>
        <w:t xml:space="preserve"> v druhém objektu. </w:t>
      </w:r>
      <w:r w:rsidRPr="00BC11C8">
        <w:rPr>
          <w:rFonts w:eastAsia="SimSun" w:cs="Calibri"/>
          <w:kern w:val="1"/>
          <w:lang w:eastAsia="hi-IN" w:bidi="hi-IN"/>
        </w:rPr>
        <w:t>Smlouvy</w:t>
      </w:r>
      <w:r>
        <w:rPr>
          <w:rFonts w:eastAsia="SimSun" w:cs="Calibri"/>
          <w:kern w:val="1"/>
          <w:lang w:eastAsia="hi-IN" w:bidi="hi-IN"/>
        </w:rPr>
        <w:t xml:space="preserve"> </w:t>
      </w:r>
      <w:r w:rsidRPr="00BC11C8">
        <w:rPr>
          <w:rFonts w:eastAsia="SimSun" w:cs="Calibri"/>
          <w:kern w:val="1"/>
          <w:lang w:eastAsia="hi-IN" w:bidi="hi-IN"/>
        </w:rPr>
        <w:t xml:space="preserve">byly uzavírány vždy do konce kalendářního roku a následně </w:t>
      </w:r>
      <w:r>
        <w:rPr>
          <w:rFonts w:eastAsia="SimSun" w:cs="Calibri"/>
          <w:kern w:val="1"/>
          <w:lang w:eastAsia="hi-IN" w:bidi="hi-IN"/>
        </w:rPr>
        <w:t xml:space="preserve">dodatky prodlužovány vždy o rok, kromě </w:t>
      </w:r>
      <w:r w:rsidR="004E6F11">
        <w:rPr>
          <w:rFonts w:eastAsia="SimSun" w:cs="Calibri"/>
          <w:kern w:val="1"/>
          <w:lang w:eastAsia="hi-IN" w:bidi="hi-IN"/>
        </w:rPr>
        <w:t xml:space="preserve">jedné </w:t>
      </w:r>
      <w:r>
        <w:rPr>
          <w:rFonts w:eastAsia="SimSun" w:cs="Calibri"/>
          <w:kern w:val="1"/>
          <w:lang w:eastAsia="hi-IN" w:bidi="hi-IN"/>
        </w:rPr>
        <w:t>smlouvy s</w:t>
      </w:r>
      <w:r w:rsidR="004E6F11">
        <w:rPr>
          <w:rFonts w:eastAsia="SimSun" w:cs="Calibri"/>
          <w:kern w:val="1"/>
          <w:lang w:eastAsia="hi-IN" w:bidi="hi-IN"/>
        </w:rPr>
        <w:t xml:space="preserve"> vedoucím zaměstnancem</w:t>
      </w:r>
      <w:r>
        <w:rPr>
          <w:rFonts w:eastAsia="SimSun" w:cs="Calibri"/>
          <w:kern w:val="1"/>
          <w:lang w:eastAsia="hi-IN" w:bidi="hi-IN"/>
        </w:rPr>
        <w:t xml:space="preserve"> SZÚ, která byla uzavřena od 10. 12. 2013 na dobu neurčitou.</w:t>
      </w:r>
    </w:p>
    <w:p w14:paraId="0B0FBA39" w14:textId="4B68F007" w:rsidR="00B95F69" w:rsidRDefault="00B95F69" w:rsidP="00B95F69">
      <w:pPr>
        <w:spacing w:before="120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t>Úhrad</w:t>
      </w:r>
      <w:r w:rsidR="000501B7">
        <w:rPr>
          <w:rFonts w:eastAsia="SimSun" w:cs="Calibri"/>
          <w:kern w:val="1"/>
          <w:lang w:eastAsia="hi-IN" w:bidi="hi-IN"/>
        </w:rPr>
        <w:t>y</w:t>
      </w:r>
      <w:r>
        <w:rPr>
          <w:rFonts w:eastAsia="SimSun" w:cs="Calibri"/>
          <w:kern w:val="1"/>
          <w:lang w:eastAsia="hi-IN" w:bidi="hi-IN"/>
        </w:rPr>
        <w:t xml:space="preserve"> vybraných zaměstnanců SZÚ za ubytování v</w:t>
      </w:r>
      <w:r w:rsidR="000501B7">
        <w:rPr>
          <w:rFonts w:eastAsia="SimSun" w:cs="Calibri"/>
          <w:kern w:val="1"/>
          <w:lang w:eastAsia="hi-IN" w:bidi="hi-IN"/>
        </w:rPr>
        <w:t> </w:t>
      </w:r>
      <w:r>
        <w:rPr>
          <w:rFonts w:eastAsia="SimSun" w:cs="Calibri"/>
          <w:kern w:val="1"/>
          <w:lang w:eastAsia="hi-IN" w:bidi="hi-IN"/>
        </w:rPr>
        <w:t>prvním</w:t>
      </w:r>
      <w:r w:rsidR="000501B7">
        <w:rPr>
          <w:rFonts w:eastAsia="SimSun" w:cs="Calibri"/>
          <w:kern w:val="1"/>
          <w:lang w:eastAsia="hi-IN" w:bidi="hi-IN"/>
        </w:rPr>
        <w:t>,</w:t>
      </w:r>
      <w:r>
        <w:rPr>
          <w:rFonts w:eastAsia="SimSun" w:cs="Calibri"/>
          <w:kern w:val="1"/>
          <w:lang w:eastAsia="hi-IN" w:bidi="hi-IN"/>
        </w:rPr>
        <w:t xml:space="preserve"> nezrekonstruovaném objektu byl</w:t>
      </w:r>
      <w:r w:rsidR="000501B7">
        <w:rPr>
          <w:rFonts w:eastAsia="SimSun" w:cs="Calibri"/>
          <w:kern w:val="1"/>
          <w:lang w:eastAsia="hi-IN" w:bidi="hi-IN"/>
        </w:rPr>
        <w:t>y</w:t>
      </w:r>
      <w:r>
        <w:rPr>
          <w:rFonts w:eastAsia="SimSun" w:cs="Calibri"/>
          <w:kern w:val="1"/>
          <w:lang w:eastAsia="hi-IN" w:bidi="hi-IN"/>
        </w:rPr>
        <w:t xml:space="preserve"> v kontrolovaném období v rozmezí od</w:t>
      </w:r>
      <w:r w:rsidR="000501B7">
        <w:rPr>
          <w:rFonts w:eastAsia="SimSun" w:cs="Calibri"/>
          <w:kern w:val="1"/>
          <w:lang w:eastAsia="hi-IN" w:bidi="hi-IN"/>
        </w:rPr>
        <w:t xml:space="preserve"> </w:t>
      </w:r>
      <w:r>
        <w:rPr>
          <w:rFonts w:eastAsia="SimSun" w:cs="Calibri"/>
          <w:kern w:val="1"/>
          <w:lang w:eastAsia="hi-IN" w:bidi="hi-IN"/>
        </w:rPr>
        <w:t>960 Kč do 3 410 Kč za ubytovací jednotky s plochou od 14 do 26,4 m</w:t>
      </w:r>
      <w:r w:rsidRPr="00F54408">
        <w:rPr>
          <w:rFonts w:eastAsia="SimSun" w:cs="Calibri"/>
          <w:kern w:val="1"/>
          <w:vertAlign w:val="superscript"/>
          <w:lang w:eastAsia="hi-IN" w:bidi="hi-IN"/>
        </w:rPr>
        <w:t>2</w:t>
      </w:r>
      <w:r>
        <w:rPr>
          <w:rFonts w:eastAsia="SimSun" w:cs="Calibri"/>
          <w:kern w:val="1"/>
          <w:lang w:eastAsia="hi-IN" w:bidi="hi-IN"/>
        </w:rPr>
        <w:t>. Úhrad</w:t>
      </w:r>
      <w:r w:rsidR="000501B7">
        <w:rPr>
          <w:rFonts w:eastAsia="SimSun" w:cs="Calibri"/>
          <w:kern w:val="1"/>
          <w:lang w:eastAsia="hi-IN" w:bidi="hi-IN"/>
        </w:rPr>
        <w:t>y</w:t>
      </w:r>
      <w:r>
        <w:rPr>
          <w:rFonts w:eastAsia="SimSun" w:cs="Calibri"/>
          <w:kern w:val="1"/>
          <w:lang w:eastAsia="hi-IN" w:bidi="hi-IN"/>
        </w:rPr>
        <w:t xml:space="preserve"> vybraných zaměstnanců SZÚ za ubytování v samostatných bytech v</w:t>
      </w:r>
      <w:r w:rsidR="000501B7">
        <w:rPr>
          <w:rFonts w:eastAsia="SimSun" w:cs="Calibri"/>
          <w:kern w:val="1"/>
          <w:lang w:eastAsia="hi-IN" w:bidi="hi-IN"/>
        </w:rPr>
        <w:t> </w:t>
      </w:r>
      <w:r>
        <w:rPr>
          <w:rFonts w:eastAsia="SimSun" w:cs="Calibri"/>
          <w:kern w:val="1"/>
          <w:lang w:eastAsia="hi-IN" w:bidi="hi-IN"/>
        </w:rPr>
        <w:t>druhém</w:t>
      </w:r>
      <w:r w:rsidR="000501B7">
        <w:rPr>
          <w:rFonts w:eastAsia="SimSun" w:cs="Calibri"/>
          <w:kern w:val="1"/>
          <w:lang w:eastAsia="hi-IN" w:bidi="hi-IN"/>
        </w:rPr>
        <w:t>,</w:t>
      </w:r>
      <w:r>
        <w:rPr>
          <w:rFonts w:eastAsia="SimSun" w:cs="Calibri"/>
          <w:kern w:val="1"/>
          <w:lang w:eastAsia="hi-IN" w:bidi="hi-IN"/>
        </w:rPr>
        <w:t xml:space="preserve"> zrekonstruovaném objektu byl</w:t>
      </w:r>
      <w:r w:rsidR="000501B7">
        <w:rPr>
          <w:rFonts w:eastAsia="SimSun" w:cs="Calibri"/>
          <w:kern w:val="1"/>
          <w:lang w:eastAsia="hi-IN" w:bidi="hi-IN"/>
        </w:rPr>
        <w:t>y</w:t>
      </w:r>
      <w:r>
        <w:rPr>
          <w:rFonts w:eastAsia="SimSun" w:cs="Calibri"/>
          <w:kern w:val="1"/>
          <w:lang w:eastAsia="hi-IN" w:bidi="hi-IN"/>
        </w:rPr>
        <w:t xml:space="preserve"> v kontrolované</w:t>
      </w:r>
      <w:r w:rsidR="003E214B">
        <w:rPr>
          <w:rFonts w:eastAsia="SimSun" w:cs="Calibri"/>
          <w:kern w:val="1"/>
          <w:lang w:eastAsia="hi-IN" w:bidi="hi-IN"/>
        </w:rPr>
        <w:t>m období v rozmezí od 960 Kč do</w:t>
      </w:r>
      <w:r w:rsidR="000501B7">
        <w:rPr>
          <w:rFonts w:eastAsia="SimSun" w:cs="Calibri"/>
          <w:kern w:val="1"/>
          <w:lang w:eastAsia="hi-IN" w:bidi="hi-IN"/>
        </w:rPr>
        <w:t xml:space="preserve"> </w:t>
      </w:r>
      <w:r>
        <w:rPr>
          <w:rFonts w:eastAsia="SimSun" w:cs="Calibri"/>
          <w:kern w:val="1"/>
          <w:lang w:eastAsia="hi-IN" w:bidi="hi-IN"/>
        </w:rPr>
        <w:t>5 710 Kč a plocha bytů byla v rozmezí od 18,44 do 53,13 m</w:t>
      </w:r>
      <w:r w:rsidRPr="003F7A8A">
        <w:rPr>
          <w:rFonts w:eastAsia="SimSun" w:cs="Calibri"/>
          <w:kern w:val="1"/>
          <w:vertAlign w:val="superscript"/>
          <w:lang w:eastAsia="hi-IN" w:bidi="hi-IN"/>
        </w:rPr>
        <w:t>2</w:t>
      </w:r>
      <w:r>
        <w:rPr>
          <w:rFonts w:eastAsia="SimSun" w:cs="Calibri"/>
          <w:kern w:val="1"/>
          <w:lang w:eastAsia="hi-IN" w:bidi="hi-IN"/>
        </w:rPr>
        <w:t xml:space="preserve">. </w:t>
      </w:r>
    </w:p>
    <w:p w14:paraId="7567C757" w14:textId="5D165165" w:rsidR="00B95F69" w:rsidRDefault="00B95F69" w:rsidP="00B95F69">
      <w:pPr>
        <w:spacing w:before="120"/>
        <w:jc w:val="both"/>
        <w:rPr>
          <w:rFonts w:eastAsia="SimSun" w:cs="Calibri"/>
          <w:kern w:val="1"/>
          <w:lang w:eastAsia="hi-IN" w:bidi="hi-IN"/>
        </w:rPr>
      </w:pPr>
      <w:r>
        <w:rPr>
          <w:rFonts w:eastAsia="SimSun" w:cs="Calibri"/>
          <w:kern w:val="1"/>
          <w:lang w:eastAsia="hi-IN" w:bidi="hi-IN"/>
        </w:rPr>
        <w:lastRenderedPageBreak/>
        <w:t>SZÚ ve svém vyjádření uvedl, že část úhrady za ubytování ve výš</w:t>
      </w:r>
      <w:r w:rsidR="000501B7">
        <w:rPr>
          <w:rFonts w:eastAsia="SimSun" w:cs="Calibri"/>
          <w:kern w:val="1"/>
          <w:lang w:eastAsia="hi-IN" w:bidi="hi-IN"/>
        </w:rPr>
        <w:t>i</w:t>
      </w:r>
      <w:r>
        <w:rPr>
          <w:rFonts w:eastAsia="SimSun" w:cs="Calibri"/>
          <w:kern w:val="1"/>
          <w:lang w:eastAsia="hi-IN" w:bidi="hi-IN"/>
        </w:rPr>
        <w:t xml:space="preserve"> </w:t>
      </w:r>
      <w:r w:rsidRPr="00A06C10">
        <w:rPr>
          <w:rFonts w:eastAsia="SimSun" w:cs="Calibri"/>
          <w:b/>
          <w:kern w:val="1"/>
          <w:lang w:eastAsia="hi-IN" w:bidi="hi-IN"/>
        </w:rPr>
        <w:t>960 Kč</w:t>
      </w:r>
      <w:r>
        <w:rPr>
          <w:rFonts w:eastAsia="SimSun" w:cs="Calibri"/>
          <w:kern w:val="1"/>
          <w:lang w:eastAsia="hi-IN" w:bidi="hi-IN"/>
        </w:rPr>
        <w:t xml:space="preserve"> je </w:t>
      </w:r>
      <w:r w:rsidR="003E214B">
        <w:rPr>
          <w:rFonts w:eastAsia="SimSun" w:cs="Calibri"/>
          <w:kern w:val="1"/>
          <w:lang w:eastAsia="hi-IN" w:bidi="hi-IN"/>
        </w:rPr>
        <w:t xml:space="preserve">za služby </w:t>
      </w:r>
      <w:r>
        <w:rPr>
          <w:rFonts w:eastAsia="SimSun" w:cs="Calibri"/>
          <w:kern w:val="1"/>
          <w:lang w:eastAsia="hi-IN" w:bidi="hi-IN"/>
        </w:rPr>
        <w:t>podle přiložené kalkulace a zahrnuje náklady na elektřinu, vodné a</w:t>
      </w:r>
      <w:r w:rsidR="000501B7">
        <w:rPr>
          <w:rFonts w:eastAsia="SimSun" w:cs="Calibri"/>
          <w:kern w:val="1"/>
          <w:lang w:eastAsia="hi-IN" w:bidi="hi-IN"/>
        </w:rPr>
        <w:t xml:space="preserve"> </w:t>
      </w:r>
      <w:r w:rsidRPr="003F7589">
        <w:rPr>
          <w:rFonts w:eastAsia="SimSun" w:cs="Calibri"/>
          <w:kern w:val="1"/>
          <w:lang w:eastAsia="hi-IN" w:bidi="hi-IN"/>
        </w:rPr>
        <w:t>stočné, teplo, odvoz odpad</w:t>
      </w:r>
      <w:r w:rsidR="000501B7">
        <w:rPr>
          <w:rFonts w:eastAsia="SimSun" w:cs="Calibri"/>
          <w:kern w:val="1"/>
          <w:lang w:eastAsia="hi-IN" w:bidi="hi-IN"/>
        </w:rPr>
        <w:t>u</w:t>
      </w:r>
      <w:r w:rsidRPr="003F7589">
        <w:rPr>
          <w:rFonts w:eastAsia="SimSun" w:cs="Calibri"/>
          <w:kern w:val="1"/>
          <w:lang w:eastAsia="hi-IN" w:bidi="hi-IN"/>
        </w:rPr>
        <w:t>, osvětlení a úklid společných prostor</w:t>
      </w:r>
      <w:r>
        <w:rPr>
          <w:rFonts w:eastAsia="SimSun" w:cs="Calibri"/>
          <w:kern w:val="1"/>
          <w:lang w:eastAsia="hi-IN" w:bidi="hi-IN"/>
        </w:rPr>
        <w:t xml:space="preserve"> a </w:t>
      </w:r>
      <w:r w:rsidRPr="00A06C10">
        <w:rPr>
          <w:rFonts w:eastAsia="SimSun" w:cs="Calibri"/>
          <w:b/>
          <w:kern w:val="1"/>
          <w:lang w:eastAsia="hi-IN" w:bidi="hi-IN"/>
        </w:rPr>
        <w:t xml:space="preserve">zbytek úhrady za ubytování </w:t>
      </w:r>
      <w:r w:rsidR="00D57779" w:rsidRPr="00A06C10">
        <w:rPr>
          <w:rFonts w:eastAsia="SimSun" w:cs="Calibri"/>
          <w:b/>
          <w:kern w:val="1"/>
          <w:lang w:eastAsia="hi-IN" w:bidi="hi-IN"/>
        </w:rPr>
        <w:t xml:space="preserve">je </w:t>
      </w:r>
      <w:r w:rsidRPr="00A06C10">
        <w:rPr>
          <w:rFonts w:eastAsia="SimSun" w:cs="Calibri"/>
          <w:b/>
          <w:kern w:val="1"/>
          <w:lang w:eastAsia="hi-IN" w:bidi="hi-IN"/>
        </w:rPr>
        <w:t>požadovaným nájemným</w:t>
      </w:r>
      <w:r w:rsidRPr="00F16AB9">
        <w:rPr>
          <w:rFonts w:eastAsia="SimSun" w:cs="Calibri"/>
          <w:b/>
          <w:kern w:val="1"/>
          <w:lang w:eastAsia="hi-IN" w:bidi="hi-IN"/>
        </w:rPr>
        <w:t>.</w:t>
      </w:r>
    </w:p>
    <w:p w14:paraId="29573C02" w14:textId="1ADB3A05" w:rsidR="00B95F69" w:rsidRPr="0041289F" w:rsidRDefault="00B95F69" w:rsidP="00B95F69">
      <w:pPr>
        <w:spacing w:before="120"/>
        <w:jc w:val="both"/>
        <w:rPr>
          <w:rFonts w:eastAsia="SimSun" w:cs="Calibri"/>
          <w:kern w:val="1"/>
          <w:lang w:eastAsia="hi-IN" w:bidi="hi-IN"/>
        </w:rPr>
      </w:pPr>
      <w:r w:rsidRPr="0041289F">
        <w:rPr>
          <w:rFonts w:eastAsia="SimSun" w:cs="Calibri"/>
          <w:kern w:val="1"/>
          <w:lang w:eastAsia="hi-IN" w:bidi="hi-IN"/>
        </w:rPr>
        <w:t>Podle ustanovení § 68 zákona č. 218/2000 Sb. musí úhrada z</w:t>
      </w:r>
      <w:r w:rsidR="003E214B">
        <w:rPr>
          <w:rFonts w:eastAsia="SimSun" w:cs="Calibri"/>
          <w:kern w:val="1"/>
          <w:lang w:eastAsia="hi-IN" w:bidi="hi-IN"/>
        </w:rPr>
        <w:t>a ubytování odpovídat výdajům a </w:t>
      </w:r>
      <w:r w:rsidRPr="0041289F">
        <w:rPr>
          <w:rFonts w:eastAsia="SimSun" w:cs="Calibri"/>
          <w:kern w:val="1"/>
          <w:lang w:eastAsia="hi-IN" w:bidi="hi-IN"/>
        </w:rPr>
        <w:t>poměrné části odpisů, případně nákladům související</w:t>
      </w:r>
      <w:r w:rsidR="003E214B">
        <w:rPr>
          <w:rFonts w:eastAsia="SimSun" w:cs="Calibri"/>
          <w:kern w:val="1"/>
          <w:lang w:eastAsia="hi-IN" w:bidi="hi-IN"/>
        </w:rPr>
        <w:t xml:space="preserve">m s poskytovanou službou, </w:t>
      </w:r>
      <w:r w:rsidR="000501B7">
        <w:rPr>
          <w:rFonts w:eastAsia="SimSun" w:cs="Calibri"/>
          <w:kern w:val="1"/>
          <w:lang w:eastAsia="hi-IN" w:bidi="hi-IN"/>
        </w:rPr>
        <w:br/>
      </w:r>
      <w:r w:rsidR="003E214B">
        <w:rPr>
          <w:rFonts w:eastAsia="SimSun" w:cs="Calibri"/>
          <w:kern w:val="1"/>
          <w:lang w:eastAsia="hi-IN" w:bidi="hi-IN"/>
        </w:rPr>
        <w:t>např.</w:t>
      </w:r>
      <w:r w:rsidR="000501B7">
        <w:rPr>
          <w:rFonts w:eastAsia="SimSun" w:cs="Calibri"/>
          <w:kern w:val="1"/>
          <w:lang w:eastAsia="hi-IN" w:bidi="hi-IN"/>
        </w:rPr>
        <w:t xml:space="preserve"> </w:t>
      </w:r>
      <w:r w:rsidRPr="0041289F">
        <w:rPr>
          <w:rFonts w:eastAsia="SimSun" w:cs="Calibri"/>
          <w:kern w:val="1"/>
          <w:lang w:eastAsia="hi-IN" w:bidi="hi-IN"/>
        </w:rPr>
        <w:t>náklad</w:t>
      </w:r>
      <w:r w:rsidR="000501B7">
        <w:rPr>
          <w:rFonts w:eastAsia="SimSun" w:cs="Calibri"/>
          <w:kern w:val="1"/>
          <w:lang w:eastAsia="hi-IN" w:bidi="hi-IN"/>
        </w:rPr>
        <w:t>ům</w:t>
      </w:r>
      <w:r w:rsidRPr="0041289F">
        <w:rPr>
          <w:rFonts w:eastAsia="SimSun" w:cs="Calibri"/>
          <w:kern w:val="1"/>
          <w:lang w:eastAsia="hi-IN" w:bidi="hi-IN"/>
        </w:rPr>
        <w:t xml:space="preserve"> související</w:t>
      </w:r>
      <w:r w:rsidR="000501B7">
        <w:rPr>
          <w:rFonts w:eastAsia="SimSun" w:cs="Calibri"/>
          <w:kern w:val="1"/>
          <w:lang w:eastAsia="hi-IN" w:bidi="hi-IN"/>
        </w:rPr>
        <w:t>m</w:t>
      </w:r>
      <w:r w:rsidRPr="0041289F">
        <w:rPr>
          <w:rFonts w:eastAsia="SimSun" w:cs="Calibri"/>
          <w:kern w:val="1"/>
          <w:lang w:eastAsia="hi-IN" w:bidi="hi-IN"/>
        </w:rPr>
        <w:t xml:space="preserve"> s provozem, včetně údržby a oprav. Vlastnímu zaměstnanci může příspěvková organizace uhradit částku až do výše 50 %</w:t>
      </w:r>
      <w:r>
        <w:rPr>
          <w:rFonts w:eastAsia="SimSun" w:cs="Calibri"/>
          <w:kern w:val="1"/>
          <w:lang w:eastAsia="hi-IN" w:bidi="hi-IN"/>
        </w:rPr>
        <w:t xml:space="preserve"> těchto výdajů</w:t>
      </w:r>
      <w:r w:rsidR="000501B7">
        <w:rPr>
          <w:rFonts w:eastAsia="SimSun" w:cs="Calibri"/>
          <w:kern w:val="1"/>
          <w:lang w:eastAsia="hi-IN" w:bidi="hi-IN"/>
        </w:rPr>
        <w:t>,</w:t>
      </w:r>
      <w:r>
        <w:rPr>
          <w:rFonts w:eastAsia="SimSun" w:cs="Calibri"/>
          <w:kern w:val="1"/>
          <w:lang w:eastAsia="hi-IN" w:bidi="hi-IN"/>
        </w:rPr>
        <w:t xml:space="preserve"> popřípadě nákladů</w:t>
      </w:r>
      <w:r w:rsidRPr="0041289F">
        <w:rPr>
          <w:rFonts w:eastAsia="SimSun" w:cs="Calibri"/>
          <w:kern w:val="1"/>
          <w:lang w:eastAsia="hi-IN" w:bidi="hi-IN"/>
        </w:rPr>
        <w:t xml:space="preserve">. </w:t>
      </w:r>
    </w:p>
    <w:p w14:paraId="12A5E5AE" w14:textId="6D299F42" w:rsidR="00B95F69" w:rsidRPr="0041289F" w:rsidRDefault="00B95F69" w:rsidP="00B95F69">
      <w:pPr>
        <w:spacing w:before="120"/>
        <w:jc w:val="both"/>
        <w:rPr>
          <w:rFonts w:eastAsia="SimSun" w:cs="Calibri"/>
          <w:kern w:val="1"/>
          <w:lang w:eastAsia="hi-IN" w:bidi="hi-IN"/>
        </w:rPr>
      </w:pPr>
      <w:r w:rsidRPr="0041289F">
        <w:rPr>
          <w:rFonts w:eastAsia="SimSun" w:cs="Calibri"/>
          <w:kern w:val="1"/>
          <w:lang w:eastAsia="hi-IN" w:bidi="hi-IN"/>
        </w:rPr>
        <w:t>Kontrolou bylo zjištěno, že SZÚ při poskytování služeb ubytování svým zaměstnancům nepožadoval úhradu poměrné části odpisů a dalších nákladů v podobě údržby a oprav.</w:t>
      </w:r>
      <w:r w:rsidR="00267459">
        <w:rPr>
          <w:rFonts w:eastAsia="SimSun" w:cs="Calibri"/>
          <w:kern w:val="1"/>
          <w:lang w:eastAsia="hi-IN" w:bidi="hi-IN"/>
        </w:rPr>
        <w:t xml:space="preserve"> </w:t>
      </w:r>
      <w:r w:rsidRPr="0041289F">
        <w:rPr>
          <w:rFonts w:eastAsia="SimSun" w:cs="Calibri"/>
          <w:kern w:val="1"/>
          <w:lang w:eastAsia="hi-IN" w:bidi="hi-IN"/>
        </w:rPr>
        <w:br/>
        <w:t>Dále bylo zjištěno, že:</w:t>
      </w:r>
    </w:p>
    <w:p w14:paraId="01690C99" w14:textId="77777777" w:rsidR="00B95F69" w:rsidRPr="0041289F" w:rsidRDefault="00B95F69" w:rsidP="00B95F69">
      <w:pPr>
        <w:numPr>
          <w:ilvl w:val="0"/>
          <w:numId w:val="21"/>
        </w:numPr>
        <w:spacing w:before="60"/>
        <w:ind w:left="426" w:hanging="284"/>
        <w:jc w:val="both"/>
        <w:rPr>
          <w:rFonts w:eastAsia="SimSun" w:cs="Calibri"/>
          <w:kern w:val="1"/>
          <w:lang w:eastAsia="hi-IN" w:bidi="hi-IN"/>
        </w:rPr>
      </w:pPr>
      <w:r w:rsidRPr="0041289F">
        <w:rPr>
          <w:rFonts w:eastAsia="SimSun" w:cs="Calibri"/>
          <w:kern w:val="1"/>
          <w:lang w:eastAsia="hi-IN" w:bidi="hi-IN"/>
        </w:rPr>
        <w:t xml:space="preserve">SZÚ nesleduje náklady spojené s užíváním </w:t>
      </w:r>
      <w:r>
        <w:rPr>
          <w:rFonts w:eastAsia="SimSun" w:cs="Calibri"/>
          <w:kern w:val="1"/>
          <w:lang w:eastAsia="hi-IN" w:bidi="hi-IN"/>
        </w:rPr>
        <w:t>objektů</w:t>
      </w:r>
      <w:r w:rsidRPr="0041289F">
        <w:rPr>
          <w:rFonts w:eastAsia="SimSun" w:cs="Calibri"/>
          <w:kern w:val="1"/>
          <w:lang w:eastAsia="hi-IN" w:bidi="hi-IN"/>
        </w:rPr>
        <w:t>;</w:t>
      </w:r>
    </w:p>
    <w:p w14:paraId="3614E887" w14:textId="53BE028B" w:rsidR="00B95F69" w:rsidRPr="0041289F" w:rsidRDefault="00B95F69" w:rsidP="00B95F69">
      <w:pPr>
        <w:numPr>
          <w:ilvl w:val="0"/>
          <w:numId w:val="21"/>
        </w:numPr>
        <w:spacing w:before="60"/>
        <w:ind w:left="426" w:hanging="284"/>
        <w:jc w:val="both"/>
        <w:rPr>
          <w:rFonts w:eastAsia="SimSun" w:cs="Calibri"/>
          <w:kern w:val="1"/>
          <w:lang w:eastAsia="hi-IN" w:bidi="hi-IN"/>
        </w:rPr>
      </w:pPr>
      <w:r w:rsidRPr="0041289F">
        <w:rPr>
          <w:rFonts w:eastAsia="SimSun" w:cs="Calibri"/>
          <w:kern w:val="1"/>
          <w:lang w:eastAsia="hi-IN" w:bidi="hi-IN"/>
        </w:rPr>
        <w:t>úhrada za ubytování</w:t>
      </w:r>
      <w:r w:rsidR="003E214B" w:rsidRPr="003E214B">
        <w:rPr>
          <w:rFonts w:eastAsia="SimSun" w:cs="Calibri"/>
          <w:kern w:val="1"/>
          <w:lang w:eastAsia="hi-IN" w:bidi="hi-IN"/>
        </w:rPr>
        <w:t xml:space="preserve"> </w:t>
      </w:r>
      <w:r w:rsidR="003E214B" w:rsidRPr="0041289F">
        <w:rPr>
          <w:rFonts w:eastAsia="SimSun" w:cs="Calibri"/>
          <w:kern w:val="1"/>
          <w:lang w:eastAsia="hi-IN" w:bidi="hi-IN"/>
        </w:rPr>
        <w:t>nebyla od roku 2009 aktualizována</w:t>
      </w:r>
      <w:r w:rsidR="003E214B">
        <w:rPr>
          <w:rFonts w:eastAsia="SimSun" w:cs="Calibri"/>
          <w:kern w:val="1"/>
          <w:lang w:eastAsia="hi-IN" w:bidi="hi-IN"/>
        </w:rPr>
        <w:t xml:space="preserve"> a nezahrnuje všechny výdaje a náklady </w:t>
      </w:r>
      <w:r w:rsidR="00686C49">
        <w:rPr>
          <w:rFonts w:eastAsia="SimSun" w:cs="Calibri"/>
          <w:kern w:val="1"/>
          <w:lang w:eastAsia="hi-IN" w:bidi="hi-IN"/>
        </w:rPr>
        <w:t>podle zákona</w:t>
      </w:r>
      <w:r w:rsidR="003E214B">
        <w:rPr>
          <w:rFonts w:eastAsia="SimSun" w:cs="Calibri"/>
          <w:kern w:val="1"/>
          <w:lang w:eastAsia="hi-IN" w:bidi="hi-IN"/>
        </w:rPr>
        <w:t xml:space="preserve"> č. 218/2000 Sb</w:t>
      </w:r>
      <w:r w:rsidRPr="0041289F">
        <w:rPr>
          <w:rFonts w:eastAsia="SimSun" w:cs="Calibri"/>
          <w:kern w:val="1"/>
          <w:lang w:eastAsia="hi-IN" w:bidi="hi-IN"/>
        </w:rPr>
        <w:t xml:space="preserve">. </w:t>
      </w:r>
    </w:p>
    <w:p w14:paraId="5B295D8E" w14:textId="631C4FF5" w:rsidR="00B95F69" w:rsidRDefault="00B95F69" w:rsidP="00B95F69">
      <w:pPr>
        <w:spacing w:before="120"/>
        <w:jc w:val="both"/>
        <w:rPr>
          <w:rFonts w:eastAsia="SimSun" w:cs="Calibri"/>
          <w:kern w:val="1"/>
          <w:lang w:eastAsia="hi-IN" w:bidi="hi-IN"/>
        </w:rPr>
      </w:pPr>
      <w:r w:rsidRPr="0041289F">
        <w:rPr>
          <w:rFonts w:eastAsia="SimSun" w:cs="Calibri"/>
          <w:b/>
          <w:kern w:val="1"/>
          <w:lang w:eastAsia="hi-IN" w:bidi="hi-IN"/>
        </w:rPr>
        <w:t xml:space="preserve">SZÚ v případě poskytování ubytovacích služeb svým zaměstnancům nepostupoval v souladu s režimem upraveným v ustanovení § 68 zákona č. 218/2000 Sb., neboť úhrada za ubytování v ubytovacích zařízeních musí odpovídat výdajům souvisejícím s provozem těchto zařízení, včetně údržby a oprav, a poměrné části odpisů, </w:t>
      </w:r>
      <w:r w:rsidR="000501B7">
        <w:rPr>
          <w:rFonts w:eastAsia="SimSun" w:cs="Calibri"/>
          <w:b/>
          <w:kern w:val="1"/>
          <w:lang w:eastAsia="hi-IN" w:bidi="hi-IN"/>
        </w:rPr>
        <w:t>přičemž</w:t>
      </w:r>
      <w:r w:rsidRPr="0041289F">
        <w:rPr>
          <w:rFonts w:eastAsia="SimSun" w:cs="Calibri"/>
          <w:b/>
          <w:kern w:val="1"/>
          <w:lang w:eastAsia="hi-IN" w:bidi="hi-IN"/>
        </w:rPr>
        <w:t xml:space="preserve"> vlastnímu zaměstnanci může organizace uhradit maximálně 50 % těchto výdajů</w:t>
      </w:r>
      <w:r>
        <w:rPr>
          <w:rFonts w:eastAsia="SimSun" w:cs="Calibri"/>
          <w:b/>
          <w:kern w:val="1"/>
          <w:lang w:eastAsia="hi-IN" w:bidi="hi-IN"/>
        </w:rPr>
        <w:t>, resp. nákladů</w:t>
      </w:r>
      <w:r w:rsidRPr="0041289F">
        <w:rPr>
          <w:rFonts w:eastAsia="SimSun" w:cs="Calibri"/>
          <w:b/>
          <w:kern w:val="1"/>
          <w:lang w:eastAsia="hi-IN" w:bidi="hi-IN"/>
        </w:rPr>
        <w:t xml:space="preserve">. Uvedeným způsobem SZÚ </w:t>
      </w:r>
      <w:r w:rsidRPr="00C96B8D">
        <w:rPr>
          <w:b/>
        </w:rPr>
        <w:t>nepostupoval v souladu s ustanovením § 53 odst. 4 zákona č. 218/2000 Sb.</w:t>
      </w:r>
      <w:r>
        <w:rPr>
          <w:b/>
        </w:rPr>
        <w:t xml:space="preserve">, </w:t>
      </w:r>
      <w:r w:rsidR="000501B7">
        <w:rPr>
          <w:b/>
        </w:rPr>
        <w:t>neboť</w:t>
      </w:r>
      <w:r>
        <w:rPr>
          <w:b/>
        </w:rPr>
        <w:t xml:space="preserve"> </w:t>
      </w:r>
      <w:r w:rsidR="00686C49">
        <w:rPr>
          <w:rFonts w:eastAsia="SimSun" w:cs="Calibri"/>
          <w:b/>
          <w:kern w:val="1"/>
          <w:lang w:eastAsia="hi-IN" w:bidi="hi-IN"/>
        </w:rPr>
        <w:t>nedbal, aby</w:t>
      </w:r>
      <w:r w:rsidR="00CA6F5D">
        <w:rPr>
          <w:rFonts w:eastAsia="SimSun" w:cs="Calibri"/>
          <w:b/>
          <w:kern w:val="1"/>
          <w:lang w:eastAsia="hi-IN" w:bidi="hi-IN"/>
        </w:rPr>
        <w:t xml:space="preserve"> </w:t>
      </w:r>
      <w:r w:rsidRPr="0041289F">
        <w:rPr>
          <w:rFonts w:eastAsia="SimSun" w:cs="Calibri"/>
          <w:b/>
          <w:kern w:val="1"/>
          <w:lang w:eastAsia="hi-IN" w:bidi="hi-IN"/>
        </w:rPr>
        <w:t>plnil určené úkoly nejhospodárnějším způsobem.</w:t>
      </w:r>
    </w:p>
    <w:p w14:paraId="5CF70612" w14:textId="50273347" w:rsidR="00B95F69" w:rsidRPr="00C12464" w:rsidRDefault="00B95F69" w:rsidP="00B95F69">
      <w:pPr>
        <w:pStyle w:val="TextKP"/>
      </w:pPr>
      <w:r w:rsidRPr="00C96B8D">
        <w:rPr>
          <w:b/>
        </w:rPr>
        <w:t>SZÚ nepostupoval v souladu s ustanovením § 14 odst. 4 zákona č. 219/2000 Sb. tím, že</w:t>
      </w:r>
      <w:r w:rsidR="00691B7F">
        <w:rPr>
          <w:b/>
        </w:rPr>
        <w:t xml:space="preserve"> </w:t>
      </w:r>
      <w:r w:rsidRPr="00C96B8D">
        <w:rPr>
          <w:b/>
        </w:rPr>
        <w:t xml:space="preserve">nevyužíval důsledně všechny právní prostředky při uplatňování a hájení práv státu jako vlastníka a neodůvodněně snižoval výnos z majetku, neboť v ubytovacích jednotkách </w:t>
      </w:r>
      <w:r>
        <w:rPr>
          <w:b/>
        </w:rPr>
        <w:t xml:space="preserve">poskytovaných k ubytování zaměstnancům SZÚ </w:t>
      </w:r>
      <w:r w:rsidRPr="00C96B8D">
        <w:rPr>
          <w:b/>
        </w:rPr>
        <w:t>v kontrolo</w:t>
      </w:r>
      <w:r>
        <w:rPr>
          <w:b/>
        </w:rPr>
        <w:t xml:space="preserve">vaném období nepožadoval úhradu všech výdajů a nákladů souvisejících s poskytovanou službou podle § 68 zákona č. 218/2000 Sb. </w:t>
      </w:r>
      <w:r w:rsidRPr="00C96B8D">
        <w:rPr>
          <w:b/>
        </w:rPr>
        <w:t>Současně SZÚ nepostupoval v souladu s</w:t>
      </w:r>
      <w:r>
        <w:rPr>
          <w:b/>
        </w:rPr>
        <w:t> ustanovením § 14 odst. 1 zákona č. </w:t>
      </w:r>
      <w:r w:rsidRPr="00C96B8D">
        <w:rPr>
          <w:b/>
        </w:rPr>
        <w:t>219/2000 Sb., neboť</w:t>
      </w:r>
      <w:r w:rsidR="00CA6F5D">
        <w:rPr>
          <w:b/>
        </w:rPr>
        <w:t xml:space="preserve"> </w:t>
      </w:r>
      <w:r w:rsidRPr="00C96B8D">
        <w:rPr>
          <w:b/>
        </w:rPr>
        <w:t>majetek nevyužíval hospodárně k plnění funkcí státu a</w:t>
      </w:r>
      <w:r w:rsidR="00CA6F5D">
        <w:rPr>
          <w:b/>
        </w:rPr>
        <w:t xml:space="preserve"> </w:t>
      </w:r>
      <w:r w:rsidRPr="00C96B8D">
        <w:rPr>
          <w:b/>
        </w:rPr>
        <w:t>k výkonu stanovených činností</w:t>
      </w:r>
      <w:r w:rsidRPr="00F16AB9">
        <w:rPr>
          <w:b/>
        </w:rPr>
        <w:t>.</w:t>
      </w:r>
    </w:p>
    <w:p w14:paraId="7A3CE6C2" w14:textId="1D0FEC60" w:rsidR="00686C49" w:rsidRDefault="00B95F69" w:rsidP="00B95F69">
      <w:pPr>
        <w:spacing w:before="120"/>
        <w:jc w:val="both"/>
        <w:rPr>
          <w:rFonts w:eastAsia="SimSun"/>
        </w:rPr>
      </w:pPr>
      <w:r w:rsidRPr="00C12464">
        <w:rPr>
          <w:rFonts w:eastAsia="SimSun"/>
        </w:rPr>
        <w:t>V</w:t>
      </w:r>
      <w:r>
        <w:rPr>
          <w:rFonts w:eastAsia="SimSun"/>
        </w:rPr>
        <w:t xml:space="preserve"> prvním </w:t>
      </w:r>
      <w:r w:rsidR="000501B7">
        <w:rPr>
          <w:rFonts w:eastAsia="SimSun"/>
        </w:rPr>
        <w:t>(</w:t>
      </w:r>
      <w:r>
        <w:rPr>
          <w:rFonts w:eastAsia="SimSun"/>
        </w:rPr>
        <w:t>nezrekonstruovaném</w:t>
      </w:r>
      <w:r w:rsidR="000501B7">
        <w:rPr>
          <w:rFonts w:eastAsia="SimSun"/>
        </w:rPr>
        <w:t>)</w:t>
      </w:r>
      <w:r>
        <w:rPr>
          <w:rFonts w:eastAsia="SimSun"/>
        </w:rPr>
        <w:t xml:space="preserve"> objektu</w:t>
      </w:r>
      <w:r w:rsidRPr="00C12464">
        <w:rPr>
          <w:rFonts w:eastAsia="SimSun"/>
        </w:rPr>
        <w:t xml:space="preserve"> činil</w:t>
      </w:r>
      <w:r>
        <w:rPr>
          <w:rFonts w:eastAsia="SimSun"/>
        </w:rPr>
        <w:t xml:space="preserve"> požadovaný</w:t>
      </w:r>
      <w:r w:rsidRPr="00C12464">
        <w:rPr>
          <w:rFonts w:eastAsia="SimSun"/>
        </w:rPr>
        <w:t xml:space="preserve"> měsíční nájem 132</w:t>
      </w:r>
      <w:r>
        <w:rPr>
          <w:rFonts w:eastAsia="SimSun"/>
        </w:rPr>
        <w:t xml:space="preserve"> Kč</w:t>
      </w:r>
      <w:r w:rsidRPr="00C12464">
        <w:rPr>
          <w:rFonts w:eastAsia="SimSun"/>
        </w:rPr>
        <w:t xml:space="preserve"> a 175 Kč</w:t>
      </w:r>
      <w:r>
        <w:rPr>
          <w:rFonts w:eastAsia="SimSun"/>
        </w:rPr>
        <w:t xml:space="preserve"> na</w:t>
      </w:r>
      <w:r w:rsidR="003335C2">
        <w:rPr>
          <w:rFonts w:eastAsia="SimSun"/>
        </w:rPr>
        <w:t> </w:t>
      </w:r>
      <w:r>
        <w:rPr>
          <w:rFonts w:eastAsia="SimSun"/>
        </w:rPr>
        <w:t>m</w:t>
      </w:r>
      <w:r w:rsidRPr="000F1DF4">
        <w:rPr>
          <w:rFonts w:eastAsia="SimSun"/>
          <w:vertAlign w:val="superscript"/>
        </w:rPr>
        <w:t>2</w:t>
      </w:r>
      <w:r w:rsidRPr="00C12464">
        <w:rPr>
          <w:rFonts w:eastAsia="SimSun"/>
        </w:rPr>
        <w:t xml:space="preserve">. </w:t>
      </w:r>
      <w:r>
        <w:rPr>
          <w:rFonts w:eastAsia="SimSun"/>
        </w:rPr>
        <w:t>V druhém objektu, který prošel rekonstrukcí, činil</w:t>
      </w:r>
      <w:r w:rsidRPr="00C12464">
        <w:rPr>
          <w:rFonts w:eastAsia="SimSun"/>
        </w:rPr>
        <w:t xml:space="preserve"> </w:t>
      </w:r>
      <w:r>
        <w:rPr>
          <w:rFonts w:eastAsia="SimSun"/>
        </w:rPr>
        <w:t xml:space="preserve">požadovaný </w:t>
      </w:r>
      <w:r w:rsidRPr="00C12464">
        <w:rPr>
          <w:rFonts w:eastAsia="SimSun"/>
        </w:rPr>
        <w:t>nájem</w:t>
      </w:r>
      <w:r>
        <w:rPr>
          <w:rFonts w:eastAsia="SimSun"/>
        </w:rPr>
        <w:t xml:space="preserve"> </w:t>
      </w:r>
      <w:r w:rsidRPr="00C12464">
        <w:rPr>
          <w:rFonts w:eastAsia="SimSun"/>
        </w:rPr>
        <w:t>100 Kč</w:t>
      </w:r>
      <w:r>
        <w:rPr>
          <w:rFonts w:eastAsia="SimSun"/>
        </w:rPr>
        <w:t xml:space="preserve"> na </w:t>
      </w:r>
      <w:r w:rsidRPr="00C12464">
        <w:rPr>
          <w:rFonts w:eastAsia="SimSun"/>
        </w:rPr>
        <w:t>m</w:t>
      </w:r>
      <w:r w:rsidRPr="000F1DF4">
        <w:rPr>
          <w:rFonts w:eastAsia="SimSun"/>
          <w:vertAlign w:val="superscript"/>
        </w:rPr>
        <w:t>2</w:t>
      </w:r>
      <w:r>
        <w:rPr>
          <w:rFonts w:eastAsia="SimSun"/>
        </w:rPr>
        <w:t xml:space="preserve">. </w:t>
      </w:r>
      <w:r w:rsidR="004E6F11">
        <w:rPr>
          <w:rFonts w:eastAsia="SimSun"/>
        </w:rPr>
        <w:t>Úhrada</w:t>
      </w:r>
      <w:r w:rsidR="003335C2">
        <w:rPr>
          <w:rFonts w:eastAsia="SimSun"/>
        </w:rPr>
        <w:t xml:space="preserve"> </w:t>
      </w:r>
      <w:r w:rsidR="004E6F11">
        <w:rPr>
          <w:rFonts w:eastAsia="SimSun"/>
        </w:rPr>
        <w:t>za</w:t>
      </w:r>
      <w:r w:rsidR="003335C2">
        <w:rPr>
          <w:rFonts w:eastAsia="SimSun"/>
        </w:rPr>
        <w:t xml:space="preserve"> </w:t>
      </w:r>
      <w:r w:rsidR="00D57779">
        <w:rPr>
          <w:rFonts w:eastAsia="SimSun"/>
        </w:rPr>
        <w:t xml:space="preserve">ubytování </w:t>
      </w:r>
      <w:r w:rsidR="004E6F11">
        <w:rPr>
          <w:rFonts w:eastAsia="SimSun"/>
        </w:rPr>
        <w:t>vedoucího zaměstnance, se kterým byla uzavřena smlouva na dobu neurčitou,</w:t>
      </w:r>
      <w:r w:rsidR="00D57779">
        <w:rPr>
          <w:rFonts w:eastAsia="SimSun"/>
        </w:rPr>
        <w:t xml:space="preserve"> </w:t>
      </w:r>
      <w:r>
        <w:rPr>
          <w:rFonts w:eastAsia="SimSun"/>
        </w:rPr>
        <w:t>v samostatném bytě s plochou 53,13 m</w:t>
      </w:r>
      <w:r w:rsidRPr="005A4DA5">
        <w:rPr>
          <w:rFonts w:eastAsia="SimSun"/>
          <w:vertAlign w:val="superscript"/>
        </w:rPr>
        <w:t>2</w:t>
      </w:r>
      <w:r w:rsidRPr="00F16AB9">
        <w:rPr>
          <w:rFonts w:eastAsia="SimSun"/>
        </w:rPr>
        <w:t xml:space="preserve"> </w:t>
      </w:r>
      <w:r w:rsidR="00D57779">
        <w:rPr>
          <w:rFonts w:eastAsia="SimSun"/>
        </w:rPr>
        <w:t xml:space="preserve">byla v kontrolovaném období </w:t>
      </w:r>
      <w:r w:rsidR="00B27C5D">
        <w:rPr>
          <w:rFonts w:eastAsia="SimSun"/>
        </w:rPr>
        <w:t>sjednána ve</w:t>
      </w:r>
      <w:r w:rsidR="003335C2">
        <w:rPr>
          <w:rFonts w:eastAsia="SimSun"/>
        </w:rPr>
        <w:t xml:space="preserve"> </w:t>
      </w:r>
      <w:r w:rsidR="004E6F11">
        <w:rPr>
          <w:rFonts w:eastAsia="SimSun"/>
        </w:rPr>
        <w:t>výši 960 </w:t>
      </w:r>
      <w:r>
        <w:rPr>
          <w:rFonts w:eastAsia="SimSun"/>
        </w:rPr>
        <w:t>Kč měsíčně</w:t>
      </w:r>
      <w:r w:rsidR="00B27C5D">
        <w:rPr>
          <w:rFonts w:eastAsia="SimSun"/>
        </w:rPr>
        <w:t>.</w:t>
      </w:r>
      <w:r w:rsidR="00A446D9">
        <w:rPr>
          <w:rFonts w:eastAsia="SimSun"/>
        </w:rPr>
        <w:t xml:space="preserve"> </w:t>
      </w:r>
      <w:r w:rsidR="00B27C5D">
        <w:rPr>
          <w:rFonts w:eastAsia="SimSun"/>
        </w:rPr>
        <w:t>T</w:t>
      </w:r>
      <w:r w:rsidR="00A446D9">
        <w:rPr>
          <w:rFonts w:eastAsia="SimSun"/>
        </w:rPr>
        <w:t>ento vedoucí zaměstnanec</w:t>
      </w:r>
      <w:r w:rsidR="004E6F11">
        <w:rPr>
          <w:rFonts w:eastAsia="SimSun"/>
        </w:rPr>
        <w:t xml:space="preserve"> </w:t>
      </w:r>
      <w:r w:rsidR="00B27C5D">
        <w:rPr>
          <w:rFonts w:eastAsia="SimSun"/>
        </w:rPr>
        <w:t xml:space="preserve">tak </w:t>
      </w:r>
      <w:r w:rsidR="00D57779">
        <w:rPr>
          <w:rFonts w:eastAsia="SimSun"/>
        </w:rPr>
        <w:t>hradil</w:t>
      </w:r>
      <w:r w:rsidR="004E6F11">
        <w:rPr>
          <w:rFonts w:eastAsia="SimSun"/>
        </w:rPr>
        <w:t xml:space="preserve"> </w:t>
      </w:r>
      <w:r>
        <w:rPr>
          <w:rFonts w:eastAsia="SimSun"/>
        </w:rPr>
        <w:t>pouze výdaje</w:t>
      </w:r>
      <w:r w:rsidRPr="00474BE2">
        <w:rPr>
          <w:rFonts w:eastAsia="SimSun"/>
        </w:rPr>
        <w:t xml:space="preserve"> spojené s užíváním bytov</w:t>
      </w:r>
      <w:r w:rsidR="003335C2">
        <w:rPr>
          <w:rFonts w:eastAsia="SimSun"/>
        </w:rPr>
        <w:t>é</w:t>
      </w:r>
      <w:r w:rsidRPr="00474BE2">
        <w:rPr>
          <w:rFonts w:eastAsia="SimSun"/>
        </w:rPr>
        <w:t xml:space="preserve"> jednotky</w:t>
      </w:r>
      <w:r>
        <w:rPr>
          <w:rFonts w:eastAsia="SimSun"/>
        </w:rPr>
        <w:t xml:space="preserve"> ve výši podle předložené kalkulace z roku 2009.</w:t>
      </w:r>
      <w:r w:rsidR="00E6283F">
        <w:rPr>
          <w:rFonts w:eastAsia="SimSun"/>
        </w:rPr>
        <w:t xml:space="preserve"> </w:t>
      </w:r>
    </w:p>
    <w:p w14:paraId="1C9A3908" w14:textId="06EBECF4" w:rsidR="00A47C9A" w:rsidRPr="00686C49" w:rsidRDefault="00A47C9A" w:rsidP="00686C49">
      <w:pPr>
        <w:pStyle w:val="Odstavecseseznamem"/>
        <w:numPr>
          <w:ilvl w:val="0"/>
          <w:numId w:val="22"/>
        </w:numPr>
        <w:spacing w:before="120" w:after="120"/>
        <w:ind w:left="284" w:hanging="284"/>
        <w:jc w:val="both"/>
        <w:rPr>
          <w:b/>
        </w:rPr>
      </w:pPr>
      <w:r w:rsidRPr="00686C49">
        <w:rPr>
          <w:b/>
        </w:rPr>
        <w:t xml:space="preserve">SZÚ poskytoval </w:t>
      </w:r>
      <w:r w:rsidR="004E6F11">
        <w:rPr>
          <w:b/>
        </w:rPr>
        <w:t>vedoucímu zaměstnanci</w:t>
      </w:r>
      <w:r w:rsidRPr="00686C49">
        <w:rPr>
          <w:b/>
        </w:rPr>
        <w:t xml:space="preserve"> </w:t>
      </w:r>
      <w:r w:rsidR="003335C2">
        <w:rPr>
          <w:b/>
        </w:rPr>
        <w:t>vozidlo</w:t>
      </w:r>
      <w:r w:rsidR="003335C2" w:rsidRPr="00686C49">
        <w:rPr>
          <w:b/>
        </w:rPr>
        <w:t xml:space="preserve"> </w:t>
      </w:r>
      <w:r w:rsidRPr="00686C49">
        <w:rPr>
          <w:b/>
        </w:rPr>
        <w:t>pro služební účely, ten ho však bezúplatně využíval i pro soukromé účely</w:t>
      </w:r>
    </w:p>
    <w:p w14:paraId="638AAA5E" w14:textId="2018D315" w:rsidR="00A47C9A" w:rsidRDefault="00A47C9A" w:rsidP="00A47C9A">
      <w:pPr>
        <w:pStyle w:val="TextKP"/>
        <w:rPr>
          <w:rFonts w:eastAsia="Calibri"/>
        </w:rPr>
      </w:pPr>
      <w:r>
        <w:rPr>
          <w:rFonts w:eastAsia="Calibri"/>
        </w:rPr>
        <w:t xml:space="preserve">SZÚ poskytoval </w:t>
      </w:r>
      <w:r w:rsidR="004E6F11">
        <w:rPr>
          <w:rFonts w:eastAsia="Calibri"/>
        </w:rPr>
        <w:t>vedoucímu zaměstnanci</w:t>
      </w:r>
      <w:r>
        <w:rPr>
          <w:rFonts w:eastAsia="Calibri"/>
        </w:rPr>
        <w:t xml:space="preserve"> od listopadu</w:t>
      </w:r>
      <w:r w:rsidR="002D2E2E">
        <w:rPr>
          <w:rFonts w:eastAsia="Calibri"/>
        </w:rPr>
        <w:t xml:space="preserve"> 2014 nejprve první automobil Škoda Rapid a následně od </w:t>
      </w:r>
      <w:r w:rsidR="00B5650E">
        <w:rPr>
          <w:rFonts w:eastAsia="Calibri"/>
        </w:rPr>
        <w:t>září 2016 nový automobil Škoda Rapid</w:t>
      </w:r>
      <w:r w:rsidR="003335C2">
        <w:rPr>
          <w:rFonts w:eastAsia="Calibri"/>
        </w:rPr>
        <w:t>,</w:t>
      </w:r>
      <w:r w:rsidR="00B5650E">
        <w:rPr>
          <w:rFonts w:eastAsia="Calibri"/>
        </w:rPr>
        <w:t xml:space="preserve"> a to </w:t>
      </w:r>
      <w:r w:rsidR="002D2E2E">
        <w:rPr>
          <w:rFonts w:eastAsia="Calibri"/>
        </w:rPr>
        <w:t>na základě dohod</w:t>
      </w:r>
      <w:r>
        <w:rPr>
          <w:rFonts w:eastAsia="Calibri"/>
        </w:rPr>
        <w:t xml:space="preserve"> o svěření </w:t>
      </w:r>
      <w:r w:rsidR="002D2E2E">
        <w:rPr>
          <w:rFonts w:eastAsia="Calibri"/>
        </w:rPr>
        <w:t>služebního vozidla. V</w:t>
      </w:r>
      <w:r>
        <w:rPr>
          <w:rFonts w:eastAsia="Calibri"/>
        </w:rPr>
        <w:t> obou dohodách je</w:t>
      </w:r>
      <w:r w:rsidR="00CA6F5D">
        <w:rPr>
          <w:rFonts w:eastAsia="Calibri"/>
        </w:rPr>
        <w:t xml:space="preserve"> </w:t>
      </w:r>
      <w:r w:rsidRPr="00034FA2">
        <w:rPr>
          <w:rFonts w:eastAsia="Calibri"/>
        </w:rPr>
        <w:t>uvedeno, že zaměstnanec svěřené vozidlo používá výhradně k služebním cestám</w:t>
      </w:r>
      <w:r>
        <w:rPr>
          <w:rFonts w:eastAsia="Calibri"/>
        </w:rPr>
        <w:t>.</w:t>
      </w:r>
    </w:p>
    <w:p w14:paraId="59B6B668" w14:textId="0F60911E" w:rsidR="00A47C9A" w:rsidRPr="001844AA" w:rsidRDefault="00F379DE" w:rsidP="00A47C9A">
      <w:pPr>
        <w:pStyle w:val="TextKP"/>
        <w:rPr>
          <w:rFonts w:eastAsia="Calibri"/>
        </w:rPr>
      </w:pPr>
      <w:r>
        <w:rPr>
          <w:rFonts w:eastAsia="Calibri"/>
        </w:rPr>
        <w:t>Vedoucí zaměstnanec</w:t>
      </w:r>
      <w:r w:rsidR="00A47C9A" w:rsidRPr="001844AA">
        <w:rPr>
          <w:rFonts w:eastAsia="Calibri"/>
        </w:rPr>
        <w:t xml:space="preserve"> SZÚ využíval předmětná služební vozidla k dopravě mezi místem svého bydliště a místem výkonu práce </w:t>
      </w:r>
      <w:r w:rsidR="003335C2">
        <w:rPr>
          <w:rFonts w:eastAsia="Calibri"/>
        </w:rPr>
        <w:t>v</w:t>
      </w:r>
      <w:r w:rsidR="00A47C9A" w:rsidRPr="001844AA">
        <w:rPr>
          <w:rFonts w:eastAsia="Calibri"/>
        </w:rPr>
        <w:t xml:space="preserve"> SZÚ</w:t>
      </w:r>
      <w:r w:rsidR="00A47C9A">
        <w:rPr>
          <w:rFonts w:eastAsia="Calibri"/>
        </w:rPr>
        <w:t xml:space="preserve">. Podíl těchto jízd </w:t>
      </w:r>
      <w:r w:rsidR="00A47C9A" w:rsidRPr="001844AA">
        <w:rPr>
          <w:rFonts w:eastAsia="Calibri"/>
        </w:rPr>
        <w:t xml:space="preserve">v období let 2014 až 2016 </w:t>
      </w:r>
      <w:r w:rsidR="00A47C9A">
        <w:rPr>
          <w:rFonts w:eastAsia="Calibri"/>
        </w:rPr>
        <w:t>činil</w:t>
      </w:r>
      <w:r w:rsidR="00CA6F5D">
        <w:rPr>
          <w:rFonts w:eastAsia="Calibri"/>
        </w:rPr>
        <w:t xml:space="preserve"> </w:t>
      </w:r>
      <w:r w:rsidR="00A47C9A" w:rsidRPr="001844AA">
        <w:rPr>
          <w:rFonts w:eastAsia="Calibri"/>
        </w:rPr>
        <w:t>40</w:t>
      </w:r>
      <w:r w:rsidR="003335C2">
        <w:rPr>
          <w:rFonts w:eastAsia="Calibri"/>
        </w:rPr>
        <w:t> </w:t>
      </w:r>
      <w:r w:rsidR="00A47C9A" w:rsidRPr="001844AA">
        <w:rPr>
          <w:rFonts w:eastAsia="Calibri"/>
        </w:rPr>
        <w:t>%. Jednalo se o</w:t>
      </w:r>
      <w:r w:rsidR="00CA6F5D">
        <w:rPr>
          <w:rFonts w:eastAsia="Calibri"/>
        </w:rPr>
        <w:t xml:space="preserve"> </w:t>
      </w:r>
      <w:r w:rsidR="00A47C9A" w:rsidRPr="001844AA">
        <w:rPr>
          <w:rFonts w:eastAsia="Calibri"/>
          <w:u w:val="single"/>
        </w:rPr>
        <w:t>bezúplatné užívání majetku státu k soukromým účelům</w:t>
      </w:r>
      <w:r w:rsidR="00A47C9A" w:rsidRPr="001844AA">
        <w:rPr>
          <w:rFonts w:eastAsia="Calibri"/>
        </w:rPr>
        <w:t xml:space="preserve">. V průběhu </w:t>
      </w:r>
      <w:r w:rsidR="00A47C9A" w:rsidRPr="001844AA">
        <w:rPr>
          <w:rFonts w:eastAsia="Calibri"/>
        </w:rPr>
        <w:lastRenderedPageBreak/>
        <w:t xml:space="preserve">kontrolovaného období se </w:t>
      </w:r>
      <w:r>
        <w:rPr>
          <w:rFonts w:eastAsia="Calibri"/>
        </w:rPr>
        <w:t>vedoucí zaměstnanec</w:t>
      </w:r>
      <w:r w:rsidR="00A47C9A" w:rsidRPr="001844AA">
        <w:rPr>
          <w:rFonts w:eastAsia="Calibri"/>
        </w:rPr>
        <w:t xml:space="preserve"> nepodílel na úhradě nákladů souvisejících s provozem vozidel. Celkové náklady SZÚ na</w:t>
      </w:r>
      <w:r w:rsidR="00CA6F5D">
        <w:rPr>
          <w:rFonts w:eastAsia="Calibri"/>
        </w:rPr>
        <w:t xml:space="preserve"> </w:t>
      </w:r>
      <w:r w:rsidR="00A47C9A" w:rsidRPr="001844AA">
        <w:rPr>
          <w:rFonts w:eastAsia="Calibri"/>
        </w:rPr>
        <w:t xml:space="preserve">pohonné hmoty za období 2014 až 2016 </w:t>
      </w:r>
      <w:r w:rsidR="003335C2">
        <w:rPr>
          <w:rFonts w:eastAsia="Calibri"/>
        </w:rPr>
        <w:t>za obě</w:t>
      </w:r>
      <w:r w:rsidR="00A47C9A" w:rsidRPr="001844AA">
        <w:rPr>
          <w:rFonts w:eastAsia="Calibri"/>
        </w:rPr>
        <w:t xml:space="preserve"> vozidl</w:t>
      </w:r>
      <w:r w:rsidR="003335C2">
        <w:rPr>
          <w:rFonts w:eastAsia="Calibri"/>
        </w:rPr>
        <w:t>a</w:t>
      </w:r>
      <w:r w:rsidR="00A47C9A" w:rsidRPr="001844AA">
        <w:rPr>
          <w:rFonts w:eastAsia="Calibri"/>
        </w:rPr>
        <w:t xml:space="preserve"> činily 39 883,50 Kč. Dále pak odpisy k ob</w:t>
      </w:r>
      <w:r w:rsidR="00B5650E">
        <w:rPr>
          <w:rFonts w:eastAsia="Calibri"/>
        </w:rPr>
        <w:t>ěma vozidlům za dobu užívání ve</w:t>
      </w:r>
      <w:r w:rsidR="003335C2">
        <w:rPr>
          <w:rFonts w:eastAsia="Calibri"/>
        </w:rPr>
        <w:t xml:space="preserve"> </w:t>
      </w:r>
      <w:r w:rsidR="00A47C9A" w:rsidRPr="001844AA">
        <w:rPr>
          <w:rFonts w:eastAsia="Calibri"/>
        </w:rPr>
        <w:t>sledovaném období od</w:t>
      </w:r>
      <w:r w:rsidR="00CA6F5D">
        <w:rPr>
          <w:rFonts w:eastAsia="Calibri"/>
        </w:rPr>
        <w:t xml:space="preserve"> </w:t>
      </w:r>
      <w:r w:rsidR="00A47C9A" w:rsidRPr="001844AA">
        <w:rPr>
          <w:rFonts w:eastAsia="Calibri"/>
        </w:rPr>
        <w:t>listopadu 2014 do prosince 2016 činily celkem 100 961 Kč.</w:t>
      </w:r>
    </w:p>
    <w:p w14:paraId="5180A0F3" w14:textId="0B206432" w:rsidR="00A47C9A" w:rsidRPr="00330E83" w:rsidRDefault="00A47C9A" w:rsidP="00A47C9A">
      <w:pPr>
        <w:pStyle w:val="TextKP"/>
        <w:rPr>
          <w:rFonts w:eastAsia="Calibri"/>
          <w:b/>
        </w:rPr>
      </w:pPr>
      <w:r w:rsidRPr="00EB2541">
        <w:rPr>
          <w:rFonts w:eastAsia="Calibri"/>
          <w:b/>
        </w:rPr>
        <w:t>SZÚ nepostupoval v souladu s ustanovení</w:t>
      </w:r>
      <w:r w:rsidR="00686956">
        <w:rPr>
          <w:rFonts w:eastAsia="Calibri"/>
          <w:b/>
        </w:rPr>
        <w:t>m</w:t>
      </w:r>
      <w:r w:rsidRPr="00EB2541">
        <w:rPr>
          <w:rFonts w:eastAsia="Calibri"/>
          <w:b/>
        </w:rPr>
        <w:t xml:space="preserve"> § 53 odst. </w:t>
      </w:r>
      <w:r w:rsidR="00686C49">
        <w:rPr>
          <w:rFonts w:eastAsia="Calibri"/>
          <w:b/>
        </w:rPr>
        <w:t>4 zákona č. 218/2000 Sb., neboť</w:t>
      </w:r>
      <w:r w:rsidR="00CA6F5D">
        <w:rPr>
          <w:rFonts w:eastAsia="Calibri"/>
          <w:b/>
        </w:rPr>
        <w:t xml:space="preserve"> </w:t>
      </w:r>
      <w:r w:rsidRPr="00EB2541">
        <w:rPr>
          <w:rFonts w:eastAsia="Calibri"/>
          <w:b/>
        </w:rPr>
        <w:t xml:space="preserve">nedbal, aby plnil určené úkoly nejhospodárnějším způsobem. </w:t>
      </w:r>
      <w:r>
        <w:rPr>
          <w:rFonts w:eastAsia="Calibri"/>
          <w:b/>
        </w:rPr>
        <w:t>S</w:t>
      </w:r>
      <w:r w:rsidRPr="00330E83">
        <w:rPr>
          <w:rFonts w:eastAsia="Calibri"/>
          <w:b/>
        </w:rPr>
        <w:t>oučasně</w:t>
      </w:r>
      <w:r w:rsidR="00B5650E">
        <w:rPr>
          <w:rFonts w:eastAsia="Calibri"/>
          <w:b/>
        </w:rPr>
        <w:t xml:space="preserve"> SZÚ</w:t>
      </w:r>
      <w:r w:rsidRPr="00330E83">
        <w:rPr>
          <w:rFonts w:eastAsia="Calibri"/>
          <w:b/>
        </w:rPr>
        <w:t xml:space="preserve"> porušil ustanovení § 53 odst. 4 věta druhá zákona č. 218/2000 Sb., když</w:t>
      </w:r>
      <w:r w:rsidR="00CA6F5D">
        <w:rPr>
          <w:rFonts w:eastAsia="Calibri"/>
          <w:b/>
        </w:rPr>
        <w:t xml:space="preserve"> </w:t>
      </w:r>
      <w:r w:rsidRPr="00330E83">
        <w:rPr>
          <w:rFonts w:eastAsia="Calibri"/>
          <w:b/>
        </w:rPr>
        <w:t xml:space="preserve">vynaložil </w:t>
      </w:r>
      <w:r w:rsidR="00B5650E">
        <w:rPr>
          <w:rFonts w:eastAsia="Calibri"/>
          <w:b/>
        </w:rPr>
        <w:t>peněžní prostředky minimálně ve</w:t>
      </w:r>
      <w:r w:rsidR="00CA6F5D">
        <w:rPr>
          <w:rFonts w:eastAsia="Calibri"/>
          <w:b/>
        </w:rPr>
        <w:t xml:space="preserve"> </w:t>
      </w:r>
      <w:r w:rsidRPr="00330E83">
        <w:rPr>
          <w:rFonts w:eastAsia="Calibri"/>
          <w:b/>
        </w:rPr>
        <w:t>výši 15 945,42 Kč a současně nepožadoval úhradu poměrných</w:t>
      </w:r>
      <w:r>
        <w:rPr>
          <w:rFonts w:eastAsia="Calibri"/>
          <w:b/>
        </w:rPr>
        <w:t xml:space="preserve"> nákladů na odpisy minimálně ve</w:t>
      </w:r>
      <w:r w:rsidR="00CA6F5D">
        <w:rPr>
          <w:rFonts w:eastAsia="Calibri"/>
          <w:b/>
        </w:rPr>
        <w:t xml:space="preserve"> </w:t>
      </w:r>
      <w:r w:rsidRPr="00330E83">
        <w:rPr>
          <w:rFonts w:eastAsia="Calibri"/>
          <w:b/>
        </w:rPr>
        <w:t>výši 40 364,21 Kč</w:t>
      </w:r>
      <w:r w:rsidR="00F16AB9">
        <w:rPr>
          <w:rFonts w:eastAsia="Calibri"/>
          <w:b/>
        </w:rPr>
        <w:t>.</w:t>
      </w:r>
      <w:r w:rsidRPr="00330E83">
        <w:rPr>
          <w:rFonts w:eastAsia="Calibri"/>
          <w:b/>
        </w:rPr>
        <w:t xml:space="preserve"> </w:t>
      </w:r>
    </w:p>
    <w:p w14:paraId="4EAB7D11" w14:textId="5656BA99" w:rsidR="00A47C9A" w:rsidRPr="00330E83" w:rsidRDefault="00A47C9A" w:rsidP="00A47C9A">
      <w:pPr>
        <w:pStyle w:val="TextKP"/>
        <w:rPr>
          <w:lang w:eastAsia="cs-CZ"/>
        </w:rPr>
      </w:pPr>
      <w:r w:rsidRPr="00EB2541">
        <w:rPr>
          <w:rFonts w:eastAsia="Calibri"/>
          <w:b/>
        </w:rPr>
        <w:t xml:space="preserve">SZÚ bezúplatným přenecháním </w:t>
      </w:r>
      <w:r>
        <w:rPr>
          <w:rFonts w:eastAsia="Calibri"/>
          <w:b/>
        </w:rPr>
        <w:t xml:space="preserve">předmětných </w:t>
      </w:r>
      <w:r w:rsidRPr="00EB2541">
        <w:rPr>
          <w:rFonts w:eastAsia="Calibri"/>
          <w:b/>
        </w:rPr>
        <w:t>služební</w:t>
      </w:r>
      <w:r>
        <w:rPr>
          <w:rFonts w:eastAsia="Calibri"/>
          <w:b/>
        </w:rPr>
        <w:t>c</w:t>
      </w:r>
      <w:r w:rsidRPr="00EB2541">
        <w:rPr>
          <w:rFonts w:eastAsia="Calibri"/>
          <w:b/>
        </w:rPr>
        <w:t>h vozid</w:t>
      </w:r>
      <w:r>
        <w:rPr>
          <w:rFonts w:eastAsia="Calibri"/>
          <w:b/>
        </w:rPr>
        <w:t>e</w:t>
      </w:r>
      <w:r w:rsidRPr="00EB2541">
        <w:rPr>
          <w:rFonts w:eastAsia="Calibri"/>
          <w:b/>
        </w:rPr>
        <w:t xml:space="preserve">l Škoda Rapid v období listopad 2014 až prosinec 2016 do užívání fyzické osobě porušil ustanovení § 14 odst. 1 zákona </w:t>
      </w:r>
      <w:r>
        <w:rPr>
          <w:rFonts w:eastAsia="Calibri"/>
          <w:b/>
        </w:rPr>
        <w:t xml:space="preserve">č. 219/2000 Sb., </w:t>
      </w:r>
      <w:r w:rsidR="003335C2">
        <w:rPr>
          <w:rFonts w:eastAsia="Calibri"/>
          <w:b/>
        </w:rPr>
        <w:t>neboť</w:t>
      </w:r>
      <w:r w:rsidRPr="00EB2541">
        <w:rPr>
          <w:rFonts w:eastAsia="Calibri"/>
          <w:b/>
        </w:rPr>
        <w:t xml:space="preserve"> majetek nebyl vyu</w:t>
      </w:r>
      <w:r w:rsidR="00F27E4D">
        <w:rPr>
          <w:rFonts w:eastAsia="Calibri"/>
          <w:b/>
        </w:rPr>
        <w:t xml:space="preserve">žíván hospodárně a účelně, </w:t>
      </w:r>
      <w:r w:rsidR="007D07FF">
        <w:rPr>
          <w:rFonts w:eastAsia="Calibri"/>
          <w:b/>
        </w:rPr>
        <w:t>resp. SZÚ</w:t>
      </w:r>
      <w:r w:rsidR="00CA6F5D">
        <w:rPr>
          <w:rFonts w:eastAsia="Calibri"/>
          <w:b/>
        </w:rPr>
        <w:t xml:space="preserve"> </w:t>
      </w:r>
      <w:r w:rsidRPr="00EB2541">
        <w:rPr>
          <w:rFonts w:eastAsia="Calibri"/>
          <w:b/>
        </w:rPr>
        <w:t>neodůvodněně snížil výnos (nájem</w:t>
      </w:r>
      <w:r>
        <w:rPr>
          <w:rFonts w:eastAsia="Calibri"/>
          <w:b/>
        </w:rPr>
        <w:t xml:space="preserve">, </w:t>
      </w:r>
      <w:r w:rsidRPr="00EB2541">
        <w:rPr>
          <w:rFonts w:eastAsia="Calibri"/>
          <w:b/>
        </w:rPr>
        <w:t xml:space="preserve">poměrná část úhrady </w:t>
      </w:r>
      <w:r w:rsidR="00B5650E">
        <w:rPr>
          <w:rFonts w:eastAsia="Calibri"/>
          <w:b/>
        </w:rPr>
        <w:t>nákladů na</w:t>
      </w:r>
      <w:r w:rsidRPr="00EB2541">
        <w:rPr>
          <w:rFonts w:eastAsia="Calibri"/>
          <w:b/>
        </w:rPr>
        <w:t xml:space="preserve"> nákup pohonných hmot</w:t>
      </w:r>
      <w:r>
        <w:rPr>
          <w:rFonts w:eastAsia="Calibri"/>
          <w:b/>
        </w:rPr>
        <w:t xml:space="preserve"> a</w:t>
      </w:r>
      <w:r w:rsidR="00CA6F5D">
        <w:rPr>
          <w:rFonts w:eastAsia="Calibri"/>
          <w:b/>
        </w:rPr>
        <w:t xml:space="preserve"> </w:t>
      </w:r>
      <w:r>
        <w:rPr>
          <w:rFonts w:eastAsia="Calibri"/>
          <w:b/>
        </w:rPr>
        <w:t>odpisů</w:t>
      </w:r>
      <w:r w:rsidRPr="00EB2541">
        <w:rPr>
          <w:rFonts w:eastAsia="Calibri"/>
          <w:b/>
        </w:rPr>
        <w:t xml:space="preserve">) z tohoto majetku. </w:t>
      </w:r>
      <w:r>
        <w:rPr>
          <w:rFonts w:eastAsia="Calibri"/>
          <w:b/>
        </w:rPr>
        <w:t xml:space="preserve">Současně </w:t>
      </w:r>
      <w:r w:rsidRPr="00330E83">
        <w:rPr>
          <w:rFonts w:eastAsia="Calibri"/>
          <w:b/>
        </w:rPr>
        <w:t>SZÚ nepostupoval v souladu s ustanovením §</w:t>
      </w:r>
      <w:r w:rsidR="00F27E4D">
        <w:rPr>
          <w:rFonts w:eastAsia="Calibri"/>
          <w:b/>
        </w:rPr>
        <w:t> </w:t>
      </w:r>
      <w:r w:rsidRPr="00330E83">
        <w:rPr>
          <w:rFonts w:eastAsia="Calibri"/>
          <w:b/>
        </w:rPr>
        <w:t>27</w:t>
      </w:r>
      <w:r w:rsidR="00F27E4D">
        <w:rPr>
          <w:rFonts w:eastAsia="Calibri"/>
          <w:b/>
        </w:rPr>
        <w:t> </w:t>
      </w:r>
      <w:r w:rsidRPr="00330E83">
        <w:rPr>
          <w:rFonts w:eastAsia="Calibri"/>
          <w:b/>
        </w:rPr>
        <w:t>odst. 1 až odst. 4 zákona č. 219/2000 Sb. tím, že přenechal své</w:t>
      </w:r>
      <w:r>
        <w:rPr>
          <w:rFonts w:eastAsia="Calibri"/>
          <w:b/>
        </w:rPr>
        <w:t>mu</w:t>
      </w:r>
      <w:r w:rsidRPr="00330E83">
        <w:rPr>
          <w:rFonts w:eastAsia="Calibri"/>
          <w:b/>
        </w:rPr>
        <w:t xml:space="preserve"> zaměstnan</w:t>
      </w:r>
      <w:r>
        <w:rPr>
          <w:rFonts w:eastAsia="Calibri"/>
          <w:b/>
        </w:rPr>
        <w:t>ci</w:t>
      </w:r>
      <w:r w:rsidRPr="00330E83">
        <w:rPr>
          <w:rFonts w:eastAsia="Calibri"/>
          <w:b/>
        </w:rPr>
        <w:t xml:space="preserve"> bezúplatně a na dobu neurčitou</w:t>
      </w:r>
      <w:r>
        <w:rPr>
          <w:rFonts w:eastAsia="Calibri"/>
          <w:b/>
        </w:rPr>
        <w:t xml:space="preserve"> předmětná</w:t>
      </w:r>
      <w:r w:rsidRPr="00330E83">
        <w:rPr>
          <w:rFonts w:eastAsia="Calibri"/>
          <w:b/>
        </w:rPr>
        <w:t xml:space="preserve"> služební vozidl</w:t>
      </w:r>
      <w:r>
        <w:rPr>
          <w:rFonts w:eastAsia="Calibri"/>
          <w:b/>
        </w:rPr>
        <w:t>a</w:t>
      </w:r>
      <w:r w:rsidRPr="00330E83">
        <w:rPr>
          <w:rFonts w:eastAsia="Calibri"/>
          <w:b/>
        </w:rPr>
        <w:t xml:space="preserve"> </w:t>
      </w:r>
      <w:r>
        <w:rPr>
          <w:rFonts w:eastAsia="Calibri"/>
          <w:b/>
        </w:rPr>
        <w:t>Š</w:t>
      </w:r>
      <w:r w:rsidRPr="00330E83">
        <w:rPr>
          <w:rFonts w:eastAsia="Calibri"/>
          <w:b/>
        </w:rPr>
        <w:t>koda Rapid, která</w:t>
      </w:r>
      <w:r w:rsidR="00241391">
        <w:rPr>
          <w:rFonts w:eastAsia="Calibri"/>
          <w:b/>
        </w:rPr>
        <w:t xml:space="preserve"> </w:t>
      </w:r>
      <w:r w:rsidR="00DA236E">
        <w:rPr>
          <w:rFonts w:eastAsia="Calibri"/>
          <w:b/>
        </w:rPr>
        <w:t xml:space="preserve">zaměstnanec </w:t>
      </w:r>
      <w:r w:rsidRPr="00330E83">
        <w:rPr>
          <w:rFonts w:eastAsia="Calibri"/>
          <w:b/>
        </w:rPr>
        <w:t>užíval minimálně ve</w:t>
      </w:r>
      <w:r w:rsidR="00CA6F5D">
        <w:rPr>
          <w:rFonts w:eastAsia="Calibri"/>
          <w:b/>
        </w:rPr>
        <w:t xml:space="preserve"> </w:t>
      </w:r>
      <w:r>
        <w:rPr>
          <w:rFonts w:eastAsia="Calibri"/>
          <w:b/>
        </w:rPr>
        <w:t>40</w:t>
      </w:r>
      <w:r w:rsidR="00F27E4D">
        <w:rPr>
          <w:rFonts w:eastAsia="Calibri"/>
          <w:b/>
        </w:rPr>
        <w:t> </w:t>
      </w:r>
      <w:r w:rsidRPr="00330E83">
        <w:rPr>
          <w:rFonts w:eastAsia="Calibri"/>
          <w:b/>
        </w:rPr>
        <w:t>% uskutečněných jízd k soukromým účelům, tedy</w:t>
      </w:r>
      <w:r w:rsidR="00241391">
        <w:rPr>
          <w:rFonts w:eastAsia="Calibri"/>
          <w:b/>
        </w:rPr>
        <w:t xml:space="preserve"> </w:t>
      </w:r>
      <w:r w:rsidRPr="00330E83">
        <w:rPr>
          <w:rFonts w:eastAsia="Calibri"/>
          <w:b/>
        </w:rPr>
        <w:t>jízdám z místa svého bydliště do</w:t>
      </w:r>
      <w:r w:rsidR="00CA6F5D">
        <w:rPr>
          <w:rFonts w:eastAsia="Calibri"/>
          <w:b/>
        </w:rPr>
        <w:t xml:space="preserve"> </w:t>
      </w:r>
      <w:r w:rsidRPr="00330E83">
        <w:rPr>
          <w:rFonts w:eastAsia="Calibri"/>
          <w:b/>
        </w:rPr>
        <w:t xml:space="preserve">zaměstnání a zpět. </w:t>
      </w:r>
      <w:r w:rsidRPr="00330E83">
        <w:rPr>
          <w:rFonts w:ascii="Calibri" w:eastAsia="Calibri" w:hAnsi="Calibri" w:cs="Times New Roman"/>
          <w:b/>
        </w:rPr>
        <w:t xml:space="preserve">SZÚ nedisponuje výjimkou Ministerstva financí </w:t>
      </w:r>
      <w:r w:rsidR="007D07FF">
        <w:rPr>
          <w:rFonts w:ascii="Calibri" w:eastAsia="Calibri" w:hAnsi="Calibri" w:cs="Times New Roman"/>
          <w:b/>
        </w:rPr>
        <w:t>(</w:t>
      </w:r>
      <w:r w:rsidRPr="00330E83">
        <w:rPr>
          <w:rFonts w:ascii="Calibri" w:eastAsia="Calibri" w:hAnsi="Calibri" w:cs="Times New Roman"/>
          <w:b/>
        </w:rPr>
        <w:t>z okruhu uživatelů a</w:t>
      </w:r>
      <w:r w:rsidR="00CA6F5D">
        <w:rPr>
          <w:rFonts w:eastAsia="Calibri"/>
          <w:b/>
        </w:rPr>
        <w:t xml:space="preserve"> </w:t>
      </w:r>
      <w:r w:rsidRPr="00330E83">
        <w:rPr>
          <w:rFonts w:ascii="Calibri" w:eastAsia="Calibri" w:hAnsi="Calibri" w:cs="Times New Roman"/>
          <w:b/>
        </w:rPr>
        <w:t>účelu užívání</w:t>
      </w:r>
      <w:r w:rsidR="007D07FF">
        <w:rPr>
          <w:rFonts w:ascii="Calibri" w:eastAsia="Calibri" w:hAnsi="Calibri" w:cs="Times New Roman"/>
          <w:b/>
        </w:rPr>
        <w:t>)</w:t>
      </w:r>
      <w:r w:rsidRPr="00330E83">
        <w:rPr>
          <w:rFonts w:ascii="Calibri" w:eastAsia="Calibri" w:hAnsi="Calibri" w:cs="Times New Roman"/>
          <w:b/>
        </w:rPr>
        <w:t xml:space="preserve"> stanoven</w:t>
      </w:r>
      <w:r w:rsidR="007D07FF">
        <w:rPr>
          <w:rFonts w:ascii="Calibri" w:eastAsia="Calibri" w:hAnsi="Calibri" w:cs="Times New Roman"/>
          <w:b/>
        </w:rPr>
        <w:t>ou</w:t>
      </w:r>
      <w:r w:rsidRPr="00330E83">
        <w:rPr>
          <w:rFonts w:ascii="Calibri" w:eastAsia="Calibri" w:hAnsi="Calibri" w:cs="Times New Roman"/>
          <w:b/>
        </w:rPr>
        <w:t xml:space="preserve"> pro</w:t>
      </w:r>
      <w:r>
        <w:rPr>
          <w:rFonts w:ascii="Calibri" w:eastAsia="Calibri" w:hAnsi="Calibri" w:cs="Times New Roman"/>
          <w:b/>
        </w:rPr>
        <w:t xml:space="preserve"> případ bezúplatného užívání ve</w:t>
      </w:r>
      <w:r w:rsidR="00CA6F5D">
        <w:rPr>
          <w:rFonts w:ascii="Calibri" w:eastAsia="Calibri" w:hAnsi="Calibri" w:cs="Times New Roman"/>
          <w:b/>
        </w:rPr>
        <w:t xml:space="preserve"> </w:t>
      </w:r>
      <w:r w:rsidRPr="00330E83">
        <w:rPr>
          <w:rFonts w:ascii="Calibri" w:eastAsia="Calibri" w:hAnsi="Calibri" w:cs="Times New Roman"/>
          <w:b/>
        </w:rPr>
        <w:t>smyslu ustanovení § 27 odst. 4 zákona č. 219/2000 Sb.</w:t>
      </w:r>
      <w:r w:rsidRPr="00330E83">
        <w:rPr>
          <w:lang w:eastAsia="cs-CZ"/>
        </w:rPr>
        <w:t xml:space="preserve"> </w:t>
      </w:r>
    </w:p>
    <w:p w14:paraId="23E9D982" w14:textId="5841688E" w:rsidR="00A47C9A" w:rsidRDefault="00A47C9A" w:rsidP="00153A75">
      <w:pPr>
        <w:pStyle w:val="TextKP"/>
      </w:pPr>
      <w:r w:rsidRPr="00330E83">
        <w:rPr>
          <w:b/>
          <w:lang w:eastAsia="cs-CZ"/>
        </w:rPr>
        <w:t>SZÚ uvedeným způsobem porušil rozpočtovou kázeň podl</w:t>
      </w:r>
      <w:r>
        <w:rPr>
          <w:b/>
          <w:lang w:eastAsia="cs-CZ"/>
        </w:rPr>
        <w:t>e ustanovení § 44 odst. 1 písm. </w:t>
      </w:r>
      <w:r w:rsidRPr="00330E83">
        <w:rPr>
          <w:b/>
          <w:lang w:eastAsia="cs-CZ"/>
        </w:rPr>
        <w:t xml:space="preserve">a) zákona č. 218/2000 Sb. ve </w:t>
      </w:r>
      <w:r w:rsidR="00A3254F">
        <w:rPr>
          <w:b/>
          <w:lang w:eastAsia="cs-CZ"/>
        </w:rPr>
        <w:t xml:space="preserve">spojení s </w:t>
      </w:r>
      <w:r w:rsidRPr="00330E83">
        <w:rPr>
          <w:b/>
          <w:lang w:eastAsia="cs-CZ"/>
        </w:rPr>
        <w:t>ustanovení</w:t>
      </w:r>
      <w:r w:rsidR="00A3254F">
        <w:rPr>
          <w:b/>
          <w:lang w:eastAsia="cs-CZ"/>
        </w:rPr>
        <w:t>m</w:t>
      </w:r>
      <w:r w:rsidRPr="00330E83">
        <w:rPr>
          <w:b/>
          <w:lang w:eastAsia="cs-CZ"/>
        </w:rPr>
        <w:t xml:space="preserve"> § 3 písm. e) zákona č. 218/2000 Sb., </w:t>
      </w:r>
      <w:r w:rsidR="007D07FF">
        <w:rPr>
          <w:b/>
          <w:lang w:eastAsia="cs-CZ"/>
        </w:rPr>
        <w:t xml:space="preserve">a to </w:t>
      </w:r>
      <w:r w:rsidRPr="00330E83">
        <w:rPr>
          <w:b/>
          <w:lang w:eastAsia="cs-CZ"/>
        </w:rPr>
        <w:t xml:space="preserve">minimálně ve výši </w:t>
      </w:r>
      <w:r w:rsidRPr="00330E83">
        <w:rPr>
          <w:rFonts w:eastAsia="Calibri"/>
          <w:b/>
        </w:rPr>
        <w:t>15 945,42 Kč</w:t>
      </w:r>
      <w:r w:rsidRPr="00330E83">
        <w:rPr>
          <w:b/>
          <w:lang w:eastAsia="cs-CZ"/>
        </w:rPr>
        <w:t>.</w:t>
      </w:r>
    </w:p>
    <w:p w14:paraId="5D4A0C05" w14:textId="7B8BA3AA" w:rsidR="00A47C9A" w:rsidRDefault="00153A75" w:rsidP="00A47C9A">
      <w:pPr>
        <w:pStyle w:val="TextKP"/>
        <w:rPr>
          <w:rFonts w:eastAsia="Calibri"/>
        </w:rPr>
      </w:pPr>
      <w:r>
        <w:rPr>
          <w:rFonts w:eastAsia="Calibri"/>
        </w:rPr>
        <w:t>Současně</w:t>
      </w:r>
      <w:r w:rsidR="00A47C9A" w:rsidRPr="00357A77">
        <w:rPr>
          <w:rFonts w:eastAsia="Calibri"/>
        </w:rPr>
        <w:t xml:space="preserve"> byl kontrolou zjištěn rozpor mezi záznam</w:t>
      </w:r>
      <w:r w:rsidR="00F27E4D">
        <w:rPr>
          <w:rFonts w:eastAsia="Calibri"/>
        </w:rPr>
        <w:t>y</w:t>
      </w:r>
      <w:r w:rsidR="00A47C9A" w:rsidRPr="00357A77">
        <w:rPr>
          <w:rFonts w:eastAsia="Calibri"/>
        </w:rPr>
        <w:t xml:space="preserve"> </w:t>
      </w:r>
      <w:r w:rsidR="00A47C9A">
        <w:rPr>
          <w:rFonts w:eastAsia="Calibri"/>
        </w:rPr>
        <w:t>o</w:t>
      </w:r>
      <w:r w:rsidR="00CA6F5D">
        <w:rPr>
          <w:rFonts w:eastAsia="Calibri"/>
        </w:rPr>
        <w:t xml:space="preserve"> </w:t>
      </w:r>
      <w:r w:rsidR="00A47C9A" w:rsidRPr="00357A77">
        <w:rPr>
          <w:rFonts w:eastAsia="Calibri"/>
        </w:rPr>
        <w:t xml:space="preserve">provozu </w:t>
      </w:r>
      <w:r w:rsidR="00DA236E">
        <w:rPr>
          <w:rFonts w:eastAsia="Calibri"/>
        </w:rPr>
        <w:t>osobních vozidel</w:t>
      </w:r>
      <w:r w:rsidR="00F27E4D">
        <w:rPr>
          <w:rFonts w:eastAsia="Calibri"/>
        </w:rPr>
        <w:t>,</w:t>
      </w:r>
      <w:r w:rsidR="00A47C9A" w:rsidRPr="00357A77">
        <w:rPr>
          <w:rFonts w:eastAsia="Calibri"/>
        </w:rPr>
        <w:t xml:space="preserve"> protokol</w:t>
      </w:r>
      <w:r w:rsidR="00F27E4D">
        <w:rPr>
          <w:rFonts w:eastAsia="Calibri"/>
        </w:rPr>
        <w:t>em o </w:t>
      </w:r>
      <w:r w:rsidR="00A47C9A" w:rsidRPr="00357A77">
        <w:rPr>
          <w:rFonts w:eastAsia="Calibri"/>
        </w:rPr>
        <w:t xml:space="preserve">předání a převzetí svěřeného služebního motorového vozidla </w:t>
      </w:r>
      <w:r w:rsidR="00F27E4D">
        <w:rPr>
          <w:rFonts w:eastAsia="Calibri"/>
        </w:rPr>
        <w:t>a</w:t>
      </w:r>
      <w:r w:rsidR="00CA6F5D">
        <w:rPr>
          <w:rFonts w:eastAsia="Calibri"/>
        </w:rPr>
        <w:t xml:space="preserve"> </w:t>
      </w:r>
      <w:r w:rsidR="00A47C9A" w:rsidRPr="00357A77">
        <w:rPr>
          <w:rFonts w:eastAsia="Calibri"/>
        </w:rPr>
        <w:t xml:space="preserve">vyúčtováním pohonných hmot. Vyúčtování pohonných hmot k předmětným vozidlům </w:t>
      </w:r>
      <w:r w:rsidR="00DA236E">
        <w:rPr>
          <w:rFonts w:eastAsia="Calibri"/>
        </w:rPr>
        <w:t>nebyla</w:t>
      </w:r>
      <w:r w:rsidR="00F27E4D">
        <w:rPr>
          <w:rFonts w:eastAsia="Calibri"/>
        </w:rPr>
        <w:t xml:space="preserve"> podepsán</w:t>
      </w:r>
      <w:r w:rsidR="006D7574">
        <w:rPr>
          <w:rFonts w:eastAsia="Calibri"/>
        </w:rPr>
        <w:t>a</w:t>
      </w:r>
      <w:r w:rsidR="00F27E4D">
        <w:rPr>
          <w:rFonts w:eastAsia="Calibri"/>
        </w:rPr>
        <w:t xml:space="preserve"> ze</w:t>
      </w:r>
      <w:r w:rsidR="00CA6F5D">
        <w:rPr>
          <w:rFonts w:eastAsia="Calibri"/>
        </w:rPr>
        <w:t xml:space="preserve"> </w:t>
      </w:r>
      <w:r w:rsidR="00A47C9A" w:rsidRPr="00357A77">
        <w:rPr>
          <w:rFonts w:eastAsia="Calibri"/>
        </w:rPr>
        <w:t xml:space="preserve">strany </w:t>
      </w:r>
      <w:r w:rsidR="00A47C9A">
        <w:rPr>
          <w:rFonts w:eastAsia="Calibri"/>
        </w:rPr>
        <w:t>odpovědného zaměstnance SZÚ</w:t>
      </w:r>
      <w:r w:rsidR="00A47C9A" w:rsidRPr="00357A77">
        <w:rPr>
          <w:rFonts w:eastAsia="Calibri"/>
        </w:rPr>
        <w:t xml:space="preserve">. </w:t>
      </w:r>
    </w:p>
    <w:p w14:paraId="7CBBF3B4" w14:textId="1433483B" w:rsidR="00A47C9A" w:rsidRPr="00FE34CC" w:rsidRDefault="00A47C9A" w:rsidP="00A47C9A">
      <w:pPr>
        <w:pStyle w:val="TextKP"/>
        <w:rPr>
          <w:rFonts w:eastAsia="Calibri"/>
        </w:rPr>
      </w:pPr>
      <w:r>
        <w:rPr>
          <w:rFonts w:eastAsia="Calibri"/>
          <w:b/>
        </w:rPr>
        <w:t xml:space="preserve">Předložené doklady </w:t>
      </w:r>
      <w:r w:rsidRPr="00330E83">
        <w:rPr>
          <w:rFonts w:eastAsia="Calibri"/>
          <w:b/>
        </w:rPr>
        <w:t xml:space="preserve">jsou ve vzájemném rozporu a nenaplňují náležitosti </w:t>
      </w:r>
      <w:r w:rsidR="00A3254F">
        <w:rPr>
          <w:rFonts w:eastAsia="Calibri"/>
          <w:b/>
        </w:rPr>
        <w:t xml:space="preserve">podle </w:t>
      </w:r>
      <w:r w:rsidR="00036DBD">
        <w:rPr>
          <w:rFonts w:eastAsia="Calibri"/>
          <w:b/>
        </w:rPr>
        <w:t xml:space="preserve">ustanovení </w:t>
      </w:r>
      <w:r>
        <w:rPr>
          <w:rFonts w:eastAsia="Calibri"/>
          <w:b/>
        </w:rPr>
        <w:t>§ 11 zákona č. 563/1991 </w:t>
      </w:r>
      <w:r w:rsidRPr="00330E83">
        <w:rPr>
          <w:rFonts w:eastAsia="Calibri"/>
          <w:b/>
        </w:rPr>
        <w:t>Sb. ve spojení s ustanovením § 33a odst. 1</w:t>
      </w:r>
      <w:r w:rsidR="00A3254F">
        <w:rPr>
          <w:rFonts w:eastAsia="Calibri"/>
          <w:b/>
        </w:rPr>
        <w:t xml:space="preserve"> zákona č. 563/1991 Sb.</w:t>
      </w:r>
      <w:r w:rsidRPr="00330E83">
        <w:rPr>
          <w:rFonts w:eastAsia="Calibri"/>
          <w:b/>
        </w:rPr>
        <w:t>, které upravuje nároky na</w:t>
      </w:r>
      <w:r>
        <w:rPr>
          <w:rFonts w:eastAsia="Calibri"/>
          <w:b/>
        </w:rPr>
        <w:t> </w:t>
      </w:r>
      <w:r w:rsidRPr="00330E83">
        <w:rPr>
          <w:rFonts w:eastAsia="Calibri"/>
          <w:b/>
        </w:rPr>
        <w:t>průkaznost účetních záznamů.</w:t>
      </w:r>
    </w:p>
    <w:p w14:paraId="51814311" w14:textId="1C86F94F" w:rsidR="00A47C9A" w:rsidRPr="00330E83" w:rsidRDefault="00A47C9A" w:rsidP="00A47C9A">
      <w:pPr>
        <w:pStyle w:val="TextKP"/>
        <w:rPr>
          <w:rFonts w:eastAsia="Calibri"/>
          <w:b/>
        </w:rPr>
      </w:pPr>
      <w:r w:rsidRPr="00330E83">
        <w:rPr>
          <w:rFonts w:eastAsia="Calibri"/>
          <w:b/>
        </w:rPr>
        <w:t xml:space="preserve">SZÚ nepostupoval v souladu s ustanovením § 25 odst. 1 </w:t>
      </w:r>
      <w:r w:rsidR="00686C49">
        <w:rPr>
          <w:rFonts w:eastAsia="Calibri"/>
          <w:b/>
        </w:rPr>
        <w:t>zákona č. 320/2001 </w:t>
      </w:r>
      <w:r w:rsidRPr="00330E83">
        <w:rPr>
          <w:rFonts w:eastAsia="Calibri"/>
          <w:b/>
        </w:rPr>
        <w:t xml:space="preserve">Sb. tím, </w:t>
      </w:r>
      <w:r w:rsidR="00C45F10">
        <w:rPr>
          <w:rFonts w:eastAsia="Calibri"/>
          <w:b/>
        </w:rPr>
        <w:t>že</w:t>
      </w:r>
      <w:r w:rsidR="00CA6F5D">
        <w:rPr>
          <w:rFonts w:eastAsia="Calibri"/>
          <w:b/>
        </w:rPr>
        <w:t xml:space="preserve"> </w:t>
      </w:r>
      <w:r w:rsidR="007D07FF">
        <w:rPr>
          <w:rFonts w:eastAsia="Calibri"/>
          <w:b/>
        </w:rPr>
        <w:t>jeho</w:t>
      </w:r>
      <w:r w:rsidR="00C45F10" w:rsidRPr="00C45F10">
        <w:rPr>
          <w:rFonts w:eastAsia="Calibri"/>
          <w:b/>
        </w:rPr>
        <w:t xml:space="preserve"> vnitřní kontrolní systém nenaplňoval předpoklady předepsané pro tento systém pod body a), b) a c) v ustanovení § 25 odst. 1 zákona č. 320/2001 Sb.</w:t>
      </w:r>
    </w:p>
    <w:p w14:paraId="276BCE36" w14:textId="77777777" w:rsidR="008F4A71" w:rsidRPr="0012121A" w:rsidRDefault="008F4A71" w:rsidP="00F27E4D">
      <w:pPr>
        <w:pStyle w:val="Nadpis2"/>
      </w:pPr>
      <w:r>
        <w:t>K části II. bodu 7</w:t>
      </w:r>
      <w:r w:rsidRPr="0012121A">
        <w:t>:</w:t>
      </w:r>
    </w:p>
    <w:p w14:paraId="364D23EB" w14:textId="77777777" w:rsidR="00E92264" w:rsidRPr="00A45D81" w:rsidRDefault="00E92264" w:rsidP="00A45D81">
      <w:pPr>
        <w:pStyle w:val="Odstavecseseznamem"/>
        <w:numPr>
          <w:ilvl w:val="0"/>
          <w:numId w:val="15"/>
        </w:numPr>
        <w:spacing w:before="120" w:after="120"/>
        <w:ind w:left="284" w:hanging="284"/>
        <w:jc w:val="both"/>
        <w:rPr>
          <w:rFonts w:asciiTheme="minorHAnsi" w:hAnsiTheme="minorHAnsi" w:cs="Calibri"/>
          <w:b/>
          <w:color w:val="000000"/>
        </w:rPr>
      </w:pPr>
      <w:r w:rsidRPr="00A45D81">
        <w:rPr>
          <w:rFonts w:asciiTheme="minorHAnsi" w:hAnsiTheme="minorHAnsi" w:cs="Calibri"/>
          <w:b/>
          <w:color w:val="000000"/>
        </w:rPr>
        <w:t>Interní audit nebyl v SZÚ prováděn v souladu s právními předpisy</w:t>
      </w:r>
    </w:p>
    <w:p w14:paraId="28A8DF18" w14:textId="657EC221" w:rsidR="005A58E4" w:rsidRPr="00866BB6" w:rsidRDefault="007D07FF" w:rsidP="005A58E4">
      <w:pPr>
        <w:pStyle w:val="TextKP"/>
      </w:pPr>
      <w:r>
        <w:t>Ze</w:t>
      </w:r>
      <w:r w:rsidR="00D2690F" w:rsidRPr="005A58E4">
        <w:t xml:space="preserve"> zpráv z interních auditů provedených v letech 2014 až 2016 bylo zjištěno, že kontrolu </w:t>
      </w:r>
      <w:r w:rsidR="00021EE2" w:rsidRPr="005A58E4">
        <w:t xml:space="preserve">prováděli </w:t>
      </w:r>
      <w:r w:rsidR="00D2690F" w:rsidRPr="005A58E4">
        <w:t xml:space="preserve">zaměstnanci SZÚ, kteří nebyli </w:t>
      </w:r>
      <w:r w:rsidR="00021EE2" w:rsidRPr="005A58E4">
        <w:t>po</w:t>
      </w:r>
      <w:r w:rsidR="00D2690F" w:rsidRPr="005A58E4">
        <w:t>dle ustanovení § 28 odst. 1 zákona č. 320/2001 Sb. pověřeni k zajištění interního auditu.</w:t>
      </w:r>
      <w:r w:rsidR="005A58E4" w:rsidRPr="005A58E4">
        <w:t xml:space="preserve"> </w:t>
      </w:r>
      <w:r w:rsidR="005A58E4" w:rsidRPr="00866BB6">
        <w:t>Z</w:t>
      </w:r>
      <w:r w:rsidR="005A58E4">
        <w:t xml:space="preserve"> předložené dokumentace </w:t>
      </w:r>
      <w:r w:rsidR="005A58E4" w:rsidRPr="00866BB6">
        <w:t>d</w:t>
      </w:r>
      <w:r w:rsidR="005A58E4">
        <w:t>ále vyplývá, že v letech 2014 a</w:t>
      </w:r>
      <w:r w:rsidR="00267459">
        <w:t xml:space="preserve"> </w:t>
      </w:r>
      <w:r w:rsidR="005A58E4" w:rsidRPr="00866BB6">
        <w:t>2015 neměl SZÚ žádného výkonného interního auditora</w:t>
      </w:r>
      <w:r w:rsidR="005A58E4">
        <w:t>. Teprve od</w:t>
      </w:r>
      <w:r w:rsidR="005A58E4" w:rsidRPr="00866BB6">
        <w:t xml:space="preserve"> 1. </w:t>
      </w:r>
      <w:r w:rsidR="005A58E4" w:rsidRPr="00866BB6">
        <w:rPr>
          <w:rFonts w:ascii="Calibri" w:hAnsi="Calibri" w:cs="Times New Roman"/>
        </w:rPr>
        <w:t>7. 2016 byl jmenován interní auditor SZÚ.</w:t>
      </w:r>
      <w:r w:rsidR="005A58E4" w:rsidRPr="00924CCE">
        <w:t xml:space="preserve"> </w:t>
      </w:r>
      <w:r w:rsidR="005A58E4">
        <w:t>V současnosti je interní audit zajišťován jedním interním auditorem s úvazkem 0,2, tj. 8 </w:t>
      </w:r>
      <w:r w:rsidR="005A58E4" w:rsidRPr="00866BB6">
        <w:t>hodin týdně.</w:t>
      </w:r>
    </w:p>
    <w:p w14:paraId="17A7E8FD" w14:textId="45B1F584" w:rsidR="00D2690F" w:rsidRPr="00C51DA9" w:rsidRDefault="00D2690F" w:rsidP="00D2690F">
      <w:pPr>
        <w:pStyle w:val="TextKP"/>
        <w:rPr>
          <w:b/>
        </w:rPr>
      </w:pPr>
      <w:r w:rsidRPr="00C51DA9">
        <w:rPr>
          <w:b/>
        </w:rPr>
        <w:lastRenderedPageBreak/>
        <w:t xml:space="preserve">SZÚ nepostupoval v souladu s ustanovením § 28 odst. 2 písm. e) zákona č. 320/2001 Sb., neboť interní audit v letech 2014 a 2015 nezjišťoval, zda </w:t>
      </w:r>
      <w:r w:rsidR="007D07FF" w:rsidRPr="00C51DA9">
        <w:rPr>
          <w:b/>
        </w:rPr>
        <w:t xml:space="preserve">je </w:t>
      </w:r>
      <w:r w:rsidRPr="00C51DA9">
        <w:rPr>
          <w:b/>
        </w:rPr>
        <w:t xml:space="preserve">zavedený vnitřní kontrolní systém dostatečně účinný </w:t>
      </w:r>
      <w:r w:rsidR="007D07FF">
        <w:rPr>
          <w:b/>
        </w:rPr>
        <w:t xml:space="preserve">a zda </w:t>
      </w:r>
      <w:r w:rsidRPr="00C51DA9">
        <w:rPr>
          <w:b/>
        </w:rPr>
        <w:t>reaguje včas na změny ekonomických, právních, provozních a jiných podmínek.</w:t>
      </w:r>
    </w:p>
    <w:p w14:paraId="1FA1ECE2" w14:textId="5724A903" w:rsidR="00D2690F" w:rsidRPr="00C51DA9" w:rsidRDefault="00D2690F" w:rsidP="00D2690F">
      <w:pPr>
        <w:pStyle w:val="TextKP"/>
        <w:rPr>
          <w:b/>
        </w:rPr>
      </w:pPr>
      <w:r w:rsidRPr="00C51DA9">
        <w:rPr>
          <w:b/>
        </w:rPr>
        <w:t>Dále SZÚ nepostupoval v souladu s ustanovením</w:t>
      </w:r>
      <w:r w:rsidR="007D07FF">
        <w:rPr>
          <w:b/>
        </w:rPr>
        <w:t>i</w:t>
      </w:r>
      <w:r w:rsidRPr="00C51DA9">
        <w:rPr>
          <w:b/>
        </w:rPr>
        <w:t xml:space="preserve"> § 31 odst. 3 písm. a) a d) zákona č. 320/2001 Sb., neboť roční zprávy interního auditu za roky 2014 a 2015 neobsahovaly hodnocení obecné kvality vnitřního kontrolního systému ani doporučení ke zkvalitnění řízení provozní a finanční činnosti SZÚ a jeho vnitřního kontrolního systému. </w:t>
      </w:r>
    </w:p>
    <w:p w14:paraId="1AF4ADE1" w14:textId="14FE4692" w:rsidR="00E84AC6" w:rsidRPr="005A58E4" w:rsidRDefault="00E84AC6" w:rsidP="003B53CF">
      <w:pPr>
        <w:pStyle w:val="Odstavecseseznamem"/>
        <w:numPr>
          <w:ilvl w:val="0"/>
          <w:numId w:val="20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  <w:r w:rsidRPr="005A58E4">
        <w:rPr>
          <w:rFonts w:asciiTheme="minorHAnsi" w:hAnsiTheme="minorHAnsi" w:cstheme="minorHAnsi"/>
          <w:b/>
          <w:color w:val="000000" w:themeColor="text1"/>
        </w:rPr>
        <w:t>SZÚ pochybil při</w:t>
      </w:r>
      <w:r w:rsidR="003B53CF" w:rsidRPr="003B53CF">
        <w:t xml:space="preserve"> </w:t>
      </w:r>
      <w:r w:rsidR="003B53CF" w:rsidRPr="003B53CF">
        <w:rPr>
          <w:rFonts w:asciiTheme="minorHAnsi" w:hAnsiTheme="minorHAnsi" w:cstheme="minorHAnsi"/>
          <w:b/>
          <w:color w:val="000000" w:themeColor="text1"/>
        </w:rPr>
        <w:t>účtování o majetku, jeho oceňování, odepisování a provádění jeho inventarizace</w:t>
      </w:r>
    </w:p>
    <w:p w14:paraId="3F528788" w14:textId="6EB81853" w:rsidR="00E84AC6" w:rsidRDefault="00E84AC6" w:rsidP="003B53CF">
      <w:pPr>
        <w:pStyle w:val="TextKP"/>
      </w:pPr>
      <w:r w:rsidRPr="00640AA1">
        <w:t xml:space="preserve">SZÚ v letech 2014, 2015 a 2016 nepostupoval v souladu s </w:t>
      </w:r>
      <w:r>
        <w:t>vyhláškou</w:t>
      </w:r>
      <w:r w:rsidRPr="00640AA1">
        <w:t xml:space="preserve"> </w:t>
      </w:r>
      <w:r>
        <w:t xml:space="preserve">č. </w:t>
      </w:r>
      <w:r w:rsidR="005A58E4">
        <w:t>270/2010 Sb.,</w:t>
      </w:r>
      <w:r w:rsidR="00A3254F">
        <w:rPr>
          <w:rStyle w:val="Znakapoznpodarou"/>
        </w:rPr>
        <w:footnoteReference w:id="11"/>
      </w:r>
      <w:r w:rsidR="00686C49">
        <w:t xml:space="preserve"> neboť</w:t>
      </w:r>
      <w:r w:rsidR="006328C4">
        <w:t xml:space="preserve"> </w:t>
      </w:r>
      <w:r w:rsidR="005A58E4">
        <w:t>u</w:t>
      </w:r>
      <w:r w:rsidR="006328C4">
        <w:t xml:space="preserve"> </w:t>
      </w:r>
      <w:r w:rsidRPr="003B53CF">
        <w:t>pozemků</w:t>
      </w:r>
      <w:r w:rsidRPr="00640AA1">
        <w:t xml:space="preserve"> a staveb evidovaných v katastru nemovitostí České republiky neprovedl kontrolu údajů o</w:t>
      </w:r>
      <w:r w:rsidR="007D07FF">
        <w:t xml:space="preserve"> těchto</w:t>
      </w:r>
      <w:r w:rsidRPr="00640AA1">
        <w:t xml:space="preserve"> nemovitostech a v příloze k inventurnímu soupisu neuvedl způsob, jak byly zkontrolovány veškeré údaje o nemovitostech uvedených v</w:t>
      </w:r>
      <w:r w:rsidR="00686C49">
        <w:t> </w:t>
      </w:r>
      <w:r w:rsidRPr="00640AA1">
        <w:t>katastru nemovitostí České republiky.</w:t>
      </w:r>
    </w:p>
    <w:p w14:paraId="0E75B759" w14:textId="278A23A3" w:rsidR="003B53CF" w:rsidRPr="003B0C44" w:rsidRDefault="00E84AC6" w:rsidP="003B53CF">
      <w:pPr>
        <w:pStyle w:val="TextKP"/>
        <w:rPr>
          <w:rFonts w:cs="Arial"/>
        </w:rPr>
      </w:pPr>
      <w:r w:rsidRPr="003B0C44">
        <w:t>SZÚ nepostupoval v</w:t>
      </w:r>
      <w:r w:rsidR="00B56AF3">
        <w:t> </w:t>
      </w:r>
      <w:r w:rsidRPr="003B0C44">
        <w:t>souladu</w:t>
      </w:r>
      <w:r w:rsidR="00B56AF3">
        <w:t xml:space="preserve"> s ustanovením</w:t>
      </w:r>
      <w:r w:rsidR="007D07FF">
        <w:t>i</w:t>
      </w:r>
      <w:r w:rsidR="00B56AF3">
        <w:t xml:space="preserve"> § 25 odst. 1 písm. a) a l)</w:t>
      </w:r>
      <w:r w:rsidRPr="003B0C44">
        <w:t xml:space="preserve"> zákon</w:t>
      </w:r>
      <w:r w:rsidR="00B56AF3">
        <w:t>a</w:t>
      </w:r>
      <w:r w:rsidRPr="003B0C44">
        <w:t xml:space="preserve"> č. 563/1991 Sb. tím, že neocenil</w:t>
      </w:r>
      <w:r w:rsidR="005A58E4" w:rsidRPr="003B0C44">
        <w:t xml:space="preserve"> minimálně 35 </w:t>
      </w:r>
      <w:r w:rsidRPr="003B0C44">
        <w:t>pozemků o celkové výměře 73 910 m</w:t>
      </w:r>
      <w:r w:rsidRPr="00F16AB9">
        <w:rPr>
          <w:vertAlign w:val="superscript"/>
        </w:rPr>
        <w:t>2</w:t>
      </w:r>
      <w:r w:rsidRPr="003B0C44">
        <w:t xml:space="preserve"> </w:t>
      </w:r>
      <w:r w:rsidR="006328C4">
        <w:t>a</w:t>
      </w:r>
      <w:r w:rsidRPr="003B0C44">
        <w:t xml:space="preserve"> celkové pořizovací hodnotě 67</w:t>
      </w:r>
      <w:r w:rsidR="00B56AF3">
        <w:t> </w:t>
      </w:r>
      <w:r w:rsidRPr="003B0C44">
        <w:t>717</w:t>
      </w:r>
      <w:r w:rsidR="00B56AF3">
        <w:t>,</w:t>
      </w:r>
      <w:r w:rsidRPr="003B0C44">
        <w:t>60</w:t>
      </w:r>
      <w:r w:rsidR="006328C4">
        <w:t> </w:t>
      </w:r>
      <w:r w:rsidR="00B56AF3">
        <w:t>tis.</w:t>
      </w:r>
      <w:r w:rsidRPr="003B0C44">
        <w:t xml:space="preserve"> Kč pořizovacími cenami, resp. reprodukčními pořizovacími cenami.</w:t>
      </w:r>
      <w:r w:rsidR="003B53CF" w:rsidRPr="003B0C44">
        <w:rPr>
          <w:rFonts w:cs="Arial"/>
        </w:rPr>
        <w:t xml:space="preserve"> </w:t>
      </w:r>
    </w:p>
    <w:p w14:paraId="070C8826" w14:textId="3925617E" w:rsidR="00864C87" w:rsidRPr="003B0C44" w:rsidRDefault="003B53CF" w:rsidP="003B53CF">
      <w:pPr>
        <w:pStyle w:val="TextKP"/>
      </w:pPr>
      <w:r w:rsidRPr="003B0C44">
        <w:t>Na kontrolovaném vzorku pořizování majetku</w:t>
      </w:r>
      <w:r w:rsidR="00953C07">
        <w:t xml:space="preserve"> </w:t>
      </w:r>
      <w:r w:rsidR="00843F7A">
        <w:t xml:space="preserve">(v celkové hodnotě 8 023,75 tis. Kč) </w:t>
      </w:r>
      <w:r w:rsidR="00953C07">
        <w:t>a úbytku majetku</w:t>
      </w:r>
      <w:r w:rsidR="00843F7A">
        <w:t xml:space="preserve"> (v celkové pořizovací ceně </w:t>
      </w:r>
      <w:r w:rsidR="00843F7A" w:rsidRPr="00843F7A">
        <w:t>14</w:t>
      </w:r>
      <w:r w:rsidR="00843F7A">
        <w:t> </w:t>
      </w:r>
      <w:r w:rsidR="00843F7A" w:rsidRPr="00843F7A">
        <w:t>695</w:t>
      </w:r>
      <w:r w:rsidR="00843F7A">
        <w:t>,</w:t>
      </w:r>
      <w:r w:rsidR="00843F7A" w:rsidRPr="00843F7A">
        <w:t>3</w:t>
      </w:r>
      <w:r w:rsidR="00843F7A">
        <w:t>9 tis. Kč)</w:t>
      </w:r>
      <w:r w:rsidRPr="003B0C44">
        <w:t xml:space="preserve"> bylo v některých případech zjištěno nedodržení postupů stanovených právními předpisy pro vedení účetnictví. Jednalo se zejména o nedostatky při zařazování,</w:t>
      </w:r>
      <w:r w:rsidR="00D74296">
        <w:t xml:space="preserve"> </w:t>
      </w:r>
      <w:r w:rsidRPr="003B0C44">
        <w:t>odpisování a vyřazování dlouhodobého hmotného movitého majetku.</w:t>
      </w:r>
      <w:r w:rsidR="00843F7A">
        <w:t xml:space="preserve"> Nedostatky byly zjištěny u majetku v pořizovací ceně</w:t>
      </w:r>
      <w:r w:rsidR="00864C87" w:rsidRPr="003B0C44">
        <w:t xml:space="preserve"> </w:t>
      </w:r>
      <w:r w:rsidR="00843F7A" w:rsidRPr="00843F7A">
        <w:t>14</w:t>
      </w:r>
      <w:r w:rsidR="00843F7A">
        <w:t> </w:t>
      </w:r>
      <w:r w:rsidR="00843F7A" w:rsidRPr="00843F7A">
        <w:t>934</w:t>
      </w:r>
      <w:r w:rsidR="00843F7A">
        <w:t>,</w:t>
      </w:r>
      <w:r w:rsidR="00843F7A" w:rsidRPr="00843F7A">
        <w:t>41</w:t>
      </w:r>
      <w:r w:rsidR="00843F7A">
        <w:t xml:space="preserve"> tis. Kč.</w:t>
      </w:r>
    </w:p>
    <w:p w14:paraId="7AF49482" w14:textId="24229A08" w:rsidR="003B53CF" w:rsidRPr="003B0C44" w:rsidRDefault="003B53CF" w:rsidP="003B53CF">
      <w:pPr>
        <w:pStyle w:val="TextKP"/>
      </w:pPr>
      <w:r w:rsidRPr="003B0C44">
        <w:t>SZÚ tak nepostupoval v souladu s ustanovením</w:t>
      </w:r>
      <w:r w:rsidR="006328C4">
        <w:t>i</w:t>
      </w:r>
      <w:r w:rsidRPr="003B0C44">
        <w:t xml:space="preserve"> § 3 odst. 1, § 4 odst. 8 </w:t>
      </w:r>
      <w:r w:rsidR="003B0C44" w:rsidRPr="003B0C44">
        <w:t>a</w:t>
      </w:r>
      <w:r w:rsidR="00D74296">
        <w:t xml:space="preserve"> </w:t>
      </w:r>
      <w:r w:rsidRPr="003B0C44">
        <w:t>§</w:t>
      </w:r>
      <w:r w:rsidR="00D74296">
        <w:t xml:space="preserve"> </w:t>
      </w:r>
      <w:r w:rsidRPr="003B0C44">
        <w:t xml:space="preserve">28 odst. 1 </w:t>
      </w:r>
      <w:r w:rsidR="003B0C44" w:rsidRPr="003B0C44">
        <w:t>zákona č. </w:t>
      </w:r>
      <w:r w:rsidRPr="003B0C44">
        <w:t xml:space="preserve">563/1991 Sb. a v účetních </w:t>
      </w:r>
      <w:r w:rsidR="00864C87" w:rsidRPr="003B0C44">
        <w:t>závěrkách ve výkazech rozvaha a</w:t>
      </w:r>
      <w:r w:rsidR="00D74296">
        <w:t xml:space="preserve"> </w:t>
      </w:r>
      <w:r w:rsidRPr="003B0C44">
        <w:t>výkazech zisku a ztráty vykázal nesprávné údaje.</w:t>
      </w:r>
      <w:r w:rsidR="003B0C44" w:rsidRPr="003B0C44">
        <w:t xml:space="preserve"> </w:t>
      </w:r>
      <w:r w:rsidR="003B0C44" w:rsidRPr="003B0C44">
        <w:rPr>
          <w:u w:val="single"/>
        </w:rPr>
        <w:t>Účetnictví SZÚ nebylo v účetních obdobích let 2014 až 2016 správné a</w:t>
      </w:r>
      <w:r w:rsidR="00D74296">
        <w:rPr>
          <w:u w:val="single"/>
        </w:rPr>
        <w:t xml:space="preserve"> </w:t>
      </w:r>
      <w:r w:rsidR="003B0C44" w:rsidRPr="003B0C44">
        <w:rPr>
          <w:u w:val="single"/>
        </w:rPr>
        <w:t>úplné ve smyslu ustanovení § 8 odst. 2 a odst. 3 zákona č. 563/1991 Sb.</w:t>
      </w:r>
    </w:p>
    <w:p w14:paraId="7FD12696" w14:textId="77777777" w:rsidR="00D92BC6" w:rsidRPr="005A58E4" w:rsidRDefault="00D92BC6" w:rsidP="005A58E4">
      <w:pPr>
        <w:pStyle w:val="Odstavecseseznamem"/>
        <w:numPr>
          <w:ilvl w:val="0"/>
          <w:numId w:val="20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Calibri"/>
          <w:b/>
        </w:rPr>
      </w:pPr>
      <w:r w:rsidRPr="005A58E4">
        <w:rPr>
          <w:rFonts w:asciiTheme="minorHAnsi" w:hAnsiTheme="minorHAnsi" w:cs="Calibri"/>
          <w:b/>
        </w:rPr>
        <w:t>SZÚ v případě zakázek malého rozsahu porušoval zásadu zákazu diskriminace</w:t>
      </w:r>
    </w:p>
    <w:p w14:paraId="60180DD4" w14:textId="5BCAA7DA" w:rsidR="00D92BC6" w:rsidRDefault="00D92BC6" w:rsidP="00D92BC6">
      <w:pPr>
        <w:pStyle w:val="Odstavecseseznamem"/>
        <w:tabs>
          <w:tab w:val="left" w:pos="284"/>
        </w:tabs>
        <w:ind w:left="0"/>
        <w:contextualSpacing w:val="0"/>
        <w:jc w:val="both"/>
        <w:rPr>
          <w:rFonts w:asciiTheme="minorHAnsi" w:hAnsiTheme="minorHAnsi" w:cs="Calibri"/>
        </w:rPr>
      </w:pPr>
      <w:r w:rsidRPr="00955CDB">
        <w:rPr>
          <w:rFonts w:asciiTheme="minorHAnsi" w:hAnsiTheme="minorHAnsi" w:cs="Calibri"/>
        </w:rPr>
        <w:t>SZÚ</w:t>
      </w:r>
      <w:r>
        <w:rPr>
          <w:rFonts w:asciiTheme="minorHAnsi" w:hAnsiTheme="minorHAnsi" w:cs="Calibri"/>
        </w:rPr>
        <w:t xml:space="preserve"> v případě jedné zakázky malého rozsahu na právní služby a tří zakázek malého rozsahu na</w:t>
      </w:r>
      <w:r w:rsidR="00E6283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ICT služby</w:t>
      </w:r>
      <w:r w:rsidRPr="00955CDB">
        <w:rPr>
          <w:rFonts w:asciiTheme="minorHAnsi" w:hAnsiTheme="minorHAnsi" w:cs="Calibri"/>
        </w:rPr>
        <w:t xml:space="preserve"> nepostupoval v souladu s ustanovením § 18 odst. 5 </w:t>
      </w:r>
      <w:r w:rsidR="006328C4" w:rsidRPr="00955CDB">
        <w:rPr>
          <w:rFonts w:asciiTheme="minorHAnsi" w:hAnsiTheme="minorHAnsi" w:cs="Calibri"/>
        </w:rPr>
        <w:t>vět</w:t>
      </w:r>
      <w:r w:rsidR="006328C4">
        <w:rPr>
          <w:rFonts w:asciiTheme="minorHAnsi" w:hAnsiTheme="minorHAnsi" w:cs="Calibri"/>
        </w:rPr>
        <w:t>a druhá</w:t>
      </w:r>
      <w:r w:rsidR="006328C4" w:rsidRPr="00955CDB">
        <w:rPr>
          <w:rFonts w:asciiTheme="minorHAnsi" w:hAnsiTheme="minorHAnsi" w:cs="Calibri"/>
        </w:rPr>
        <w:t xml:space="preserve"> </w:t>
      </w:r>
      <w:r w:rsidRPr="00955CDB">
        <w:rPr>
          <w:rFonts w:asciiTheme="minorHAnsi" w:hAnsiTheme="minorHAnsi" w:cs="Calibri"/>
        </w:rPr>
        <w:t>zákona č.</w:t>
      </w:r>
      <w:r w:rsidR="006328C4">
        <w:rPr>
          <w:rFonts w:asciiTheme="minorHAnsi" w:hAnsiTheme="minorHAnsi" w:cs="Calibri"/>
        </w:rPr>
        <w:t> </w:t>
      </w:r>
      <w:r w:rsidRPr="00955CDB">
        <w:rPr>
          <w:rFonts w:asciiTheme="minorHAnsi" w:hAnsiTheme="minorHAnsi" w:cs="Calibri"/>
        </w:rPr>
        <w:t>137/2006</w:t>
      </w:r>
      <w:r w:rsidR="006328C4">
        <w:rPr>
          <w:rFonts w:asciiTheme="minorHAnsi" w:hAnsiTheme="minorHAnsi" w:cs="Calibri"/>
        </w:rPr>
        <w:t> </w:t>
      </w:r>
      <w:r w:rsidRPr="00955CDB">
        <w:rPr>
          <w:rFonts w:asciiTheme="minorHAnsi" w:hAnsiTheme="minorHAnsi" w:cs="Calibri"/>
        </w:rPr>
        <w:t>Sb.</w:t>
      </w:r>
      <w:r w:rsidR="006328C4">
        <w:rPr>
          <w:rFonts w:asciiTheme="minorHAnsi" w:hAnsiTheme="minorHAnsi" w:cs="Calibri"/>
        </w:rPr>
        <w:t>, neboť</w:t>
      </w:r>
      <w:r w:rsidRPr="00955CDB">
        <w:rPr>
          <w:rFonts w:asciiTheme="minorHAnsi" w:hAnsiTheme="minorHAnsi" w:cs="Calibri"/>
        </w:rPr>
        <w:t xml:space="preserve"> porušil jednu ze základních zásad</w:t>
      </w:r>
      <w:r w:rsidR="007345E8">
        <w:rPr>
          <w:rFonts w:asciiTheme="minorHAnsi" w:hAnsiTheme="minorHAnsi" w:cs="Calibri"/>
        </w:rPr>
        <w:t>,</w:t>
      </w:r>
      <w:r w:rsidRPr="00955CDB">
        <w:rPr>
          <w:rFonts w:asciiTheme="minorHAnsi" w:hAnsiTheme="minorHAnsi" w:cs="Calibri"/>
        </w:rPr>
        <w:t xml:space="preserve"> a to </w:t>
      </w:r>
      <w:r w:rsidR="007345E8">
        <w:rPr>
          <w:rFonts w:asciiTheme="minorHAnsi" w:hAnsiTheme="minorHAnsi" w:cs="Calibri"/>
        </w:rPr>
        <w:t xml:space="preserve">pravidlo </w:t>
      </w:r>
      <w:r w:rsidRPr="00955CDB">
        <w:rPr>
          <w:rFonts w:asciiTheme="minorHAnsi" w:hAnsiTheme="minorHAnsi" w:cs="Calibri"/>
        </w:rPr>
        <w:t>z</w:t>
      </w:r>
      <w:r>
        <w:rPr>
          <w:rFonts w:asciiTheme="minorHAnsi" w:hAnsiTheme="minorHAnsi" w:cs="Calibri"/>
        </w:rPr>
        <w:t xml:space="preserve">ákazu diskriminace </w:t>
      </w:r>
      <w:r w:rsidR="004253CD">
        <w:rPr>
          <w:rFonts w:asciiTheme="minorHAnsi" w:hAnsiTheme="minorHAnsi" w:cs="Calibri"/>
        </w:rPr>
        <w:t xml:space="preserve">podle </w:t>
      </w:r>
      <w:r w:rsidRPr="00955CDB">
        <w:rPr>
          <w:rFonts w:asciiTheme="minorHAnsi" w:hAnsiTheme="minorHAnsi" w:cs="Calibri"/>
        </w:rPr>
        <w:t>ustanovení §</w:t>
      </w:r>
      <w:r w:rsidR="007345E8">
        <w:rPr>
          <w:rFonts w:asciiTheme="minorHAnsi" w:hAnsiTheme="minorHAnsi" w:cs="Calibri"/>
        </w:rPr>
        <w:t xml:space="preserve"> </w:t>
      </w:r>
      <w:r w:rsidRPr="00955CDB">
        <w:rPr>
          <w:rFonts w:asciiTheme="minorHAnsi" w:hAnsiTheme="minorHAnsi" w:cs="Calibri"/>
        </w:rPr>
        <w:t>6</w:t>
      </w:r>
      <w:r w:rsidR="007345E8">
        <w:t xml:space="preserve"> </w:t>
      </w:r>
      <w:r w:rsidRPr="00955CDB">
        <w:rPr>
          <w:rFonts w:asciiTheme="minorHAnsi" w:hAnsiTheme="minorHAnsi" w:cs="Calibri"/>
        </w:rPr>
        <w:t xml:space="preserve">zákona č. 137/2006 Sb. </w:t>
      </w:r>
      <w:r w:rsidR="007345E8">
        <w:rPr>
          <w:rFonts w:asciiTheme="minorHAnsi" w:hAnsiTheme="minorHAnsi" w:cs="Calibri"/>
        </w:rPr>
        <w:t>U</w:t>
      </w:r>
      <w:r w:rsidR="006D7574">
        <w:rPr>
          <w:rFonts w:asciiTheme="minorHAnsi" w:hAnsiTheme="minorHAnsi" w:cs="Calibri"/>
        </w:rPr>
        <w:t xml:space="preserve">zavřel </w:t>
      </w:r>
      <w:r w:rsidR="007345E8">
        <w:rPr>
          <w:rFonts w:asciiTheme="minorHAnsi" w:hAnsiTheme="minorHAnsi" w:cs="Calibri"/>
        </w:rPr>
        <w:t xml:space="preserve">totiž </w:t>
      </w:r>
      <w:r w:rsidR="006D7574">
        <w:rPr>
          <w:rFonts w:asciiTheme="minorHAnsi" w:hAnsiTheme="minorHAnsi" w:cs="Calibri"/>
        </w:rPr>
        <w:t>smlouvy přímo s</w:t>
      </w:r>
      <w:r w:rsidR="00D74296">
        <w:rPr>
          <w:rFonts w:asciiTheme="minorHAnsi" w:hAnsiTheme="minorHAnsi" w:cs="Calibri"/>
        </w:rPr>
        <w:t xml:space="preserve"> </w:t>
      </w:r>
      <w:r w:rsidR="006D7574">
        <w:rPr>
          <w:rFonts w:asciiTheme="minorHAnsi" w:hAnsiTheme="minorHAnsi" w:cs="Calibri"/>
        </w:rPr>
        <w:t>vybranými dodavateli</w:t>
      </w:r>
      <w:r w:rsidRPr="00955CDB">
        <w:rPr>
          <w:rFonts w:asciiTheme="minorHAnsi" w:hAnsiTheme="minorHAnsi" w:cs="Calibri"/>
        </w:rPr>
        <w:t>, aniž</w:t>
      </w:r>
      <w:r w:rsidR="007345E8">
        <w:rPr>
          <w:rFonts w:asciiTheme="minorHAnsi" w:hAnsiTheme="minorHAnsi" w:cs="Calibri"/>
        </w:rPr>
        <w:t xml:space="preserve"> </w:t>
      </w:r>
      <w:r w:rsidRPr="00955CDB">
        <w:rPr>
          <w:rFonts w:asciiTheme="minorHAnsi" w:hAnsiTheme="minorHAnsi" w:cs="Calibri"/>
        </w:rPr>
        <w:t>by</w:t>
      </w:r>
      <w:r w:rsidR="007345E8">
        <w:rPr>
          <w:rFonts w:asciiTheme="minorHAnsi" w:hAnsiTheme="minorHAnsi" w:cs="Calibri"/>
        </w:rPr>
        <w:t xml:space="preserve"> </w:t>
      </w:r>
      <w:r w:rsidRPr="00955CDB">
        <w:rPr>
          <w:rFonts w:asciiTheme="minorHAnsi" w:hAnsiTheme="minorHAnsi" w:cs="Calibri"/>
        </w:rPr>
        <w:t>zjišťoval či poptával nabídky jiných uchazečů</w:t>
      </w:r>
      <w:r w:rsidR="007345E8">
        <w:rPr>
          <w:rFonts w:asciiTheme="minorHAnsi" w:hAnsiTheme="minorHAnsi" w:cs="Calibri"/>
        </w:rPr>
        <w:t>,</w:t>
      </w:r>
      <w:r w:rsidRPr="00955CDB">
        <w:rPr>
          <w:rFonts w:asciiTheme="minorHAnsi" w:hAnsiTheme="minorHAnsi" w:cs="Calibri"/>
        </w:rPr>
        <w:t xml:space="preserve"> a to v odvětví</w:t>
      </w:r>
      <w:r>
        <w:rPr>
          <w:rFonts w:asciiTheme="minorHAnsi" w:hAnsiTheme="minorHAnsi" w:cs="Calibri"/>
        </w:rPr>
        <w:t>ch</w:t>
      </w:r>
      <w:r w:rsidR="005A58E4">
        <w:rPr>
          <w:rFonts w:asciiTheme="minorHAnsi" w:hAnsiTheme="minorHAnsi" w:cs="Calibri"/>
        </w:rPr>
        <w:t>, kter</w:t>
      </w:r>
      <w:r w:rsidR="007345E8">
        <w:rPr>
          <w:rFonts w:asciiTheme="minorHAnsi" w:hAnsiTheme="minorHAnsi" w:cs="Calibri"/>
        </w:rPr>
        <w:t xml:space="preserve">á </w:t>
      </w:r>
      <w:r w:rsidR="005A58E4">
        <w:rPr>
          <w:rFonts w:asciiTheme="minorHAnsi" w:hAnsiTheme="minorHAnsi" w:cs="Calibri"/>
        </w:rPr>
        <w:t>se</w:t>
      </w:r>
      <w:r w:rsidR="007345E8">
        <w:rPr>
          <w:rFonts w:asciiTheme="minorHAnsi" w:hAnsiTheme="minorHAnsi" w:cs="Calibri"/>
        </w:rPr>
        <w:t xml:space="preserve"> </w:t>
      </w:r>
      <w:r w:rsidRPr="00955CDB">
        <w:rPr>
          <w:rFonts w:asciiTheme="minorHAnsi" w:hAnsiTheme="minorHAnsi" w:cs="Calibri"/>
        </w:rPr>
        <w:t>vyznačuj</w:t>
      </w:r>
      <w:r>
        <w:rPr>
          <w:rFonts w:asciiTheme="minorHAnsi" w:hAnsiTheme="minorHAnsi" w:cs="Calibri"/>
        </w:rPr>
        <w:t>í</w:t>
      </w:r>
      <w:r w:rsidRPr="00955CDB">
        <w:rPr>
          <w:rFonts w:asciiTheme="minorHAnsi" w:hAnsiTheme="minorHAnsi" w:cs="Calibri"/>
        </w:rPr>
        <w:t xml:space="preserve"> vysokou mírou konkurence. Uvedeným způsobem SZÚ omezil konkurenční prostředí a vytvořil neodůvodněné překážky </w:t>
      </w:r>
      <w:r w:rsidR="007345E8">
        <w:rPr>
          <w:rFonts w:asciiTheme="minorHAnsi" w:hAnsiTheme="minorHAnsi" w:cs="Calibri"/>
        </w:rPr>
        <w:t>pro</w:t>
      </w:r>
      <w:r w:rsidRPr="00955CDB">
        <w:rPr>
          <w:rFonts w:asciiTheme="minorHAnsi" w:hAnsiTheme="minorHAnsi" w:cs="Calibri"/>
        </w:rPr>
        <w:t xml:space="preserve"> zapojení se do hospodářské soutěže.</w:t>
      </w:r>
    </w:p>
    <w:p w14:paraId="08B7B28E" w14:textId="77777777" w:rsidR="0012121A" w:rsidRDefault="0012121A" w:rsidP="00D62211">
      <w:pPr>
        <w:pStyle w:val="TextKP"/>
        <w:spacing w:before="0"/>
      </w:pPr>
    </w:p>
    <w:p w14:paraId="1CBEC7CC" w14:textId="77777777" w:rsidR="007A1D8D" w:rsidRDefault="007A1D8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19D0CBC" w14:textId="17E3E46C" w:rsidR="000C2A1B" w:rsidRDefault="00D16A02" w:rsidP="00F16AB9">
      <w:pPr>
        <w:spacing w:after="240"/>
        <w:jc w:val="both"/>
        <w:rPr>
          <w:b/>
        </w:rPr>
      </w:pPr>
      <w:r>
        <w:rPr>
          <w:b/>
        </w:rPr>
        <w:lastRenderedPageBreak/>
        <w:t>Seznam zkratek</w:t>
      </w:r>
    </w:p>
    <w:p w14:paraId="0161ABF0" w14:textId="02CCC491" w:rsidR="007345E8" w:rsidRDefault="007345E8" w:rsidP="000A2806">
      <w:pPr>
        <w:spacing w:before="120"/>
        <w:ind w:left="3686" w:hanging="3686"/>
        <w:jc w:val="both"/>
      </w:pPr>
      <w:r>
        <w:t>DDM</w:t>
      </w:r>
      <w:r>
        <w:tab/>
        <w:t>Drobný dlouhodobý majetek</w:t>
      </w:r>
    </w:p>
    <w:p w14:paraId="1B0DD761" w14:textId="2D6E7C8D" w:rsidR="007345E8" w:rsidRDefault="007345E8" w:rsidP="000A2806">
      <w:pPr>
        <w:spacing w:before="120"/>
        <w:ind w:left="3686" w:hanging="3686"/>
        <w:jc w:val="both"/>
      </w:pPr>
      <w:r>
        <w:t>DHM</w:t>
      </w:r>
      <w:r>
        <w:tab/>
        <w:t>Dlouhodobý hmotný majetek</w:t>
      </w:r>
    </w:p>
    <w:p w14:paraId="7D0C58C3" w14:textId="57839010" w:rsidR="007345E8" w:rsidRDefault="007345E8" w:rsidP="000A2806">
      <w:pPr>
        <w:spacing w:before="120"/>
        <w:ind w:left="3686" w:hanging="3686"/>
        <w:jc w:val="both"/>
      </w:pPr>
      <w:r>
        <w:t>DNM</w:t>
      </w:r>
      <w:r>
        <w:tab/>
        <w:t>Dlouhodobý nehmotný majetek</w:t>
      </w:r>
    </w:p>
    <w:p w14:paraId="5DB622D7" w14:textId="2183A8B5" w:rsidR="007345E8" w:rsidRDefault="007345E8" w:rsidP="000A2806">
      <w:pPr>
        <w:spacing w:before="120"/>
        <w:ind w:left="3686" w:hanging="3686"/>
        <w:jc w:val="both"/>
      </w:pPr>
      <w:r>
        <w:t>DPH</w:t>
      </w:r>
      <w:r>
        <w:tab/>
        <w:t>Daň z</w:t>
      </w:r>
      <w:r w:rsidR="00730C83">
        <w:t> </w:t>
      </w:r>
      <w:r>
        <w:t>přidané hodnoty</w:t>
      </w:r>
    </w:p>
    <w:p w14:paraId="2F638D37" w14:textId="77777777" w:rsidR="007345E8" w:rsidRDefault="007345E8" w:rsidP="00362FE4">
      <w:pPr>
        <w:spacing w:before="120"/>
        <w:ind w:left="3686" w:hanging="3686"/>
        <w:jc w:val="both"/>
      </w:pPr>
      <w:r>
        <w:t>EIS MD NAV</w:t>
      </w:r>
      <w:r>
        <w:tab/>
        <w:t>Ekonomický informační systém Microsoft Navision</w:t>
      </w:r>
    </w:p>
    <w:p w14:paraId="192D3B2B" w14:textId="77777777" w:rsidR="007345E8" w:rsidRDefault="007345E8" w:rsidP="00AD4E69">
      <w:pPr>
        <w:spacing w:before="120"/>
        <w:ind w:left="3686" w:hanging="3686"/>
        <w:jc w:val="both"/>
      </w:pPr>
      <w:r>
        <w:t>FRM</w:t>
      </w:r>
      <w:r>
        <w:tab/>
        <w:t>Fond reprodukce majetku</w:t>
      </w:r>
    </w:p>
    <w:p w14:paraId="77439F55" w14:textId="77777777" w:rsidR="007345E8" w:rsidRDefault="007345E8" w:rsidP="00AD4E69">
      <w:pPr>
        <w:spacing w:before="120"/>
        <w:ind w:left="3686" w:hanging="3686"/>
        <w:jc w:val="both"/>
      </w:pPr>
      <w:r>
        <w:t>ICT</w:t>
      </w:r>
      <w:r>
        <w:tab/>
        <w:t>Informační a komunikační technologie</w:t>
      </w:r>
    </w:p>
    <w:p w14:paraId="7844815A" w14:textId="77777777" w:rsidR="007345E8" w:rsidRDefault="007345E8" w:rsidP="00362FE4">
      <w:pPr>
        <w:spacing w:before="120"/>
        <w:ind w:left="3686" w:hanging="3686"/>
        <w:jc w:val="both"/>
      </w:pPr>
      <w:proofErr w:type="spellStart"/>
      <w:r>
        <w:t>MZd</w:t>
      </w:r>
      <w:proofErr w:type="spellEnd"/>
      <w:r>
        <w:tab/>
        <w:t>Ministerstvo zdravotnictví</w:t>
      </w:r>
    </w:p>
    <w:p w14:paraId="77235519" w14:textId="77777777" w:rsidR="007345E8" w:rsidRDefault="007345E8" w:rsidP="00362FE4">
      <w:pPr>
        <w:spacing w:before="120"/>
        <w:ind w:left="3686" w:hanging="3686"/>
        <w:jc w:val="both"/>
      </w:pPr>
      <w:r>
        <w:t>NKÚ</w:t>
      </w:r>
      <w:r>
        <w:tab/>
        <w:t>Nejvyšší kontrolní úřad</w:t>
      </w:r>
    </w:p>
    <w:p w14:paraId="2184A695" w14:textId="77777777" w:rsidR="007345E8" w:rsidRDefault="007345E8" w:rsidP="00362FE4">
      <w:pPr>
        <w:spacing w:before="120"/>
        <w:ind w:left="3686" w:hanging="3686"/>
        <w:jc w:val="both"/>
      </w:pPr>
      <w:r>
        <w:t>NRL</w:t>
      </w:r>
      <w:r>
        <w:tab/>
        <w:t>Národní referenční laboratoř</w:t>
      </w:r>
    </w:p>
    <w:p w14:paraId="78F75766" w14:textId="09215CD3" w:rsidR="007345E8" w:rsidRDefault="007345E8" w:rsidP="000A2806">
      <w:pPr>
        <w:spacing w:before="120"/>
        <w:ind w:left="3686" w:hanging="3686"/>
        <w:jc w:val="both"/>
      </w:pPr>
      <w:r>
        <w:t>SÚ</w:t>
      </w:r>
      <w:r>
        <w:tab/>
        <w:t>Syntetický účet</w:t>
      </w:r>
    </w:p>
    <w:p w14:paraId="43E0E9E0" w14:textId="77777777" w:rsidR="007345E8" w:rsidRDefault="007345E8" w:rsidP="00362FE4">
      <w:pPr>
        <w:spacing w:before="120"/>
        <w:ind w:left="3686" w:hanging="3686"/>
        <w:jc w:val="both"/>
      </w:pPr>
      <w:r>
        <w:t>SZM</w:t>
      </w:r>
      <w:r>
        <w:tab/>
        <w:t>Speciální zdravotnický materiál</w:t>
      </w:r>
    </w:p>
    <w:p w14:paraId="2679201A" w14:textId="77777777" w:rsidR="007345E8" w:rsidRDefault="007345E8" w:rsidP="00362FE4">
      <w:pPr>
        <w:spacing w:before="120"/>
        <w:ind w:left="3686" w:hanging="3686"/>
        <w:jc w:val="both"/>
      </w:pPr>
      <w:r>
        <w:t>SZÚ</w:t>
      </w:r>
      <w:r>
        <w:tab/>
        <w:t>Státní zdravotní ústav</w:t>
      </w:r>
    </w:p>
    <w:p w14:paraId="0FD1443D" w14:textId="29687AF3" w:rsidR="007345E8" w:rsidRDefault="007345E8" w:rsidP="000A2806">
      <w:pPr>
        <w:spacing w:before="120"/>
        <w:ind w:left="3686" w:hanging="3686"/>
        <w:jc w:val="both"/>
      </w:pPr>
      <w:r>
        <w:t>VZZ</w:t>
      </w:r>
      <w:r>
        <w:tab/>
        <w:t>Výkaz zisku a ztráty</w:t>
      </w:r>
    </w:p>
    <w:sectPr w:rsidR="007345E8" w:rsidSect="00D373DE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77F57" w14:textId="77777777" w:rsidR="00F90584" w:rsidRDefault="00F90584" w:rsidP="00716ABD">
      <w:r>
        <w:separator/>
      </w:r>
    </w:p>
  </w:endnote>
  <w:endnote w:type="continuationSeparator" w:id="0">
    <w:p w14:paraId="6C36EFAB" w14:textId="77777777" w:rsidR="00F90584" w:rsidRDefault="00F90584" w:rsidP="00716ABD">
      <w:r>
        <w:continuationSeparator/>
      </w:r>
    </w:p>
  </w:endnote>
  <w:endnote w:type="continuationNotice" w:id="1">
    <w:p w14:paraId="08737FFA" w14:textId="77777777" w:rsidR="00F90584" w:rsidRDefault="00F90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063791"/>
      <w:docPartObj>
        <w:docPartGallery w:val="Page Numbers (Bottom of Page)"/>
        <w:docPartUnique/>
      </w:docPartObj>
    </w:sdtPr>
    <w:sdtEndPr/>
    <w:sdtContent>
      <w:p w14:paraId="0C86AB3B" w14:textId="7D2D3117" w:rsidR="004677B5" w:rsidRPr="00B24379" w:rsidRDefault="004677B5" w:rsidP="00B243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93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7B75" w14:textId="293FBD5E" w:rsidR="004677B5" w:rsidRDefault="004677B5">
    <w:pPr>
      <w:pStyle w:val="Zpat"/>
      <w:jc w:val="center"/>
    </w:pPr>
  </w:p>
  <w:p w14:paraId="42C9D2DD" w14:textId="3B1CE289" w:rsidR="004677B5" w:rsidRDefault="004677B5" w:rsidP="00C35FD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03C5" w14:textId="77777777" w:rsidR="00F90584" w:rsidRDefault="00F90584" w:rsidP="00716ABD">
      <w:r>
        <w:separator/>
      </w:r>
    </w:p>
  </w:footnote>
  <w:footnote w:type="continuationSeparator" w:id="0">
    <w:p w14:paraId="3D165602" w14:textId="77777777" w:rsidR="00F90584" w:rsidRDefault="00F90584" w:rsidP="00716ABD">
      <w:r>
        <w:continuationSeparator/>
      </w:r>
    </w:p>
  </w:footnote>
  <w:footnote w:type="continuationNotice" w:id="1">
    <w:p w14:paraId="7F13B1AC" w14:textId="77777777" w:rsidR="00F90584" w:rsidRDefault="00F90584"/>
  </w:footnote>
  <w:footnote w:id="2">
    <w:p w14:paraId="58083730" w14:textId="6E1EDF18" w:rsidR="004677B5" w:rsidRDefault="004677B5" w:rsidP="00E6283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258/2000 Sb., </w:t>
      </w:r>
      <w:r w:rsidRPr="00742863">
        <w:t>o ochraně veřejného zdraví a o změně některých souvisejících zákonů</w:t>
      </w:r>
      <w:r>
        <w:t>.</w:t>
      </w:r>
    </w:p>
  </w:footnote>
  <w:footnote w:id="3">
    <w:p w14:paraId="7E23A5FE" w14:textId="05A90ED0" w:rsidR="004677B5" w:rsidRDefault="004677B5" w:rsidP="00E6283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42863">
        <w:t>Zákon č. 219/2000 Sb., o majetku České republiky a jejím vystupování v právních vztazích</w:t>
      </w:r>
      <w:r>
        <w:t>.</w:t>
      </w:r>
    </w:p>
  </w:footnote>
  <w:footnote w:id="4">
    <w:p w14:paraId="3C0E31CB" w14:textId="101B6E93" w:rsidR="004677B5" w:rsidRDefault="004677B5" w:rsidP="00E6283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42863">
        <w:t>Zákon č. 563/1991 Sb., o účetnictví</w:t>
      </w:r>
      <w:r>
        <w:t>.</w:t>
      </w:r>
    </w:p>
  </w:footnote>
  <w:footnote w:id="5">
    <w:p w14:paraId="0D5138FE" w14:textId="4FCC4634" w:rsidR="004677B5" w:rsidRDefault="004677B5" w:rsidP="00E6283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Sb., o finanční kontrole ve veřejné správě a o změně některých zákonů (zákon o finanční kontrole).</w:t>
      </w:r>
    </w:p>
  </w:footnote>
  <w:footnote w:id="6">
    <w:p w14:paraId="1730DDD2" w14:textId="6909637B" w:rsidR="004677B5" w:rsidRDefault="004677B5" w:rsidP="00E6283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62B32">
        <w:t>Zákon č. 218/2000 Sb., o rozpočtových pravidlech a o změně některých souvisejících zákonů (rozpočtová pravidla)</w:t>
      </w:r>
      <w:r>
        <w:t>.</w:t>
      </w:r>
    </w:p>
  </w:footnote>
  <w:footnote w:id="7">
    <w:p w14:paraId="0199BA59" w14:textId="7CBDE6E8" w:rsidR="004677B5" w:rsidRDefault="004677B5" w:rsidP="00E6283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137/2006 Sb., o veřejných zakázkách.</w:t>
      </w:r>
    </w:p>
  </w:footnote>
  <w:footnote w:id="8">
    <w:p w14:paraId="27A15436" w14:textId="644E6F07" w:rsidR="004677B5" w:rsidRDefault="004677B5" w:rsidP="00E6283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Nařízení vlády č. 77/2008 Sb., </w:t>
      </w:r>
      <w:r w:rsidRPr="000849D3">
        <w:t>o stanovení finančních limitů pro účely zákona o veřejných zakázkách, o</w:t>
      </w:r>
      <w:r>
        <w:t> </w:t>
      </w:r>
      <w:r w:rsidRPr="000849D3">
        <w:t xml:space="preserve">vymezení zboží pořizovaného Českou republikou </w:t>
      </w:r>
      <w:r>
        <w:t>–</w:t>
      </w:r>
      <w:r w:rsidRPr="000849D3">
        <w:t xml:space="preserve"> Ministerstvem obrany, pro které pla</w:t>
      </w:r>
      <w:r>
        <w:t>tí zvláštní finanční limit, a o </w:t>
      </w:r>
      <w:r w:rsidRPr="000849D3">
        <w:t>přepočtech částek stanovených v zákoně o veřejných zakázkách v eurech na českou měnu</w:t>
      </w:r>
      <w:r>
        <w:t>.</w:t>
      </w:r>
    </w:p>
  </w:footnote>
  <w:footnote w:id="9">
    <w:p w14:paraId="28026200" w14:textId="77777777" w:rsidR="003C180E" w:rsidRDefault="003C180E" w:rsidP="003C180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Organizační směrnice č. 7/2016 – Vnitřní kontrolní systém SZÚ podle zákona č. 320/2001 Sb.</w:t>
      </w:r>
    </w:p>
  </w:footnote>
  <w:footnote w:id="10">
    <w:p w14:paraId="7E1046F4" w14:textId="449149A1" w:rsidR="004677B5" w:rsidRDefault="004677B5" w:rsidP="003C180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Vyhláška č. 416/2004 Sb., </w:t>
      </w:r>
      <w:r w:rsidRPr="00AC7F4F">
        <w:t>kterou se provádí zákon č. 320/2001 Sb., o finanční</w:t>
      </w:r>
      <w:r>
        <w:t xml:space="preserve"> kontrole ve veřejné správě a o </w:t>
      </w:r>
      <w:r w:rsidRPr="00AC7F4F">
        <w:t>změně některých zákonů (zákon o finanční kontrole), ve znění zá</w:t>
      </w:r>
      <w:r>
        <w:t>kona č. 309/2002 Sb., zákona č. </w:t>
      </w:r>
      <w:r w:rsidRPr="00AC7F4F">
        <w:t>320/2002</w:t>
      </w:r>
      <w:r>
        <w:t> </w:t>
      </w:r>
      <w:r w:rsidRPr="00AC7F4F">
        <w:t>Sb. a zákona č. 123/2003 Sb.</w:t>
      </w:r>
    </w:p>
  </w:footnote>
  <w:footnote w:id="11">
    <w:p w14:paraId="07E63B0C" w14:textId="3F32F073" w:rsidR="004677B5" w:rsidRDefault="004677B5" w:rsidP="0023051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253CD">
        <w:t>Vyhláška č. 270/2010 Sb., o inventarizaci majetku a závazků.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A05"/>
    <w:multiLevelType w:val="hybridMultilevel"/>
    <w:tmpl w:val="5462CCFE"/>
    <w:lvl w:ilvl="0" w:tplc="9684A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A82E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A7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05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49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C6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08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CA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A7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E5E"/>
    <w:multiLevelType w:val="hybridMultilevel"/>
    <w:tmpl w:val="75687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CB6"/>
    <w:multiLevelType w:val="hybridMultilevel"/>
    <w:tmpl w:val="E4923830"/>
    <w:lvl w:ilvl="0" w:tplc="F07C6D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7C10"/>
    <w:multiLevelType w:val="hybridMultilevel"/>
    <w:tmpl w:val="EADCA36C"/>
    <w:lvl w:ilvl="0" w:tplc="F142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E2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0E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0C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0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4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E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5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2E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53AE"/>
    <w:multiLevelType w:val="hybridMultilevel"/>
    <w:tmpl w:val="ED54771C"/>
    <w:lvl w:ilvl="0" w:tplc="2744E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8B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CC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CB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CE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A8A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ED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28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29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86B"/>
    <w:multiLevelType w:val="hybridMultilevel"/>
    <w:tmpl w:val="F49EE994"/>
    <w:lvl w:ilvl="0" w:tplc="51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AF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E1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6E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CD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82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0A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EE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CA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15EE7"/>
    <w:multiLevelType w:val="hybridMultilevel"/>
    <w:tmpl w:val="F8F2140A"/>
    <w:lvl w:ilvl="0" w:tplc="F826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0B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28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C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2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82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C9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EF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3F52"/>
    <w:multiLevelType w:val="hybridMultilevel"/>
    <w:tmpl w:val="91609566"/>
    <w:lvl w:ilvl="0" w:tplc="FFA4F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DD7624"/>
    <w:multiLevelType w:val="hybridMultilevel"/>
    <w:tmpl w:val="33C4350C"/>
    <w:lvl w:ilvl="0" w:tplc="F5CE9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7B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60B4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4A90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3E5C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004B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302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32A1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BA0F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02FE9"/>
    <w:multiLevelType w:val="hybridMultilevel"/>
    <w:tmpl w:val="4F1A08EC"/>
    <w:lvl w:ilvl="0" w:tplc="4EAEE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A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E3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8E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E1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24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C1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2C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27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23A7"/>
    <w:multiLevelType w:val="hybridMultilevel"/>
    <w:tmpl w:val="DAA0C27C"/>
    <w:lvl w:ilvl="0" w:tplc="4E3A82DC">
      <w:start w:val="1"/>
      <w:numFmt w:val="decimal"/>
      <w:lvlText w:val="%1."/>
      <w:lvlJc w:val="left"/>
      <w:pPr>
        <w:ind w:left="720" w:hanging="360"/>
      </w:pPr>
    </w:lvl>
    <w:lvl w:ilvl="1" w:tplc="B92A0F4C" w:tentative="1">
      <w:start w:val="1"/>
      <w:numFmt w:val="lowerLetter"/>
      <w:lvlText w:val="%2."/>
      <w:lvlJc w:val="left"/>
      <w:pPr>
        <w:ind w:left="1440" w:hanging="360"/>
      </w:pPr>
    </w:lvl>
    <w:lvl w:ilvl="2" w:tplc="23B64F32" w:tentative="1">
      <w:start w:val="1"/>
      <w:numFmt w:val="lowerRoman"/>
      <w:lvlText w:val="%3."/>
      <w:lvlJc w:val="right"/>
      <w:pPr>
        <w:ind w:left="2160" w:hanging="180"/>
      </w:pPr>
    </w:lvl>
    <w:lvl w:ilvl="3" w:tplc="C952EDD0" w:tentative="1">
      <w:start w:val="1"/>
      <w:numFmt w:val="decimal"/>
      <w:lvlText w:val="%4."/>
      <w:lvlJc w:val="left"/>
      <w:pPr>
        <w:ind w:left="2880" w:hanging="360"/>
      </w:pPr>
    </w:lvl>
    <w:lvl w:ilvl="4" w:tplc="FA0891BC" w:tentative="1">
      <w:start w:val="1"/>
      <w:numFmt w:val="lowerLetter"/>
      <w:lvlText w:val="%5."/>
      <w:lvlJc w:val="left"/>
      <w:pPr>
        <w:ind w:left="3600" w:hanging="360"/>
      </w:pPr>
    </w:lvl>
    <w:lvl w:ilvl="5" w:tplc="535A17F8" w:tentative="1">
      <w:start w:val="1"/>
      <w:numFmt w:val="lowerRoman"/>
      <w:lvlText w:val="%6."/>
      <w:lvlJc w:val="right"/>
      <w:pPr>
        <w:ind w:left="4320" w:hanging="180"/>
      </w:pPr>
    </w:lvl>
    <w:lvl w:ilvl="6" w:tplc="08725C1E" w:tentative="1">
      <w:start w:val="1"/>
      <w:numFmt w:val="decimal"/>
      <w:lvlText w:val="%7."/>
      <w:lvlJc w:val="left"/>
      <w:pPr>
        <w:ind w:left="5040" w:hanging="360"/>
      </w:pPr>
    </w:lvl>
    <w:lvl w:ilvl="7" w:tplc="85522F82" w:tentative="1">
      <w:start w:val="1"/>
      <w:numFmt w:val="lowerLetter"/>
      <w:lvlText w:val="%8."/>
      <w:lvlJc w:val="left"/>
      <w:pPr>
        <w:ind w:left="5760" w:hanging="360"/>
      </w:pPr>
    </w:lvl>
    <w:lvl w:ilvl="8" w:tplc="0F64F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4746E"/>
    <w:multiLevelType w:val="hybridMultilevel"/>
    <w:tmpl w:val="D322383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4F261F6E"/>
    <w:multiLevelType w:val="hybridMultilevel"/>
    <w:tmpl w:val="1ED07C82"/>
    <w:lvl w:ilvl="0" w:tplc="0CB84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44DBA"/>
    <w:multiLevelType w:val="hybridMultilevel"/>
    <w:tmpl w:val="3D74EA5A"/>
    <w:lvl w:ilvl="0" w:tplc="E8081B22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40C8C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C7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2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44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87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0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CB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29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209D"/>
    <w:multiLevelType w:val="hybridMultilevel"/>
    <w:tmpl w:val="B2AE491C"/>
    <w:lvl w:ilvl="0" w:tplc="8C88AE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88524A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471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6067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0277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B4F3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284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00F1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2225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259AD"/>
    <w:multiLevelType w:val="hybridMultilevel"/>
    <w:tmpl w:val="DB40BB6A"/>
    <w:lvl w:ilvl="0" w:tplc="5FB293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42D1A"/>
    <w:multiLevelType w:val="hybridMultilevel"/>
    <w:tmpl w:val="F6E65C06"/>
    <w:lvl w:ilvl="0" w:tplc="CEA076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ADAF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E1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6E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CD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82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0A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EE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CA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2DF6"/>
    <w:multiLevelType w:val="multilevel"/>
    <w:tmpl w:val="FD5095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3432D5A"/>
    <w:multiLevelType w:val="hybridMultilevel"/>
    <w:tmpl w:val="1FB47E9E"/>
    <w:lvl w:ilvl="0" w:tplc="D730E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49D6AE2"/>
    <w:multiLevelType w:val="hybridMultilevel"/>
    <w:tmpl w:val="88FA82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6A28"/>
    <w:multiLevelType w:val="hybridMultilevel"/>
    <w:tmpl w:val="BFCC66F8"/>
    <w:lvl w:ilvl="0" w:tplc="4F0C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F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4F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8D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A5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01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EF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A0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C3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F5912"/>
    <w:multiLevelType w:val="hybridMultilevel"/>
    <w:tmpl w:val="5D4A35EE"/>
    <w:lvl w:ilvl="0" w:tplc="4508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C8C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C7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2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44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87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0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CB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29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3"/>
  </w:num>
  <w:num w:numId="5">
    <w:abstractNumId w:val="14"/>
  </w:num>
  <w:num w:numId="6">
    <w:abstractNumId w:val="20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12"/>
  </w:num>
  <w:num w:numId="21">
    <w:abstractNumId w:val="11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BD"/>
    <w:rsid w:val="00001F2B"/>
    <w:rsid w:val="000025DF"/>
    <w:rsid w:val="00003339"/>
    <w:rsid w:val="000040EE"/>
    <w:rsid w:val="00005EA5"/>
    <w:rsid w:val="0001461A"/>
    <w:rsid w:val="00021EE2"/>
    <w:rsid w:val="00022D60"/>
    <w:rsid w:val="00023680"/>
    <w:rsid w:val="00023A32"/>
    <w:rsid w:val="000263F0"/>
    <w:rsid w:val="00031C5A"/>
    <w:rsid w:val="00033E52"/>
    <w:rsid w:val="00034569"/>
    <w:rsid w:val="00034FA2"/>
    <w:rsid w:val="0003586C"/>
    <w:rsid w:val="000367D7"/>
    <w:rsid w:val="00036DBD"/>
    <w:rsid w:val="00037684"/>
    <w:rsid w:val="0004259C"/>
    <w:rsid w:val="000501B7"/>
    <w:rsid w:val="00050CD2"/>
    <w:rsid w:val="0005260A"/>
    <w:rsid w:val="00052711"/>
    <w:rsid w:val="0005429B"/>
    <w:rsid w:val="000548B9"/>
    <w:rsid w:val="0005496B"/>
    <w:rsid w:val="00056DB3"/>
    <w:rsid w:val="000600FF"/>
    <w:rsid w:val="0006072E"/>
    <w:rsid w:val="00062E6E"/>
    <w:rsid w:val="00063E74"/>
    <w:rsid w:val="000647F8"/>
    <w:rsid w:val="0006628D"/>
    <w:rsid w:val="000663AD"/>
    <w:rsid w:val="00066870"/>
    <w:rsid w:val="000678A0"/>
    <w:rsid w:val="00070DE4"/>
    <w:rsid w:val="000729C6"/>
    <w:rsid w:val="0007320C"/>
    <w:rsid w:val="000741C4"/>
    <w:rsid w:val="00074740"/>
    <w:rsid w:val="000804EB"/>
    <w:rsid w:val="00080F3D"/>
    <w:rsid w:val="00081460"/>
    <w:rsid w:val="0008156A"/>
    <w:rsid w:val="000820E7"/>
    <w:rsid w:val="00083C9F"/>
    <w:rsid w:val="00084962"/>
    <w:rsid w:val="000849D3"/>
    <w:rsid w:val="000902FE"/>
    <w:rsid w:val="00090652"/>
    <w:rsid w:val="000923A0"/>
    <w:rsid w:val="000945C6"/>
    <w:rsid w:val="00096A70"/>
    <w:rsid w:val="000A05C4"/>
    <w:rsid w:val="000A2806"/>
    <w:rsid w:val="000A307E"/>
    <w:rsid w:val="000A37DA"/>
    <w:rsid w:val="000A4622"/>
    <w:rsid w:val="000A68A8"/>
    <w:rsid w:val="000B0017"/>
    <w:rsid w:val="000B0AB0"/>
    <w:rsid w:val="000B5AB4"/>
    <w:rsid w:val="000B6004"/>
    <w:rsid w:val="000B7012"/>
    <w:rsid w:val="000B71F4"/>
    <w:rsid w:val="000B725A"/>
    <w:rsid w:val="000C1DCD"/>
    <w:rsid w:val="000C2A1B"/>
    <w:rsid w:val="000D28FF"/>
    <w:rsid w:val="000E059C"/>
    <w:rsid w:val="000E1BFA"/>
    <w:rsid w:val="000E3A2D"/>
    <w:rsid w:val="000E4E11"/>
    <w:rsid w:val="000E62F4"/>
    <w:rsid w:val="000F05B7"/>
    <w:rsid w:val="000F1DF4"/>
    <w:rsid w:val="000F31E2"/>
    <w:rsid w:val="000F4192"/>
    <w:rsid w:val="00105C4A"/>
    <w:rsid w:val="001068D1"/>
    <w:rsid w:val="00111024"/>
    <w:rsid w:val="00113ABC"/>
    <w:rsid w:val="00114796"/>
    <w:rsid w:val="00115962"/>
    <w:rsid w:val="001167B8"/>
    <w:rsid w:val="00116D3F"/>
    <w:rsid w:val="001179C4"/>
    <w:rsid w:val="001200F7"/>
    <w:rsid w:val="0012121A"/>
    <w:rsid w:val="00122699"/>
    <w:rsid w:val="0012785E"/>
    <w:rsid w:val="00132E0A"/>
    <w:rsid w:val="00134F96"/>
    <w:rsid w:val="00135A35"/>
    <w:rsid w:val="00136F7A"/>
    <w:rsid w:val="00141196"/>
    <w:rsid w:val="0014173A"/>
    <w:rsid w:val="00141AA5"/>
    <w:rsid w:val="00141BDB"/>
    <w:rsid w:val="00141D66"/>
    <w:rsid w:val="001436C6"/>
    <w:rsid w:val="00150AB6"/>
    <w:rsid w:val="0015176C"/>
    <w:rsid w:val="00153A75"/>
    <w:rsid w:val="00153C6C"/>
    <w:rsid w:val="00155FF3"/>
    <w:rsid w:val="00157D64"/>
    <w:rsid w:val="00163CF8"/>
    <w:rsid w:val="00170EF5"/>
    <w:rsid w:val="001721B1"/>
    <w:rsid w:val="001722B1"/>
    <w:rsid w:val="00175BF9"/>
    <w:rsid w:val="00176A2C"/>
    <w:rsid w:val="001844AA"/>
    <w:rsid w:val="001862BD"/>
    <w:rsid w:val="00190C87"/>
    <w:rsid w:val="00190EEB"/>
    <w:rsid w:val="00192939"/>
    <w:rsid w:val="00193F5B"/>
    <w:rsid w:val="00194F4D"/>
    <w:rsid w:val="00196FF9"/>
    <w:rsid w:val="001A1104"/>
    <w:rsid w:val="001A12FC"/>
    <w:rsid w:val="001A23DE"/>
    <w:rsid w:val="001A3A2F"/>
    <w:rsid w:val="001A3BAF"/>
    <w:rsid w:val="001A68E3"/>
    <w:rsid w:val="001A7B5E"/>
    <w:rsid w:val="001A7FED"/>
    <w:rsid w:val="001B01EA"/>
    <w:rsid w:val="001B076E"/>
    <w:rsid w:val="001B378B"/>
    <w:rsid w:val="001B49E0"/>
    <w:rsid w:val="001C0328"/>
    <w:rsid w:val="001C130A"/>
    <w:rsid w:val="001C18F0"/>
    <w:rsid w:val="001C19C6"/>
    <w:rsid w:val="001C22C2"/>
    <w:rsid w:val="001C294F"/>
    <w:rsid w:val="001C515C"/>
    <w:rsid w:val="001C60D6"/>
    <w:rsid w:val="001C6C8D"/>
    <w:rsid w:val="001D1A19"/>
    <w:rsid w:val="001D28E6"/>
    <w:rsid w:val="001D3A73"/>
    <w:rsid w:val="001D4E5A"/>
    <w:rsid w:val="001D5437"/>
    <w:rsid w:val="001D6227"/>
    <w:rsid w:val="001E1AF5"/>
    <w:rsid w:val="001E222D"/>
    <w:rsid w:val="001E3CA3"/>
    <w:rsid w:val="001E42D5"/>
    <w:rsid w:val="001E5C26"/>
    <w:rsid w:val="001E65BC"/>
    <w:rsid w:val="001F231B"/>
    <w:rsid w:val="001F53DA"/>
    <w:rsid w:val="001F5949"/>
    <w:rsid w:val="001F5FB6"/>
    <w:rsid w:val="001F79AE"/>
    <w:rsid w:val="00200250"/>
    <w:rsid w:val="00201441"/>
    <w:rsid w:val="002028EB"/>
    <w:rsid w:val="00206A3E"/>
    <w:rsid w:val="002105B8"/>
    <w:rsid w:val="00213C37"/>
    <w:rsid w:val="002159D0"/>
    <w:rsid w:val="00216847"/>
    <w:rsid w:val="00217DF8"/>
    <w:rsid w:val="0022268B"/>
    <w:rsid w:val="00223351"/>
    <w:rsid w:val="002234C3"/>
    <w:rsid w:val="00226ABB"/>
    <w:rsid w:val="002271E5"/>
    <w:rsid w:val="00230241"/>
    <w:rsid w:val="0023051A"/>
    <w:rsid w:val="002322D0"/>
    <w:rsid w:val="00232683"/>
    <w:rsid w:val="002349D1"/>
    <w:rsid w:val="0023549A"/>
    <w:rsid w:val="00235BCB"/>
    <w:rsid w:val="0023682D"/>
    <w:rsid w:val="00241391"/>
    <w:rsid w:val="0024183D"/>
    <w:rsid w:val="0025001D"/>
    <w:rsid w:val="00250C2A"/>
    <w:rsid w:val="0025176B"/>
    <w:rsid w:val="00252DEB"/>
    <w:rsid w:val="00253B67"/>
    <w:rsid w:val="00262B32"/>
    <w:rsid w:val="00265C71"/>
    <w:rsid w:val="00267032"/>
    <w:rsid w:val="002672DB"/>
    <w:rsid w:val="00267459"/>
    <w:rsid w:val="00281710"/>
    <w:rsid w:val="00281F51"/>
    <w:rsid w:val="002860BC"/>
    <w:rsid w:val="00287644"/>
    <w:rsid w:val="00287F82"/>
    <w:rsid w:val="00290CC1"/>
    <w:rsid w:val="00290D8F"/>
    <w:rsid w:val="002910BE"/>
    <w:rsid w:val="00293593"/>
    <w:rsid w:val="002A159D"/>
    <w:rsid w:val="002A3016"/>
    <w:rsid w:val="002A4B1D"/>
    <w:rsid w:val="002A7CBF"/>
    <w:rsid w:val="002B0A17"/>
    <w:rsid w:val="002B348C"/>
    <w:rsid w:val="002B5BCB"/>
    <w:rsid w:val="002B6FA9"/>
    <w:rsid w:val="002B7A34"/>
    <w:rsid w:val="002B7F74"/>
    <w:rsid w:val="002C00B0"/>
    <w:rsid w:val="002C0694"/>
    <w:rsid w:val="002C27B0"/>
    <w:rsid w:val="002C3130"/>
    <w:rsid w:val="002C357C"/>
    <w:rsid w:val="002C4D11"/>
    <w:rsid w:val="002C577E"/>
    <w:rsid w:val="002C70FB"/>
    <w:rsid w:val="002D2E2E"/>
    <w:rsid w:val="002D3234"/>
    <w:rsid w:val="002D4061"/>
    <w:rsid w:val="002D64A9"/>
    <w:rsid w:val="002E0278"/>
    <w:rsid w:val="002E2006"/>
    <w:rsid w:val="002E3E26"/>
    <w:rsid w:val="002E3F76"/>
    <w:rsid w:val="002E7CEE"/>
    <w:rsid w:val="002E7F91"/>
    <w:rsid w:val="002F0D68"/>
    <w:rsid w:val="002F0E8B"/>
    <w:rsid w:val="002F5D40"/>
    <w:rsid w:val="002F729D"/>
    <w:rsid w:val="002F7DF1"/>
    <w:rsid w:val="00301CC1"/>
    <w:rsid w:val="00303CAD"/>
    <w:rsid w:val="00305951"/>
    <w:rsid w:val="0030698F"/>
    <w:rsid w:val="00312DC5"/>
    <w:rsid w:val="003140C6"/>
    <w:rsid w:val="00314CB0"/>
    <w:rsid w:val="00315470"/>
    <w:rsid w:val="0032180D"/>
    <w:rsid w:val="00322065"/>
    <w:rsid w:val="00324AF5"/>
    <w:rsid w:val="0033044C"/>
    <w:rsid w:val="00330944"/>
    <w:rsid w:val="00332519"/>
    <w:rsid w:val="003335C2"/>
    <w:rsid w:val="00336867"/>
    <w:rsid w:val="00336B3C"/>
    <w:rsid w:val="003370BA"/>
    <w:rsid w:val="00340DAA"/>
    <w:rsid w:val="003414C0"/>
    <w:rsid w:val="003431BD"/>
    <w:rsid w:val="003449EF"/>
    <w:rsid w:val="00346AFF"/>
    <w:rsid w:val="0034773A"/>
    <w:rsid w:val="00351150"/>
    <w:rsid w:val="0035606D"/>
    <w:rsid w:val="00356099"/>
    <w:rsid w:val="00357A77"/>
    <w:rsid w:val="0036062B"/>
    <w:rsid w:val="0036146D"/>
    <w:rsid w:val="00361A6F"/>
    <w:rsid w:val="00362306"/>
    <w:rsid w:val="00362FE4"/>
    <w:rsid w:val="003652D7"/>
    <w:rsid w:val="0036563E"/>
    <w:rsid w:val="003671A1"/>
    <w:rsid w:val="00367899"/>
    <w:rsid w:val="00367D18"/>
    <w:rsid w:val="003800E3"/>
    <w:rsid w:val="00384DBD"/>
    <w:rsid w:val="0038646D"/>
    <w:rsid w:val="0039787F"/>
    <w:rsid w:val="003A14A9"/>
    <w:rsid w:val="003A1EC0"/>
    <w:rsid w:val="003A2A8F"/>
    <w:rsid w:val="003A2C05"/>
    <w:rsid w:val="003A3005"/>
    <w:rsid w:val="003B0C44"/>
    <w:rsid w:val="003B4574"/>
    <w:rsid w:val="003B49F7"/>
    <w:rsid w:val="003B4F23"/>
    <w:rsid w:val="003B53CF"/>
    <w:rsid w:val="003B6E92"/>
    <w:rsid w:val="003C093A"/>
    <w:rsid w:val="003C180E"/>
    <w:rsid w:val="003C4231"/>
    <w:rsid w:val="003C6542"/>
    <w:rsid w:val="003C763D"/>
    <w:rsid w:val="003D01DE"/>
    <w:rsid w:val="003D17C9"/>
    <w:rsid w:val="003D2B83"/>
    <w:rsid w:val="003D4D15"/>
    <w:rsid w:val="003D5E0D"/>
    <w:rsid w:val="003D604E"/>
    <w:rsid w:val="003E1FEA"/>
    <w:rsid w:val="003E214B"/>
    <w:rsid w:val="003E2DB8"/>
    <w:rsid w:val="003E344F"/>
    <w:rsid w:val="003E4261"/>
    <w:rsid w:val="003E49D4"/>
    <w:rsid w:val="003E586F"/>
    <w:rsid w:val="003F146E"/>
    <w:rsid w:val="003F341D"/>
    <w:rsid w:val="003F3EB7"/>
    <w:rsid w:val="003F73AB"/>
    <w:rsid w:val="003F7ABE"/>
    <w:rsid w:val="00400850"/>
    <w:rsid w:val="00402260"/>
    <w:rsid w:val="00402F11"/>
    <w:rsid w:val="004051D0"/>
    <w:rsid w:val="004076FB"/>
    <w:rsid w:val="00412CEA"/>
    <w:rsid w:val="004132E2"/>
    <w:rsid w:val="00414DCD"/>
    <w:rsid w:val="00415B03"/>
    <w:rsid w:val="00415CA1"/>
    <w:rsid w:val="00417BAF"/>
    <w:rsid w:val="00420178"/>
    <w:rsid w:val="0042125B"/>
    <w:rsid w:val="00421B97"/>
    <w:rsid w:val="00423927"/>
    <w:rsid w:val="004253CD"/>
    <w:rsid w:val="004268CC"/>
    <w:rsid w:val="0043122B"/>
    <w:rsid w:val="00431A49"/>
    <w:rsid w:val="0043271E"/>
    <w:rsid w:val="00432BFE"/>
    <w:rsid w:val="00433361"/>
    <w:rsid w:val="00436DC9"/>
    <w:rsid w:val="0043724F"/>
    <w:rsid w:val="00440D49"/>
    <w:rsid w:val="00446FC1"/>
    <w:rsid w:val="004516EE"/>
    <w:rsid w:val="00460A8D"/>
    <w:rsid w:val="00463A0F"/>
    <w:rsid w:val="00466935"/>
    <w:rsid w:val="004674EA"/>
    <w:rsid w:val="004677B5"/>
    <w:rsid w:val="00471330"/>
    <w:rsid w:val="00473C88"/>
    <w:rsid w:val="00473DF1"/>
    <w:rsid w:val="004749A3"/>
    <w:rsid w:val="00477CE5"/>
    <w:rsid w:val="004839F3"/>
    <w:rsid w:val="00484FA4"/>
    <w:rsid w:val="00491C94"/>
    <w:rsid w:val="00495A30"/>
    <w:rsid w:val="004A1056"/>
    <w:rsid w:val="004A14AF"/>
    <w:rsid w:val="004A7F1F"/>
    <w:rsid w:val="004B075F"/>
    <w:rsid w:val="004B10D9"/>
    <w:rsid w:val="004B564A"/>
    <w:rsid w:val="004C08A8"/>
    <w:rsid w:val="004C6C73"/>
    <w:rsid w:val="004D174C"/>
    <w:rsid w:val="004D23FD"/>
    <w:rsid w:val="004D5A8A"/>
    <w:rsid w:val="004D5A9C"/>
    <w:rsid w:val="004D5B02"/>
    <w:rsid w:val="004E24B7"/>
    <w:rsid w:val="004E254B"/>
    <w:rsid w:val="004E30BC"/>
    <w:rsid w:val="004E3697"/>
    <w:rsid w:val="004E389B"/>
    <w:rsid w:val="004E5E2B"/>
    <w:rsid w:val="004E6337"/>
    <w:rsid w:val="004E6F11"/>
    <w:rsid w:val="004E7A49"/>
    <w:rsid w:val="004F0344"/>
    <w:rsid w:val="004F3F54"/>
    <w:rsid w:val="004F488E"/>
    <w:rsid w:val="004F5A07"/>
    <w:rsid w:val="004F6C5F"/>
    <w:rsid w:val="004F7B46"/>
    <w:rsid w:val="004F7F34"/>
    <w:rsid w:val="00500397"/>
    <w:rsid w:val="005006F2"/>
    <w:rsid w:val="00502D29"/>
    <w:rsid w:val="00503445"/>
    <w:rsid w:val="0050379B"/>
    <w:rsid w:val="00503C07"/>
    <w:rsid w:val="00503FEE"/>
    <w:rsid w:val="00505B95"/>
    <w:rsid w:val="005063D7"/>
    <w:rsid w:val="005065BD"/>
    <w:rsid w:val="005076B5"/>
    <w:rsid w:val="00510007"/>
    <w:rsid w:val="0051067A"/>
    <w:rsid w:val="00513EB5"/>
    <w:rsid w:val="005155D4"/>
    <w:rsid w:val="00516950"/>
    <w:rsid w:val="00517731"/>
    <w:rsid w:val="00520E19"/>
    <w:rsid w:val="0052524C"/>
    <w:rsid w:val="005275BF"/>
    <w:rsid w:val="00535DB3"/>
    <w:rsid w:val="00542C31"/>
    <w:rsid w:val="00542E24"/>
    <w:rsid w:val="005464E4"/>
    <w:rsid w:val="00551DA4"/>
    <w:rsid w:val="00552B6F"/>
    <w:rsid w:val="00557396"/>
    <w:rsid w:val="00557DA2"/>
    <w:rsid w:val="00560496"/>
    <w:rsid w:val="00561920"/>
    <w:rsid w:val="00565B46"/>
    <w:rsid w:val="00565BEA"/>
    <w:rsid w:val="00566DD8"/>
    <w:rsid w:val="005672AE"/>
    <w:rsid w:val="00573746"/>
    <w:rsid w:val="005803AF"/>
    <w:rsid w:val="0058042C"/>
    <w:rsid w:val="00584888"/>
    <w:rsid w:val="005907BD"/>
    <w:rsid w:val="00590813"/>
    <w:rsid w:val="005948F8"/>
    <w:rsid w:val="005A0CA3"/>
    <w:rsid w:val="005A1EE1"/>
    <w:rsid w:val="005A58E4"/>
    <w:rsid w:val="005A7660"/>
    <w:rsid w:val="005B2033"/>
    <w:rsid w:val="005B5F0F"/>
    <w:rsid w:val="005C3210"/>
    <w:rsid w:val="005C327E"/>
    <w:rsid w:val="005C3CCF"/>
    <w:rsid w:val="005D0274"/>
    <w:rsid w:val="005D0605"/>
    <w:rsid w:val="005D609A"/>
    <w:rsid w:val="005D6F96"/>
    <w:rsid w:val="005E0498"/>
    <w:rsid w:val="005E1E86"/>
    <w:rsid w:val="005E2C1D"/>
    <w:rsid w:val="005E4188"/>
    <w:rsid w:val="005E4E1E"/>
    <w:rsid w:val="005E551D"/>
    <w:rsid w:val="005E5681"/>
    <w:rsid w:val="005E6E92"/>
    <w:rsid w:val="005F0A5E"/>
    <w:rsid w:val="005F55A2"/>
    <w:rsid w:val="006020E1"/>
    <w:rsid w:val="00604F05"/>
    <w:rsid w:val="006100B3"/>
    <w:rsid w:val="00611869"/>
    <w:rsid w:val="0061311D"/>
    <w:rsid w:val="0062153D"/>
    <w:rsid w:val="00621BEC"/>
    <w:rsid w:val="006230D5"/>
    <w:rsid w:val="0062321B"/>
    <w:rsid w:val="0062767E"/>
    <w:rsid w:val="00627B42"/>
    <w:rsid w:val="006328C4"/>
    <w:rsid w:val="00633C06"/>
    <w:rsid w:val="0063487F"/>
    <w:rsid w:val="006365FD"/>
    <w:rsid w:val="00640AA1"/>
    <w:rsid w:val="006413E5"/>
    <w:rsid w:val="00641916"/>
    <w:rsid w:val="00642143"/>
    <w:rsid w:val="006434D7"/>
    <w:rsid w:val="0064687F"/>
    <w:rsid w:val="00650460"/>
    <w:rsid w:val="00650D2A"/>
    <w:rsid w:val="006515F3"/>
    <w:rsid w:val="00656287"/>
    <w:rsid w:val="00660146"/>
    <w:rsid w:val="00662B1F"/>
    <w:rsid w:val="0066688F"/>
    <w:rsid w:val="00673CB9"/>
    <w:rsid w:val="00673EB3"/>
    <w:rsid w:val="00675EDF"/>
    <w:rsid w:val="00676A1A"/>
    <w:rsid w:val="00676A51"/>
    <w:rsid w:val="00677A0D"/>
    <w:rsid w:val="006849FE"/>
    <w:rsid w:val="00686956"/>
    <w:rsid w:val="00686C49"/>
    <w:rsid w:val="00691159"/>
    <w:rsid w:val="00691B7F"/>
    <w:rsid w:val="00696A6A"/>
    <w:rsid w:val="00697EA1"/>
    <w:rsid w:val="006A2C79"/>
    <w:rsid w:val="006A38F7"/>
    <w:rsid w:val="006A47EF"/>
    <w:rsid w:val="006A4EFE"/>
    <w:rsid w:val="006B0621"/>
    <w:rsid w:val="006B1459"/>
    <w:rsid w:val="006B1CA5"/>
    <w:rsid w:val="006B327B"/>
    <w:rsid w:val="006B39AD"/>
    <w:rsid w:val="006B3CBC"/>
    <w:rsid w:val="006B40F9"/>
    <w:rsid w:val="006B6CA0"/>
    <w:rsid w:val="006B7B1C"/>
    <w:rsid w:val="006C1C2D"/>
    <w:rsid w:val="006C259F"/>
    <w:rsid w:val="006C30F8"/>
    <w:rsid w:val="006C67D6"/>
    <w:rsid w:val="006C766B"/>
    <w:rsid w:val="006D0B6C"/>
    <w:rsid w:val="006D1307"/>
    <w:rsid w:val="006D155B"/>
    <w:rsid w:val="006D1752"/>
    <w:rsid w:val="006D25D1"/>
    <w:rsid w:val="006D3E92"/>
    <w:rsid w:val="006D4574"/>
    <w:rsid w:val="006D488A"/>
    <w:rsid w:val="006D6438"/>
    <w:rsid w:val="006D7574"/>
    <w:rsid w:val="006D7DA9"/>
    <w:rsid w:val="006E074B"/>
    <w:rsid w:val="006E0B57"/>
    <w:rsid w:val="006E4235"/>
    <w:rsid w:val="006E4A73"/>
    <w:rsid w:val="006F1911"/>
    <w:rsid w:val="006F23C1"/>
    <w:rsid w:val="006F28FC"/>
    <w:rsid w:val="006F66E8"/>
    <w:rsid w:val="006F6FC2"/>
    <w:rsid w:val="007003CB"/>
    <w:rsid w:val="007049F4"/>
    <w:rsid w:val="00716ABD"/>
    <w:rsid w:val="00723CEB"/>
    <w:rsid w:val="00726335"/>
    <w:rsid w:val="00730C83"/>
    <w:rsid w:val="00731091"/>
    <w:rsid w:val="00731A1C"/>
    <w:rsid w:val="00732F8A"/>
    <w:rsid w:val="007345E8"/>
    <w:rsid w:val="007348AF"/>
    <w:rsid w:val="00737C8B"/>
    <w:rsid w:val="0074006F"/>
    <w:rsid w:val="00742863"/>
    <w:rsid w:val="00743C65"/>
    <w:rsid w:val="00743C79"/>
    <w:rsid w:val="00744993"/>
    <w:rsid w:val="007514FE"/>
    <w:rsid w:val="00753A22"/>
    <w:rsid w:val="00753E4D"/>
    <w:rsid w:val="00754EE3"/>
    <w:rsid w:val="0075507D"/>
    <w:rsid w:val="00756C4D"/>
    <w:rsid w:val="00762B31"/>
    <w:rsid w:val="0076410F"/>
    <w:rsid w:val="00765CC1"/>
    <w:rsid w:val="00766085"/>
    <w:rsid w:val="00766262"/>
    <w:rsid w:val="00770224"/>
    <w:rsid w:val="00771A3D"/>
    <w:rsid w:val="00773CF8"/>
    <w:rsid w:val="00774645"/>
    <w:rsid w:val="00774E5E"/>
    <w:rsid w:val="007768ED"/>
    <w:rsid w:val="00777558"/>
    <w:rsid w:val="00783041"/>
    <w:rsid w:val="00785043"/>
    <w:rsid w:val="00786B1F"/>
    <w:rsid w:val="00786DC6"/>
    <w:rsid w:val="007910CF"/>
    <w:rsid w:val="00792800"/>
    <w:rsid w:val="007A1C79"/>
    <w:rsid w:val="007A1D8D"/>
    <w:rsid w:val="007A734B"/>
    <w:rsid w:val="007A797F"/>
    <w:rsid w:val="007A7E3D"/>
    <w:rsid w:val="007B0537"/>
    <w:rsid w:val="007B0740"/>
    <w:rsid w:val="007B1349"/>
    <w:rsid w:val="007B24B5"/>
    <w:rsid w:val="007B4845"/>
    <w:rsid w:val="007B4FD4"/>
    <w:rsid w:val="007B5B72"/>
    <w:rsid w:val="007B6251"/>
    <w:rsid w:val="007B73D8"/>
    <w:rsid w:val="007B7739"/>
    <w:rsid w:val="007C0211"/>
    <w:rsid w:val="007C1F95"/>
    <w:rsid w:val="007D01E4"/>
    <w:rsid w:val="007D07FF"/>
    <w:rsid w:val="007D1C96"/>
    <w:rsid w:val="007D2448"/>
    <w:rsid w:val="007D3288"/>
    <w:rsid w:val="007D40B2"/>
    <w:rsid w:val="007D49A5"/>
    <w:rsid w:val="007D5FE2"/>
    <w:rsid w:val="007D63ED"/>
    <w:rsid w:val="007D766F"/>
    <w:rsid w:val="007D7EA3"/>
    <w:rsid w:val="007D7F91"/>
    <w:rsid w:val="007E12D1"/>
    <w:rsid w:val="007E43E4"/>
    <w:rsid w:val="007E49C1"/>
    <w:rsid w:val="007E4D19"/>
    <w:rsid w:val="007E528B"/>
    <w:rsid w:val="007E5667"/>
    <w:rsid w:val="007E603B"/>
    <w:rsid w:val="007F33AF"/>
    <w:rsid w:val="007F44C9"/>
    <w:rsid w:val="007F7A3D"/>
    <w:rsid w:val="0080124F"/>
    <w:rsid w:val="008013F8"/>
    <w:rsid w:val="00801B9B"/>
    <w:rsid w:val="00801FEE"/>
    <w:rsid w:val="00802695"/>
    <w:rsid w:val="00802F6F"/>
    <w:rsid w:val="008045E2"/>
    <w:rsid w:val="008100CA"/>
    <w:rsid w:val="008110C1"/>
    <w:rsid w:val="0081201A"/>
    <w:rsid w:val="008126FE"/>
    <w:rsid w:val="00813A21"/>
    <w:rsid w:val="00814311"/>
    <w:rsid w:val="00814565"/>
    <w:rsid w:val="00814825"/>
    <w:rsid w:val="00815A93"/>
    <w:rsid w:val="00815EAB"/>
    <w:rsid w:val="0082016A"/>
    <w:rsid w:val="008237F5"/>
    <w:rsid w:val="00824CAC"/>
    <w:rsid w:val="008250EA"/>
    <w:rsid w:val="008269D4"/>
    <w:rsid w:val="00830F95"/>
    <w:rsid w:val="008322A5"/>
    <w:rsid w:val="00833B35"/>
    <w:rsid w:val="00834E19"/>
    <w:rsid w:val="008358F0"/>
    <w:rsid w:val="00837B1D"/>
    <w:rsid w:val="008403BE"/>
    <w:rsid w:val="00842AE8"/>
    <w:rsid w:val="00843F7A"/>
    <w:rsid w:val="008441A5"/>
    <w:rsid w:val="0084558C"/>
    <w:rsid w:val="00847BDA"/>
    <w:rsid w:val="0086016B"/>
    <w:rsid w:val="008605B6"/>
    <w:rsid w:val="008616BE"/>
    <w:rsid w:val="008616CF"/>
    <w:rsid w:val="0086216D"/>
    <w:rsid w:val="00864C87"/>
    <w:rsid w:val="00871FCC"/>
    <w:rsid w:val="008756E1"/>
    <w:rsid w:val="008776CC"/>
    <w:rsid w:val="00882956"/>
    <w:rsid w:val="00882C7C"/>
    <w:rsid w:val="008842D0"/>
    <w:rsid w:val="00890C25"/>
    <w:rsid w:val="00891E3B"/>
    <w:rsid w:val="00892D4D"/>
    <w:rsid w:val="00894B3D"/>
    <w:rsid w:val="008971F6"/>
    <w:rsid w:val="008A0E73"/>
    <w:rsid w:val="008A2D98"/>
    <w:rsid w:val="008A31AE"/>
    <w:rsid w:val="008A3F6F"/>
    <w:rsid w:val="008A5E78"/>
    <w:rsid w:val="008A79C4"/>
    <w:rsid w:val="008A7E0C"/>
    <w:rsid w:val="008B0841"/>
    <w:rsid w:val="008B0951"/>
    <w:rsid w:val="008B1EA4"/>
    <w:rsid w:val="008B2023"/>
    <w:rsid w:val="008B4A48"/>
    <w:rsid w:val="008B6F10"/>
    <w:rsid w:val="008B7FFD"/>
    <w:rsid w:val="008C1DDE"/>
    <w:rsid w:val="008C2A84"/>
    <w:rsid w:val="008C6925"/>
    <w:rsid w:val="008D21C6"/>
    <w:rsid w:val="008D2260"/>
    <w:rsid w:val="008D761D"/>
    <w:rsid w:val="008D7D69"/>
    <w:rsid w:val="008E0895"/>
    <w:rsid w:val="008E171A"/>
    <w:rsid w:val="008E2C48"/>
    <w:rsid w:val="008E67E3"/>
    <w:rsid w:val="008E6893"/>
    <w:rsid w:val="008E7CE3"/>
    <w:rsid w:val="008F088B"/>
    <w:rsid w:val="008F3817"/>
    <w:rsid w:val="008F44FD"/>
    <w:rsid w:val="008F4A71"/>
    <w:rsid w:val="008F4F98"/>
    <w:rsid w:val="008F6580"/>
    <w:rsid w:val="009015A6"/>
    <w:rsid w:val="00901BF9"/>
    <w:rsid w:val="00902053"/>
    <w:rsid w:val="00905954"/>
    <w:rsid w:val="009063C1"/>
    <w:rsid w:val="0091418D"/>
    <w:rsid w:val="00916D3F"/>
    <w:rsid w:val="0091735C"/>
    <w:rsid w:val="009211BC"/>
    <w:rsid w:val="00922C27"/>
    <w:rsid w:val="00924074"/>
    <w:rsid w:val="00924CCE"/>
    <w:rsid w:val="00924FC9"/>
    <w:rsid w:val="009261AD"/>
    <w:rsid w:val="00930414"/>
    <w:rsid w:val="00942AC5"/>
    <w:rsid w:val="00942E02"/>
    <w:rsid w:val="00945433"/>
    <w:rsid w:val="009460EA"/>
    <w:rsid w:val="00947223"/>
    <w:rsid w:val="00947F4C"/>
    <w:rsid w:val="00951717"/>
    <w:rsid w:val="009524D5"/>
    <w:rsid w:val="00953C07"/>
    <w:rsid w:val="00954331"/>
    <w:rsid w:val="0095549C"/>
    <w:rsid w:val="00955A4D"/>
    <w:rsid w:val="00955CDB"/>
    <w:rsid w:val="00956B10"/>
    <w:rsid w:val="00956B8E"/>
    <w:rsid w:val="00960C1F"/>
    <w:rsid w:val="0096377E"/>
    <w:rsid w:val="00966B9D"/>
    <w:rsid w:val="00966DD6"/>
    <w:rsid w:val="00966E2F"/>
    <w:rsid w:val="0097090A"/>
    <w:rsid w:val="009758D3"/>
    <w:rsid w:val="00976E20"/>
    <w:rsid w:val="009779FB"/>
    <w:rsid w:val="00984D4E"/>
    <w:rsid w:val="00985310"/>
    <w:rsid w:val="009871AC"/>
    <w:rsid w:val="0099116C"/>
    <w:rsid w:val="00993202"/>
    <w:rsid w:val="00994B0F"/>
    <w:rsid w:val="00994F9E"/>
    <w:rsid w:val="009A00FF"/>
    <w:rsid w:val="009A632A"/>
    <w:rsid w:val="009A66EE"/>
    <w:rsid w:val="009A7511"/>
    <w:rsid w:val="009A7DD8"/>
    <w:rsid w:val="009B0B9F"/>
    <w:rsid w:val="009B3248"/>
    <w:rsid w:val="009B434B"/>
    <w:rsid w:val="009B6221"/>
    <w:rsid w:val="009B63A7"/>
    <w:rsid w:val="009B6D98"/>
    <w:rsid w:val="009C1EB3"/>
    <w:rsid w:val="009C4618"/>
    <w:rsid w:val="009D6EE4"/>
    <w:rsid w:val="009E00AE"/>
    <w:rsid w:val="009E0C40"/>
    <w:rsid w:val="009E105C"/>
    <w:rsid w:val="009E1B56"/>
    <w:rsid w:val="009E2C4C"/>
    <w:rsid w:val="009E70D5"/>
    <w:rsid w:val="009F1C91"/>
    <w:rsid w:val="009F2B5E"/>
    <w:rsid w:val="009F4745"/>
    <w:rsid w:val="00A0055E"/>
    <w:rsid w:val="00A016D6"/>
    <w:rsid w:val="00A028E3"/>
    <w:rsid w:val="00A0403A"/>
    <w:rsid w:val="00A04141"/>
    <w:rsid w:val="00A06C10"/>
    <w:rsid w:val="00A1079C"/>
    <w:rsid w:val="00A14439"/>
    <w:rsid w:val="00A14B3D"/>
    <w:rsid w:val="00A20722"/>
    <w:rsid w:val="00A22DA7"/>
    <w:rsid w:val="00A23F4C"/>
    <w:rsid w:val="00A260CE"/>
    <w:rsid w:val="00A269D2"/>
    <w:rsid w:val="00A2748E"/>
    <w:rsid w:val="00A310FA"/>
    <w:rsid w:val="00A32357"/>
    <w:rsid w:val="00A3254F"/>
    <w:rsid w:val="00A32E5E"/>
    <w:rsid w:val="00A410D6"/>
    <w:rsid w:val="00A428C3"/>
    <w:rsid w:val="00A42FDA"/>
    <w:rsid w:val="00A446D9"/>
    <w:rsid w:val="00A45D81"/>
    <w:rsid w:val="00A47208"/>
    <w:rsid w:val="00A47C9A"/>
    <w:rsid w:val="00A51365"/>
    <w:rsid w:val="00A51B97"/>
    <w:rsid w:val="00A51CB9"/>
    <w:rsid w:val="00A52BED"/>
    <w:rsid w:val="00A532C0"/>
    <w:rsid w:val="00A53F5A"/>
    <w:rsid w:val="00A54739"/>
    <w:rsid w:val="00A573D5"/>
    <w:rsid w:val="00A638D8"/>
    <w:rsid w:val="00A64BE6"/>
    <w:rsid w:val="00A65291"/>
    <w:rsid w:val="00A65ABE"/>
    <w:rsid w:val="00A66B3B"/>
    <w:rsid w:val="00A718C5"/>
    <w:rsid w:val="00A71D0C"/>
    <w:rsid w:val="00A71E50"/>
    <w:rsid w:val="00A754FA"/>
    <w:rsid w:val="00A77341"/>
    <w:rsid w:val="00A81B76"/>
    <w:rsid w:val="00A81BEF"/>
    <w:rsid w:val="00A828A7"/>
    <w:rsid w:val="00A83C84"/>
    <w:rsid w:val="00A84605"/>
    <w:rsid w:val="00A8796D"/>
    <w:rsid w:val="00A900D5"/>
    <w:rsid w:val="00A9156A"/>
    <w:rsid w:val="00A91586"/>
    <w:rsid w:val="00A92553"/>
    <w:rsid w:val="00A92A88"/>
    <w:rsid w:val="00A941B8"/>
    <w:rsid w:val="00AA3F09"/>
    <w:rsid w:val="00AA5668"/>
    <w:rsid w:val="00AA6654"/>
    <w:rsid w:val="00AB08D2"/>
    <w:rsid w:val="00AB3337"/>
    <w:rsid w:val="00AB34A5"/>
    <w:rsid w:val="00AB5201"/>
    <w:rsid w:val="00AB61AD"/>
    <w:rsid w:val="00AC013E"/>
    <w:rsid w:val="00AC09D6"/>
    <w:rsid w:val="00AC30E3"/>
    <w:rsid w:val="00AC3EA0"/>
    <w:rsid w:val="00AC45D6"/>
    <w:rsid w:val="00AC7199"/>
    <w:rsid w:val="00AC7F4F"/>
    <w:rsid w:val="00AD32BA"/>
    <w:rsid w:val="00AD35DE"/>
    <w:rsid w:val="00AD4E69"/>
    <w:rsid w:val="00AD59E1"/>
    <w:rsid w:val="00AD76C7"/>
    <w:rsid w:val="00AD7B4A"/>
    <w:rsid w:val="00AE2AA1"/>
    <w:rsid w:val="00AE58C1"/>
    <w:rsid w:val="00AE656C"/>
    <w:rsid w:val="00AE7082"/>
    <w:rsid w:val="00AE7B08"/>
    <w:rsid w:val="00AF2C8B"/>
    <w:rsid w:val="00AF4895"/>
    <w:rsid w:val="00AF497D"/>
    <w:rsid w:val="00B01140"/>
    <w:rsid w:val="00B024D9"/>
    <w:rsid w:val="00B0735B"/>
    <w:rsid w:val="00B0777B"/>
    <w:rsid w:val="00B10445"/>
    <w:rsid w:val="00B10799"/>
    <w:rsid w:val="00B122D6"/>
    <w:rsid w:val="00B12306"/>
    <w:rsid w:val="00B123D4"/>
    <w:rsid w:val="00B1264B"/>
    <w:rsid w:val="00B1364B"/>
    <w:rsid w:val="00B14089"/>
    <w:rsid w:val="00B14F64"/>
    <w:rsid w:val="00B1549F"/>
    <w:rsid w:val="00B1557C"/>
    <w:rsid w:val="00B17C28"/>
    <w:rsid w:val="00B21F6A"/>
    <w:rsid w:val="00B236B0"/>
    <w:rsid w:val="00B24379"/>
    <w:rsid w:val="00B27C5D"/>
    <w:rsid w:val="00B30658"/>
    <w:rsid w:val="00B31B45"/>
    <w:rsid w:val="00B358A2"/>
    <w:rsid w:val="00B35B48"/>
    <w:rsid w:val="00B401DB"/>
    <w:rsid w:val="00B42A91"/>
    <w:rsid w:val="00B478D4"/>
    <w:rsid w:val="00B47D65"/>
    <w:rsid w:val="00B50339"/>
    <w:rsid w:val="00B5212A"/>
    <w:rsid w:val="00B5650E"/>
    <w:rsid w:val="00B56AF3"/>
    <w:rsid w:val="00B60A1A"/>
    <w:rsid w:val="00B63516"/>
    <w:rsid w:val="00B7156C"/>
    <w:rsid w:val="00B72DCF"/>
    <w:rsid w:val="00B73D04"/>
    <w:rsid w:val="00B7569E"/>
    <w:rsid w:val="00B765AF"/>
    <w:rsid w:val="00B7729E"/>
    <w:rsid w:val="00B81425"/>
    <w:rsid w:val="00B830A3"/>
    <w:rsid w:val="00B855BF"/>
    <w:rsid w:val="00B85D54"/>
    <w:rsid w:val="00B86096"/>
    <w:rsid w:val="00B87276"/>
    <w:rsid w:val="00B87354"/>
    <w:rsid w:val="00B92CD2"/>
    <w:rsid w:val="00B954CC"/>
    <w:rsid w:val="00B95F69"/>
    <w:rsid w:val="00B9673F"/>
    <w:rsid w:val="00B96EC5"/>
    <w:rsid w:val="00B9723D"/>
    <w:rsid w:val="00BA128A"/>
    <w:rsid w:val="00BA1AD7"/>
    <w:rsid w:val="00BA236C"/>
    <w:rsid w:val="00BA2D45"/>
    <w:rsid w:val="00BA35E3"/>
    <w:rsid w:val="00BA48BE"/>
    <w:rsid w:val="00BA77B1"/>
    <w:rsid w:val="00BA78E4"/>
    <w:rsid w:val="00BB4294"/>
    <w:rsid w:val="00BB4565"/>
    <w:rsid w:val="00BB51B8"/>
    <w:rsid w:val="00BB6A87"/>
    <w:rsid w:val="00BB7D21"/>
    <w:rsid w:val="00BC173F"/>
    <w:rsid w:val="00BC3DCE"/>
    <w:rsid w:val="00BC7166"/>
    <w:rsid w:val="00BD0228"/>
    <w:rsid w:val="00BD2D52"/>
    <w:rsid w:val="00BD5C22"/>
    <w:rsid w:val="00BD7D41"/>
    <w:rsid w:val="00BE2DCD"/>
    <w:rsid w:val="00BE333F"/>
    <w:rsid w:val="00BE3455"/>
    <w:rsid w:val="00BF052C"/>
    <w:rsid w:val="00BF0916"/>
    <w:rsid w:val="00BF1A7B"/>
    <w:rsid w:val="00BF1E15"/>
    <w:rsid w:val="00BF375E"/>
    <w:rsid w:val="00C009D5"/>
    <w:rsid w:val="00C04B1A"/>
    <w:rsid w:val="00C04BC7"/>
    <w:rsid w:val="00C0565B"/>
    <w:rsid w:val="00C06D13"/>
    <w:rsid w:val="00C10D2B"/>
    <w:rsid w:val="00C12464"/>
    <w:rsid w:val="00C13C8B"/>
    <w:rsid w:val="00C154F6"/>
    <w:rsid w:val="00C1675E"/>
    <w:rsid w:val="00C178AF"/>
    <w:rsid w:val="00C214D8"/>
    <w:rsid w:val="00C35FD7"/>
    <w:rsid w:val="00C45F10"/>
    <w:rsid w:val="00C502C2"/>
    <w:rsid w:val="00C51455"/>
    <w:rsid w:val="00C53E44"/>
    <w:rsid w:val="00C5542F"/>
    <w:rsid w:val="00C5588F"/>
    <w:rsid w:val="00C56266"/>
    <w:rsid w:val="00C6155C"/>
    <w:rsid w:val="00C6207B"/>
    <w:rsid w:val="00C62A33"/>
    <w:rsid w:val="00C64439"/>
    <w:rsid w:val="00C67866"/>
    <w:rsid w:val="00C70139"/>
    <w:rsid w:val="00C712B9"/>
    <w:rsid w:val="00C74DC5"/>
    <w:rsid w:val="00C74EEE"/>
    <w:rsid w:val="00C7592F"/>
    <w:rsid w:val="00C75E39"/>
    <w:rsid w:val="00C75FEC"/>
    <w:rsid w:val="00C770F3"/>
    <w:rsid w:val="00C77622"/>
    <w:rsid w:val="00C7764B"/>
    <w:rsid w:val="00C77FFC"/>
    <w:rsid w:val="00C80C9D"/>
    <w:rsid w:val="00C81AB9"/>
    <w:rsid w:val="00C82942"/>
    <w:rsid w:val="00C85BAB"/>
    <w:rsid w:val="00C86EB8"/>
    <w:rsid w:val="00C95175"/>
    <w:rsid w:val="00C96748"/>
    <w:rsid w:val="00C96B8D"/>
    <w:rsid w:val="00C973C2"/>
    <w:rsid w:val="00CA3DA7"/>
    <w:rsid w:val="00CA59A2"/>
    <w:rsid w:val="00CA5BD6"/>
    <w:rsid w:val="00CA6F5D"/>
    <w:rsid w:val="00CB03DF"/>
    <w:rsid w:val="00CB0F24"/>
    <w:rsid w:val="00CB2199"/>
    <w:rsid w:val="00CB2FDB"/>
    <w:rsid w:val="00CB38FD"/>
    <w:rsid w:val="00CB4E25"/>
    <w:rsid w:val="00CB6F49"/>
    <w:rsid w:val="00CB745F"/>
    <w:rsid w:val="00CC0624"/>
    <w:rsid w:val="00CC0683"/>
    <w:rsid w:val="00CC422F"/>
    <w:rsid w:val="00CC4D18"/>
    <w:rsid w:val="00CC5412"/>
    <w:rsid w:val="00CC563F"/>
    <w:rsid w:val="00CD0CE9"/>
    <w:rsid w:val="00CD2089"/>
    <w:rsid w:val="00CD21D2"/>
    <w:rsid w:val="00CD284A"/>
    <w:rsid w:val="00CD3D71"/>
    <w:rsid w:val="00CD61CD"/>
    <w:rsid w:val="00CE1AD7"/>
    <w:rsid w:val="00CE3702"/>
    <w:rsid w:val="00CE61A4"/>
    <w:rsid w:val="00CE6F3E"/>
    <w:rsid w:val="00CF0216"/>
    <w:rsid w:val="00CF3E7D"/>
    <w:rsid w:val="00CF7F3D"/>
    <w:rsid w:val="00D004A3"/>
    <w:rsid w:val="00D0054E"/>
    <w:rsid w:val="00D05089"/>
    <w:rsid w:val="00D05D35"/>
    <w:rsid w:val="00D07431"/>
    <w:rsid w:val="00D07E2F"/>
    <w:rsid w:val="00D07EAD"/>
    <w:rsid w:val="00D13AAE"/>
    <w:rsid w:val="00D151DB"/>
    <w:rsid w:val="00D16A02"/>
    <w:rsid w:val="00D16D2C"/>
    <w:rsid w:val="00D20DAB"/>
    <w:rsid w:val="00D210A1"/>
    <w:rsid w:val="00D23948"/>
    <w:rsid w:val="00D24823"/>
    <w:rsid w:val="00D25FBB"/>
    <w:rsid w:val="00D25FF6"/>
    <w:rsid w:val="00D264E2"/>
    <w:rsid w:val="00D2690F"/>
    <w:rsid w:val="00D26D36"/>
    <w:rsid w:val="00D30E9B"/>
    <w:rsid w:val="00D342E7"/>
    <w:rsid w:val="00D373DE"/>
    <w:rsid w:val="00D40DB7"/>
    <w:rsid w:val="00D40DEE"/>
    <w:rsid w:val="00D414B6"/>
    <w:rsid w:val="00D41E91"/>
    <w:rsid w:val="00D422AB"/>
    <w:rsid w:val="00D4289A"/>
    <w:rsid w:val="00D46FC4"/>
    <w:rsid w:val="00D50472"/>
    <w:rsid w:val="00D521A8"/>
    <w:rsid w:val="00D53529"/>
    <w:rsid w:val="00D57779"/>
    <w:rsid w:val="00D62211"/>
    <w:rsid w:val="00D6255F"/>
    <w:rsid w:val="00D74296"/>
    <w:rsid w:val="00D7448A"/>
    <w:rsid w:val="00D762EE"/>
    <w:rsid w:val="00D77FED"/>
    <w:rsid w:val="00D81380"/>
    <w:rsid w:val="00D83309"/>
    <w:rsid w:val="00D84D4B"/>
    <w:rsid w:val="00D8673A"/>
    <w:rsid w:val="00D918F9"/>
    <w:rsid w:val="00D91F96"/>
    <w:rsid w:val="00D92BC6"/>
    <w:rsid w:val="00D93118"/>
    <w:rsid w:val="00D94C57"/>
    <w:rsid w:val="00D961FD"/>
    <w:rsid w:val="00D9644C"/>
    <w:rsid w:val="00D967DF"/>
    <w:rsid w:val="00DA22C9"/>
    <w:rsid w:val="00DA236E"/>
    <w:rsid w:val="00DA515B"/>
    <w:rsid w:val="00DB27F3"/>
    <w:rsid w:val="00DB4B6C"/>
    <w:rsid w:val="00DB511C"/>
    <w:rsid w:val="00DC1BD3"/>
    <w:rsid w:val="00DC1F44"/>
    <w:rsid w:val="00DD24D2"/>
    <w:rsid w:val="00DD2EA6"/>
    <w:rsid w:val="00DD3871"/>
    <w:rsid w:val="00DD5C93"/>
    <w:rsid w:val="00DD60FF"/>
    <w:rsid w:val="00DE09F3"/>
    <w:rsid w:val="00DE59FA"/>
    <w:rsid w:val="00DE7A57"/>
    <w:rsid w:val="00DF240E"/>
    <w:rsid w:val="00DF333B"/>
    <w:rsid w:val="00DF51E9"/>
    <w:rsid w:val="00E03176"/>
    <w:rsid w:val="00E04164"/>
    <w:rsid w:val="00E05256"/>
    <w:rsid w:val="00E06F5D"/>
    <w:rsid w:val="00E118CA"/>
    <w:rsid w:val="00E146ED"/>
    <w:rsid w:val="00E157C2"/>
    <w:rsid w:val="00E15A64"/>
    <w:rsid w:val="00E167A1"/>
    <w:rsid w:val="00E20AE6"/>
    <w:rsid w:val="00E21E11"/>
    <w:rsid w:val="00E22971"/>
    <w:rsid w:val="00E25255"/>
    <w:rsid w:val="00E27C02"/>
    <w:rsid w:val="00E33C0F"/>
    <w:rsid w:val="00E36CE7"/>
    <w:rsid w:val="00E370CA"/>
    <w:rsid w:val="00E411ED"/>
    <w:rsid w:val="00E41279"/>
    <w:rsid w:val="00E42A22"/>
    <w:rsid w:val="00E43C7A"/>
    <w:rsid w:val="00E44688"/>
    <w:rsid w:val="00E462B5"/>
    <w:rsid w:val="00E51821"/>
    <w:rsid w:val="00E523FB"/>
    <w:rsid w:val="00E5487E"/>
    <w:rsid w:val="00E54BDB"/>
    <w:rsid w:val="00E569E4"/>
    <w:rsid w:val="00E574D1"/>
    <w:rsid w:val="00E602EC"/>
    <w:rsid w:val="00E6283F"/>
    <w:rsid w:val="00E62921"/>
    <w:rsid w:val="00E63634"/>
    <w:rsid w:val="00E6618B"/>
    <w:rsid w:val="00E75EDE"/>
    <w:rsid w:val="00E771FA"/>
    <w:rsid w:val="00E771FE"/>
    <w:rsid w:val="00E77B8E"/>
    <w:rsid w:val="00E816D5"/>
    <w:rsid w:val="00E8490E"/>
    <w:rsid w:val="00E849BA"/>
    <w:rsid w:val="00E84AC6"/>
    <w:rsid w:val="00E85667"/>
    <w:rsid w:val="00E906EE"/>
    <w:rsid w:val="00E92164"/>
    <w:rsid w:val="00E92201"/>
    <w:rsid w:val="00E92264"/>
    <w:rsid w:val="00E96161"/>
    <w:rsid w:val="00EA09E8"/>
    <w:rsid w:val="00EA46ED"/>
    <w:rsid w:val="00EA7D5E"/>
    <w:rsid w:val="00EB0D46"/>
    <w:rsid w:val="00EB2541"/>
    <w:rsid w:val="00EB5399"/>
    <w:rsid w:val="00EC6277"/>
    <w:rsid w:val="00EC70D0"/>
    <w:rsid w:val="00ED346E"/>
    <w:rsid w:val="00ED46E1"/>
    <w:rsid w:val="00ED5187"/>
    <w:rsid w:val="00ED69C7"/>
    <w:rsid w:val="00ED6EF1"/>
    <w:rsid w:val="00EE031D"/>
    <w:rsid w:val="00EE07AF"/>
    <w:rsid w:val="00EE1A42"/>
    <w:rsid w:val="00EE49BD"/>
    <w:rsid w:val="00EE4D4C"/>
    <w:rsid w:val="00EE5F7A"/>
    <w:rsid w:val="00EE5F9A"/>
    <w:rsid w:val="00EE6232"/>
    <w:rsid w:val="00EE6CC2"/>
    <w:rsid w:val="00EF1F36"/>
    <w:rsid w:val="00EF23EA"/>
    <w:rsid w:val="00EF59D2"/>
    <w:rsid w:val="00F0086D"/>
    <w:rsid w:val="00F011F6"/>
    <w:rsid w:val="00F055F0"/>
    <w:rsid w:val="00F07255"/>
    <w:rsid w:val="00F13A9C"/>
    <w:rsid w:val="00F16AB9"/>
    <w:rsid w:val="00F17E65"/>
    <w:rsid w:val="00F20D50"/>
    <w:rsid w:val="00F211F8"/>
    <w:rsid w:val="00F22A4F"/>
    <w:rsid w:val="00F277AB"/>
    <w:rsid w:val="00F27E4D"/>
    <w:rsid w:val="00F30A58"/>
    <w:rsid w:val="00F31C4E"/>
    <w:rsid w:val="00F32959"/>
    <w:rsid w:val="00F33D2A"/>
    <w:rsid w:val="00F35EE5"/>
    <w:rsid w:val="00F36CB5"/>
    <w:rsid w:val="00F379DE"/>
    <w:rsid w:val="00F425FF"/>
    <w:rsid w:val="00F44AA1"/>
    <w:rsid w:val="00F52D94"/>
    <w:rsid w:val="00F5688B"/>
    <w:rsid w:val="00F56934"/>
    <w:rsid w:val="00F616CF"/>
    <w:rsid w:val="00F64F96"/>
    <w:rsid w:val="00F75608"/>
    <w:rsid w:val="00F75C19"/>
    <w:rsid w:val="00F80384"/>
    <w:rsid w:val="00F80496"/>
    <w:rsid w:val="00F80FBE"/>
    <w:rsid w:val="00F8305D"/>
    <w:rsid w:val="00F848C4"/>
    <w:rsid w:val="00F84D55"/>
    <w:rsid w:val="00F8533E"/>
    <w:rsid w:val="00F855CF"/>
    <w:rsid w:val="00F867D6"/>
    <w:rsid w:val="00F86D1D"/>
    <w:rsid w:val="00F90261"/>
    <w:rsid w:val="00F90584"/>
    <w:rsid w:val="00F907E6"/>
    <w:rsid w:val="00F90C3E"/>
    <w:rsid w:val="00F92249"/>
    <w:rsid w:val="00F94A63"/>
    <w:rsid w:val="00F95C1B"/>
    <w:rsid w:val="00F95F86"/>
    <w:rsid w:val="00F96127"/>
    <w:rsid w:val="00F96442"/>
    <w:rsid w:val="00FA1F5F"/>
    <w:rsid w:val="00FA2DFF"/>
    <w:rsid w:val="00FA7FA7"/>
    <w:rsid w:val="00FB6B01"/>
    <w:rsid w:val="00FB725B"/>
    <w:rsid w:val="00FB7742"/>
    <w:rsid w:val="00FC05D7"/>
    <w:rsid w:val="00FD3042"/>
    <w:rsid w:val="00FD3594"/>
    <w:rsid w:val="00FE0E2C"/>
    <w:rsid w:val="00FE22C7"/>
    <w:rsid w:val="00FE34CC"/>
    <w:rsid w:val="00FE3983"/>
    <w:rsid w:val="00FE3D40"/>
    <w:rsid w:val="00FE611A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E27CAC"/>
  <w15:chartTrackingRefBased/>
  <w15:docId w15:val="{89FB7644-022E-4A23-80F4-19E60D12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2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327B"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bCs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327B"/>
    <w:pPr>
      <w:keepNext/>
      <w:spacing w:before="240" w:after="240"/>
      <w:jc w:val="center"/>
      <w:outlineLvl w:val="1"/>
    </w:pPr>
    <w:rPr>
      <w:rFonts w:asciiTheme="minorHAnsi" w:hAnsiTheme="minorHAnsi" w:cs="Arial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6ABD"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6ABD"/>
    <w:pPr>
      <w:keepNext/>
      <w:keepLines/>
      <w:numPr>
        <w:ilvl w:val="3"/>
        <w:numId w:val="1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6ABD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716ABD"/>
    <w:pPr>
      <w:keepNext/>
      <w:numPr>
        <w:ilvl w:val="5"/>
        <w:numId w:val="1"/>
      </w:numPr>
      <w:spacing w:before="120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6ABD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6ABD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6ABD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27B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B327B"/>
    <w:rPr>
      <w:rFonts w:eastAsia="Times New Roman" w:cs="Arial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16AB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6AB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6A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16ABD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6A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6A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6A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pat">
    <w:name w:val="footer"/>
    <w:basedOn w:val="Normln"/>
    <w:link w:val="ZpatChar"/>
    <w:uiPriority w:val="99"/>
    <w:rsid w:val="00716A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AB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7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0849D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0849D3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716ABD"/>
    <w:rPr>
      <w:vertAlign w:val="superscript"/>
    </w:rPr>
  </w:style>
  <w:style w:type="paragraph" w:styleId="Odstavecseseznamem">
    <w:name w:val="List Paragraph"/>
    <w:aliases w:val="odrážky,Nadpis pro KZ,List Paragraph_0,List Paragraph,Odstavec se seznamem1,Odstavec se seznamem2"/>
    <w:basedOn w:val="Normln"/>
    <w:link w:val="OdstavecseseznamemChar"/>
    <w:uiPriority w:val="34"/>
    <w:qFormat/>
    <w:rsid w:val="00716ABD"/>
    <w:pPr>
      <w:ind w:left="720"/>
      <w:contextualSpacing/>
    </w:pPr>
  </w:style>
  <w:style w:type="character" w:customStyle="1" w:styleId="OdstavecseseznamemChar">
    <w:name w:val="Odstavec se seznamem Char"/>
    <w:aliases w:val="odrážky Char,Nadpis pro KZ Char,List Paragraph_0 Char,List Paragraph Char,Odstavec se seznamem1 Char,Odstavec se seznamem2 Char"/>
    <w:link w:val="Odstavecseseznamem"/>
    <w:uiPriority w:val="34"/>
    <w:rsid w:val="00716A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16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ABD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716A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A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rsid w:val="00DF51E9"/>
    <w:rPr>
      <w:color w:val="0000FF"/>
      <w:u w:val="single"/>
    </w:rPr>
  </w:style>
  <w:style w:type="paragraph" w:customStyle="1" w:styleId="TextKP">
    <w:name w:val="Text KP"/>
    <w:basedOn w:val="Normln"/>
    <w:link w:val="TextKPChar"/>
    <w:qFormat/>
    <w:rsid w:val="00F5688B"/>
    <w:pPr>
      <w:spacing w:before="120"/>
      <w:jc w:val="both"/>
    </w:pPr>
    <w:rPr>
      <w:rFonts w:asciiTheme="minorHAnsi" w:hAnsiTheme="minorHAnsi" w:cstheme="minorHAnsi"/>
    </w:rPr>
  </w:style>
  <w:style w:type="character" w:customStyle="1" w:styleId="TextKPChar">
    <w:name w:val="Text KP Char"/>
    <w:basedOn w:val="Standardnpsmoodstavce"/>
    <w:link w:val="TextKP"/>
    <w:rsid w:val="00F5688B"/>
    <w:rPr>
      <w:rFonts w:eastAsia="Times New Roman" w:cstheme="minorHAnsi"/>
      <w:sz w:val="24"/>
      <w:szCs w:val="24"/>
    </w:rPr>
  </w:style>
  <w:style w:type="paragraph" w:customStyle="1" w:styleId="Zdroj">
    <w:name w:val="Zdroj"/>
    <w:basedOn w:val="Normln"/>
    <w:next w:val="TextKP"/>
    <w:link w:val="ZdrojChar"/>
    <w:qFormat/>
    <w:rsid w:val="00A2748E"/>
    <w:pPr>
      <w:jc w:val="both"/>
    </w:pPr>
    <w:rPr>
      <w:i/>
      <w:color w:val="000000" w:themeColor="text1"/>
      <w:sz w:val="20"/>
    </w:rPr>
  </w:style>
  <w:style w:type="paragraph" w:customStyle="1" w:styleId="Kritria">
    <w:name w:val="Kritéria"/>
    <w:basedOn w:val="TextKP"/>
    <w:link w:val="KritriaChar"/>
    <w:qFormat/>
    <w:rsid w:val="006434D7"/>
    <w:pPr>
      <w:spacing w:before="0"/>
    </w:pPr>
    <w:rPr>
      <w:i/>
    </w:rPr>
  </w:style>
  <w:style w:type="character" w:customStyle="1" w:styleId="ZdrojChar">
    <w:name w:val="Zdroj Char"/>
    <w:basedOn w:val="Standardnpsmoodstavce"/>
    <w:link w:val="Zdroj"/>
    <w:rsid w:val="00A2748E"/>
    <w:rPr>
      <w:rFonts w:ascii="Calibri" w:eastAsia="Times New Roman" w:hAnsi="Calibri" w:cs="Times New Roman"/>
      <w:i/>
      <w:color w:val="000000" w:themeColor="text1"/>
      <w:sz w:val="20"/>
      <w:szCs w:val="24"/>
    </w:rPr>
  </w:style>
  <w:style w:type="character" w:customStyle="1" w:styleId="KritriaChar">
    <w:name w:val="Kritéria Char"/>
    <w:basedOn w:val="TextKPChar"/>
    <w:link w:val="Kritria"/>
    <w:rsid w:val="006434D7"/>
    <w:rPr>
      <w:rFonts w:eastAsia="Times New Roman" w:cstheme="minorHAnsi"/>
      <w:i/>
      <w:sz w:val="24"/>
      <w:szCs w:val="24"/>
    </w:rPr>
  </w:style>
  <w:style w:type="paragraph" w:customStyle="1" w:styleId="Zdrojapozn">
    <w:name w:val="Zdroj a pozn."/>
    <w:basedOn w:val="Normln"/>
    <w:link w:val="ZdrojapoznChar"/>
    <w:qFormat/>
    <w:rsid w:val="00A269D2"/>
    <w:pPr>
      <w:jc w:val="both"/>
    </w:pPr>
    <w:rPr>
      <w:sz w:val="20"/>
      <w:lang w:eastAsia="cs-CZ"/>
    </w:rPr>
  </w:style>
  <w:style w:type="character" w:customStyle="1" w:styleId="ZdrojapoznChar">
    <w:name w:val="Zdroj a pozn. Char"/>
    <w:basedOn w:val="Standardnpsmoodstavce"/>
    <w:link w:val="Zdrojapozn"/>
    <w:rsid w:val="00A269D2"/>
    <w:rPr>
      <w:rFonts w:ascii="Calibri" w:eastAsia="Times New Roman" w:hAnsi="Calibri" w:cs="Times New Roman"/>
      <w:sz w:val="20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D5352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D53529"/>
    <w:rPr>
      <w:rFonts w:eastAsia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41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7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73A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73A"/>
    <w:rPr>
      <w:rFonts w:ascii="Calibri" w:eastAsia="Times New Roman" w:hAnsi="Calibri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37F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37F5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237F5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674EA"/>
    <w:pPr>
      <w:tabs>
        <w:tab w:val="left" w:pos="7938"/>
      </w:tabs>
      <w:spacing w:before="120"/>
      <w:jc w:val="both"/>
    </w:pPr>
    <w:rPr>
      <w:iCs/>
      <w:szCs w:val="18"/>
    </w:rPr>
  </w:style>
  <w:style w:type="paragraph" w:customStyle="1" w:styleId="Citace">
    <w:name w:val="Citace"/>
    <w:basedOn w:val="Normln"/>
    <w:next w:val="TextKP"/>
    <w:qFormat/>
    <w:rsid w:val="00E92264"/>
    <w:pPr>
      <w:spacing w:before="60"/>
      <w:jc w:val="both"/>
    </w:pPr>
    <w:rPr>
      <w:rFonts w:asciiTheme="minorHAnsi" w:hAnsiTheme="minorHAnsi"/>
      <w:i/>
    </w:rPr>
  </w:style>
  <w:style w:type="paragraph" w:styleId="Revize">
    <w:name w:val="Revision"/>
    <w:hidden/>
    <w:uiPriority w:val="99"/>
    <w:semiHidden/>
    <w:rsid w:val="00F8049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E78E-07C5-444F-975C-4F9D8B5E8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4D7CD-2856-466A-8789-B9FC66C1F77F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FF437C-2B8D-4238-9D4D-BC8A82B98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EC39B-D6A6-4C6F-96D6-3FEDAE23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BABEEA56.dotm</Template>
  <TotalTime>1</TotalTime>
  <Pages>15</Pages>
  <Words>5630</Words>
  <Characters>33221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KA 16/18 - Majetek a peněžní prostředky státu, se kterými je příslušný hospodařit Státní ústav pro kontrolu léčiv</vt:lpstr>
    </vt:vector>
  </TitlesOfParts>
  <Company>NKU</Company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17/13 - Majetek a peněžní prostředky státu, se kterými je příslušná hospodařit příspěvková organizace Státní zdravotní ústav</dc:title>
  <dc:subject/>
  <dc:creator>Nejvyšší kontrolní úřad</dc:creator>
  <cp:keywords>kontrolní závěr;Státní zdravotní ústav;SZÚ</cp:keywords>
  <dc:description/>
  <cp:lastModifiedBy>KOKRDA Daniel</cp:lastModifiedBy>
  <cp:revision>3</cp:revision>
  <cp:lastPrinted>2018-02-07T12:00:00Z</cp:lastPrinted>
  <dcterms:created xsi:type="dcterms:W3CDTF">2018-02-07T12:00:00Z</dcterms:created>
  <dcterms:modified xsi:type="dcterms:W3CDTF">2018-02-07T12:00:00Z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