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F31" w:rsidRPr="00563CF9" w:rsidRDefault="00876EE8" w:rsidP="00876EE8">
      <w:pPr>
        <w:jc w:val="center"/>
        <w:rPr>
          <w:rFonts w:cstheme="minorHAnsi"/>
          <w:color w:val="000000" w:themeColor="text1"/>
          <w:lang w:val="en-GB"/>
        </w:rPr>
      </w:pPr>
      <w:r w:rsidRPr="00563CF9">
        <w:rPr>
          <w:noProof/>
          <w:lang w:val="cs-CZ"/>
        </w:rPr>
        <w:drawing>
          <wp:anchor distT="0" distB="0" distL="114300" distR="114300" simplePos="0" relativeHeight="251636224" behindDoc="0" locked="0" layoutInCell="1" allowOverlap="1" wp14:anchorId="22CB8CB7" wp14:editId="01B57BC9">
            <wp:simplePos x="0" y="0"/>
            <wp:positionH relativeFrom="column">
              <wp:posOffset>2480310</wp:posOffset>
            </wp:positionH>
            <wp:positionV relativeFrom="paragraph">
              <wp:posOffset>8559</wp:posOffset>
            </wp:positionV>
            <wp:extent cx="791210" cy="559435"/>
            <wp:effectExtent l="0" t="0" r="8890" b="0"/>
            <wp:wrapTopAndBottom/>
            <wp:docPr id="2" name="obrázek 2" descr="NKU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KU_LOGO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91210" cy="559435"/>
                    </a:xfrm>
                    <a:prstGeom prst="rect">
                      <a:avLst/>
                    </a:prstGeom>
                    <a:noFill/>
                  </pic:spPr>
                </pic:pic>
              </a:graphicData>
            </a:graphic>
          </wp:anchor>
        </w:drawing>
      </w:r>
    </w:p>
    <w:p w:rsidR="00876EE8" w:rsidRPr="00563CF9" w:rsidRDefault="00876EE8" w:rsidP="00876EE8">
      <w:pPr>
        <w:jc w:val="center"/>
        <w:rPr>
          <w:rFonts w:cstheme="minorHAnsi"/>
          <w:color w:val="000000" w:themeColor="text1"/>
          <w:lang w:val="en-GB"/>
        </w:rPr>
      </w:pPr>
    </w:p>
    <w:p w:rsidR="00876EE8" w:rsidRPr="00563CF9" w:rsidRDefault="00876EE8" w:rsidP="00876EE8">
      <w:pPr>
        <w:jc w:val="center"/>
        <w:rPr>
          <w:rFonts w:cstheme="minorHAnsi"/>
          <w:color w:val="000000" w:themeColor="text1"/>
          <w:lang w:val="en-GB"/>
        </w:rPr>
      </w:pPr>
    </w:p>
    <w:p w:rsidR="00D55F31" w:rsidRPr="00563CF9" w:rsidRDefault="0024693B" w:rsidP="00912B63">
      <w:pPr>
        <w:pStyle w:val="Nadpis8"/>
        <w:keepNext w:val="0"/>
        <w:rPr>
          <w:rFonts w:cstheme="minorHAnsi"/>
          <w:color w:val="000000" w:themeColor="text1"/>
          <w:sz w:val="28"/>
          <w:szCs w:val="28"/>
          <w:lang w:val="en-GB"/>
        </w:rPr>
      </w:pPr>
      <w:bookmarkStart w:id="0" w:name="_GoBack"/>
      <w:r w:rsidRPr="00563CF9">
        <w:rPr>
          <w:sz w:val="28"/>
          <w:lang w:val="en-GB" w:bidi="en-GB"/>
        </w:rPr>
        <w:t>Audit Conclusion</w:t>
      </w:r>
    </w:p>
    <w:p w:rsidR="00876EE8" w:rsidRPr="00563CF9" w:rsidRDefault="00876EE8" w:rsidP="00876EE8">
      <w:pPr>
        <w:jc w:val="center"/>
        <w:rPr>
          <w:rFonts w:cstheme="minorHAnsi"/>
          <w:color w:val="000000" w:themeColor="text1"/>
          <w:lang w:val="en-GB"/>
        </w:rPr>
      </w:pPr>
    </w:p>
    <w:p w:rsidR="00D55F31" w:rsidRPr="00563CF9" w:rsidRDefault="0024693B" w:rsidP="00912B63">
      <w:pPr>
        <w:pStyle w:val="Nadpis8"/>
        <w:keepNext w:val="0"/>
        <w:rPr>
          <w:rFonts w:cstheme="minorHAnsi"/>
          <w:color w:val="000000" w:themeColor="text1"/>
          <w:sz w:val="28"/>
          <w:szCs w:val="28"/>
          <w:lang w:val="en-GB"/>
        </w:rPr>
      </w:pPr>
      <w:r w:rsidRPr="00563CF9">
        <w:rPr>
          <w:sz w:val="28"/>
          <w:lang w:val="en-GB" w:bidi="en-GB"/>
        </w:rPr>
        <w:t>17/19</w:t>
      </w:r>
    </w:p>
    <w:p w:rsidR="00876EE8" w:rsidRPr="00563CF9" w:rsidRDefault="00876EE8" w:rsidP="00876EE8">
      <w:pPr>
        <w:jc w:val="center"/>
        <w:rPr>
          <w:rFonts w:cstheme="minorHAnsi"/>
          <w:color w:val="000000" w:themeColor="text1"/>
          <w:lang w:val="en-GB"/>
        </w:rPr>
      </w:pPr>
    </w:p>
    <w:p w:rsidR="00D55F31" w:rsidRPr="00563CF9" w:rsidRDefault="00896D5E" w:rsidP="00912B63">
      <w:pPr>
        <w:jc w:val="center"/>
        <w:rPr>
          <w:rFonts w:ascii="Calibri" w:hAnsi="Calibri" w:cs="Calibri"/>
          <w:b/>
          <w:color w:val="000000" w:themeColor="text1"/>
          <w:sz w:val="28"/>
          <w:lang w:val="en-GB"/>
        </w:rPr>
      </w:pPr>
      <w:r w:rsidRPr="00563CF9">
        <w:rPr>
          <w:b/>
          <w:sz w:val="28"/>
          <w:lang w:val="en-GB" w:bidi="en-GB"/>
        </w:rPr>
        <w:t xml:space="preserve">Funds spent by selected hospitals </w:t>
      </w:r>
      <w:r w:rsidRPr="00563CF9">
        <w:rPr>
          <w:b/>
          <w:sz w:val="28"/>
          <w:lang w:val="en-GB" w:bidi="en-GB"/>
        </w:rPr>
        <w:br/>
        <w:t>for the reimbursement of costs</w:t>
      </w:r>
    </w:p>
    <w:bookmarkEnd w:id="0"/>
    <w:p w:rsidR="00876EE8" w:rsidRPr="00563CF9" w:rsidRDefault="00876EE8" w:rsidP="00876EE8">
      <w:pPr>
        <w:rPr>
          <w:rFonts w:cstheme="minorHAnsi"/>
          <w:color w:val="000000" w:themeColor="text1"/>
          <w:lang w:val="en-GB"/>
        </w:rPr>
      </w:pPr>
    </w:p>
    <w:p w:rsidR="00876EE8" w:rsidRPr="00563CF9" w:rsidRDefault="00876EE8" w:rsidP="00876EE8">
      <w:pPr>
        <w:rPr>
          <w:rFonts w:cstheme="minorHAnsi"/>
          <w:color w:val="000000" w:themeColor="text1"/>
          <w:lang w:val="en-GB"/>
        </w:rPr>
      </w:pPr>
    </w:p>
    <w:p w:rsidR="00D55F31" w:rsidRPr="00563CF9" w:rsidRDefault="0024693B" w:rsidP="00876EE8">
      <w:pPr>
        <w:rPr>
          <w:rFonts w:cstheme="minorHAnsi"/>
          <w:b/>
          <w:bCs/>
          <w:color w:val="000000" w:themeColor="text1"/>
          <w:szCs w:val="24"/>
          <w:lang w:val="en-GB"/>
        </w:rPr>
      </w:pPr>
      <w:r w:rsidRPr="00563CF9">
        <w:rPr>
          <w:lang w:val="en-GB" w:bidi="en-GB"/>
        </w:rPr>
        <w:t xml:space="preserve">The audit was included in the audit </w:t>
      </w:r>
      <w:r w:rsidR="00DB01E0">
        <w:rPr>
          <w:lang w:val="en-GB" w:bidi="en-GB"/>
        </w:rPr>
        <w:t>plan</w:t>
      </w:r>
      <w:r w:rsidRPr="00563CF9">
        <w:rPr>
          <w:lang w:val="en-GB" w:bidi="en-GB"/>
        </w:rPr>
        <w:t xml:space="preserve"> of the Supreme Audit Office (hereinafter the “SAO”) for 2017 under number 17/19. The audit was headed and the Audit Conclusion drawn up by the SAO member Ing. Jan Stárek.</w:t>
      </w:r>
    </w:p>
    <w:p w:rsidR="00ED1848" w:rsidRPr="00563CF9" w:rsidRDefault="00ED1848" w:rsidP="00876EE8">
      <w:pPr>
        <w:rPr>
          <w:rFonts w:cstheme="minorHAnsi"/>
          <w:color w:val="000000" w:themeColor="text1"/>
          <w:szCs w:val="24"/>
          <w:lang w:val="en-GB"/>
        </w:rPr>
      </w:pPr>
    </w:p>
    <w:p w:rsidR="008B0FAE" w:rsidRPr="00563CF9" w:rsidRDefault="008B0FAE" w:rsidP="00AC339B">
      <w:pPr>
        <w:rPr>
          <w:rFonts w:eastAsia="Calibri"/>
          <w:lang w:val="en-GB"/>
        </w:rPr>
      </w:pPr>
      <w:r w:rsidRPr="00563CF9">
        <w:rPr>
          <w:lang w:val="en-GB" w:bidi="en-GB"/>
        </w:rPr>
        <w:t>The purpose of the audit was to verify whether the procurement of material, goods and services by university hospitals (in particular medicinal products and medical devices) is in line with legal regulations and whether it is practical and cost-effective. Further, to examine whether the Ministry of Health and the Ministry of Defence fulfil the role of the founders of the university hospitals.</w:t>
      </w:r>
    </w:p>
    <w:p w:rsidR="00ED1848" w:rsidRPr="00563CF9" w:rsidRDefault="00ED1848" w:rsidP="00876EE8">
      <w:pPr>
        <w:rPr>
          <w:rFonts w:cstheme="minorHAnsi"/>
          <w:color w:val="000000" w:themeColor="text1"/>
          <w:szCs w:val="24"/>
          <w:lang w:val="en-GB"/>
        </w:rPr>
      </w:pPr>
    </w:p>
    <w:p w:rsidR="003435D8" w:rsidRPr="00563CF9" w:rsidRDefault="0024693B" w:rsidP="00876EE8">
      <w:pPr>
        <w:rPr>
          <w:rFonts w:cstheme="minorHAnsi"/>
          <w:color w:val="000000" w:themeColor="text1"/>
          <w:szCs w:val="24"/>
          <w:lang w:val="en-GB"/>
        </w:rPr>
      </w:pPr>
      <w:r w:rsidRPr="00563CF9">
        <w:rPr>
          <w:lang w:val="en-GB" w:bidi="en-GB"/>
        </w:rPr>
        <w:t xml:space="preserve">The audit was carried out on the </w:t>
      </w:r>
      <w:r w:rsidR="00A06D2D">
        <w:rPr>
          <w:lang w:val="en-GB" w:bidi="en-GB"/>
        </w:rPr>
        <w:t>auditees</w:t>
      </w:r>
      <w:r w:rsidRPr="00563CF9">
        <w:rPr>
          <w:lang w:val="en-GB" w:bidi="en-GB"/>
        </w:rPr>
        <w:t xml:space="preserve"> between June 2017 and February 2018. </w:t>
      </w:r>
    </w:p>
    <w:p w:rsidR="003435D8" w:rsidRPr="00563CF9" w:rsidRDefault="003435D8" w:rsidP="00876EE8">
      <w:pPr>
        <w:rPr>
          <w:rFonts w:cstheme="minorHAnsi"/>
          <w:color w:val="000000" w:themeColor="text1"/>
          <w:szCs w:val="24"/>
          <w:lang w:val="en-GB"/>
        </w:rPr>
      </w:pPr>
    </w:p>
    <w:p w:rsidR="00D55F31" w:rsidRPr="00563CF9" w:rsidRDefault="0024693B" w:rsidP="00876EE8">
      <w:pPr>
        <w:rPr>
          <w:rFonts w:cstheme="minorHAnsi"/>
          <w:color w:val="000000" w:themeColor="text1"/>
          <w:szCs w:val="24"/>
          <w:lang w:val="en-GB"/>
        </w:rPr>
      </w:pPr>
      <w:r w:rsidRPr="00563CF9">
        <w:rPr>
          <w:lang w:val="en-GB" w:bidi="en-GB"/>
        </w:rPr>
        <w:t>The period under review was 2014-2016, in the case of factual context also the previous and subsequent periods.</w:t>
      </w:r>
    </w:p>
    <w:p w:rsidR="00ED1848" w:rsidRPr="00563CF9" w:rsidRDefault="00ED1848" w:rsidP="00876EE8">
      <w:pPr>
        <w:rPr>
          <w:rFonts w:cstheme="minorHAnsi"/>
          <w:color w:val="000000" w:themeColor="text1"/>
          <w:szCs w:val="24"/>
          <w:lang w:val="en-GB"/>
        </w:rPr>
      </w:pPr>
    </w:p>
    <w:p w:rsidR="00D55F31" w:rsidRPr="00563CF9" w:rsidRDefault="00A06D2D" w:rsidP="00876EE8">
      <w:pPr>
        <w:rPr>
          <w:rFonts w:cstheme="minorHAnsi"/>
          <w:b/>
          <w:color w:val="000000" w:themeColor="text1"/>
          <w:szCs w:val="24"/>
          <w:lang w:val="en-GB"/>
        </w:rPr>
      </w:pPr>
      <w:r>
        <w:rPr>
          <w:b/>
          <w:lang w:val="en-GB" w:bidi="en-GB"/>
        </w:rPr>
        <w:t>Auditees</w:t>
      </w:r>
      <w:r w:rsidR="0024693B" w:rsidRPr="00563CF9">
        <w:rPr>
          <w:b/>
          <w:lang w:val="en-GB" w:bidi="en-GB"/>
        </w:rPr>
        <w:t xml:space="preserve">: </w:t>
      </w:r>
    </w:p>
    <w:p w:rsidR="00D55F31" w:rsidRPr="00563CF9" w:rsidRDefault="0024693B" w:rsidP="00876EE8">
      <w:pPr>
        <w:pStyle w:val="BodyText21"/>
        <w:overflowPunct/>
        <w:autoSpaceDE/>
        <w:autoSpaceDN/>
        <w:adjustRightInd/>
        <w:spacing w:after="0"/>
        <w:textAlignment w:val="auto"/>
        <w:rPr>
          <w:rFonts w:cstheme="minorHAnsi"/>
          <w:color w:val="000000" w:themeColor="text1"/>
          <w:szCs w:val="24"/>
          <w:lang w:val="en-GB" w:eastAsia="en-US"/>
        </w:rPr>
      </w:pPr>
      <w:r w:rsidRPr="00563CF9">
        <w:rPr>
          <w:lang w:val="en-GB" w:bidi="en-GB"/>
        </w:rPr>
        <w:t>Ministry of Health (hereinafter the “MoH”),</w:t>
      </w:r>
    </w:p>
    <w:p w:rsidR="009221B7" w:rsidRPr="00563CF9" w:rsidRDefault="009221B7" w:rsidP="00876EE8">
      <w:pPr>
        <w:pStyle w:val="BodyText21"/>
        <w:overflowPunct/>
        <w:autoSpaceDE/>
        <w:autoSpaceDN/>
        <w:adjustRightInd/>
        <w:spacing w:after="0"/>
        <w:textAlignment w:val="auto"/>
        <w:rPr>
          <w:rFonts w:cstheme="minorHAnsi"/>
          <w:color w:val="000000" w:themeColor="text1"/>
          <w:szCs w:val="24"/>
          <w:lang w:val="en-GB" w:eastAsia="en-US"/>
        </w:rPr>
      </w:pPr>
      <w:r w:rsidRPr="00563CF9">
        <w:rPr>
          <w:lang w:val="en-GB" w:bidi="en-GB"/>
        </w:rPr>
        <w:t>Ministry of Defence (hereinafter the “MoD”),</w:t>
      </w:r>
    </w:p>
    <w:p w:rsidR="00606375" w:rsidRPr="00563CF9" w:rsidRDefault="00606375" w:rsidP="00876EE8">
      <w:pPr>
        <w:autoSpaceDE w:val="0"/>
        <w:autoSpaceDN w:val="0"/>
        <w:adjustRightInd w:val="0"/>
        <w:rPr>
          <w:rFonts w:cstheme="minorHAnsi"/>
          <w:color w:val="000000" w:themeColor="text1"/>
          <w:szCs w:val="24"/>
          <w:lang w:val="en-GB"/>
        </w:rPr>
      </w:pPr>
      <w:r w:rsidRPr="00563CF9">
        <w:rPr>
          <w:lang w:val="en-GB" w:bidi="en-GB"/>
        </w:rPr>
        <w:t>Brno University Hospital (hereinafter the “BUH”),</w:t>
      </w:r>
    </w:p>
    <w:p w:rsidR="00D55F31" w:rsidRPr="00563CF9" w:rsidRDefault="00624A48" w:rsidP="00876EE8">
      <w:pPr>
        <w:autoSpaceDE w:val="0"/>
        <w:autoSpaceDN w:val="0"/>
        <w:adjustRightInd w:val="0"/>
        <w:rPr>
          <w:rFonts w:cstheme="minorHAnsi"/>
          <w:color w:val="000000" w:themeColor="text1"/>
          <w:szCs w:val="24"/>
          <w:lang w:val="en-GB"/>
        </w:rPr>
      </w:pPr>
      <w:r w:rsidRPr="00563CF9">
        <w:rPr>
          <w:lang w:val="en-GB" w:bidi="en-GB"/>
        </w:rPr>
        <w:t>Motol University Hospital (hereinafter the “MUH”),</w:t>
      </w:r>
    </w:p>
    <w:p w:rsidR="009221B7" w:rsidRPr="00563CF9" w:rsidRDefault="009221B7" w:rsidP="00876EE8">
      <w:pPr>
        <w:autoSpaceDE w:val="0"/>
        <w:autoSpaceDN w:val="0"/>
        <w:adjustRightInd w:val="0"/>
        <w:rPr>
          <w:rFonts w:cstheme="minorHAnsi"/>
          <w:color w:val="000000" w:themeColor="text1"/>
          <w:szCs w:val="24"/>
          <w:lang w:val="en-GB"/>
        </w:rPr>
      </w:pPr>
      <w:r w:rsidRPr="00563CF9">
        <w:rPr>
          <w:lang w:val="en-GB" w:bidi="en-GB"/>
        </w:rPr>
        <w:t>Central Military Hospital – Military University Hospital Prague (hereinafter the “CMH”).</w:t>
      </w:r>
    </w:p>
    <w:p w:rsidR="008B0FAE" w:rsidRPr="00563CF9" w:rsidRDefault="008B0FAE" w:rsidP="00876EE8">
      <w:pPr>
        <w:pStyle w:val="Zkladntext"/>
        <w:rPr>
          <w:rFonts w:cstheme="minorHAnsi"/>
          <w:b w:val="0"/>
          <w:color w:val="000000" w:themeColor="text1"/>
          <w:sz w:val="24"/>
          <w:szCs w:val="24"/>
          <w:lang w:val="en-GB"/>
        </w:rPr>
      </w:pPr>
    </w:p>
    <w:p w:rsidR="008B0FAE" w:rsidRPr="00563CF9" w:rsidRDefault="0024693B" w:rsidP="00876EE8">
      <w:pPr>
        <w:pStyle w:val="Zkladntext"/>
        <w:rPr>
          <w:rFonts w:cstheme="minorHAnsi"/>
          <w:b w:val="0"/>
          <w:bCs w:val="0"/>
          <w:color w:val="000000" w:themeColor="text1"/>
          <w:sz w:val="24"/>
          <w:szCs w:val="24"/>
          <w:lang w:val="en-GB"/>
        </w:rPr>
      </w:pPr>
      <w:r w:rsidRPr="00563CF9">
        <w:rPr>
          <w:b w:val="0"/>
          <w:sz w:val="24"/>
          <w:lang w:val="en-GB" w:bidi="en-GB"/>
        </w:rPr>
        <w:t xml:space="preserve">Objections against the audit protocol were filed by the MoD, the BUH, the MUH and the CMH. The objections were dealt with by the heads of audit groups by decisions on the objections. The appeals against the objection decisions lodged by the MoD, the BUH, the MUH and the CMH were settled by resolutions of the Board of the SAO. </w:t>
      </w:r>
    </w:p>
    <w:p w:rsidR="008B0FAE" w:rsidRPr="00563CF9" w:rsidRDefault="008B0FAE" w:rsidP="00876EE8">
      <w:pPr>
        <w:pStyle w:val="Zkladntext"/>
        <w:rPr>
          <w:rFonts w:cstheme="minorHAnsi"/>
          <w:b w:val="0"/>
          <w:bCs w:val="0"/>
          <w:color w:val="000000" w:themeColor="text1"/>
          <w:sz w:val="24"/>
          <w:szCs w:val="24"/>
          <w:lang w:val="en-GB"/>
        </w:rPr>
      </w:pPr>
    </w:p>
    <w:p w:rsidR="008B0FAE" w:rsidRPr="00563CF9" w:rsidRDefault="008B0FAE" w:rsidP="00876EE8">
      <w:pPr>
        <w:pStyle w:val="Zkladntext"/>
        <w:rPr>
          <w:rFonts w:cstheme="minorHAnsi"/>
          <w:b w:val="0"/>
          <w:bCs w:val="0"/>
          <w:color w:val="000000" w:themeColor="text1"/>
          <w:sz w:val="24"/>
          <w:szCs w:val="24"/>
          <w:lang w:val="en-GB"/>
        </w:rPr>
      </w:pPr>
    </w:p>
    <w:p w:rsidR="00D55F31" w:rsidRPr="00563CF9" w:rsidRDefault="0024693B" w:rsidP="00876EE8">
      <w:pPr>
        <w:pStyle w:val="Zkladntext"/>
        <w:spacing w:after="120"/>
        <w:rPr>
          <w:rFonts w:cstheme="minorHAnsi"/>
          <w:b w:val="0"/>
          <w:bCs w:val="0"/>
          <w:color w:val="000000" w:themeColor="text1"/>
          <w:sz w:val="24"/>
          <w:szCs w:val="24"/>
          <w:lang w:val="en-GB"/>
        </w:rPr>
      </w:pPr>
      <w:r w:rsidRPr="00563CF9">
        <w:rPr>
          <w:i/>
          <w:sz w:val="24"/>
          <w:lang w:val="en-GB" w:bidi="en-GB"/>
        </w:rPr>
        <w:t>The Board of the SAO</w:t>
      </w:r>
      <w:r w:rsidRPr="00563CF9">
        <w:rPr>
          <w:b w:val="0"/>
          <w:sz w:val="24"/>
          <w:lang w:val="en-GB" w:bidi="en-GB"/>
        </w:rPr>
        <w:t xml:space="preserve"> at its X</w:t>
      </w:r>
      <w:r w:rsidRPr="00225137">
        <w:rPr>
          <w:b w:val="0"/>
          <w:sz w:val="24"/>
          <w:vertAlign w:val="superscript"/>
          <w:lang w:val="en-GB" w:bidi="en-GB"/>
        </w:rPr>
        <w:t>th</w:t>
      </w:r>
      <w:r w:rsidRPr="00563CF9">
        <w:rPr>
          <w:b w:val="0"/>
          <w:sz w:val="24"/>
          <w:lang w:val="en-GB" w:bidi="en-GB"/>
        </w:rPr>
        <w:t xml:space="preserve"> meeting held on 30 July 2018</w:t>
      </w:r>
    </w:p>
    <w:p w:rsidR="00D55F31" w:rsidRPr="00563CF9" w:rsidRDefault="0024693B" w:rsidP="00876EE8">
      <w:pPr>
        <w:spacing w:after="120"/>
        <w:rPr>
          <w:rFonts w:cstheme="minorHAnsi"/>
          <w:color w:val="000000" w:themeColor="text1"/>
          <w:lang w:val="en-GB"/>
        </w:rPr>
      </w:pPr>
      <w:r w:rsidRPr="00563CF9">
        <w:rPr>
          <w:b/>
          <w:i/>
          <w:lang w:val="en-GB" w:bidi="en-GB"/>
        </w:rPr>
        <w:t>approved</w:t>
      </w:r>
      <w:r w:rsidRPr="00563CF9">
        <w:rPr>
          <w:lang w:val="en-GB" w:bidi="en-GB"/>
        </w:rPr>
        <w:t xml:space="preserve"> by Resolution No. 8/X/2018</w:t>
      </w:r>
    </w:p>
    <w:p w:rsidR="00D55F31" w:rsidRPr="00563CF9" w:rsidRDefault="0024693B" w:rsidP="00876EE8">
      <w:pPr>
        <w:spacing w:after="120"/>
        <w:rPr>
          <w:rFonts w:cstheme="minorHAnsi"/>
          <w:color w:val="000000" w:themeColor="text1"/>
          <w:lang w:val="en-GB"/>
        </w:rPr>
      </w:pPr>
      <w:r w:rsidRPr="00563CF9">
        <w:rPr>
          <w:b/>
          <w:i/>
          <w:lang w:val="en-GB" w:bidi="en-GB"/>
        </w:rPr>
        <w:t>the audit conclusion</w:t>
      </w:r>
      <w:r w:rsidRPr="00563CF9">
        <w:rPr>
          <w:lang w:val="en-GB" w:bidi="en-GB"/>
        </w:rPr>
        <w:t xml:space="preserve"> in the following wording:</w:t>
      </w:r>
    </w:p>
    <w:p w:rsidR="00D3722D" w:rsidRPr="00563CF9" w:rsidRDefault="00D3722D" w:rsidP="00D3722D">
      <w:pPr>
        <w:pStyle w:val="Nadpis1"/>
        <w:jc w:val="center"/>
        <w:rPr>
          <w:u w:val="none"/>
          <w:lang w:val="en-GB"/>
        </w:rPr>
      </w:pPr>
      <w:r w:rsidRPr="00563CF9">
        <w:rPr>
          <w:u w:val="none"/>
          <w:lang w:val="en-GB" w:bidi="en-GB"/>
        </w:rPr>
        <w:lastRenderedPageBreak/>
        <w:t>Key facts</w:t>
      </w:r>
    </w:p>
    <w:p w:rsidR="00D3722D" w:rsidRPr="00563CF9" w:rsidRDefault="00D3722D" w:rsidP="00D3722D">
      <w:pPr>
        <w:rPr>
          <w:lang w:val="en-GB"/>
        </w:rPr>
      </w:pPr>
    </w:p>
    <w:tbl>
      <w:tblPr>
        <w:tblW w:w="9015" w:type="dxa"/>
        <w:jc w:val="center"/>
        <w:tblLayout w:type="fixed"/>
        <w:tblCellMar>
          <w:bottom w:w="57" w:type="dxa"/>
        </w:tblCellMar>
        <w:tblLook w:val="0000" w:firstRow="0" w:lastRow="0" w:firstColumn="0" w:lastColumn="0" w:noHBand="0" w:noVBand="0"/>
      </w:tblPr>
      <w:tblGrid>
        <w:gridCol w:w="3005"/>
        <w:gridCol w:w="3005"/>
        <w:gridCol w:w="3005"/>
      </w:tblGrid>
      <w:tr w:rsidR="00D3722D" w:rsidRPr="00563CF9" w:rsidTr="00BA09ED">
        <w:trPr>
          <w:trHeight w:val="567"/>
          <w:jc w:val="center"/>
        </w:trPr>
        <w:tc>
          <w:tcPr>
            <w:tcW w:w="3005" w:type="dxa"/>
            <w:tcBorders>
              <w:bottom w:val="single" w:sz="4" w:space="0" w:color="4F81BD"/>
              <w:right w:val="single" w:sz="4" w:space="0" w:color="4F81BD"/>
            </w:tcBorders>
            <w:shd w:val="clear" w:color="auto" w:fill="E5F1FF"/>
            <w:vAlign w:val="center"/>
          </w:tcPr>
          <w:p w:rsidR="00D3722D" w:rsidRPr="00563CF9" w:rsidRDefault="00D3722D" w:rsidP="00A7142D">
            <w:pPr>
              <w:pStyle w:val="Pa18"/>
              <w:jc w:val="center"/>
              <w:rPr>
                <w:rFonts w:cs="Calibri"/>
                <w:color w:val="000000"/>
                <w:sz w:val="32"/>
                <w:szCs w:val="40"/>
                <w:lang w:val="en-GB"/>
              </w:rPr>
            </w:pPr>
            <w:r w:rsidRPr="00563CF9">
              <w:rPr>
                <w:b/>
                <w:sz w:val="32"/>
                <w:lang w:val="en-GB" w:bidi="en-GB"/>
              </w:rPr>
              <w:t>CZK 402.6 million</w:t>
            </w:r>
          </w:p>
        </w:tc>
        <w:tc>
          <w:tcPr>
            <w:tcW w:w="3005" w:type="dxa"/>
            <w:tcBorders>
              <w:left w:val="single" w:sz="4" w:space="0" w:color="4F81BD"/>
              <w:bottom w:val="single" w:sz="4" w:space="0" w:color="4F81BD"/>
              <w:right w:val="single" w:sz="4" w:space="0" w:color="4F81BD"/>
            </w:tcBorders>
            <w:shd w:val="clear" w:color="auto" w:fill="E5F1FF"/>
            <w:vAlign w:val="center"/>
          </w:tcPr>
          <w:p w:rsidR="00D3722D" w:rsidRPr="00563CF9" w:rsidRDefault="00D3722D" w:rsidP="00A7142D">
            <w:pPr>
              <w:pStyle w:val="Pa18"/>
              <w:jc w:val="center"/>
              <w:rPr>
                <w:rFonts w:cs="Calibri"/>
                <w:color w:val="000000"/>
                <w:sz w:val="32"/>
                <w:szCs w:val="40"/>
                <w:lang w:val="en-GB"/>
              </w:rPr>
            </w:pPr>
            <w:r w:rsidRPr="00563CF9">
              <w:rPr>
                <w:b/>
                <w:sz w:val="32"/>
                <w:lang w:val="en-GB" w:bidi="en-GB"/>
              </w:rPr>
              <w:t>CZK 1.9 billion</w:t>
            </w:r>
          </w:p>
        </w:tc>
        <w:tc>
          <w:tcPr>
            <w:tcW w:w="3005" w:type="dxa"/>
            <w:tcBorders>
              <w:left w:val="single" w:sz="4" w:space="0" w:color="4F81BD"/>
              <w:bottom w:val="single" w:sz="4" w:space="0" w:color="4F81BD"/>
            </w:tcBorders>
            <w:shd w:val="clear" w:color="auto" w:fill="E5F1FF"/>
            <w:vAlign w:val="center"/>
          </w:tcPr>
          <w:p w:rsidR="00D3722D" w:rsidRPr="00563CF9" w:rsidRDefault="00D3722D" w:rsidP="00A7142D">
            <w:pPr>
              <w:pStyle w:val="Pa18"/>
              <w:jc w:val="center"/>
              <w:rPr>
                <w:rStyle w:val="A14"/>
                <w:rFonts w:cs="Calibri"/>
                <w:bCs/>
                <w:sz w:val="32"/>
                <w:szCs w:val="40"/>
                <w:lang w:val="en-GB"/>
              </w:rPr>
            </w:pPr>
            <w:r w:rsidRPr="00563CF9">
              <w:rPr>
                <w:b/>
                <w:sz w:val="32"/>
                <w:lang w:val="en-GB" w:bidi="en-GB"/>
              </w:rPr>
              <w:t>CZK 1.06 billion</w:t>
            </w:r>
          </w:p>
        </w:tc>
      </w:tr>
      <w:tr w:rsidR="00D3722D" w:rsidRPr="00563CF9" w:rsidTr="00BA09ED">
        <w:trPr>
          <w:trHeight w:val="567"/>
          <w:jc w:val="center"/>
        </w:trPr>
        <w:tc>
          <w:tcPr>
            <w:tcW w:w="3005" w:type="dxa"/>
            <w:tcBorders>
              <w:top w:val="single" w:sz="4" w:space="0" w:color="4F81BD"/>
              <w:right w:val="single" w:sz="4" w:space="0" w:color="4F81BD"/>
            </w:tcBorders>
            <w:shd w:val="clear" w:color="auto" w:fill="E5F1FF"/>
            <w:vAlign w:val="center"/>
          </w:tcPr>
          <w:p w:rsidR="00D3722D" w:rsidRPr="00563CF9" w:rsidRDefault="00D3722D" w:rsidP="00BA09ED">
            <w:pPr>
              <w:pStyle w:val="Pa19"/>
              <w:spacing w:line="240" w:lineRule="auto"/>
              <w:jc w:val="center"/>
              <w:rPr>
                <w:rFonts w:cs="Calibri"/>
                <w:color w:val="000000"/>
                <w:sz w:val="22"/>
                <w:szCs w:val="21"/>
                <w:lang w:val="en-GB"/>
              </w:rPr>
            </w:pPr>
            <w:r w:rsidRPr="00563CF9">
              <w:rPr>
                <w:sz w:val="22"/>
                <w:lang w:val="en-GB" w:bidi="en-GB"/>
              </w:rPr>
              <w:t xml:space="preserve">Audited volume </w:t>
            </w:r>
            <w:r w:rsidRPr="00563CF9">
              <w:rPr>
                <w:sz w:val="22"/>
                <w:lang w:val="en-GB" w:bidi="en-GB"/>
              </w:rPr>
              <w:br/>
              <w:t>of property</w:t>
            </w:r>
          </w:p>
        </w:tc>
        <w:tc>
          <w:tcPr>
            <w:tcW w:w="3005" w:type="dxa"/>
            <w:tcBorders>
              <w:top w:val="single" w:sz="4" w:space="0" w:color="4F81BD"/>
              <w:left w:val="single" w:sz="4" w:space="0" w:color="4F81BD"/>
              <w:right w:val="single" w:sz="4" w:space="0" w:color="4F81BD"/>
            </w:tcBorders>
            <w:shd w:val="clear" w:color="auto" w:fill="E5F1FF"/>
            <w:vAlign w:val="center"/>
          </w:tcPr>
          <w:p w:rsidR="00D3722D" w:rsidRPr="00563CF9" w:rsidRDefault="00DF0ECC" w:rsidP="00BA09ED">
            <w:pPr>
              <w:pStyle w:val="Pa19"/>
              <w:spacing w:line="240" w:lineRule="auto"/>
              <w:jc w:val="center"/>
              <w:rPr>
                <w:rFonts w:cs="Calibri"/>
                <w:color w:val="000000"/>
                <w:sz w:val="22"/>
                <w:szCs w:val="21"/>
                <w:lang w:val="en-GB"/>
              </w:rPr>
            </w:pPr>
            <w:r>
              <w:rPr>
                <w:noProof/>
                <w:sz w:val="22"/>
                <w:lang w:val="cs-CZ"/>
              </w:rPr>
              <mc:AlternateContent>
                <mc:Choice Requires="wps">
                  <w:drawing>
                    <wp:anchor distT="0" distB="0" distL="114300" distR="114300" simplePos="0" relativeHeight="251661312" behindDoc="0" locked="0" layoutInCell="1" allowOverlap="1">
                      <wp:simplePos x="0" y="0"/>
                      <wp:positionH relativeFrom="column">
                        <wp:posOffset>1482090</wp:posOffset>
                      </wp:positionH>
                      <wp:positionV relativeFrom="paragraph">
                        <wp:posOffset>-229235</wp:posOffset>
                      </wp:positionV>
                      <wp:extent cx="730250" cy="498475"/>
                      <wp:effectExtent l="0" t="0" r="0" b="0"/>
                      <wp:wrapNone/>
                      <wp:docPr id="1" name="Šipka doprava 1"/>
                      <wp:cNvGraphicFramePr/>
                      <a:graphic xmlns:a="http://schemas.openxmlformats.org/drawingml/2006/main">
                        <a:graphicData uri="http://schemas.microsoft.com/office/word/2010/wordprocessingShape">
                          <wps:wsp>
                            <wps:cNvSpPr/>
                            <wps:spPr>
                              <a:xfrm>
                                <a:off x="0" y="0"/>
                                <a:ext cx="730250" cy="498475"/>
                              </a:xfrm>
                              <a:prstGeom prst="rightArrow">
                                <a:avLst/>
                              </a:prstGeom>
                              <a:solidFill>
                                <a:srgbClr val="0045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0ECC" w:rsidRPr="00DF0ECC" w:rsidRDefault="00DF0ECC" w:rsidP="00DF0ECC">
                                  <w:pPr>
                                    <w:jc w:val="center"/>
                                    <w:rPr>
                                      <w:color w:val="FFFFFF" w:themeColor="background1"/>
                                      <w:sz w:val="18"/>
                                      <w:lang w:val="cs-CZ"/>
                                    </w:rPr>
                                  </w:pPr>
                                  <w:r w:rsidRPr="00DF0ECC">
                                    <w:rPr>
                                      <w:color w:val="FFFFFF" w:themeColor="background1"/>
                                      <w:sz w:val="18"/>
                                      <w:lang w:val="cs-CZ"/>
                                    </w:rPr>
                                    <w:t>of which</w:t>
                                  </w:r>
                                </w:p>
                                <w:p w:rsidR="00DF0ECC" w:rsidRDefault="00DF0EC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1" o:spid="_x0000_s1026" type="#_x0000_t13" style="position:absolute;left:0;text-align:left;margin-left:116.7pt;margin-top:-18.05pt;width:57.5pt;height:3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" adj="14228" fillcolor="#004595" stroked="f" strokeweight="2pt">
                      <v:textbox>
                        <w:txbxContent>
                          <w:p w:rsidR="00DF0ECC" w:rsidRPr="00DF0ECC" w:rsidRDefault="00DF0ECC" w:rsidP="00DF0ECC">
                            <w:pPr>
                              <w:jc w:val="center"/>
                              <w:rPr>
                                <w:color w:val="FFFFFF" w:themeColor="background1"/>
                                <w:sz w:val="18"/>
                                <w:lang w:val="cs-CZ"/>
                              </w:rPr>
                            </w:pPr>
                            <w:r w:rsidRPr="00DF0ECC">
                              <w:rPr>
                                <w:color w:val="FFFFFF" w:themeColor="background1"/>
                                <w:sz w:val="18"/>
                                <w:lang w:val="cs-CZ"/>
                              </w:rPr>
                              <w:t>of which</w:t>
                            </w:r>
                          </w:p>
                          <w:p w:rsidR="00DF0ECC" w:rsidRDefault="00DF0ECC"/>
                        </w:txbxContent>
                      </v:textbox>
                    </v:shape>
                  </w:pict>
                </mc:Fallback>
              </mc:AlternateContent>
            </w:r>
            <w:r w:rsidR="00D3722D" w:rsidRPr="00563CF9">
              <w:rPr>
                <w:sz w:val="22"/>
                <w:lang w:val="en-GB" w:bidi="en-GB"/>
              </w:rPr>
              <w:t xml:space="preserve">Audited volume </w:t>
            </w:r>
            <w:r w:rsidR="00D3722D" w:rsidRPr="00563CF9">
              <w:rPr>
                <w:sz w:val="22"/>
                <w:lang w:val="en-GB" w:bidi="en-GB"/>
              </w:rPr>
              <w:br/>
              <w:t>of funds</w:t>
            </w:r>
          </w:p>
        </w:tc>
        <w:tc>
          <w:tcPr>
            <w:tcW w:w="3005" w:type="dxa"/>
            <w:tcBorders>
              <w:top w:val="single" w:sz="4" w:space="0" w:color="4F81BD"/>
              <w:left w:val="single" w:sz="4" w:space="0" w:color="4F81BD"/>
            </w:tcBorders>
            <w:shd w:val="clear" w:color="auto" w:fill="E5F1FF"/>
            <w:vAlign w:val="center"/>
          </w:tcPr>
          <w:p w:rsidR="00D3722D" w:rsidRPr="00563CF9" w:rsidRDefault="00D3722D" w:rsidP="00BA09ED">
            <w:pPr>
              <w:pStyle w:val="Pa19"/>
              <w:spacing w:line="240" w:lineRule="auto"/>
              <w:jc w:val="center"/>
              <w:rPr>
                <w:rFonts w:cs="Calibri"/>
                <w:color w:val="000000"/>
                <w:sz w:val="22"/>
                <w:szCs w:val="21"/>
                <w:lang w:val="en-GB"/>
              </w:rPr>
            </w:pPr>
            <w:r w:rsidRPr="00563CF9">
              <w:rPr>
                <w:sz w:val="22"/>
                <w:lang w:val="en-GB" w:bidi="en-GB"/>
              </w:rPr>
              <w:t xml:space="preserve">Audited volume </w:t>
            </w:r>
            <w:r w:rsidRPr="00563CF9">
              <w:rPr>
                <w:sz w:val="22"/>
                <w:lang w:val="en-GB" w:bidi="en-GB"/>
              </w:rPr>
              <w:br/>
              <w:t>of public contracts</w:t>
            </w:r>
          </w:p>
        </w:tc>
      </w:tr>
    </w:tbl>
    <w:p w:rsidR="006900FE" w:rsidRPr="00563CF9" w:rsidRDefault="006900FE" w:rsidP="006900FE">
      <w:pPr>
        <w:spacing w:after="120"/>
        <w:rPr>
          <w:b/>
          <w:lang w:val="en-GB" w:bidi="en-GB"/>
        </w:rPr>
      </w:pPr>
    </w:p>
    <w:p w:rsidR="00D3722D" w:rsidRPr="00563CF9" w:rsidRDefault="00D12885" w:rsidP="006900FE">
      <w:pPr>
        <w:spacing w:after="120"/>
        <w:jc w:val="center"/>
        <w:rPr>
          <w:b/>
          <w:lang w:val="en-GB"/>
        </w:rPr>
      </w:pPr>
      <w:r w:rsidRPr="00563CF9">
        <w:rPr>
          <w:b/>
          <w:noProof/>
          <w:lang w:val="cs-CZ"/>
        </w:rPr>
        <mc:AlternateContent>
          <mc:Choice Requires="wps">
            <w:drawing>
              <wp:anchor distT="45720" distB="45720" distL="114300" distR="114300" simplePos="0" relativeHeight="251632128" behindDoc="0" locked="0" layoutInCell="1" allowOverlap="1" wp14:anchorId="78A2EF48" wp14:editId="6E4909BF">
                <wp:simplePos x="0" y="0"/>
                <wp:positionH relativeFrom="column">
                  <wp:posOffset>4128770</wp:posOffset>
                </wp:positionH>
                <wp:positionV relativeFrom="paragraph">
                  <wp:posOffset>439420</wp:posOffset>
                </wp:positionV>
                <wp:extent cx="603250" cy="266700"/>
                <wp:effectExtent l="0" t="0" r="6350" b="0"/>
                <wp:wrapSquare wrapText="bothSides"/>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66700"/>
                        </a:xfrm>
                        <a:prstGeom prst="rect">
                          <a:avLst/>
                        </a:prstGeom>
                        <a:solidFill>
                          <a:srgbClr val="FFFFFF"/>
                        </a:solidFill>
                        <a:ln w="9525">
                          <a:noFill/>
                          <a:miter lim="800000"/>
                          <a:headEnd/>
                          <a:tailEnd/>
                        </a:ln>
                      </wps:spPr>
                      <wps:txbx>
                        <w:txbxContent>
                          <w:p w:rsidR="00786EF5" w:rsidRPr="004807B7" w:rsidRDefault="00786EF5" w:rsidP="004807B7">
                            <w:pPr>
                              <w:rPr>
                                <w:b/>
                                <w:color w:val="1F497D" w:themeColor="text2"/>
                                <w:sz w:val="18"/>
                                <w:szCs w:val="18"/>
                              </w:rPr>
                            </w:pPr>
                            <w:r>
                              <w:rPr>
                                <w:b/>
                                <w:color w:val="1F497D" w:themeColor="text2"/>
                                <w:sz w:val="18"/>
                                <w:lang w:val="en-GB" w:bidi="en-GB"/>
                              </w:rPr>
                              <w:t>CMH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A2EF48" id="_x0000_t202" coordsize="21600,21600" o:spt="202" path="m,l,21600r21600,l21600,xe">
                <v:stroke joinstyle="miter"/>
                <v:path gradientshapeok="t" o:connecttype="rect"/>
              </v:shapetype>
              <v:shape id="Textové pole 2" o:spid="_x0000_s1027" type="#_x0000_t202" style="position:absolute;left:0;text-align:left;margin-left:325.1pt;margin-top:34.6pt;width:47.5pt;height:21pt;z-index:251632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" stroked="f">
                <v:textbox>
                  <w:txbxContent>
                    <w:p w:rsidR="00786EF5" w:rsidRPr="004807B7" w:rsidRDefault="00786EF5" w:rsidP="004807B7">
                      <w:pPr>
                        <w:rPr>
                          <w:b/>
                          <w:color w:val="1F497D" w:themeColor="text2"/>
                          <w:sz w:val="18"/>
                          <w:szCs w:val="18"/>
                        </w:rPr>
                      </w:pPr>
                      <w:r>
                        <w:rPr>
                          <w:b/>
                          <w:color w:val="1F497D" w:themeColor="text2"/>
                          <w:sz w:val="18"/>
                          <w:lang w:val="en-GB" w:bidi="en-GB"/>
                        </w:rPr>
                        <w:t>CMH</w:t>
                      </w:r>
                    </w:p>
                  </w:txbxContent>
                </v:textbox>
                <w10:wrap type="square"/>
              </v:shape>
            </w:pict>
          </mc:Fallback>
        </mc:AlternateContent>
      </w:r>
      <w:r w:rsidR="006900FE" w:rsidRPr="00563CF9">
        <w:rPr>
          <w:b/>
          <w:noProof/>
          <w:lang w:val="cs-CZ"/>
        </w:rPr>
        <mc:AlternateContent>
          <mc:Choice Requires="wps">
            <w:drawing>
              <wp:anchor distT="45720" distB="45720" distL="114300" distR="114300" simplePos="0" relativeHeight="251694592" behindDoc="0" locked="0" layoutInCell="1" allowOverlap="1" wp14:anchorId="2B40DD84" wp14:editId="0307DA8D">
                <wp:simplePos x="0" y="0"/>
                <wp:positionH relativeFrom="column">
                  <wp:posOffset>3014980</wp:posOffset>
                </wp:positionH>
                <wp:positionV relativeFrom="paragraph">
                  <wp:posOffset>923925</wp:posOffset>
                </wp:positionV>
                <wp:extent cx="896620" cy="217805"/>
                <wp:effectExtent l="0" t="0" r="0" b="0"/>
                <wp:wrapSquare wrapText="bothSides"/>
                <wp:docPr id="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217805"/>
                        </a:xfrm>
                        <a:prstGeom prst="rect">
                          <a:avLst/>
                        </a:prstGeom>
                        <a:solidFill>
                          <a:srgbClr val="FFFFFF"/>
                        </a:solidFill>
                        <a:ln w="9525">
                          <a:noFill/>
                          <a:miter lim="800000"/>
                          <a:headEnd/>
                          <a:tailEnd/>
                        </a:ln>
                      </wps:spPr>
                      <wps:txbx>
                        <w:txbxContent>
                          <w:p w:rsidR="00786EF5" w:rsidRPr="004807B7" w:rsidRDefault="00786EF5" w:rsidP="004807B7">
                            <w:pPr>
                              <w:rPr>
                                <w:b/>
                                <w:sz w:val="18"/>
                                <w:szCs w:val="18"/>
                              </w:rPr>
                            </w:pPr>
                            <w:r>
                              <w:rPr>
                                <w:b/>
                                <w:sz w:val="18"/>
                                <w:lang w:val="en-GB" w:bidi="en-GB"/>
                              </w:rPr>
                              <w:t>CZK billions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40DD84" id="_x0000_s1028" type="#_x0000_t202" style="position:absolute;left:0;text-align:left;margin-left:237.4pt;margin-top:72.75pt;width:70.6pt;height:17.15pt;z-index:25169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" stroked="f">
                <v:textbox>
                  <w:txbxContent>
                    <w:p w:rsidR="00786EF5" w:rsidRPr="004807B7" w:rsidRDefault="00786EF5" w:rsidP="004807B7">
                      <w:pPr>
                        <w:rPr>
                          <w:b/>
                          <w:sz w:val="18"/>
                          <w:szCs w:val="18"/>
                        </w:rPr>
                      </w:pPr>
                      <w:r>
                        <w:rPr>
                          <w:b/>
                          <w:sz w:val="18"/>
                          <w:lang w:val="en-GB" w:bidi="en-GB"/>
                        </w:rPr>
                        <w:t>CZK billions</w:t>
                      </w:r>
                    </w:p>
                  </w:txbxContent>
                </v:textbox>
                <w10:wrap type="square"/>
              </v:shape>
            </w:pict>
          </mc:Fallback>
        </mc:AlternateContent>
      </w:r>
      <w:r w:rsidR="006900FE" w:rsidRPr="00563CF9">
        <w:rPr>
          <w:b/>
          <w:noProof/>
          <w:lang w:val="cs-CZ"/>
        </w:rPr>
        <mc:AlternateContent>
          <mc:Choice Requires="wps">
            <w:drawing>
              <wp:anchor distT="45720" distB="45720" distL="114300" distR="114300" simplePos="0" relativeHeight="251660800" behindDoc="0" locked="0" layoutInCell="1" allowOverlap="1" wp14:anchorId="6C1EE1EE" wp14:editId="5F5817EE">
                <wp:simplePos x="0" y="0"/>
                <wp:positionH relativeFrom="column">
                  <wp:posOffset>1316571</wp:posOffset>
                </wp:positionH>
                <wp:positionV relativeFrom="paragraph">
                  <wp:posOffset>902395</wp:posOffset>
                </wp:positionV>
                <wp:extent cx="896620" cy="217805"/>
                <wp:effectExtent l="0" t="0" r="0" b="0"/>
                <wp:wrapSquare wrapText="bothSides"/>
                <wp:docPr id="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217805"/>
                        </a:xfrm>
                        <a:prstGeom prst="rect">
                          <a:avLst/>
                        </a:prstGeom>
                        <a:solidFill>
                          <a:srgbClr val="FFFFFF"/>
                        </a:solidFill>
                        <a:ln w="9525">
                          <a:noFill/>
                          <a:miter lim="800000"/>
                          <a:headEnd/>
                          <a:tailEnd/>
                        </a:ln>
                      </wps:spPr>
                      <wps:txbx>
                        <w:txbxContent>
                          <w:p w:rsidR="00786EF5" w:rsidRPr="004807B7" w:rsidRDefault="00786EF5" w:rsidP="004807B7">
                            <w:pPr>
                              <w:rPr>
                                <w:b/>
                                <w:sz w:val="18"/>
                                <w:szCs w:val="18"/>
                              </w:rPr>
                            </w:pPr>
                            <w:r>
                              <w:rPr>
                                <w:b/>
                                <w:sz w:val="18"/>
                                <w:lang w:val="en-GB" w:bidi="en-GB"/>
                              </w:rPr>
                              <w:t>CZK billions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EE1EE" id="_x0000_s1029" type="#_x0000_t202" style="position:absolute;left:0;text-align:left;margin-left:103.65pt;margin-top:71.05pt;width:70.6pt;height:17.1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" stroked="f">
                <v:textbox>
                  <w:txbxContent>
                    <w:p w:rsidR="00786EF5" w:rsidRPr="004807B7" w:rsidRDefault="00786EF5" w:rsidP="004807B7">
                      <w:pPr>
                        <w:rPr>
                          <w:b/>
                          <w:sz w:val="18"/>
                          <w:szCs w:val="18"/>
                        </w:rPr>
                      </w:pPr>
                      <w:r>
                        <w:rPr>
                          <w:b/>
                          <w:sz w:val="18"/>
                          <w:lang w:val="en-GB" w:bidi="en-GB"/>
                        </w:rPr>
                        <w:t>CZK billions</w:t>
                      </w:r>
                    </w:p>
                  </w:txbxContent>
                </v:textbox>
                <w10:wrap type="square"/>
              </v:shape>
            </w:pict>
          </mc:Fallback>
        </mc:AlternateContent>
      </w:r>
      <w:r w:rsidR="006900FE" w:rsidRPr="00563CF9">
        <w:rPr>
          <w:b/>
          <w:noProof/>
          <w:lang w:val="cs-CZ"/>
        </w:rPr>
        <mc:AlternateContent>
          <mc:Choice Requires="wps">
            <w:drawing>
              <wp:anchor distT="45720" distB="45720" distL="114300" distR="114300" simplePos="0" relativeHeight="251608576" behindDoc="0" locked="0" layoutInCell="1" allowOverlap="1" wp14:anchorId="34431213" wp14:editId="519AF4F5">
                <wp:simplePos x="0" y="0"/>
                <wp:positionH relativeFrom="column">
                  <wp:posOffset>2463273</wp:posOffset>
                </wp:positionH>
                <wp:positionV relativeFrom="paragraph">
                  <wp:posOffset>317248</wp:posOffset>
                </wp:positionV>
                <wp:extent cx="457200" cy="232410"/>
                <wp:effectExtent l="0" t="0" r="0" b="0"/>
                <wp:wrapSquare wrapText="bothSides"/>
                <wp:docPr id="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32410"/>
                        </a:xfrm>
                        <a:prstGeom prst="rect">
                          <a:avLst/>
                        </a:prstGeom>
                        <a:solidFill>
                          <a:srgbClr val="FFFFFF"/>
                        </a:solidFill>
                        <a:ln w="9525">
                          <a:noFill/>
                          <a:miter lim="800000"/>
                          <a:headEnd/>
                          <a:tailEnd/>
                        </a:ln>
                      </wps:spPr>
                      <wps:txbx>
                        <w:txbxContent>
                          <w:p w:rsidR="00786EF5" w:rsidRPr="004807B7" w:rsidRDefault="00786EF5" w:rsidP="004807B7">
                            <w:pPr>
                              <w:rPr>
                                <w:b/>
                                <w:color w:val="1F497D" w:themeColor="text2"/>
                                <w:sz w:val="18"/>
                                <w:szCs w:val="18"/>
                              </w:rPr>
                            </w:pPr>
                            <w:r w:rsidRPr="004807B7">
                              <w:rPr>
                                <w:b/>
                                <w:color w:val="1F497D" w:themeColor="text2"/>
                                <w:sz w:val="18"/>
                                <w:lang w:val="en-GB" w:bidi="en-GB"/>
                              </w:rPr>
                              <w:t>MUH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31213" id="_x0000_s1030" type="#_x0000_t202" style="position:absolute;left:0;text-align:left;margin-left:193.95pt;margin-top:25pt;width:36pt;height:18.3pt;z-index:251608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" stroked="f">
                <v:textbox>
                  <w:txbxContent>
                    <w:p w:rsidR="00786EF5" w:rsidRPr="004807B7" w:rsidRDefault="00786EF5" w:rsidP="004807B7">
                      <w:pPr>
                        <w:rPr>
                          <w:b/>
                          <w:color w:val="1F497D" w:themeColor="text2"/>
                          <w:sz w:val="18"/>
                          <w:szCs w:val="18"/>
                        </w:rPr>
                      </w:pPr>
                      <w:r w:rsidRPr="004807B7">
                        <w:rPr>
                          <w:b/>
                          <w:color w:val="1F497D" w:themeColor="text2"/>
                          <w:sz w:val="18"/>
                          <w:lang w:val="en-GB" w:bidi="en-GB"/>
                        </w:rPr>
                        <w:t>MUH</w:t>
                      </w:r>
                    </w:p>
                  </w:txbxContent>
                </v:textbox>
                <w10:wrap type="square"/>
              </v:shape>
            </w:pict>
          </mc:Fallback>
        </mc:AlternateContent>
      </w:r>
      <w:r w:rsidR="006900FE" w:rsidRPr="00563CF9">
        <w:rPr>
          <w:noProof/>
          <w:lang w:val="cs-CZ"/>
        </w:rPr>
        <w:drawing>
          <wp:anchor distT="0" distB="0" distL="114300" distR="114300" simplePos="0" relativeHeight="251555328" behindDoc="0" locked="0" layoutInCell="1" allowOverlap="1" wp14:anchorId="591C5E24" wp14:editId="40B43046">
            <wp:simplePos x="0" y="0"/>
            <wp:positionH relativeFrom="margin">
              <wp:posOffset>680085</wp:posOffset>
            </wp:positionH>
            <wp:positionV relativeFrom="paragraph">
              <wp:posOffset>341798</wp:posOffset>
            </wp:positionV>
            <wp:extent cx="4394607" cy="756000"/>
            <wp:effectExtent l="0" t="0" r="6350" b="6350"/>
            <wp:wrapTopAndBottom/>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éma C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94607" cy="756000"/>
                    </a:xfrm>
                    <a:prstGeom prst="rect">
                      <a:avLst/>
                    </a:prstGeom>
                  </pic:spPr>
                </pic:pic>
              </a:graphicData>
            </a:graphic>
            <wp14:sizeRelH relativeFrom="page">
              <wp14:pctWidth>0</wp14:pctWidth>
            </wp14:sizeRelH>
            <wp14:sizeRelV relativeFrom="page">
              <wp14:pctHeight>0</wp14:pctHeight>
            </wp14:sizeRelV>
          </wp:anchor>
        </w:drawing>
      </w:r>
      <w:r w:rsidR="006900FE" w:rsidRPr="00563CF9">
        <w:rPr>
          <w:b/>
          <w:noProof/>
          <w:lang w:val="cs-CZ"/>
        </w:rPr>
        <mc:AlternateContent>
          <mc:Choice Requires="wps">
            <w:drawing>
              <wp:anchor distT="45720" distB="45720" distL="114300" distR="114300" simplePos="0" relativeHeight="251576832" behindDoc="0" locked="0" layoutInCell="1" allowOverlap="1" wp14:anchorId="6FD278C1" wp14:editId="5BACBC07">
                <wp:simplePos x="0" y="0"/>
                <wp:positionH relativeFrom="column">
                  <wp:posOffset>738768</wp:posOffset>
                </wp:positionH>
                <wp:positionV relativeFrom="paragraph">
                  <wp:posOffset>316026</wp:posOffset>
                </wp:positionV>
                <wp:extent cx="467360" cy="207645"/>
                <wp:effectExtent l="0" t="0" r="8890" b="190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207645"/>
                        </a:xfrm>
                        <a:prstGeom prst="rect">
                          <a:avLst/>
                        </a:prstGeom>
                        <a:solidFill>
                          <a:srgbClr val="FFFFFF"/>
                        </a:solidFill>
                        <a:ln w="9525">
                          <a:noFill/>
                          <a:miter lim="800000"/>
                          <a:headEnd/>
                          <a:tailEnd/>
                        </a:ln>
                      </wps:spPr>
                      <wps:txbx>
                        <w:txbxContent>
                          <w:p w:rsidR="00786EF5" w:rsidRPr="004807B7" w:rsidRDefault="00786EF5">
                            <w:pPr>
                              <w:rPr>
                                <w:b/>
                                <w:color w:val="1F497D" w:themeColor="text2"/>
                                <w:sz w:val="18"/>
                                <w:szCs w:val="18"/>
                              </w:rPr>
                            </w:pPr>
                            <w:r w:rsidRPr="004807B7">
                              <w:rPr>
                                <w:b/>
                                <w:color w:val="1F497D" w:themeColor="text2"/>
                                <w:sz w:val="18"/>
                                <w:lang w:val="en-GB" w:bidi="en-GB"/>
                              </w:rPr>
                              <w:t>BUH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278C1" id="_x0000_s1031" type="#_x0000_t202" style="position:absolute;left:0;text-align:left;margin-left:58.15pt;margin-top:24.9pt;width:36.8pt;height:16.35pt;z-index:251576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" stroked="f">
                <v:textbox>
                  <w:txbxContent>
                    <w:p w:rsidR="00786EF5" w:rsidRPr="004807B7" w:rsidRDefault="00786EF5">
                      <w:pPr>
                        <w:rPr>
                          <w:b/>
                          <w:color w:val="1F497D" w:themeColor="text2"/>
                          <w:sz w:val="18"/>
                          <w:szCs w:val="18"/>
                        </w:rPr>
                      </w:pPr>
                      <w:r w:rsidRPr="004807B7">
                        <w:rPr>
                          <w:b/>
                          <w:color w:val="1F497D" w:themeColor="text2"/>
                          <w:sz w:val="18"/>
                          <w:lang w:val="en-GB" w:bidi="en-GB"/>
                        </w:rPr>
                        <w:t>BUH</w:t>
                      </w:r>
                    </w:p>
                  </w:txbxContent>
                </v:textbox>
                <w10:wrap type="square"/>
              </v:shape>
            </w:pict>
          </mc:Fallback>
        </mc:AlternateContent>
      </w:r>
      <w:r w:rsidR="00D3722D" w:rsidRPr="00563CF9">
        <w:rPr>
          <w:b/>
          <w:lang w:val="en-GB" w:bidi="en-GB"/>
        </w:rPr>
        <w:t>Comparison of the total costs of audited university hospitals in 2016</w:t>
      </w:r>
    </w:p>
    <w:p w:rsidR="00D3722D" w:rsidRPr="00563CF9" w:rsidRDefault="006900FE" w:rsidP="00BA09ED">
      <w:pPr>
        <w:rPr>
          <w:lang w:val="en-GB"/>
        </w:rPr>
      </w:pPr>
      <w:r w:rsidRPr="00563CF9">
        <w:rPr>
          <w:b/>
          <w:noProof/>
          <w:lang w:val="cs-CZ"/>
        </w:rPr>
        <mc:AlternateContent>
          <mc:Choice Requires="wps">
            <w:drawing>
              <wp:anchor distT="45720" distB="45720" distL="114300" distR="114300" simplePos="0" relativeHeight="251715072" behindDoc="0" locked="0" layoutInCell="1" allowOverlap="1" wp14:anchorId="22F3226B" wp14:editId="0CB64724">
                <wp:simplePos x="0" y="0"/>
                <wp:positionH relativeFrom="column">
                  <wp:posOffset>4577715</wp:posOffset>
                </wp:positionH>
                <wp:positionV relativeFrom="paragraph">
                  <wp:posOffset>-179070</wp:posOffset>
                </wp:positionV>
                <wp:extent cx="802005" cy="226060"/>
                <wp:effectExtent l="0" t="0" r="0" b="2540"/>
                <wp:wrapSquare wrapText="bothSides"/>
                <wp:docPr id="1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226060"/>
                        </a:xfrm>
                        <a:prstGeom prst="rect">
                          <a:avLst/>
                        </a:prstGeom>
                        <a:solidFill>
                          <a:srgbClr val="FFFFFF"/>
                        </a:solidFill>
                        <a:ln w="9525">
                          <a:noFill/>
                          <a:miter lim="800000"/>
                          <a:headEnd/>
                          <a:tailEnd/>
                        </a:ln>
                      </wps:spPr>
                      <wps:txbx>
                        <w:txbxContent>
                          <w:p w:rsidR="00786EF5" w:rsidRPr="004807B7" w:rsidRDefault="00786EF5" w:rsidP="004807B7">
                            <w:pPr>
                              <w:rPr>
                                <w:b/>
                                <w:sz w:val="18"/>
                                <w:szCs w:val="18"/>
                              </w:rPr>
                            </w:pPr>
                            <w:r>
                              <w:rPr>
                                <w:b/>
                                <w:sz w:val="18"/>
                                <w:lang w:val="en-GB" w:bidi="en-GB"/>
                              </w:rPr>
                              <w:t>CZK billions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3226B" id="_x0000_s1032" type="#_x0000_t202" style="position:absolute;left:0;text-align:left;margin-left:360.45pt;margin-top:-14.1pt;width:63.15pt;height:17.8pt;z-index:251715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" stroked="f">
                <v:textbox>
                  <w:txbxContent>
                    <w:p w:rsidR="00786EF5" w:rsidRPr="004807B7" w:rsidRDefault="00786EF5" w:rsidP="004807B7">
                      <w:pPr>
                        <w:rPr>
                          <w:b/>
                          <w:sz w:val="18"/>
                          <w:szCs w:val="18"/>
                        </w:rPr>
                      </w:pPr>
                      <w:r>
                        <w:rPr>
                          <w:b/>
                          <w:sz w:val="18"/>
                          <w:lang w:val="en-GB" w:bidi="en-GB"/>
                        </w:rPr>
                        <w:t>CZK billions</w:t>
                      </w:r>
                    </w:p>
                  </w:txbxContent>
                </v:textbox>
                <w10:wrap type="square"/>
              </v:shape>
            </w:pict>
          </mc:Fallback>
        </mc:AlternateContent>
      </w:r>
    </w:p>
    <w:p w:rsidR="00D3722D" w:rsidRPr="00563CF9" w:rsidRDefault="00D12885" w:rsidP="006900FE">
      <w:pPr>
        <w:spacing w:after="120"/>
        <w:jc w:val="center"/>
        <w:rPr>
          <w:b/>
          <w:lang w:val="en-GB" w:bidi="en-GB"/>
        </w:rPr>
      </w:pPr>
      <w:r w:rsidRPr="00563CF9">
        <w:rPr>
          <w:b/>
          <w:noProof/>
          <w:lang w:val="cs-CZ"/>
        </w:rPr>
        <mc:AlternateContent>
          <mc:Choice Requires="wps">
            <w:drawing>
              <wp:anchor distT="45720" distB="45720" distL="114300" distR="114300" simplePos="0" relativeHeight="251739648" behindDoc="0" locked="0" layoutInCell="1" allowOverlap="1" wp14:anchorId="43B2177A" wp14:editId="47D3E773">
                <wp:simplePos x="0" y="0"/>
                <wp:positionH relativeFrom="column">
                  <wp:posOffset>4853940</wp:posOffset>
                </wp:positionH>
                <wp:positionV relativeFrom="paragraph">
                  <wp:posOffset>658495</wp:posOffset>
                </wp:positionV>
                <wp:extent cx="467360" cy="258445"/>
                <wp:effectExtent l="0" t="0" r="8890" b="8255"/>
                <wp:wrapSquare wrapText="bothSides"/>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258445"/>
                        </a:xfrm>
                        <a:prstGeom prst="rect">
                          <a:avLst/>
                        </a:prstGeom>
                        <a:solidFill>
                          <a:srgbClr val="FFFFFF"/>
                        </a:solidFill>
                        <a:ln w="9525">
                          <a:noFill/>
                          <a:miter lim="800000"/>
                          <a:headEnd/>
                          <a:tailEnd/>
                        </a:ln>
                      </wps:spPr>
                      <wps:txbx>
                        <w:txbxContent>
                          <w:p w:rsidR="00786EF5" w:rsidRPr="004807B7" w:rsidRDefault="00786EF5" w:rsidP="004807B7">
                            <w:pPr>
                              <w:rPr>
                                <w:b/>
                                <w:color w:val="1F497D" w:themeColor="text2"/>
                                <w:sz w:val="18"/>
                                <w:szCs w:val="18"/>
                              </w:rPr>
                            </w:pPr>
                            <w:r>
                              <w:rPr>
                                <w:b/>
                                <w:color w:val="1F497D" w:themeColor="text2"/>
                                <w:sz w:val="18"/>
                                <w:lang w:val="en-GB" w:bidi="en-GB"/>
                              </w:rPr>
                              <w:t>CMH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B2177A" id="_x0000_s1033" type="#_x0000_t202" style="position:absolute;left:0;text-align:left;margin-left:382.2pt;margin-top:51.85pt;width:36.8pt;height:20.35pt;z-index:251739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" stroked="f">
                <v:textbox>
                  <w:txbxContent>
                    <w:p w:rsidR="00786EF5" w:rsidRPr="004807B7" w:rsidRDefault="00786EF5" w:rsidP="004807B7">
                      <w:pPr>
                        <w:rPr>
                          <w:b/>
                          <w:color w:val="1F497D" w:themeColor="text2"/>
                          <w:sz w:val="18"/>
                          <w:szCs w:val="18"/>
                        </w:rPr>
                      </w:pPr>
                      <w:r>
                        <w:rPr>
                          <w:b/>
                          <w:color w:val="1F497D" w:themeColor="text2"/>
                          <w:sz w:val="18"/>
                          <w:lang w:val="en-GB" w:bidi="en-GB"/>
                        </w:rPr>
                        <w:t>CMH</w:t>
                      </w:r>
                    </w:p>
                  </w:txbxContent>
                </v:textbox>
                <w10:wrap type="square"/>
              </v:shape>
            </w:pict>
          </mc:Fallback>
        </mc:AlternateContent>
      </w:r>
      <w:r w:rsidRPr="00563CF9">
        <w:rPr>
          <w:b/>
          <w:noProof/>
          <w:lang w:val="cs-CZ"/>
        </w:rPr>
        <mc:AlternateContent>
          <mc:Choice Requires="wps">
            <w:drawing>
              <wp:anchor distT="45720" distB="45720" distL="114300" distR="114300" simplePos="0" relativeHeight="251731456" behindDoc="0" locked="0" layoutInCell="1" allowOverlap="1" wp14:anchorId="64D27E54" wp14:editId="27630989">
                <wp:simplePos x="0" y="0"/>
                <wp:positionH relativeFrom="column">
                  <wp:posOffset>3732530</wp:posOffset>
                </wp:positionH>
                <wp:positionV relativeFrom="paragraph">
                  <wp:posOffset>633095</wp:posOffset>
                </wp:positionV>
                <wp:extent cx="467360" cy="283845"/>
                <wp:effectExtent l="0" t="0" r="8890" b="1905"/>
                <wp:wrapSquare wrapText="bothSides"/>
                <wp:docPr id="1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283845"/>
                        </a:xfrm>
                        <a:prstGeom prst="rect">
                          <a:avLst/>
                        </a:prstGeom>
                        <a:solidFill>
                          <a:srgbClr val="FFFFFF"/>
                        </a:solidFill>
                        <a:ln w="9525">
                          <a:noFill/>
                          <a:miter lim="800000"/>
                          <a:headEnd/>
                          <a:tailEnd/>
                        </a:ln>
                      </wps:spPr>
                      <wps:txbx>
                        <w:txbxContent>
                          <w:p w:rsidR="00786EF5" w:rsidRPr="004807B7" w:rsidRDefault="00786EF5" w:rsidP="004807B7">
                            <w:pPr>
                              <w:rPr>
                                <w:b/>
                                <w:color w:val="1F497D" w:themeColor="text2"/>
                                <w:sz w:val="18"/>
                                <w:szCs w:val="18"/>
                              </w:rPr>
                            </w:pPr>
                            <w:r w:rsidRPr="004807B7">
                              <w:rPr>
                                <w:b/>
                                <w:color w:val="1F497D" w:themeColor="text2"/>
                                <w:sz w:val="18"/>
                                <w:lang w:val="en-GB" w:bidi="en-GB"/>
                              </w:rPr>
                              <w:t>MUH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27E54" id="_x0000_s1034" type="#_x0000_t202" style="position:absolute;left:0;text-align:left;margin-left:293.9pt;margin-top:49.85pt;width:36.8pt;height:22.35pt;z-index:251731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" stroked="f">
                <v:textbox>
                  <w:txbxContent>
                    <w:p w:rsidR="00786EF5" w:rsidRPr="004807B7" w:rsidRDefault="00786EF5" w:rsidP="004807B7">
                      <w:pPr>
                        <w:rPr>
                          <w:b/>
                          <w:color w:val="1F497D" w:themeColor="text2"/>
                          <w:sz w:val="18"/>
                          <w:szCs w:val="18"/>
                        </w:rPr>
                      </w:pPr>
                      <w:r w:rsidRPr="004807B7">
                        <w:rPr>
                          <w:b/>
                          <w:color w:val="1F497D" w:themeColor="text2"/>
                          <w:sz w:val="18"/>
                          <w:lang w:val="en-GB" w:bidi="en-GB"/>
                        </w:rPr>
                        <w:t>MUH</w:t>
                      </w:r>
                    </w:p>
                  </w:txbxContent>
                </v:textbox>
                <w10:wrap type="square"/>
              </v:shape>
            </w:pict>
          </mc:Fallback>
        </mc:AlternateContent>
      </w:r>
      <w:r w:rsidRPr="00563CF9">
        <w:rPr>
          <w:b/>
          <w:noProof/>
          <w:lang w:val="cs-CZ"/>
        </w:rPr>
        <mc:AlternateContent>
          <mc:Choice Requires="wps">
            <w:drawing>
              <wp:anchor distT="45720" distB="45720" distL="114300" distR="114300" simplePos="0" relativeHeight="251723264" behindDoc="0" locked="0" layoutInCell="1" allowOverlap="1" wp14:anchorId="45BB173B" wp14:editId="1D718FAF">
                <wp:simplePos x="0" y="0"/>
                <wp:positionH relativeFrom="column">
                  <wp:posOffset>2533015</wp:posOffset>
                </wp:positionH>
                <wp:positionV relativeFrom="paragraph">
                  <wp:posOffset>658495</wp:posOffset>
                </wp:positionV>
                <wp:extent cx="467360" cy="258445"/>
                <wp:effectExtent l="0" t="0" r="8890" b="8255"/>
                <wp:wrapSquare wrapText="bothSides"/>
                <wp:docPr id="1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258445"/>
                        </a:xfrm>
                        <a:prstGeom prst="rect">
                          <a:avLst/>
                        </a:prstGeom>
                        <a:solidFill>
                          <a:srgbClr val="FFFFFF"/>
                        </a:solidFill>
                        <a:ln w="9525">
                          <a:noFill/>
                          <a:miter lim="800000"/>
                          <a:headEnd/>
                          <a:tailEnd/>
                        </a:ln>
                      </wps:spPr>
                      <wps:txbx>
                        <w:txbxContent>
                          <w:p w:rsidR="00786EF5" w:rsidRPr="004807B7" w:rsidRDefault="00786EF5" w:rsidP="004807B7">
                            <w:pPr>
                              <w:rPr>
                                <w:b/>
                                <w:color w:val="1F497D" w:themeColor="text2"/>
                                <w:sz w:val="18"/>
                                <w:szCs w:val="18"/>
                              </w:rPr>
                            </w:pPr>
                            <w:r w:rsidRPr="004807B7">
                              <w:rPr>
                                <w:b/>
                                <w:color w:val="1F497D" w:themeColor="text2"/>
                                <w:sz w:val="18"/>
                                <w:lang w:val="en-GB" w:bidi="en-GB"/>
                              </w:rPr>
                              <w:t>BUH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BB173B" id="_x0000_s1035" type="#_x0000_t202" style="position:absolute;left:0;text-align:left;margin-left:199.45pt;margin-top:51.85pt;width:36.8pt;height:20.35pt;z-index:251723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" stroked="f">
                <v:textbox>
                  <w:txbxContent>
                    <w:p w:rsidR="00786EF5" w:rsidRPr="004807B7" w:rsidRDefault="00786EF5" w:rsidP="004807B7">
                      <w:pPr>
                        <w:rPr>
                          <w:b/>
                          <w:color w:val="1F497D" w:themeColor="text2"/>
                          <w:sz w:val="18"/>
                          <w:szCs w:val="18"/>
                        </w:rPr>
                      </w:pPr>
                      <w:r w:rsidRPr="004807B7">
                        <w:rPr>
                          <w:b/>
                          <w:color w:val="1F497D" w:themeColor="text2"/>
                          <w:sz w:val="18"/>
                          <w:lang w:val="en-GB" w:bidi="en-GB"/>
                        </w:rPr>
                        <w:t>BUH</w:t>
                      </w:r>
                    </w:p>
                  </w:txbxContent>
                </v:textbox>
                <w10:wrap type="square"/>
              </v:shape>
            </w:pict>
          </mc:Fallback>
        </mc:AlternateContent>
      </w:r>
      <w:r w:rsidRPr="00563CF9">
        <w:rPr>
          <w:b/>
          <w:noProof/>
          <w:lang w:val="cs-CZ"/>
        </w:rPr>
        <mc:AlternateContent>
          <mc:Choice Requires="wps">
            <w:drawing>
              <wp:anchor distT="45720" distB="45720" distL="114300" distR="114300" simplePos="0" relativeHeight="251780608" behindDoc="0" locked="0" layoutInCell="1" allowOverlap="1" wp14:anchorId="03377900" wp14:editId="28A1E7EB">
                <wp:simplePos x="0" y="0"/>
                <wp:positionH relativeFrom="column">
                  <wp:posOffset>652780</wp:posOffset>
                </wp:positionH>
                <wp:positionV relativeFrom="paragraph">
                  <wp:posOffset>2573655</wp:posOffset>
                </wp:positionV>
                <wp:extent cx="1243965" cy="499745"/>
                <wp:effectExtent l="0" t="0" r="0" b="0"/>
                <wp:wrapSquare wrapText="bothSides"/>
                <wp:docPr id="1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965" cy="499745"/>
                        </a:xfrm>
                        <a:prstGeom prst="rect">
                          <a:avLst/>
                        </a:prstGeom>
                        <a:solidFill>
                          <a:srgbClr val="FFFFFF"/>
                        </a:solidFill>
                        <a:ln w="9525">
                          <a:noFill/>
                          <a:miter lim="800000"/>
                          <a:headEnd/>
                          <a:tailEnd/>
                        </a:ln>
                      </wps:spPr>
                      <wps:txbx>
                        <w:txbxContent>
                          <w:p w:rsidR="00786EF5" w:rsidRPr="004807B7" w:rsidRDefault="00786EF5" w:rsidP="002C3E65">
                            <w:pPr>
                              <w:jc w:val="left"/>
                              <w:rPr>
                                <w:b/>
                                <w:sz w:val="18"/>
                                <w:szCs w:val="18"/>
                              </w:rPr>
                            </w:pPr>
                            <w:r>
                              <w:rPr>
                                <w:b/>
                                <w:sz w:val="18"/>
                                <w:lang w:val="en-GB" w:bidi="en-GB"/>
                              </w:rPr>
                              <w:t>Purchase of medical devices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377900" id="_x0000_s1036" type="#_x0000_t202" style="position:absolute;left:0;text-align:left;margin-left:51.4pt;margin-top:202.65pt;width:97.95pt;height:39.35pt;z-index:251780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" stroked="f">
                <v:textbox>
                  <w:txbxContent>
                    <w:p w:rsidR="00786EF5" w:rsidRPr="004807B7" w:rsidRDefault="00786EF5" w:rsidP="002C3E65">
                      <w:pPr>
                        <w:jc w:val="left"/>
                        <w:rPr>
                          <w:b/>
                          <w:sz w:val="18"/>
                          <w:szCs w:val="18"/>
                        </w:rPr>
                      </w:pPr>
                      <w:r>
                        <w:rPr>
                          <w:b/>
                          <w:sz w:val="18"/>
                          <w:lang w:val="en-GB" w:bidi="en-GB"/>
                        </w:rPr>
                        <w:t>Purchase of medical devices</w:t>
                      </w:r>
                    </w:p>
                  </w:txbxContent>
                </v:textbox>
                <w10:wrap type="square"/>
              </v:shape>
            </w:pict>
          </mc:Fallback>
        </mc:AlternateContent>
      </w:r>
      <w:r w:rsidRPr="00563CF9">
        <w:rPr>
          <w:b/>
          <w:noProof/>
          <w:lang w:val="cs-CZ"/>
        </w:rPr>
        <mc:AlternateContent>
          <mc:Choice Requires="wps">
            <w:drawing>
              <wp:anchor distT="45720" distB="45720" distL="114300" distR="114300" simplePos="0" relativeHeight="251751936" behindDoc="0" locked="0" layoutInCell="1" allowOverlap="1" wp14:anchorId="33E73BA7" wp14:editId="664AF6D0">
                <wp:simplePos x="0" y="0"/>
                <wp:positionH relativeFrom="column">
                  <wp:posOffset>626745</wp:posOffset>
                </wp:positionH>
                <wp:positionV relativeFrom="paragraph">
                  <wp:posOffset>1141730</wp:posOffset>
                </wp:positionV>
                <wp:extent cx="1329055" cy="405130"/>
                <wp:effectExtent l="0" t="0" r="4445" b="0"/>
                <wp:wrapSquare wrapText="bothSides"/>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405130"/>
                        </a:xfrm>
                        <a:prstGeom prst="rect">
                          <a:avLst/>
                        </a:prstGeom>
                        <a:solidFill>
                          <a:srgbClr val="FFFFFF"/>
                        </a:solidFill>
                        <a:ln w="9525">
                          <a:noFill/>
                          <a:miter lim="800000"/>
                          <a:headEnd/>
                          <a:tailEnd/>
                        </a:ln>
                      </wps:spPr>
                      <wps:txbx>
                        <w:txbxContent>
                          <w:p w:rsidR="00786EF5" w:rsidRPr="004807B7" w:rsidRDefault="00786EF5" w:rsidP="002C3E65">
                            <w:pPr>
                              <w:jc w:val="left"/>
                              <w:rPr>
                                <w:b/>
                                <w:sz w:val="18"/>
                                <w:szCs w:val="18"/>
                              </w:rPr>
                            </w:pPr>
                            <w:r>
                              <w:rPr>
                                <w:b/>
                                <w:sz w:val="18"/>
                                <w:lang w:val="en-GB" w:bidi="en-GB"/>
                              </w:rPr>
                              <w:t>Purchase of centric drugs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73BA7" id="_x0000_s1037" type="#_x0000_t202" style="position:absolute;left:0;text-align:left;margin-left:49.35pt;margin-top:89.9pt;width:104.65pt;height:31.9pt;z-index:251751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" stroked="f">
                <v:textbox>
                  <w:txbxContent>
                    <w:p w:rsidR="00786EF5" w:rsidRPr="004807B7" w:rsidRDefault="00786EF5" w:rsidP="002C3E65">
                      <w:pPr>
                        <w:jc w:val="left"/>
                        <w:rPr>
                          <w:b/>
                          <w:sz w:val="18"/>
                          <w:szCs w:val="18"/>
                        </w:rPr>
                      </w:pPr>
                      <w:r>
                        <w:rPr>
                          <w:b/>
                          <w:sz w:val="18"/>
                          <w:lang w:val="en-GB" w:bidi="en-GB"/>
                        </w:rPr>
                        <w:t>Purchase of centric drugs</w:t>
                      </w:r>
                    </w:p>
                  </w:txbxContent>
                </v:textbox>
                <w10:wrap type="square"/>
              </v:shape>
            </w:pict>
          </mc:Fallback>
        </mc:AlternateContent>
      </w:r>
      <w:r w:rsidRPr="00563CF9">
        <w:rPr>
          <w:b/>
          <w:noProof/>
          <w:lang w:val="cs-CZ"/>
        </w:rPr>
        <mc:AlternateContent>
          <mc:Choice Requires="wps">
            <w:drawing>
              <wp:anchor distT="45720" distB="45720" distL="114300" distR="114300" simplePos="0" relativeHeight="251766272" behindDoc="0" locked="0" layoutInCell="1" allowOverlap="1" wp14:anchorId="5491D7FD" wp14:editId="64EB7E99">
                <wp:simplePos x="0" y="0"/>
                <wp:positionH relativeFrom="column">
                  <wp:posOffset>609600</wp:posOffset>
                </wp:positionH>
                <wp:positionV relativeFrom="paragraph">
                  <wp:posOffset>1866265</wp:posOffset>
                </wp:positionV>
                <wp:extent cx="1753870" cy="422275"/>
                <wp:effectExtent l="0" t="0" r="0" b="0"/>
                <wp:wrapSquare wrapText="bothSides"/>
                <wp:docPr id="1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870" cy="422275"/>
                        </a:xfrm>
                        <a:prstGeom prst="rect">
                          <a:avLst/>
                        </a:prstGeom>
                        <a:solidFill>
                          <a:srgbClr val="FFFFFF"/>
                        </a:solidFill>
                        <a:ln w="9525">
                          <a:noFill/>
                          <a:miter lim="800000"/>
                          <a:headEnd/>
                          <a:tailEnd/>
                        </a:ln>
                      </wps:spPr>
                      <wps:txbx>
                        <w:txbxContent>
                          <w:p w:rsidR="00786EF5" w:rsidRPr="004807B7" w:rsidRDefault="00786EF5" w:rsidP="002C3E65">
                            <w:pPr>
                              <w:jc w:val="left"/>
                              <w:rPr>
                                <w:b/>
                                <w:sz w:val="18"/>
                                <w:szCs w:val="18"/>
                              </w:rPr>
                            </w:pPr>
                            <w:r>
                              <w:rPr>
                                <w:b/>
                                <w:sz w:val="18"/>
                                <w:lang w:val="en-GB" w:bidi="en-GB"/>
                              </w:rPr>
                              <w:t>Purchase of ATC-J medicinal products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1D7FD" id="_x0000_s1038" type="#_x0000_t202" style="position:absolute;left:0;text-align:left;margin-left:48pt;margin-top:146.95pt;width:138.1pt;height:33.25pt;z-index:251766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" stroked="f">
                <v:textbox>
                  <w:txbxContent>
                    <w:p w:rsidR="00786EF5" w:rsidRPr="004807B7" w:rsidRDefault="00786EF5" w:rsidP="002C3E65">
                      <w:pPr>
                        <w:jc w:val="left"/>
                        <w:rPr>
                          <w:b/>
                          <w:sz w:val="18"/>
                          <w:szCs w:val="18"/>
                        </w:rPr>
                      </w:pPr>
                      <w:r>
                        <w:rPr>
                          <w:b/>
                          <w:sz w:val="18"/>
                          <w:lang w:val="en-GB" w:bidi="en-GB"/>
                        </w:rPr>
                        <w:t>Purchase of ATC-J medicinal products</w:t>
                      </w:r>
                    </w:p>
                  </w:txbxContent>
                </v:textbox>
                <w10:wrap type="square"/>
              </v:shape>
            </w:pict>
          </mc:Fallback>
        </mc:AlternateContent>
      </w:r>
      <w:r w:rsidR="00BA09ED" w:rsidRPr="00563CF9">
        <w:rPr>
          <w:noProof/>
          <w:lang w:val="cs-CZ"/>
        </w:rPr>
        <w:drawing>
          <wp:anchor distT="0" distB="0" distL="114300" distR="114300" simplePos="0" relativeHeight="251557376" behindDoc="0" locked="0" layoutInCell="1" allowOverlap="1" wp14:anchorId="4D0C5065" wp14:editId="3964A925">
            <wp:simplePos x="0" y="0"/>
            <wp:positionH relativeFrom="margin">
              <wp:posOffset>180975</wp:posOffset>
            </wp:positionH>
            <wp:positionV relativeFrom="paragraph">
              <wp:posOffset>634365</wp:posOffset>
            </wp:positionV>
            <wp:extent cx="5220000" cy="2465121"/>
            <wp:effectExtent l="0" t="0" r="0" b="0"/>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éma A2.png"/>
                    <pic:cNvPicPr/>
                  </pic:nvPicPr>
                  <pic:blipFill rotWithShape="1">
                    <a:blip r:embed="rId13" cstate="print">
                      <a:extLst>
                        <a:ext uri="{28A0092B-C50C-407E-A947-70E740481C1C}">
                          <a14:useLocalDpi xmlns:a14="http://schemas.microsoft.com/office/drawing/2010/main" val="0"/>
                        </a:ext>
                      </a:extLst>
                    </a:blip>
                    <a:srcRect t="-3471" b="-1"/>
                    <a:stretch/>
                  </pic:blipFill>
                  <pic:spPr bwMode="auto">
                    <a:xfrm>
                      <a:off x="0" y="0"/>
                      <a:ext cx="5220000" cy="24651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3BA7" w:rsidRPr="00563CF9">
        <w:rPr>
          <w:b/>
          <w:lang w:val="en-GB" w:bidi="en-GB"/>
        </w:rPr>
        <w:t>Procurement</w:t>
      </w:r>
      <w:r w:rsidR="006900FE" w:rsidRPr="00563CF9">
        <w:rPr>
          <w:b/>
          <w:lang w:val="en-GB" w:bidi="en-GB"/>
        </w:rPr>
        <w:t xml:space="preserve"> </w:t>
      </w:r>
      <w:r w:rsidR="00783BA7" w:rsidRPr="00563CF9">
        <w:rPr>
          <w:b/>
          <w:lang w:val="en-GB" w:bidi="en-GB"/>
        </w:rPr>
        <w:t>procedures under the Public Contract Act on an audited sample of selected matching medicinal products and medical devices</w:t>
      </w:r>
      <w:r w:rsidR="006900FE" w:rsidRPr="00563CF9">
        <w:rPr>
          <w:b/>
          <w:lang w:val="en-GB" w:bidi="en-GB"/>
        </w:rPr>
        <w:t xml:space="preserve"> </w:t>
      </w:r>
      <w:r w:rsidR="00783BA7" w:rsidRPr="00563CF9">
        <w:rPr>
          <w:b/>
          <w:lang w:val="en-GB" w:bidi="en-GB"/>
        </w:rPr>
        <w:t>between 2014 and 2016</w:t>
      </w:r>
    </w:p>
    <w:p w:rsidR="006900FE" w:rsidRPr="00563CF9" w:rsidRDefault="006900FE" w:rsidP="006900FE">
      <w:pPr>
        <w:spacing w:after="120"/>
        <w:jc w:val="center"/>
        <w:rPr>
          <w:b/>
          <w:lang w:val="en-GB"/>
        </w:rPr>
      </w:pPr>
    </w:p>
    <w:p w:rsidR="003444DE" w:rsidRPr="00563CF9" w:rsidRDefault="002373B2" w:rsidP="003444DE">
      <w:pPr>
        <w:spacing w:after="120"/>
        <w:jc w:val="left"/>
        <w:rPr>
          <w:b/>
          <w:szCs w:val="24"/>
          <w:lang w:val="en-GB" w:bidi="en-GB"/>
        </w:rPr>
      </w:pPr>
      <w:r w:rsidRPr="00563CF9">
        <w:rPr>
          <w:b/>
          <w:szCs w:val="24"/>
          <w:lang w:val="en-GB" w:bidi="en-GB"/>
        </w:rPr>
        <w:t>Significant price differences for selected drugs and medical devices</w:t>
      </w:r>
      <w:r w:rsidR="003444DE" w:rsidRPr="00563CF9">
        <w:rPr>
          <w:b/>
          <w:szCs w:val="24"/>
          <w:lang w:val="en-GB" w:bidi="en-GB"/>
        </w:rPr>
        <w:t xml:space="preserve"> on the audited sample</w:t>
      </w:r>
      <w:r w:rsidRPr="00563CF9">
        <w:rPr>
          <w:b/>
          <w:szCs w:val="24"/>
          <w:lang w:val="en-GB" w:bidi="en-GB"/>
        </w:rPr>
        <w:t xml:space="preserve"> </w:t>
      </w:r>
    </w:p>
    <w:p w:rsidR="004807B7" w:rsidRPr="00432C2D" w:rsidRDefault="00786EF5" w:rsidP="00432C2D">
      <w:pPr>
        <w:spacing w:after="120"/>
        <w:jc w:val="left"/>
        <w:rPr>
          <w:b/>
          <w:szCs w:val="24"/>
          <w:lang w:val="en-GB" w:bidi="en-GB"/>
        </w:rPr>
      </w:pPr>
      <w:r w:rsidRPr="00786EF5">
        <w:rPr>
          <w:b/>
          <w:noProof/>
          <w:szCs w:val="24"/>
          <w:lang w:val="cs-CZ"/>
        </w:rPr>
        <w:drawing>
          <wp:inline distT="0" distB="0" distL="0" distR="0" wp14:anchorId="0C77EB9A" wp14:editId="61F6A1EE">
            <wp:extent cx="5760720" cy="2304412"/>
            <wp:effectExtent l="0" t="0" r="0" b="1270"/>
            <wp:docPr id="17" name="Obrázek 17" descr="C:\Users\LANSKA\AppData\Local\Microsoft\Windows\INetCache\Content.Outlook\4U4K8WPV\Schéma B2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NSKA\AppData\Local\Microsoft\Windows\INetCache\Content.Outlook\4U4K8WPV\Schéma B2_E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2304412"/>
                    </a:xfrm>
                    <a:prstGeom prst="rect">
                      <a:avLst/>
                    </a:prstGeom>
                    <a:noFill/>
                    <a:ln>
                      <a:noFill/>
                    </a:ln>
                  </pic:spPr>
                </pic:pic>
              </a:graphicData>
            </a:graphic>
          </wp:inline>
        </w:drawing>
      </w:r>
    </w:p>
    <w:p w:rsidR="009221B7" w:rsidRPr="00563CF9" w:rsidRDefault="00876EE8" w:rsidP="004C3B13">
      <w:pPr>
        <w:pStyle w:val="Nadpis1"/>
        <w:spacing w:before="240" w:after="240"/>
        <w:jc w:val="center"/>
        <w:rPr>
          <w:spacing w:val="-2"/>
          <w:u w:val="none"/>
          <w:lang w:val="en-GB"/>
        </w:rPr>
      </w:pPr>
      <w:r w:rsidRPr="00563CF9">
        <w:rPr>
          <w:u w:val="none"/>
          <w:lang w:val="en-GB" w:bidi="en-GB"/>
        </w:rPr>
        <w:lastRenderedPageBreak/>
        <w:t>I. Summary and evaluation</w:t>
      </w:r>
    </w:p>
    <w:p w:rsidR="00A57105" w:rsidRPr="00563CF9" w:rsidRDefault="001B2FA9" w:rsidP="00A57105">
      <w:pPr>
        <w:autoSpaceDE w:val="0"/>
        <w:autoSpaceDN w:val="0"/>
        <w:adjustRightInd w:val="0"/>
        <w:spacing w:before="120"/>
        <w:rPr>
          <w:rFonts w:cs="Arial"/>
          <w:color w:val="000000" w:themeColor="text1"/>
          <w:szCs w:val="24"/>
          <w:lang w:val="en-GB"/>
        </w:rPr>
      </w:pPr>
      <w:r w:rsidRPr="00563CF9">
        <w:rPr>
          <w:lang w:val="en-GB" w:bidi="en-GB"/>
        </w:rPr>
        <w:t>The Ministry of Health and its directly managed public-benefit corporations, the Brno University Hospital and the Motol University Hospital, and the Ministry of Defence with its directly managed public-benefit corporation, the Central Military Hospital – Military University Hospital Prague, were subject to the audit. The audit at the university hospitals (also referred to as the “university hospital”) was focused on the spending of funds to cover the costs of activities, especially the purchase of medicinal products (hereinafter also “pharmaceuticals”) and medical devices and some selected services related to the provision of health services. Audit at the ministries concerned primarily the fulfilment of the role of the founder.</w:t>
      </w:r>
    </w:p>
    <w:p w:rsidR="000D4526" w:rsidRPr="00563CF9" w:rsidRDefault="00C45F58" w:rsidP="00A57105">
      <w:pPr>
        <w:autoSpaceDE w:val="0"/>
        <w:autoSpaceDN w:val="0"/>
        <w:adjustRightInd w:val="0"/>
        <w:spacing w:before="120"/>
        <w:rPr>
          <w:rFonts w:cs="Arial"/>
          <w:b/>
          <w:color w:val="000000" w:themeColor="text1"/>
          <w:szCs w:val="24"/>
          <w:lang w:val="en-GB"/>
        </w:rPr>
      </w:pPr>
      <w:r w:rsidRPr="00563CF9">
        <w:rPr>
          <w:b/>
          <w:lang w:val="en-GB" w:bidi="en-GB"/>
        </w:rPr>
        <w:t>The SAO, when auditing the university hospitals, found that the procurement of materials and goods had been expedient but not always cost-effective and in line with legislation. In the case of purchasing services, it was in rare cases purposeless and not always cost-effective and in line with legislation. The ministries in some cases failed to comply with the obligations of the founder in accordance with the law.</w:t>
      </w:r>
    </w:p>
    <w:p w:rsidR="00030C9F" w:rsidRPr="00563CF9" w:rsidRDefault="00DC1A90" w:rsidP="00A57105">
      <w:pPr>
        <w:autoSpaceDE w:val="0"/>
        <w:autoSpaceDN w:val="0"/>
        <w:adjustRightInd w:val="0"/>
        <w:spacing w:before="120"/>
        <w:rPr>
          <w:rFonts w:cs="Arial"/>
          <w:b/>
          <w:color w:val="000000" w:themeColor="text1"/>
          <w:szCs w:val="24"/>
          <w:lang w:val="en-GB"/>
        </w:rPr>
      </w:pPr>
      <w:r w:rsidRPr="00563CF9">
        <w:rPr>
          <w:b/>
          <w:lang w:val="en-GB" w:bidi="en-GB"/>
        </w:rPr>
        <w:t>The SAO, when auditing the university hospitals, found the following:</w:t>
      </w:r>
    </w:p>
    <w:p w:rsidR="00DC1A90" w:rsidRPr="00563CF9" w:rsidRDefault="00FA16FB" w:rsidP="004C3B13">
      <w:pPr>
        <w:autoSpaceDE w:val="0"/>
        <w:autoSpaceDN w:val="0"/>
        <w:adjustRightInd w:val="0"/>
        <w:spacing w:before="240" w:after="120"/>
        <w:rPr>
          <w:rFonts w:cs="Arial"/>
          <w:b/>
          <w:color w:val="000000" w:themeColor="text1"/>
          <w:szCs w:val="24"/>
          <w:lang w:val="en-GB"/>
        </w:rPr>
      </w:pPr>
      <w:r w:rsidRPr="00563CF9">
        <w:rPr>
          <w:b/>
          <w:lang w:val="en-GB" w:bidi="en-GB"/>
        </w:rPr>
        <w:t>Management of university hospitals</w:t>
      </w:r>
    </w:p>
    <w:p w:rsidR="007D1CB6" w:rsidRPr="00563CF9" w:rsidRDefault="00D356C2" w:rsidP="007D1CB6">
      <w:pPr>
        <w:autoSpaceDE w:val="0"/>
        <w:autoSpaceDN w:val="0"/>
        <w:adjustRightInd w:val="0"/>
        <w:spacing w:before="120"/>
        <w:rPr>
          <w:lang w:val="en-GB" w:bidi="en-GB"/>
        </w:rPr>
      </w:pPr>
      <w:r w:rsidRPr="00563CF9">
        <w:rPr>
          <w:lang w:val="en-GB" w:bidi="en-GB"/>
        </w:rPr>
        <w:t>In the period under review 2014 to 2016, all the university hospitals reported a positive economic result, with the result of their main activities being loss for all the university hospitals. During the same period, the university hospitals reported pharmaceuticals costs</w:t>
      </w:r>
      <w:r w:rsidR="00477D25" w:rsidRPr="00563CF9">
        <w:rPr>
          <w:rStyle w:val="Znakapoznpodarou"/>
          <w:lang w:val="en-GB" w:bidi="en-GB"/>
        </w:rPr>
        <w:footnoteReference w:id="1"/>
      </w:r>
      <w:r w:rsidRPr="00563CF9">
        <w:rPr>
          <w:lang w:val="en-GB" w:bidi="en-GB"/>
        </w:rPr>
        <w:t xml:space="preserve"> in the amount of CZK 10,119,550,787.26 and costs of medical devices</w:t>
      </w:r>
      <w:r w:rsidR="00477D25" w:rsidRPr="00563CF9">
        <w:rPr>
          <w:rStyle w:val="Znakapoznpodarou"/>
          <w:lang w:val="en-GB" w:bidi="en-GB"/>
        </w:rPr>
        <w:footnoteReference w:id="2"/>
      </w:r>
      <w:r w:rsidRPr="00563CF9">
        <w:rPr>
          <w:lang w:val="en-GB" w:bidi="en-GB"/>
        </w:rPr>
        <w:t xml:space="preserve"> in the amount of CZK 5,760,835,833.28.</w:t>
      </w:r>
    </w:p>
    <w:p w:rsidR="002C3E65" w:rsidRPr="00563CF9" w:rsidRDefault="002C3E65" w:rsidP="007D1CB6">
      <w:pPr>
        <w:autoSpaceDE w:val="0"/>
        <w:autoSpaceDN w:val="0"/>
        <w:adjustRightInd w:val="0"/>
        <w:spacing w:before="120"/>
        <w:rPr>
          <w:rFonts w:cs="Arial"/>
          <w:lang w:val="en-GB"/>
        </w:rPr>
      </w:pPr>
    </w:p>
    <w:p w:rsidR="00AA7F15" w:rsidRPr="00563CF9" w:rsidRDefault="00AA7F15" w:rsidP="004C3B13">
      <w:pPr>
        <w:autoSpaceDE w:val="0"/>
        <w:autoSpaceDN w:val="0"/>
        <w:adjustRightInd w:val="0"/>
        <w:spacing w:before="240" w:after="120"/>
        <w:rPr>
          <w:rFonts w:cs="Arial"/>
          <w:b/>
          <w:color w:val="000000" w:themeColor="text1"/>
          <w:szCs w:val="24"/>
          <w:lang w:val="en-GB"/>
        </w:rPr>
      </w:pPr>
      <w:r w:rsidRPr="00563CF9">
        <w:rPr>
          <w:b/>
          <w:lang w:val="en-GB" w:bidi="en-GB"/>
        </w:rPr>
        <w:t>Acquisition of pharmaceuticals and medical devices</w:t>
      </w:r>
    </w:p>
    <w:p w:rsidR="002F713B" w:rsidRPr="00563CF9" w:rsidRDefault="009E7DFC" w:rsidP="002F713B">
      <w:pPr>
        <w:autoSpaceDE w:val="0"/>
        <w:autoSpaceDN w:val="0"/>
        <w:adjustRightInd w:val="0"/>
        <w:spacing w:before="120"/>
        <w:rPr>
          <w:rFonts w:cs="Arial"/>
          <w:b/>
          <w:lang w:val="en-GB"/>
        </w:rPr>
      </w:pPr>
      <w:r w:rsidRPr="00563CF9">
        <w:rPr>
          <w:b/>
          <w:lang w:val="en-GB" w:bidi="en-GB"/>
        </w:rPr>
        <w:t>The SAO sees room for cost reduction in the procurement of pharmaceuticals and medical devices and for a transparent procedure when selecting their suppliers in a larger application of the procurement procedure pursuant to the Public Procurement Act</w:t>
      </w:r>
      <w:r w:rsidRPr="00563CF9">
        <w:rPr>
          <w:rStyle w:val="Znakapoznpodarou"/>
          <w:b/>
          <w:lang w:val="en-GB" w:bidi="en-GB"/>
        </w:rPr>
        <w:footnoteReference w:id="3"/>
      </w:r>
      <w:r w:rsidRPr="00563CF9">
        <w:rPr>
          <w:b/>
          <w:lang w:val="en-GB" w:bidi="en-GB"/>
        </w:rPr>
        <w:t xml:space="preserve">. </w:t>
      </w:r>
      <w:r w:rsidRPr="00563CF9">
        <w:rPr>
          <w:lang w:val="en-GB" w:bidi="en-GB"/>
        </w:rPr>
        <w:t>University hospitals are the contracting authorities</w:t>
      </w:r>
      <w:r w:rsidR="0071152D" w:rsidRPr="00563CF9">
        <w:rPr>
          <w:rStyle w:val="Znakapoznpodarou"/>
          <w:lang w:val="en-GB" w:bidi="en-GB"/>
        </w:rPr>
        <w:footnoteReference w:id="4"/>
      </w:r>
      <w:r w:rsidRPr="00563CF9">
        <w:rPr>
          <w:lang w:val="en-GB" w:bidi="en-GB"/>
        </w:rPr>
        <w:t xml:space="preserve"> and were obliged to select suppliers according to the estimated value of the public contract in one of the procurement procedure schemes under the Public Contract Act. University hospitals purchased pharmaceuticals in some cases on the basis of procurement procedures or made purchases directly from suppliers. Due to the wide portfolio of used pharmaceuticals and medical devices, the attempt to ensure the vital functions of patients, the existence of a single manufacturer in the market or an unsuccessful tender procedure, it was not always possible for the university hospitals to select a supplier according to the tender procedure. The comparison of the share of the executed public contracts in the sample (centric drugs, ATC – J pharmaceuticals</w:t>
      </w:r>
      <w:r w:rsidR="00BC2245" w:rsidRPr="00563CF9">
        <w:rPr>
          <w:rStyle w:val="Znakapoznpodarou"/>
          <w:lang w:val="en-GB" w:bidi="en-GB"/>
        </w:rPr>
        <w:footnoteReference w:id="5"/>
      </w:r>
      <w:r w:rsidRPr="00563CF9">
        <w:rPr>
          <w:lang w:val="en-GB" w:bidi="en-GB"/>
        </w:rPr>
        <w:t xml:space="preserve"> and medical devices) for the period 2014-2016 shows that the proportion of supplies outside the tender procedure is considerable, even though all the university hospitals provided reasons for purchasing pharmaceuticals and medical supplies (excluding the BUH) without a tender procedure.</w:t>
      </w:r>
    </w:p>
    <w:p w:rsidR="009F69E7" w:rsidRPr="00563CF9" w:rsidRDefault="009F69E7" w:rsidP="009F69E7">
      <w:pPr>
        <w:autoSpaceDE w:val="0"/>
        <w:autoSpaceDN w:val="0"/>
        <w:adjustRightInd w:val="0"/>
        <w:spacing w:before="120"/>
        <w:rPr>
          <w:rFonts w:cs="Arial"/>
          <w:lang w:val="en-GB"/>
        </w:rPr>
      </w:pPr>
      <w:r w:rsidRPr="00563CF9">
        <w:rPr>
          <w:lang w:val="en-GB" w:bidi="en-GB"/>
        </w:rPr>
        <w:t>According to the individual university hospitals, out of the total volume of all purchases of medical devices made between 2014 and 2016, purchases made on the basis of a tender procedure pursuant to the Public Contract Act amounted to 0.42 % in the case of the BUH and 24.38 % in the case of the MUH. The CMH did not monitor the data as this obligation is not provided for by law. Similarly, according to the individual university hospitals, out of the total volume of all purchases of pharmaceuticals made between 2014 and 2016, purchases made on the basis of a tender procedur</w:t>
      </w:r>
      <w:r w:rsidR="00516526">
        <w:rPr>
          <w:lang w:val="en-GB" w:bidi="en-GB"/>
        </w:rPr>
        <w:t xml:space="preserve">e pursuant to the </w:t>
      </w:r>
      <w:r w:rsidRPr="00563CF9">
        <w:rPr>
          <w:lang w:val="en-GB" w:bidi="en-GB"/>
        </w:rPr>
        <w:t xml:space="preserve">Public Contract Act amounted to 9.94 % in the case of the BUH and 20.61 % in the case of the MUH. The CMH did not monitor the data as this obligation is not provided for by law. </w:t>
      </w:r>
    </w:p>
    <w:p w:rsidR="00D949B1" w:rsidRPr="00563CF9" w:rsidRDefault="008A6B0D" w:rsidP="00876EE8">
      <w:pPr>
        <w:autoSpaceDE w:val="0"/>
        <w:autoSpaceDN w:val="0"/>
        <w:adjustRightInd w:val="0"/>
        <w:spacing w:before="120"/>
        <w:rPr>
          <w:rFonts w:cs="Arial"/>
          <w:b/>
          <w:lang w:val="en-GB"/>
        </w:rPr>
      </w:pPr>
      <w:r w:rsidRPr="00563CF9">
        <w:rPr>
          <w:b/>
          <w:lang w:val="en-GB" w:bidi="en-GB"/>
        </w:rPr>
        <w:t xml:space="preserve">The SAO, by </w:t>
      </w:r>
      <w:r w:rsidR="009E4315">
        <w:rPr>
          <w:b/>
          <w:lang w:val="en-GB" w:bidi="en-GB"/>
        </w:rPr>
        <w:t>auditing</w:t>
      </w:r>
      <w:r w:rsidRPr="00563CF9">
        <w:rPr>
          <w:b/>
          <w:lang w:val="en-GB" w:bidi="en-GB"/>
        </w:rPr>
        <w:t xml:space="preserve"> the audit sample, found that the criteria set for the evaluation of the bids had not been uniform for the university hospitals: </w:t>
      </w:r>
    </w:p>
    <w:p w:rsidR="00D949B1" w:rsidRPr="00563CF9" w:rsidRDefault="001C6C81" w:rsidP="00876EE8">
      <w:pPr>
        <w:pStyle w:val="Odstavecseseznamem"/>
        <w:numPr>
          <w:ilvl w:val="0"/>
          <w:numId w:val="27"/>
        </w:numPr>
        <w:autoSpaceDE w:val="0"/>
        <w:autoSpaceDN w:val="0"/>
        <w:adjustRightInd w:val="0"/>
        <w:ind w:left="284" w:hanging="284"/>
        <w:rPr>
          <w:rFonts w:cs="Arial"/>
          <w:color w:val="000000" w:themeColor="text1"/>
          <w:szCs w:val="24"/>
          <w:lang w:val="en-GB"/>
        </w:rPr>
      </w:pPr>
      <w:r w:rsidRPr="00563CF9">
        <w:rPr>
          <w:lang w:val="en-GB" w:bidi="en-GB"/>
        </w:rPr>
        <w:t>The BUH did not compete for any supply of centric drugs and medical supplies.</w:t>
      </w:r>
    </w:p>
    <w:p w:rsidR="00D949B1" w:rsidRPr="00563CF9" w:rsidRDefault="006B3B48" w:rsidP="00876EE8">
      <w:pPr>
        <w:pStyle w:val="Odstavecseseznamem"/>
        <w:numPr>
          <w:ilvl w:val="0"/>
          <w:numId w:val="27"/>
        </w:numPr>
        <w:autoSpaceDE w:val="0"/>
        <w:autoSpaceDN w:val="0"/>
        <w:adjustRightInd w:val="0"/>
        <w:ind w:left="284" w:hanging="284"/>
        <w:rPr>
          <w:rFonts w:cs="Arial"/>
          <w:color w:val="000000" w:themeColor="text1"/>
          <w:lang w:val="en-GB"/>
        </w:rPr>
      </w:pPr>
      <w:r w:rsidRPr="00563CF9">
        <w:rPr>
          <w:lang w:val="en-GB" w:bidi="en-GB"/>
        </w:rPr>
        <w:t>The MUH did not set the price and the bonus at the same time as the evaluation criterion so that the final price was the lowest.</w:t>
      </w:r>
    </w:p>
    <w:p w:rsidR="00A96720" w:rsidRPr="00563CF9" w:rsidRDefault="00493BC6" w:rsidP="00876EE8">
      <w:pPr>
        <w:pStyle w:val="Odstavecseseznamem"/>
        <w:numPr>
          <w:ilvl w:val="0"/>
          <w:numId w:val="27"/>
        </w:numPr>
        <w:autoSpaceDE w:val="0"/>
        <w:autoSpaceDN w:val="0"/>
        <w:adjustRightInd w:val="0"/>
        <w:ind w:left="284" w:hanging="284"/>
        <w:rPr>
          <w:rFonts w:cs="Arial"/>
          <w:lang w:val="en-GB"/>
        </w:rPr>
      </w:pPr>
      <w:r w:rsidRPr="00563CF9">
        <w:rPr>
          <w:lang w:val="en-GB" w:bidi="en-GB"/>
        </w:rPr>
        <w:t xml:space="preserve">In the opinion of the SAO, the tender procedure carried out by the CMH for medical devices where the evaluation criterion was not only the bid price but also the bonus can be considered transparent. (For details see Section IV, paragraphs 1.1 and 1.5, of this Audit Conclusion.) </w:t>
      </w:r>
    </w:p>
    <w:p w:rsidR="00E11420" w:rsidRPr="00563CF9" w:rsidRDefault="00E11420" w:rsidP="00AA7F15">
      <w:pPr>
        <w:autoSpaceDE w:val="0"/>
        <w:autoSpaceDN w:val="0"/>
        <w:adjustRightInd w:val="0"/>
        <w:spacing w:before="120"/>
        <w:rPr>
          <w:rFonts w:cs="Arial"/>
          <w:color w:val="000000" w:themeColor="text1"/>
          <w:szCs w:val="24"/>
          <w:lang w:val="en-GB"/>
        </w:rPr>
      </w:pPr>
      <w:r w:rsidRPr="00563CF9">
        <w:rPr>
          <w:b/>
          <w:lang w:val="en-GB" w:bidi="en-GB"/>
        </w:rPr>
        <w:t>The SAO carried out a comparison of unit purchase prices of the individual university hospitals on an audit sample of the same pharmaceuticals and medical devices and found significant differences in both absolute values ​​and percentages</w:t>
      </w:r>
      <w:r w:rsidRPr="00563CF9">
        <w:rPr>
          <w:lang w:val="en-GB" w:bidi="en-GB"/>
        </w:rPr>
        <w:t>:</w:t>
      </w:r>
    </w:p>
    <w:p w:rsidR="00E11420" w:rsidRPr="00563CF9" w:rsidRDefault="0015677A" w:rsidP="00876EE8">
      <w:pPr>
        <w:pStyle w:val="Odstavecseseznamem"/>
        <w:numPr>
          <w:ilvl w:val="0"/>
          <w:numId w:val="28"/>
        </w:numPr>
        <w:autoSpaceDE w:val="0"/>
        <w:autoSpaceDN w:val="0"/>
        <w:adjustRightInd w:val="0"/>
        <w:ind w:left="284" w:hanging="284"/>
        <w:rPr>
          <w:rFonts w:cs="Arial"/>
          <w:color w:val="000000" w:themeColor="text1"/>
          <w:szCs w:val="24"/>
          <w:lang w:val="en-GB"/>
        </w:rPr>
      </w:pPr>
      <w:r w:rsidRPr="00563CF9">
        <w:rPr>
          <w:lang w:val="en-GB" w:bidi="en-GB"/>
        </w:rPr>
        <w:t>When comparing the purchases of 16 centric drugs that were purchased in the individual years, the SAO found a percentage difference of up to 39.14 % per pack (SÚKL code 0025566; HUMIRA). Absolute differences in unit prices of these selected pharmaceuticals ranged up to CZK 95,210.72 per pack (SÚKL code</w:t>
      </w:r>
      <w:r w:rsidR="00586A57" w:rsidRPr="00563CF9">
        <w:rPr>
          <w:rStyle w:val="Znakapoznpodarou"/>
          <w:lang w:val="en-GB" w:bidi="en-GB"/>
        </w:rPr>
        <w:footnoteReference w:id="6"/>
      </w:r>
      <w:r w:rsidRPr="00563CF9">
        <w:rPr>
          <w:lang w:val="en-GB" w:bidi="en-GB"/>
        </w:rPr>
        <w:t xml:space="preserve"> 0210201; HARVONI).</w:t>
      </w:r>
    </w:p>
    <w:p w:rsidR="000E0A1D" w:rsidRPr="00563CF9" w:rsidRDefault="000E0A1D" w:rsidP="00876EE8">
      <w:pPr>
        <w:pStyle w:val="Odstavecseseznamem"/>
        <w:numPr>
          <w:ilvl w:val="0"/>
          <w:numId w:val="28"/>
        </w:numPr>
        <w:autoSpaceDE w:val="0"/>
        <w:autoSpaceDN w:val="0"/>
        <w:adjustRightInd w:val="0"/>
        <w:ind w:left="284" w:hanging="284"/>
        <w:rPr>
          <w:rFonts w:cs="Arial"/>
          <w:color w:val="000000" w:themeColor="text1"/>
          <w:szCs w:val="24"/>
          <w:lang w:val="en-GB"/>
        </w:rPr>
      </w:pPr>
      <w:r w:rsidRPr="00563CF9">
        <w:rPr>
          <w:lang w:val="en-GB" w:bidi="en-GB"/>
        </w:rPr>
        <w:t>When comparing 19 types of ATC – J pharmaceuticals</w:t>
      </w:r>
      <w:r w:rsidRPr="00563CF9">
        <w:rPr>
          <w:rStyle w:val="Znakapoznpodarou"/>
          <w:lang w:val="en-GB" w:bidi="en-GB"/>
        </w:rPr>
        <w:footnoteReference w:id="7"/>
      </w:r>
      <w:r w:rsidRPr="00563CF9">
        <w:rPr>
          <w:lang w:val="en-GB" w:bidi="en-GB"/>
        </w:rPr>
        <w:t xml:space="preserve"> that were purchased in the individual years, the SAO found a percentage difference of up to 448.93 % per pack (SÚKL code 0003708; ZYVOXID). Absolute differences in unit prices of these selected pharmaceuticals ranged up to CZK 9,496.28 per pack (SÚKL code 0003708; ZYVOXID).</w:t>
      </w:r>
    </w:p>
    <w:p w:rsidR="00E11420" w:rsidRPr="00563CF9" w:rsidRDefault="007D1CB6" w:rsidP="00876EE8">
      <w:pPr>
        <w:pStyle w:val="Odstavecseseznamem"/>
        <w:numPr>
          <w:ilvl w:val="0"/>
          <w:numId w:val="28"/>
        </w:numPr>
        <w:autoSpaceDE w:val="0"/>
        <w:autoSpaceDN w:val="0"/>
        <w:adjustRightInd w:val="0"/>
        <w:ind w:left="284" w:hanging="284"/>
        <w:rPr>
          <w:rFonts w:cs="Arial"/>
          <w:color w:val="000000" w:themeColor="text1"/>
          <w:szCs w:val="24"/>
          <w:lang w:val="en-GB"/>
        </w:rPr>
      </w:pPr>
      <w:r w:rsidRPr="00563CF9">
        <w:rPr>
          <w:lang w:val="en-GB" w:bidi="en-GB"/>
        </w:rPr>
        <w:t>When comparing 20 types of medical supplies that were acquired in the individual years, the SAO found a percentage difference of up to 110 % per unit (medical device code 0059007; ENDO GIA – 60MM – UNIVERSAL CONTAINER, DUET TRISTAPLE ROTICULATING). Absolute differences in unit purchase prices of these selected medical devices varied up to CZK 35,497.26 per unit (medical device code</w:t>
      </w:r>
      <w:r w:rsidR="00B6465F" w:rsidRPr="00563CF9">
        <w:rPr>
          <w:rStyle w:val="Znakapoznpodarou"/>
          <w:lang w:val="en-GB" w:bidi="en-GB"/>
        </w:rPr>
        <w:footnoteReference w:id="8"/>
      </w:r>
      <w:r w:rsidR="00D228D5" w:rsidRPr="00563CF9">
        <w:rPr>
          <w:noProof/>
          <w:lang w:val="en-GB" w:bidi="en-GB"/>
        </w:rPr>
        <w:t xml:space="preserve"> 0192089; STENTGRAFT AORTAL ZENITH LP, BODY).</w:t>
      </w:r>
    </w:p>
    <w:p w:rsidR="000F6DA8" w:rsidRPr="00563CF9" w:rsidRDefault="0015697C" w:rsidP="00876EE8">
      <w:pPr>
        <w:autoSpaceDE w:val="0"/>
        <w:autoSpaceDN w:val="0"/>
        <w:adjustRightInd w:val="0"/>
        <w:spacing w:before="120"/>
        <w:rPr>
          <w:rFonts w:cs="Arial"/>
          <w:color w:val="000000" w:themeColor="text1"/>
          <w:szCs w:val="24"/>
          <w:lang w:val="en-GB"/>
        </w:rPr>
      </w:pPr>
      <w:r w:rsidRPr="00563CF9">
        <w:rPr>
          <w:lang w:val="en-GB" w:bidi="en-GB"/>
        </w:rPr>
        <w:t>Among the university hospitals, in the unit purchase prices of a selected sample of pharmaceuticals and medical devices, there were significant price differences, often even in purchases from the same suppliers. The different prices were affected mainly by discounts from suppliers, the existence of a single manufacturer, the supplier’s shortage, acquisition without a tender procedure, direct distribution by a single supplier, changes in reimbursement, or introduction of a generic</w:t>
      </w:r>
      <w:r w:rsidR="009C04F3" w:rsidRPr="00563CF9">
        <w:rPr>
          <w:rStyle w:val="Znakapoznpodarou"/>
          <w:lang w:val="en-GB" w:bidi="en-GB"/>
        </w:rPr>
        <w:footnoteReference w:id="9"/>
      </w:r>
      <w:r w:rsidRPr="00563CF9">
        <w:rPr>
          <w:lang w:val="en-GB" w:bidi="en-GB"/>
        </w:rPr>
        <w:t xml:space="preserve"> to the market. </w:t>
      </w:r>
      <w:r w:rsidRPr="00563CF9">
        <w:rPr>
          <w:b/>
          <w:lang w:val="en-GB" w:bidi="en-GB"/>
        </w:rPr>
        <w:t xml:space="preserve">The SAO sees room for lowering costs in the considerable price differences in pharmaceuticals and medical devices. </w:t>
      </w:r>
      <w:r w:rsidRPr="00563CF9">
        <w:rPr>
          <w:lang w:val="en-GB" w:bidi="en-GB"/>
        </w:rPr>
        <w:t>(For details see Section IV, paragraphs 1.2 and 1.6, of this Audit Conclusion.)</w:t>
      </w:r>
    </w:p>
    <w:p w:rsidR="00CF51CB" w:rsidRPr="00792103" w:rsidRDefault="001D6B20" w:rsidP="00876EE8">
      <w:pPr>
        <w:autoSpaceDE w:val="0"/>
        <w:autoSpaceDN w:val="0"/>
        <w:adjustRightInd w:val="0"/>
        <w:spacing w:before="120"/>
        <w:rPr>
          <w:lang w:val="en-GB" w:bidi="en-GB"/>
        </w:rPr>
      </w:pPr>
      <w:r w:rsidRPr="00563CF9">
        <w:rPr>
          <w:lang w:val="en-GB" w:bidi="en-GB"/>
        </w:rPr>
        <w:t xml:space="preserve">When purchasing pharmaceuticals and medical devices, the university hospitals received bonuses from suppliers. The volume of bonuses received as well as the share in the related costs differed for each university hospital between 2014 and 2016. This share ranged from 0 % to 5.68 % for pharmaceuticals bonuses and from 0.08 % to 18.96 % for medical device bonuses. E.g. in 2016, bonuses for pharmaceuticals and medical devices for the BUH amounted to CZK 225.5 million, CZK 79.3 million for the MUH and CZK 12.4 million for the CMH. </w:t>
      </w:r>
      <w:r w:rsidRPr="00563CF9">
        <w:rPr>
          <w:b/>
          <w:lang w:val="en-GB" w:bidi="en-GB"/>
        </w:rPr>
        <w:t xml:space="preserve">The healthcare bonus system did not have clear rules when purchasing pharmaceuticals and medical devices. The audit revealed that the concept of bonus was not defined by law and was based on the terms of a specific contractual relationship between the university hospital and the supplier. The university hospitals did not proceed uniformly when negotiating bonuses and using the bonus income. The university hospitals generally concluded bonus contracts separately from the main supply relationship. The university hospitals, with reference to trade secrets, did not disclose the bonus contracts in the register of contracts, including the value of the contracted bonuses. The process of handling bonuses at the university hospitals therefore has non-transparent characteristics for these reasons. </w:t>
      </w:r>
      <w:r w:rsidRPr="00563CF9">
        <w:rPr>
          <w:lang w:val="en-GB" w:bidi="en-GB"/>
        </w:rPr>
        <w:t>(For details see Section IV, paragraphs 1.3 and 1.7, of this Audit Conclusion.)</w:t>
      </w:r>
    </w:p>
    <w:p w:rsidR="007D1CB6" w:rsidRPr="00563CF9" w:rsidRDefault="007D1CB6" w:rsidP="004C3B13">
      <w:pPr>
        <w:autoSpaceDE w:val="0"/>
        <w:autoSpaceDN w:val="0"/>
        <w:adjustRightInd w:val="0"/>
        <w:spacing w:before="240" w:after="120"/>
        <w:rPr>
          <w:rFonts w:cs="Arial"/>
          <w:b/>
          <w:color w:val="000000" w:themeColor="text1"/>
          <w:szCs w:val="24"/>
          <w:lang w:val="en-GB"/>
        </w:rPr>
      </w:pPr>
      <w:r w:rsidRPr="00563CF9">
        <w:rPr>
          <w:b/>
          <w:lang w:val="en-GB" w:bidi="en-GB"/>
        </w:rPr>
        <w:t>Breach of budgetary discipline</w:t>
      </w:r>
    </w:p>
    <w:p w:rsidR="00BB365D" w:rsidRPr="00563CF9" w:rsidRDefault="00BB365D" w:rsidP="00BB365D">
      <w:pPr>
        <w:pStyle w:val="Odstavecseseznamem"/>
        <w:spacing w:before="120"/>
        <w:ind w:left="0"/>
        <w:rPr>
          <w:rFonts w:cstheme="minorHAnsi"/>
          <w:noProof/>
          <w:color w:val="000000" w:themeColor="text1"/>
          <w:szCs w:val="28"/>
          <w:lang w:val="en-GB"/>
        </w:rPr>
      </w:pPr>
      <w:r w:rsidRPr="00563CF9">
        <w:rPr>
          <w:b/>
          <w:noProof/>
          <w:lang w:val="en-GB" w:bidi="en-GB"/>
        </w:rPr>
        <w:t xml:space="preserve">The SAO, when </w:t>
      </w:r>
      <w:r w:rsidR="00D7642B">
        <w:rPr>
          <w:b/>
          <w:noProof/>
          <w:lang w:val="en-GB" w:bidi="en-GB"/>
        </w:rPr>
        <w:t>auditing</w:t>
      </w:r>
      <w:r w:rsidRPr="00563CF9">
        <w:rPr>
          <w:b/>
          <w:noProof/>
          <w:lang w:val="en-GB" w:bidi="en-GB"/>
        </w:rPr>
        <w:t xml:space="preserve"> the procurement of medical devices and waste disposal services, found that the BUH had breached the budgetary discipline</w:t>
      </w:r>
      <w:r w:rsidRPr="00563CF9">
        <w:rPr>
          <w:rStyle w:val="Znakapoznpodarou"/>
          <w:b/>
          <w:noProof/>
          <w:lang w:val="en-GB" w:bidi="en-GB"/>
        </w:rPr>
        <w:footnoteReference w:id="10"/>
      </w:r>
      <w:r w:rsidRPr="00563CF9">
        <w:rPr>
          <w:b/>
          <w:noProof/>
          <w:lang w:val="en-GB" w:bidi="en-GB"/>
        </w:rPr>
        <w:t xml:space="preserve"> by unjustifiably using funds at least equal to:</w:t>
      </w:r>
    </w:p>
    <w:p w:rsidR="00BB365D" w:rsidRPr="00563CF9" w:rsidRDefault="002D15F4" w:rsidP="00876EE8">
      <w:pPr>
        <w:pStyle w:val="Odstavecseseznamem"/>
        <w:numPr>
          <w:ilvl w:val="0"/>
          <w:numId w:val="29"/>
        </w:numPr>
        <w:ind w:left="284" w:hanging="284"/>
        <w:rPr>
          <w:rFonts w:cstheme="minorHAnsi"/>
          <w:noProof/>
          <w:color w:val="000000" w:themeColor="text1"/>
          <w:szCs w:val="28"/>
          <w:lang w:val="en-GB"/>
        </w:rPr>
      </w:pPr>
      <w:r w:rsidRPr="00563CF9">
        <w:rPr>
          <w:noProof/>
          <w:lang w:val="en-GB" w:bidi="en-GB"/>
        </w:rPr>
        <w:t>CZK 8,214,984 including VAT in an above-the-threshold public procurement procedure for a waste disposal contractor because the BUH had not complied with the principle of transparency and had not proceeded in accordance with the law</w:t>
      </w:r>
      <w:r w:rsidR="00BB365D" w:rsidRPr="00563CF9">
        <w:rPr>
          <w:rStyle w:val="Znakapoznpodarou"/>
          <w:noProof/>
          <w:lang w:val="en-GB" w:bidi="en-GB"/>
        </w:rPr>
        <w:footnoteReference w:id="11"/>
      </w:r>
      <w:r w:rsidRPr="00563CF9">
        <w:rPr>
          <w:noProof/>
          <w:lang w:val="en-GB" w:bidi="en-GB"/>
        </w:rPr>
        <w:t xml:space="preserve">; </w:t>
      </w:r>
    </w:p>
    <w:p w:rsidR="00A1420B" w:rsidRPr="00563CF9" w:rsidRDefault="00487942" w:rsidP="00876EE8">
      <w:pPr>
        <w:pStyle w:val="Odstavecseseznamem"/>
        <w:numPr>
          <w:ilvl w:val="0"/>
          <w:numId w:val="29"/>
        </w:numPr>
        <w:ind w:left="284" w:hanging="284"/>
        <w:rPr>
          <w:rFonts w:cstheme="minorHAnsi"/>
          <w:noProof/>
          <w:color w:val="000000" w:themeColor="text1"/>
          <w:szCs w:val="28"/>
          <w:lang w:val="en-GB"/>
        </w:rPr>
      </w:pPr>
      <w:r w:rsidRPr="00563CF9">
        <w:rPr>
          <w:noProof/>
          <w:lang w:val="en-GB" w:bidi="en-GB"/>
        </w:rPr>
        <w:t>CZK 4,598,344.85 including VAT by failing to execute the tender procedure according to the law</w:t>
      </w:r>
      <w:r w:rsidRPr="00563CF9">
        <w:rPr>
          <w:rStyle w:val="Znakapoznpodarou"/>
          <w:noProof/>
          <w:lang w:val="en-GB" w:bidi="en-GB"/>
        </w:rPr>
        <w:footnoteReference w:id="12"/>
      </w:r>
      <w:r w:rsidRPr="00563CF9">
        <w:rPr>
          <w:noProof/>
          <w:lang w:val="en-GB" w:bidi="en-GB"/>
        </w:rPr>
        <w:t xml:space="preserve"> with an above-the-threshold public contract for the supply of specialised medical supplies. (For details see Section IV, paragraphs 1.5 and 1.4, of this Audit Conclusion.)</w:t>
      </w:r>
    </w:p>
    <w:p w:rsidR="008A7B3C" w:rsidRPr="00563CF9" w:rsidRDefault="00877B7A" w:rsidP="004C3B13">
      <w:pPr>
        <w:autoSpaceDE w:val="0"/>
        <w:autoSpaceDN w:val="0"/>
        <w:adjustRightInd w:val="0"/>
        <w:spacing w:before="240" w:after="120"/>
        <w:rPr>
          <w:rFonts w:cs="Arial"/>
          <w:b/>
          <w:color w:val="000000" w:themeColor="text1"/>
          <w:szCs w:val="24"/>
          <w:lang w:val="en-GB"/>
        </w:rPr>
      </w:pPr>
      <w:r w:rsidRPr="00563CF9">
        <w:rPr>
          <w:b/>
          <w:lang w:val="en-GB" w:bidi="en-GB"/>
        </w:rPr>
        <w:t>Uneconomic use of property</w:t>
      </w:r>
    </w:p>
    <w:p w:rsidR="00B608E7" w:rsidRPr="00563CF9" w:rsidRDefault="008A7B3C" w:rsidP="002C48ED">
      <w:pPr>
        <w:pStyle w:val="Odstavecseseznamem"/>
        <w:spacing w:before="120"/>
        <w:ind w:left="0"/>
        <w:rPr>
          <w:rFonts w:cstheme="minorHAnsi"/>
          <w:noProof/>
          <w:color w:val="000000" w:themeColor="text1"/>
          <w:szCs w:val="28"/>
          <w:lang w:val="en-GB"/>
        </w:rPr>
      </w:pPr>
      <w:r w:rsidRPr="00563CF9">
        <w:rPr>
          <w:noProof/>
          <w:lang w:val="en-GB" w:bidi="en-GB"/>
        </w:rPr>
        <w:t xml:space="preserve">The SAO, when </w:t>
      </w:r>
      <w:r w:rsidR="00D7642B">
        <w:rPr>
          <w:noProof/>
          <w:lang w:val="en-GB" w:bidi="en-GB"/>
        </w:rPr>
        <w:t>auditing</w:t>
      </w:r>
      <w:r w:rsidRPr="00563CF9">
        <w:rPr>
          <w:noProof/>
          <w:lang w:val="en-GB" w:bidi="en-GB"/>
        </w:rPr>
        <w:t xml:space="preserve"> the legal services, found that the CMH had used its assets inefficiently</w:t>
      </w:r>
      <w:r w:rsidRPr="00563CF9">
        <w:rPr>
          <w:rStyle w:val="Znakapoznpodarou"/>
          <w:noProof/>
          <w:lang w:val="en-GB" w:bidi="en-GB"/>
        </w:rPr>
        <w:footnoteReference w:id="13"/>
      </w:r>
      <w:r w:rsidRPr="00563CF9">
        <w:rPr>
          <w:noProof/>
          <w:lang w:val="en-GB" w:bidi="en-GB"/>
        </w:rPr>
        <w:t xml:space="preserve"> by not providing conclusive evidence for fifteen invoices for the legal consultations provided, amounting to:</w:t>
      </w:r>
    </w:p>
    <w:p w:rsidR="008A7B3C" w:rsidRPr="00563CF9" w:rsidRDefault="00877B7A" w:rsidP="00876EE8">
      <w:pPr>
        <w:pStyle w:val="Odstavecseseznamem"/>
        <w:numPr>
          <w:ilvl w:val="0"/>
          <w:numId w:val="30"/>
        </w:numPr>
        <w:ind w:left="284" w:hanging="284"/>
        <w:rPr>
          <w:rFonts w:cstheme="minorHAnsi"/>
          <w:noProof/>
          <w:color w:val="000000" w:themeColor="text1"/>
          <w:szCs w:val="28"/>
          <w:lang w:val="en-GB"/>
        </w:rPr>
      </w:pPr>
      <w:r w:rsidRPr="00563CF9">
        <w:rPr>
          <w:noProof/>
          <w:lang w:val="en-GB" w:bidi="en-GB"/>
        </w:rPr>
        <w:t>CZK 819,315.20 including VAT for 2015;</w:t>
      </w:r>
    </w:p>
    <w:p w:rsidR="008F53D1" w:rsidRPr="00563CF9" w:rsidRDefault="006D0E50" w:rsidP="00876EE8">
      <w:pPr>
        <w:pStyle w:val="Odstavecseseznamem"/>
        <w:numPr>
          <w:ilvl w:val="0"/>
          <w:numId w:val="30"/>
        </w:numPr>
        <w:ind w:left="284" w:hanging="284"/>
        <w:rPr>
          <w:rFonts w:cstheme="minorHAnsi"/>
          <w:noProof/>
          <w:color w:val="000000" w:themeColor="text1"/>
          <w:szCs w:val="28"/>
          <w:lang w:val="en-GB"/>
        </w:rPr>
      </w:pPr>
      <w:r w:rsidRPr="00563CF9">
        <w:rPr>
          <w:noProof/>
          <w:lang w:val="en-GB" w:bidi="en-GB"/>
        </w:rPr>
        <w:t>CZK 236,869.60 including VAT for 2016.</w:t>
      </w:r>
    </w:p>
    <w:p w:rsidR="008A7B3C" w:rsidRPr="00563CF9" w:rsidRDefault="00694FD2" w:rsidP="009F4E3E">
      <w:pPr>
        <w:rPr>
          <w:rFonts w:cstheme="minorHAnsi"/>
          <w:noProof/>
          <w:color w:val="000000" w:themeColor="text1"/>
          <w:szCs w:val="28"/>
          <w:lang w:val="en-GB"/>
        </w:rPr>
      </w:pPr>
      <w:r w:rsidRPr="00563CF9">
        <w:rPr>
          <w:lang w:val="en-GB" w:bidi="en-GB"/>
        </w:rPr>
        <w:t>(For details see Section IV, paragraph 1.10, of this Audit Conclusion.)</w:t>
      </w:r>
    </w:p>
    <w:p w:rsidR="004B3940" w:rsidRPr="00563CF9" w:rsidRDefault="004B3940" w:rsidP="005C3828">
      <w:pPr>
        <w:keepNext/>
        <w:spacing w:before="120"/>
        <w:rPr>
          <w:rFonts w:cs="Arial"/>
          <w:b/>
          <w:color w:val="000000" w:themeColor="text1"/>
          <w:szCs w:val="24"/>
          <w:lang w:val="en-GB"/>
        </w:rPr>
      </w:pPr>
      <w:r w:rsidRPr="00563CF9">
        <w:rPr>
          <w:b/>
          <w:lang w:val="en-GB" w:bidi="en-GB"/>
        </w:rPr>
        <w:t xml:space="preserve">The SAO, when </w:t>
      </w:r>
      <w:r w:rsidR="00D7642B">
        <w:rPr>
          <w:b/>
          <w:lang w:val="en-GB" w:bidi="en-GB"/>
        </w:rPr>
        <w:t xml:space="preserve">auditing </w:t>
      </w:r>
      <w:r w:rsidRPr="00563CF9">
        <w:rPr>
          <w:b/>
          <w:lang w:val="en-GB" w:bidi="en-GB"/>
        </w:rPr>
        <w:t xml:space="preserve">the founders, found </w:t>
      </w:r>
      <w:r w:rsidR="00D7642B">
        <w:rPr>
          <w:b/>
          <w:lang w:val="en-GB" w:bidi="en-GB"/>
        </w:rPr>
        <w:t xml:space="preserve">out </w:t>
      </w:r>
      <w:r w:rsidRPr="00563CF9">
        <w:rPr>
          <w:b/>
          <w:lang w:val="en-GB" w:bidi="en-GB"/>
        </w:rPr>
        <w:t>the following:</w:t>
      </w:r>
    </w:p>
    <w:p w:rsidR="00B7675A" w:rsidRPr="00563CF9" w:rsidRDefault="00783607" w:rsidP="00876EE8">
      <w:pPr>
        <w:spacing w:before="120"/>
        <w:rPr>
          <w:rFonts w:cs="Arial"/>
          <w:b/>
          <w:color w:val="000000" w:themeColor="text1"/>
          <w:szCs w:val="24"/>
          <w:lang w:val="en-GB"/>
        </w:rPr>
      </w:pPr>
      <w:r w:rsidRPr="00563CF9">
        <w:rPr>
          <w:b/>
          <w:lang w:val="en-GB" w:bidi="en-GB"/>
        </w:rPr>
        <w:t>The MoH, unlike the MoD, did not have an elaborated concept of development and solution of fundamental issues for the providers of health services in direct management</w:t>
      </w:r>
      <w:r w:rsidR="00D8684F" w:rsidRPr="00563CF9">
        <w:rPr>
          <w:rStyle w:val="Znakapoznpodarou"/>
          <w:b/>
          <w:lang w:val="en-GB" w:bidi="en-GB"/>
        </w:rPr>
        <w:footnoteReference w:id="14"/>
      </w:r>
      <w:r w:rsidRPr="00563CF9">
        <w:rPr>
          <w:b/>
          <w:lang w:val="en-GB" w:bidi="en-GB"/>
        </w:rPr>
        <w:t xml:space="preserve">. </w:t>
      </w:r>
    </w:p>
    <w:p w:rsidR="00B7675A" w:rsidRPr="00563CF9" w:rsidRDefault="00E069A0" w:rsidP="00876EE8">
      <w:pPr>
        <w:spacing w:before="120"/>
        <w:rPr>
          <w:rFonts w:cstheme="minorHAnsi"/>
          <w:b/>
          <w:noProof/>
          <w:color w:val="000000" w:themeColor="text1"/>
          <w:szCs w:val="28"/>
          <w:lang w:val="en-GB"/>
        </w:rPr>
      </w:pPr>
      <w:r w:rsidRPr="00563CF9">
        <w:rPr>
          <w:b/>
          <w:noProof/>
          <w:lang w:val="en-GB" w:bidi="en-GB"/>
        </w:rPr>
        <w:t>The MoH did not act as the founder of the university hospitals in accordance with Act No. 218/2000 Coll.</w:t>
      </w:r>
      <w:r w:rsidR="002815AE" w:rsidRPr="00563CF9">
        <w:rPr>
          <w:rStyle w:val="Znakapoznpodarou"/>
          <w:b/>
          <w:noProof/>
          <w:lang w:val="en-GB" w:bidi="en-GB"/>
        </w:rPr>
        <w:footnoteReference w:id="15"/>
      </w:r>
      <w:r w:rsidRPr="00563CF9">
        <w:rPr>
          <w:b/>
          <w:noProof/>
          <w:lang w:val="en-GB" w:bidi="en-GB"/>
        </w:rPr>
        <w:t xml:space="preserve">, as it did not monitor and evaluate the economy, effectiveness and efficiency of spending at the university hospitals in 2015 and 2016. </w:t>
      </w:r>
    </w:p>
    <w:p w:rsidR="00783607" w:rsidRPr="00563CF9" w:rsidRDefault="00783607" w:rsidP="00876EE8">
      <w:pPr>
        <w:spacing w:before="120"/>
        <w:rPr>
          <w:rFonts w:cs="Arial"/>
          <w:color w:val="000000" w:themeColor="text1"/>
          <w:szCs w:val="24"/>
          <w:lang w:val="en-GB"/>
        </w:rPr>
      </w:pPr>
      <w:r w:rsidRPr="00563CF9">
        <w:rPr>
          <w:b/>
          <w:lang w:val="en-GB" w:bidi="en-GB"/>
        </w:rPr>
        <w:t xml:space="preserve">The Statute of the CMH was not updated by the Ministry of Defence from 1 January 2016 until 19 September 2017. </w:t>
      </w:r>
      <w:r w:rsidRPr="00563CF9">
        <w:rPr>
          <w:lang w:val="en-GB" w:bidi="en-GB"/>
        </w:rPr>
        <w:t>(For details see Section IV, paragraph 2.1, of this Audit Conclusion.)</w:t>
      </w:r>
    </w:p>
    <w:p w:rsidR="00783607" w:rsidRPr="00563CF9" w:rsidRDefault="006D1E1D" w:rsidP="00876EE8">
      <w:pPr>
        <w:autoSpaceDE w:val="0"/>
        <w:autoSpaceDN w:val="0"/>
        <w:adjustRightInd w:val="0"/>
        <w:spacing w:before="120"/>
        <w:rPr>
          <w:rFonts w:cs="Arial"/>
          <w:color w:val="000000" w:themeColor="text1"/>
          <w:szCs w:val="24"/>
          <w:lang w:val="en-GB"/>
        </w:rPr>
      </w:pPr>
      <w:r w:rsidRPr="00563CF9">
        <w:rPr>
          <w:b/>
          <w:lang w:val="en-GB" w:bidi="en-GB"/>
        </w:rPr>
        <w:t>The SAO identified a risk in the area of ​​providing funds to the audited university hospitals by the founders</w:t>
      </w:r>
      <w:r w:rsidR="00B33410" w:rsidRPr="00563CF9">
        <w:rPr>
          <w:rStyle w:val="Znakapoznpodarou"/>
          <w:b/>
          <w:lang w:val="en-GB" w:bidi="en-GB"/>
        </w:rPr>
        <w:footnoteReference w:id="16"/>
      </w:r>
      <w:r w:rsidRPr="00563CF9">
        <w:rPr>
          <w:b/>
          <w:lang w:val="en-GB" w:bidi="en-GB"/>
        </w:rPr>
        <w:t>.</w:t>
      </w:r>
      <w:r w:rsidRPr="00563CF9">
        <w:rPr>
          <w:lang w:val="en-GB" w:bidi="en-GB"/>
        </w:rPr>
        <w:t xml:space="preserve"> During 2016, the MoH issued, within the meaning of Article 106(2) of the</w:t>
      </w:r>
      <w:r w:rsidRPr="00563CF9">
        <w:rPr>
          <w:i/>
          <w:lang w:val="en-GB" w:bidi="en-GB"/>
        </w:rPr>
        <w:t xml:space="preserve"> Treaty on the Functioning of the European Union</w:t>
      </w:r>
      <w:r w:rsidRPr="00563CF9">
        <w:rPr>
          <w:lang w:val="en-GB" w:bidi="en-GB"/>
        </w:rPr>
        <w:t>, a delegation act on services of general economic interest</w:t>
      </w:r>
      <w:r w:rsidR="00783607" w:rsidRPr="00563CF9">
        <w:rPr>
          <w:rStyle w:val="Znakapoznpodarou"/>
          <w:lang w:val="en-GB" w:bidi="en-GB"/>
        </w:rPr>
        <w:footnoteReference w:id="17"/>
      </w:r>
      <w:r w:rsidRPr="00563CF9">
        <w:rPr>
          <w:lang w:val="en-GB" w:bidi="en-GB"/>
        </w:rPr>
        <w:t xml:space="preserve"> for investment at the BUH and the MUH. </w:t>
      </w:r>
      <w:r w:rsidRPr="00563CF9">
        <w:rPr>
          <w:b/>
          <w:lang w:val="en-GB" w:bidi="en-GB"/>
        </w:rPr>
        <w:t xml:space="preserve">The MoD did not in any way address the area related to the provision of funds, although the SAO had already alerted it to the risk in this area as part of Audit No. 15/38. </w:t>
      </w:r>
      <w:r w:rsidRPr="00563CF9">
        <w:rPr>
          <w:lang w:val="en-GB" w:bidi="en-GB"/>
        </w:rPr>
        <w:t>(For details see Section IV, paragraph 2.2, of this Audit Conclusion.)</w:t>
      </w:r>
    </w:p>
    <w:p w:rsidR="004B3940" w:rsidRPr="00563CF9" w:rsidRDefault="00661C4F" w:rsidP="00876EE8">
      <w:pPr>
        <w:autoSpaceDE w:val="0"/>
        <w:autoSpaceDN w:val="0"/>
        <w:adjustRightInd w:val="0"/>
        <w:spacing w:before="120"/>
        <w:rPr>
          <w:rFonts w:cs="Arial"/>
          <w:color w:val="000000" w:themeColor="text1"/>
          <w:szCs w:val="24"/>
          <w:lang w:val="en-GB"/>
        </w:rPr>
      </w:pPr>
      <w:r w:rsidRPr="00563CF9">
        <w:rPr>
          <w:lang w:val="en-GB" w:bidi="en-GB"/>
        </w:rPr>
        <w:t>Unlike the MoD, the MoH regulated the bonus area for directly managed organisations by Order of the Minister No. 3/2013</w:t>
      </w:r>
      <w:r w:rsidRPr="00563CF9">
        <w:rPr>
          <w:rStyle w:val="Znakapoznpodarou"/>
          <w:lang w:val="en-GB" w:bidi="en-GB"/>
        </w:rPr>
        <w:footnoteReference w:id="18"/>
      </w:r>
      <w:r w:rsidRPr="00563CF9">
        <w:rPr>
          <w:lang w:val="en-GB" w:bidi="en-GB"/>
        </w:rPr>
        <w:t>, with only one rule regarding the obligation to draw up written bonus contracts. That order was repealed by Order of the Minister No. 2/2017 of 3 February 2017. The MoH currently adjusted the bonus area by Order of the Minister No. 13/2018</w:t>
      </w:r>
      <w:r w:rsidR="007843F1" w:rsidRPr="00563CF9">
        <w:rPr>
          <w:rStyle w:val="Znakapoznpodarou"/>
          <w:lang w:val="en-GB" w:bidi="en-GB"/>
        </w:rPr>
        <w:footnoteReference w:id="19"/>
      </w:r>
      <w:r w:rsidRPr="00563CF9">
        <w:rPr>
          <w:lang w:val="en-GB" w:bidi="en-GB"/>
        </w:rPr>
        <w:t>, which, in the opinion of the SAO, constituted a response to Audit No. 16/28. (For details see Section IV, paragraph 2.3, of this Audit Conclusion.)</w:t>
      </w:r>
    </w:p>
    <w:p w:rsidR="0093467A" w:rsidRPr="00563CF9" w:rsidRDefault="00BB6DC8" w:rsidP="00876EE8">
      <w:pPr>
        <w:autoSpaceDE w:val="0"/>
        <w:autoSpaceDN w:val="0"/>
        <w:adjustRightInd w:val="0"/>
        <w:spacing w:before="120"/>
        <w:rPr>
          <w:rFonts w:cs="Arial"/>
          <w:color w:val="000000" w:themeColor="text1"/>
          <w:szCs w:val="24"/>
          <w:lang w:val="en-GB"/>
        </w:rPr>
      </w:pPr>
      <w:r w:rsidRPr="00563CF9">
        <w:rPr>
          <w:lang w:val="en-GB" w:bidi="en-GB"/>
        </w:rPr>
        <w:t xml:space="preserve">The BUH is the founder of an endowment fund, through which it received, in the period 2014-2016, pecuniary and material gifts totalling CZK 2,539 thousand. </w:t>
      </w:r>
      <w:r w:rsidRPr="00563CF9">
        <w:rPr>
          <w:b/>
          <w:lang w:val="en-GB" w:bidi="en-GB"/>
        </w:rPr>
        <w:t xml:space="preserve">The SAO identified a risk of a non-transparent environment in receiving these sponsorship donations. </w:t>
      </w:r>
      <w:r w:rsidRPr="00563CF9">
        <w:rPr>
          <w:lang w:val="en-GB" w:bidi="en-GB"/>
        </w:rPr>
        <w:t>(For details see Section IV, paragraph 2.4, of this Audit Conclusion.)</w:t>
      </w:r>
    </w:p>
    <w:p w:rsidR="00503609" w:rsidRPr="00563CF9" w:rsidRDefault="00503609" w:rsidP="00876EE8">
      <w:pPr>
        <w:autoSpaceDE w:val="0"/>
        <w:autoSpaceDN w:val="0"/>
        <w:adjustRightInd w:val="0"/>
        <w:spacing w:before="120"/>
        <w:rPr>
          <w:rFonts w:cs="Arial"/>
          <w:b/>
          <w:color w:val="000000" w:themeColor="text1"/>
          <w:szCs w:val="24"/>
          <w:lang w:val="en-GB"/>
        </w:rPr>
      </w:pPr>
      <w:r w:rsidRPr="00563CF9">
        <w:rPr>
          <w:b/>
          <w:lang w:val="en-GB" w:bidi="en-GB"/>
        </w:rPr>
        <w:t>The SAO recommends, based on the facts ascertained:</w:t>
      </w:r>
    </w:p>
    <w:p w:rsidR="00503609" w:rsidRPr="00563CF9" w:rsidRDefault="00B7675A" w:rsidP="00876EE8">
      <w:pPr>
        <w:pStyle w:val="Odstavecseseznamem"/>
        <w:numPr>
          <w:ilvl w:val="0"/>
          <w:numId w:val="40"/>
        </w:numPr>
        <w:autoSpaceDE w:val="0"/>
        <w:autoSpaceDN w:val="0"/>
        <w:adjustRightInd w:val="0"/>
        <w:ind w:left="284" w:hanging="284"/>
        <w:rPr>
          <w:rFonts w:cs="Arial"/>
          <w:b/>
          <w:color w:val="000000" w:themeColor="text1"/>
          <w:szCs w:val="24"/>
          <w:lang w:val="en-GB"/>
        </w:rPr>
      </w:pPr>
      <w:r w:rsidRPr="00563CF9">
        <w:rPr>
          <w:b/>
          <w:lang w:val="en-GB" w:bidi="en-GB"/>
        </w:rPr>
        <w:t>The university hospitals should acquire pharmaceuticals and medical devices on the basis of procurement procedures, which is a statutory obligation and is a prerequisite for an economical management of funds and a transparent supplier selection;</w:t>
      </w:r>
    </w:p>
    <w:p w:rsidR="00503609" w:rsidRPr="00563CF9" w:rsidRDefault="00B7675A" w:rsidP="00876EE8">
      <w:pPr>
        <w:pStyle w:val="Odstavecseseznamem"/>
        <w:numPr>
          <w:ilvl w:val="0"/>
          <w:numId w:val="40"/>
        </w:numPr>
        <w:autoSpaceDE w:val="0"/>
        <w:autoSpaceDN w:val="0"/>
        <w:adjustRightInd w:val="0"/>
        <w:ind w:left="284" w:hanging="284"/>
        <w:rPr>
          <w:rFonts w:cs="Arial"/>
          <w:b/>
          <w:color w:val="000000" w:themeColor="text1"/>
          <w:szCs w:val="24"/>
          <w:lang w:val="en-GB"/>
        </w:rPr>
      </w:pPr>
      <w:r w:rsidRPr="00563CF9">
        <w:rPr>
          <w:b/>
          <w:lang w:val="en-GB" w:bidi="en-GB"/>
        </w:rPr>
        <w:t>The MoH and the MoD should, in the field of healthcare, clearly establish the rules for the receipt, reporting and handling of bonuses from suppliers;</w:t>
      </w:r>
    </w:p>
    <w:p w:rsidR="00C72F61" w:rsidRPr="00563CF9" w:rsidRDefault="00B7675A" w:rsidP="00876EE8">
      <w:pPr>
        <w:pStyle w:val="Odstavecseseznamem"/>
        <w:numPr>
          <w:ilvl w:val="0"/>
          <w:numId w:val="40"/>
        </w:numPr>
        <w:autoSpaceDE w:val="0"/>
        <w:autoSpaceDN w:val="0"/>
        <w:adjustRightInd w:val="0"/>
        <w:ind w:left="284" w:hanging="284"/>
        <w:rPr>
          <w:rFonts w:cs="Arial"/>
          <w:b/>
          <w:color w:val="000000" w:themeColor="text1"/>
          <w:szCs w:val="24"/>
          <w:lang w:val="en-GB"/>
        </w:rPr>
      </w:pPr>
      <w:r w:rsidRPr="00563CF9">
        <w:rPr>
          <w:b/>
          <w:lang w:val="en-GB" w:bidi="en-GB"/>
        </w:rPr>
        <w:t>In procurement procedures, the university hospitals should set as a criterion not only the price but also, given the nature and complexity of the object of the public contract, the bonus, if any is to be provided;</w:t>
      </w:r>
    </w:p>
    <w:p w:rsidR="002566E0" w:rsidRPr="00563CF9" w:rsidRDefault="00FD35E8" w:rsidP="00876EE8">
      <w:pPr>
        <w:pStyle w:val="Odstavecseseznamem"/>
        <w:numPr>
          <w:ilvl w:val="0"/>
          <w:numId w:val="40"/>
        </w:numPr>
        <w:autoSpaceDE w:val="0"/>
        <w:autoSpaceDN w:val="0"/>
        <w:adjustRightInd w:val="0"/>
        <w:ind w:left="284" w:hanging="284"/>
        <w:rPr>
          <w:rFonts w:cs="Arial"/>
          <w:b/>
          <w:color w:val="000000" w:themeColor="text1"/>
          <w:szCs w:val="24"/>
          <w:lang w:val="en-GB"/>
        </w:rPr>
      </w:pPr>
      <w:r w:rsidRPr="00563CF9">
        <w:rPr>
          <w:b/>
          <w:lang w:val="en-GB" w:bidi="en-GB"/>
        </w:rPr>
        <w:t>The MoH should deal with development strategies and prepare its own concept of the development of directly managed organisations;</w:t>
      </w:r>
    </w:p>
    <w:p w:rsidR="006D563B" w:rsidRPr="00563CF9" w:rsidRDefault="00B7675A" w:rsidP="00876EE8">
      <w:pPr>
        <w:pStyle w:val="Odstavecseseznamem"/>
        <w:numPr>
          <w:ilvl w:val="0"/>
          <w:numId w:val="40"/>
        </w:numPr>
        <w:autoSpaceDE w:val="0"/>
        <w:autoSpaceDN w:val="0"/>
        <w:adjustRightInd w:val="0"/>
        <w:ind w:left="284" w:hanging="284"/>
        <w:rPr>
          <w:rFonts w:cs="Arial"/>
          <w:b/>
          <w:color w:val="000000" w:themeColor="text1"/>
          <w:szCs w:val="24"/>
          <w:lang w:val="en-GB"/>
        </w:rPr>
      </w:pPr>
      <w:r w:rsidRPr="00563CF9">
        <w:rPr>
          <w:b/>
          <w:lang w:val="en-GB" w:bidi="en-GB"/>
        </w:rPr>
        <w:t>The MoH and the BUH should examine the usefulness and the merits of the existence of the BUH endowment fund and consider the reasons for its continued existence;</w:t>
      </w:r>
    </w:p>
    <w:p w:rsidR="00B82B1F" w:rsidRPr="00563CF9" w:rsidRDefault="00A90370" w:rsidP="00876EE8">
      <w:pPr>
        <w:pStyle w:val="Odstavecseseznamem"/>
        <w:numPr>
          <w:ilvl w:val="0"/>
          <w:numId w:val="40"/>
        </w:numPr>
        <w:autoSpaceDE w:val="0"/>
        <w:autoSpaceDN w:val="0"/>
        <w:adjustRightInd w:val="0"/>
        <w:ind w:left="284" w:hanging="284"/>
        <w:rPr>
          <w:rFonts w:cs="Arial"/>
          <w:b/>
          <w:color w:val="000000" w:themeColor="text1"/>
          <w:szCs w:val="24"/>
          <w:lang w:val="en-GB"/>
        </w:rPr>
      </w:pPr>
      <w:r w:rsidRPr="00563CF9">
        <w:rPr>
          <w:b/>
          <w:lang w:val="en-GB" w:bidi="en-GB"/>
        </w:rPr>
        <w:t>The MoD should deal with the identified risk in the area of ​provision of funds to the CMH.</w:t>
      </w:r>
    </w:p>
    <w:p w:rsidR="004C3B13" w:rsidRPr="00563CF9" w:rsidRDefault="004C3B13" w:rsidP="004C3B13">
      <w:pPr>
        <w:rPr>
          <w:rFonts w:cstheme="minorHAnsi"/>
          <w:color w:val="000000" w:themeColor="text1"/>
          <w:lang w:val="en-GB"/>
        </w:rPr>
      </w:pPr>
    </w:p>
    <w:p w:rsidR="004C3B13" w:rsidRPr="00563CF9" w:rsidRDefault="004C3B13" w:rsidP="004C3B13">
      <w:pPr>
        <w:rPr>
          <w:rFonts w:cstheme="minorHAnsi"/>
          <w:color w:val="000000" w:themeColor="text1"/>
          <w:lang w:val="en-GB"/>
        </w:rPr>
      </w:pPr>
    </w:p>
    <w:p w:rsidR="00C10AF0" w:rsidRPr="00563CF9" w:rsidRDefault="00C10AF0" w:rsidP="0077471E">
      <w:pPr>
        <w:autoSpaceDE w:val="0"/>
        <w:autoSpaceDN w:val="0"/>
        <w:adjustRightInd w:val="0"/>
        <w:spacing w:before="120"/>
        <w:ind w:left="567" w:hanging="567"/>
        <w:rPr>
          <w:rFonts w:cs="Arial"/>
          <w:color w:val="000000" w:themeColor="text1"/>
          <w:sz w:val="20"/>
          <w:lang w:val="en-GB"/>
        </w:rPr>
      </w:pPr>
      <w:r w:rsidRPr="00563CF9">
        <w:rPr>
          <w:b/>
          <w:sz w:val="20"/>
          <w:lang w:val="en-GB" w:bidi="en-GB"/>
        </w:rPr>
        <w:t xml:space="preserve">Note: </w:t>
      </w:r>
      <w:r w:rsidRPr="00563CF9">
        <w:rPr>
          <w:sz w:val="20"/>
          <w:lang w:val="en-GB" w:bidi="en-GB"/>
        </w:rPr>
        <w:t>The legal regulations contained in this Audit Conclusion are applied in the version effective for the period under review.</w:t>
      </w:r>
    </w:p>
    <w:p w:rsidR="0077471E" w:rsidRPr="00563CF9" w:rsidRDefault="0077471E" w:rsidP="0077471E">
      <w:pPr>
        <w:rPr>
          <w:rFonts w:cstheme="minorHAnsi"/>
          <w:color w:val="000000" w:themeColor="text1"/>
          <w:lang w:val="en-GB"/>
        </w:rPr>
      </w:pPr>
    </w:p>
    <w:p w:rsidR="0077471E" w:rsidRPr="00563CF9" w:rsidRDefault="0077471E" w:rsidP="0077471E">
      <w:pPr>
        <w:rPr>
          <w:rFonts w:cstheme="minorHAnsi"/>
          <w:color w:val="000000" w:themeColor="text1"/>
          <w:lang w:val="en-GB"/>
        </w:rPr>
      </w:pPr>
    </w:p>
    <w:p w:rsidR="009221B7" w:rsidRPr="00563CF9" w:rsidRDefault="0077471E" w:rsidP="008A1604">
      <w:pPr>
        <w:pStyle w:val="Nadpis1"/>
        <w:jc w:val="center"/>
        <w:rPr>
          <w:u w:val="none"/>
          <w:lang w:val="en-GB"/>
        </w:rPr>
      </w:pPr>
      <w:r w:rsidRPr="00563CF9">
        <w:rPr>
          <w:u w:val="none"/>
          <w:lang w:val="en-GB" w:bidi="en-GB"/>
        </w:rPr>
        <w:t xml:space="preserve">II. Information on the </w:t>
      </w:r>
      <w:r w:rsidR="005B2E0C">
        <w:rPr>
          <w:u w:val="none"/>
          <w:lang w:val="en-GB" w:bidi="en-GB"/>
        </w:rPr>
        <w:t>audited</w:t>
      </w:r>
      <w:r w:rsidRPr="00563CF9">
        <w:rPr>
          <w:u w:val="none"/>
          <w:lang w:val="en-GB" w:bidi="en-GB"/>
        </w:rPr>
        <w:t xml:space="preserve"> area</w:t>
      </w:r>
    </w:p>
    <w:p w:rsidR="00E61EC5" w:rsidRPr="00563CF9" w:rsidRDefault="00E61EC5" w:rsidP="00E61EC5">
      <w:pPr>
        <w:shd w:val="clear" w:color="auto" w:fill="FFFFFF"/>
        <w:spacing w:before="154"/>
        <w:rPr>
          <w:rFonts w:cstheme="minorHAnsi"/>
          <w:color w:val="000000" w:themeColor="text1"/>
          <w:spacing w:val="-8"/>
          <w:lang w:val="en-GB"/>
        </w:rPr>
      </w:pPr>
      <w:r w:rsidRPr="00563CF9">
        <w:rPr>
          <w:lang w:val="en-GB" w:bidi="en-GB"/>
        </w:rPr>
        <w:t xml:space="preserve">The </w:t>
      </w:r>
      <w:r w:rsidRPr="00563CF9">
        <w:rPr>
          <w:b/>
          <w:lang w:val="en-GB" w:bidi="en-GB"/>
        </w:rPr>
        <w:t>Ministry of Health</w:t>
      </w:r>
      <w:r w:rsidRPr="00563CF9">
        <w:rPr>
          <w:lang w:val="en-GB" w:bidi="en-GB"/>
        </w:rPr>
        <w:t xml:space="preserve"> is the central body of the state administration, among other things for health services, public health protection, medical research, direct health care providers, pharmaceuticals and medical devices for the prevention, diagnosis and treatment of people. The MoH acts as a founder in relation to public-benefit corporations with all rights and obligations in accordance with Act No. 218/2000 Coll.</w:t>
      </w:r>
      <w:r w:rsidRPr="00563CF9">
        <w:rPr>
          <w:rStyle w:val="Znakapoznpodarou"/>
          <w:lang w:val="en-GB" w:bidi="en-GB"/>
        </w:rPr>
        <w:footnoteReference w:id="20"/>
      </w:r>
      <w:r w:rsidRPr="00563CF9">
        <w:rPr>
          <w:lang w:val="en-GB" w:bidi="en-GB"/>
        </w:rPr>
        <w:t xml:space="preserve"> and Act No. 219/2000 Coll.</w:t>
      </w:r>
      <w:r w:rsidRPr="00563CF9">
        <w:rPr>
          <w:rStyle w:val="Znakapoznpodarou"/>
          <w:lang w:val="en-GB" w:bidi="en-GB"/>
        </w:rPr>
        <w:footnoteReference w:id="21"/>
      </w:r>
      <w:r w:rsidRPr="00563CF9">
        <w:rPr>
          <w:lang w:val="en-GB" w:bidi="en-GB"/>
        </w:rPr>
        <w:t xml:space="preserve"> </w:t>
      </w:r>
    </w:p>
    <w:p w:rsidR="00E61EC5" w:rsidRPr="00563CF9" w:rsidRDefault="00E61EC5" w:rsidP="00E61EC5">
      <w:pPr>
        <w:shd w:val="clear" w:color="auto" w:fill="FFFFFF"/>
        <w:spacing w:before="154"/>
        <w:rPr>
          <w:rFonts w:cs="Arial"/>
          <w:lang w:val="en-GB"/>
        </w:rPr>
      </w:pPr>
      <w:r w:rsidRPr="00563CF9">
        <w:rPr>
          <w:lang w:val="en-GB" w:bidi="en-GB"/>
        </w:rPr>
        <w:t xml:space="preserve">The </w:t>
      </w:r>
      <w:r w:rsidRPr="00563CF9">
        <w:rPr>
          <w:b/>
          <w:lang w:val="en-GB" w:bidi="en-GB"/>
        </w:rPr>
        <w:t>Ministry of Defence</w:t>
      </w:r>
      <w:r w:rsidRPr="00563CF9">
        <w:rPr>
          <w:lang w:val="en-GB" w:bidi="en-GB"/>
        </w:rPr>
        <w:t xml:space="preserve"> is the central body of the state administration, in particular for: the defence of the Czech Republic, the </w:t>
      </w:r>
      <w:r w:rsidR="005B2E0C">
        <w:rPr>
          <w:lang w:val="en-GB" w:bidi="en-GB"/>
        </w:rPr>
        <w:t xml:space="preserve">management </w:t>
      </w:r>
      <w:r w:rsidRPr="00563CF9">
        <w:rPr>
          <w:lang w:val="en-GB" w:bidi="en-GB"/>
        </w:rPr>
        <w:t xml:space="preserve">of the Army of the Czech Republic, the administration of military units. The MoD is the founder of the Central Military Hospital – Military University Hospital Prague. </w:t>
      </w:r>
    </w:p>
    <w:p w:rsidR="00E61EC5" w:rsidRPr="00563CF9" w:rsidRDefault="00B06364" w:rsidP="00E61EC5">
      <w:pPr>
        <w:autoSpaceDE w:val="0"/>
        <w:autoSpaceDN w:val="0"/>
        <w:adjustRightInd w:val="0"/>
        <w:spacing w:before="120"/>
        <w:rPr>
          <w:rFonts w:cs="Arial"/>
          <w:lang w:val="en-GB"/>
        </w:rPr>
      </w:pPr>
      <w:r w:rsidRPr="00563CF9">
        <w:rPr>
          <w:lang w:val="en-GB" w:bidi="en-GB"/>
        </w:rPr>
        <w:t xml:space="preserve">The status of the </w:t>
      </w:r>
      <w:r w:rsidRPr="00563CF9">
        <w:rPr>
          <w:b/>
          <w:lang w:val="en-GB" w:bidi="en-GB"/>
        </w:rPr>
        <w:t>university hospital</w:t>
      </w:r>
      <w:r w:rsidRPr="00563CF9">
        <w:rPr>
          <w:lang w:val="en-GB" w:bidi="en-GB"/>
        </w:rPr>
        <w:t xml:space="preserve"> is, effective from 1 April 2012, regulated by Act No. 372/2011 Coll.</w:t>
      </w:r>
      <w:r w:rsidR="00CE1007" w:rsidRPr="00563CF9">
        <w:rPr>
          <w:rStyle w:val="Znakapoznpodarou"/>
          <w:lang w:val="en-GB" w:bidi="en-GB"/>
        </w:rPr>
        <w:footnoteReference w:id="22"/>
      </w:r>
      <w:r w:rsidRPr="00563CF9">
        <w:rPr>
          <w:lang w:val="en-GB" w:bidi="en-GB"/>
        </w:rPr>
        <w:t>, which defines the university hospitals as public-benefit corporations for which the ministry (MoH and MoD) performs the founding function. The university hospitals are engaged in the provision of health services and clinical and practical teaching in the field of medicine, pharmacy and nursing, as well as scientific, research and development activities. They are independent legal entities and, according to Act No. 563/1991 Coll.</w:t>
      </w:r>
      <w:r w:rsidR="0067164A" w:rsidRPr="00563CF9">
        <w:rPr>
          <w:rStyle w:val="Znakapoznpodarou"/>
          <w:lang w:val="en-GB" w:bidi="en-GB"/>
        </w:rPr>
        <w:footnoteReference w:id="23"/>
      </w:r>
      <w:r w:rsidRPr="00563CF9">
        <w:rPr>
          <w:lang w:val="en-GB" w:bidi="en-GB"/>
        </w:rPr>
        <w:t>, they are accounting units. The purpose for which the public-benefit corporations are established and the corresponding subjects of their activities are set out in the deeds of foundation and statutes. A more detailed definition of the tasks of the university hospitals is determined by their statutes, which, including amendments and additions, are approved by the founder. The university hospitals act in legal relationships in their own name and bear the responsibility arising therefrom. The governing body of the university hospitals is the director appointed and dismissed by the Minister.</w:t>
      </w:r>
    </w:p>
    <w:p w:rsidR="00B06364" w:rsidRPr="00563CF9" w:rsidRDefault="00443E20" w:rsidP="00B06364">
      <w:pPr>
        <w:autoSpaceDE w:val="0"/>
        <w:autoSpaceDN w:val="0"/>
        <w:adjustRightInd w:val="0"/>
        <w:spacing w:before="120"/>
        <w:rPr>
          <w:rFonts w:cstheme="minorHAnsi"/>
          <w:color w:val="000000" w:themeColor="text1"/>
          <w:lang w:val="en-GB"/>
        </w:rPr>
      </w:pPr>
      <w:r w:rsidRPr="00563CF9">
        <w:rPr>
          <w:lang w:val="en-GB" w:bidi="en-GB"/>
        </w:rPr>
        <w:t>The university hospitals provide health care in particular in the form of inpatient and outpatient care and systematically develop health services in line with the current available knowledge of the medical science. Act No. 372/2001 Coll.</w:t>
      </w:r>
      <w:r w:rsidR="00B06364" w:rsidRPr="00563CF9">
        <w:rPr>
          <w:vertAlign w:val="superscript"/>
          <w:lang w:val="en-GB" w:bidi="en-GB"/>
        </w:rPr>
        <w:footnoteReference w:id="24"/>
      </w:r>
      <w:r w:rsidRPr="00563CF9">
        <w:rPr>
          <w:lang w:val="en-GB" w:bidi="en-GB"/>
        </w:rPr>
        <w:t xml:space="preserve"> sets out the conditions (including material and technical equipment and staffing) for the granting of the status of a highly specialised care centre. The status of the centre was granted in selected fields also to the audited university hospitals.</w:t>
      </w:r>
      <w:r w:rsidR="00B06364" w:rsidRPr="00563CF9">
        <w:rPr>
          <w:vertAlign w:val="superscript"/>
          <w:lang w:val="en-GB" w:bidi="en-GB"/>
        </w:rPr>
        <w:footnoteReference w:id="25"/>
      </w:r>
    </w:p>
    <w:p w:rsidR="00C3302D" w:rsidRPr="00563CF9" w:rsidRDefault="00C3302D" w:rsidP="00C3302D">
      <w:pPr>
        <w:autoSpaceDE w:val="0"/>
        <w:autoSpaceDN w:val="0"/>
        <w:adjustRightInd w:val="0"/>
        <w:spacing w:before="120"/>
        <w:rPr>
          <w:color w:val="000000" w:themeColor="text1"/>
          <w:lang w:val="en-GB"/>
        </w:rPr>
      </w:pPr>
      <w:r w:rsidRPr="00563CF9">
        <w:rPr>
          <w:lang w:val="en-GB" w:bidi="en-GB"/>
        </w:rPr>
        <w:t>The university hospitals manage the property of the state and the rules for its management are laid down in Act No. 219/2000 Coll. Pursuant to Act No. 218/2000 Coll. the university hospitals manage the funds obtained from the main activity and the funds received from the state budget only within the financial relations established by the founder. They also manage other funds obtained, for example, from abroad, budgets of territorial self-governing units, other (economic) activities or as pecuniary gifts from natural or legal persons. The university hospitals can also perform other (economic) activities.</w:t>
      </w:r>
      <w:r w:rsidR="00B06364" w:rsidRPr="00563CF9">
        <w:rPr>
          <w:rStyle w:val="Znakapoznpodarou"/>
          <w:lang w:val="en-GB" w:bidi="en-GB"/>
        </w:rPr>
        <w:footnoteReference w:id="26"/>
      </w:r>
    </w:p>
    <w:p w:rsidR="00E61EC5" w:rsidRPr="00563CF9" w:rsidRDefault="0095743B" w:rsidP="00E61EC5">
      <w:pPr>
        <w:autoSpaceDE w:val="0"/>
        <w:autoSpaceDN w:val="0"/>
        <w:adjustRightInd w:val="0"/>
        <w:spacing w:before="120"/>
        <w:rPr>
          <w:rFonts w:cstheme="minorHAnsi"/>
          <w:noProof/>
          <w:color w:val="000000" w:themeColor="text1"/>
          <w:szCs w:val="28"/>
          <w:lang w:val="en-GB"/>
        </w:rPr>
      </w:pPr>
      <w:r w:rsidRPr="00563CF9">
        <w:rPr>
          <w:lang w:val="en-GB" w:bidi="en-GB"/>
        </w:rPr>
        <w:t>The costs of pharmaceuticals in the period under review were about 26 % for the BUH, about 17 % for the MUH and about 7 % of the total costs for the CMH. The costs of medical devices were about 10 % for the BUH and the MUH and about 15 % of the total costs for the CMH. The costs of pharmaceuticals were higher than the costs of medical devices at the BUH and the MUH; in the case of the CMH this was the other way round, inter alia due to the introduction of electronisation of drug provision. The different costs for pharmaceuticals and medical devices among the university hospitals arise, inter alia, from the different focus of specialised and highly specialised care at the individual hospitals.</w:t>
      </w:r>
    </w:p>
    <w:p w:rsidR="00815416" w:rsidRPr="00563CF9" w:rsidRDefault="00815416" w:rsidP="00D6580C">
      <w:pPr>
        <w:keepNext/>
        <w:autoSpaceDE w:val="0"/>
        <w:autoSpaceDN w:val="0"/>
        <w:adjustRightInd w:val="0"/>
        <w:spacing w:before="240" w:after="120"/>
        <w:rPr>
          <w:rFonts w:cs="Arial"/>
          <w:b/>
          <w:color w:val="000000" w:themeColor="text1"/>
          <w:szCs w:val="24"/>
          <w:lang w:val="en-GB"/>
        </w:rPr>
      </w:pPr>
      <w:r w:rsidRPr="00563CF9">
        <w:rPr>
          <w:b/>
          <w:lang w:val="en-GB" w:bidi="en-GB"/>
        </w:rPr>
        <w:t>Management of university hospitals</w:t>
      </w:r>
    </w:p>
    <w:p w:rsidR="00815416" w:rsidRPr="00563CF9" w:rsidRDefault="00815416" w:rsidP="00D6580C">
      <w:pPr>
        <w:keepNext/>
        <w:spacing w:before="120" w:after="40"/>
        <w:rPr>
          <w:b/>
          <w:lang w:val="en-GB"/>
        </w:rPr>
      </w:pPr>
      <w:r w:rsidRPr="00563CF9">
        <w:rPr>
          <w:b/>
          <w:lang w:val="en-GB" w:bidi="en-GB"/>
        </w:rPr>
        <w:t>Table 1: Overview of selected economic data of university hospitals</w:t>
      </w:r>
    </w:p>
    <w:tbl>
      <w:tblPr>
        <w:tblW w:w="5000" w:type="pct"/>
        <w:tblCellMar>
          <w:left w:w="70" w:type="dxa"/>
          <w:right w:w="70" w:type="dxa"/>
        </w:tblCellMar>
        <w:tblLook w:val="04A0" w:firstRow="1" w:lastRow="0" w:firstColumn="1" w:lastColumn="0" w:noHBand="0" w:noVBand="1"/>
      </w:tblPr>
      <w:tblGrid>
        <w:gridCol w:w="2197"/>
        <w:gridCol w:w="1085"/>
        <w:gridCol w:w="1183"/>
        <w:gridCol w:w="1583"/>
        <w:gridCol w:w="1583"/>
        <w:gridCol w:w="1581"/>
      </w:tblGrid>
      <w:tr w:rsidR="00815416" w:rsidRPr="00563CF9" w:rsidTr="004C3B13">
        <w:trPr>
          <w:trHeight w:val="227"/>
        </w:trPr>
        <w:tc>
          <w:tcPr>
            <w:tcW w:w="1192" w:type="pct"/>
            <w:tcBorders>
              <w:top w:val="single" w:sz="4" w:space="0" w:color="auto"/>
              <w:left w:val="single" w:sz="4" w:space="0" w:color="auto"/>
              <w:bottom w:val="single" w:sz="4" w:space="0" w:color="auto"/>
              <w:right w:val="single" w:sz="4" w:space="0" w:color="auto"/>
            </w:tcBorders>
            <w:shd w:val="clear" w:color="000000" w:fill="E5F1FF"/>
            <w:vAlign w:val="center"/>
            <w:hideMark/>
          </w:tcPr>
          <w:p w:rsidR="00815416" w:rsidRPr="00563CF9" w:rsidRDefault="00815416" w:rsidP="00D6580C">
            <w:pPr>
              <w:keepNext/>
              <w:keepLines/>
              <w:jc w:val="center"/>
              <w:rPr>
                <w:rFonts w:ascii="Calibri" w:hAnsi="Calibri" w:cs="Calibri"/>
                <w:b/>
                <w:bCs/>
                <w:color w:val="000000"/>
                <w:sz w:val="20"/>
                <w:lang w:val="en-GB"/>
              </w:rPr>
            </w:pPr>
            <w:r w:rsidRPr="00563CF9">
              <w:rPr>
                <w:b/>
                <w:sz w:val="20"/>
                <w:lang w:val="en-GB" w:bidi="en-GB"/>
              </w:rPr>
              <w:t>Indicator</w:t>
            </w:r>
          </w:p>
        </w:tc>
        <w:tc>
          <w:tcPr>
            <w:tcW w:w="589" w:type="pct"/>
            <w:tcBorders>
              <w:top w:val="single" w:sz="4" w:space="0" w:color="auto"/>
              <w:left w:val="nil"/>
              <w:bottom w:val="single" w:sz="4" w:space="0" w:color="auto"/>
              <w:right w:val="single" w:sz="4" w:space="0" w:color="auto"/>
            </w:tcBorders>
            <w:shd w:val="clear" w:color="000000" w:fill="E5F1FF"/>
            <w:vAlign w:val="center"/>
            <w:hideMark/>
          </w:tcPr>
          <w:p w:rsidR="00815416" w:rsidRPr="00563CF9" w:rsidRDefault="00815416" w:rsidP="00D6580C">
            <w:pPr>
              <w:keepNext/>
              <w:keepLines/>
              <w:jc w:val="center"/>
              <w:rPr>
                <w:rFonts w:ascii="Calibri" w:hAnsi="Calibri" w:cs="Calibri"/>
                <w:b/>
                <w:bCs/>
                <w:color w:val="000000"/>
                <w:sz w:val="20"/>
                <w:lang w:val="en-GB"/>
              </w:rPr>
            </w:pPr>
            <w:r w:rsidRPr="00563CF9">
              <w:rPr>
                <w:b/>
                <w:sz w:val="20"/>
                <w:lang w:val="en-GB" w:bidi="en-GB"/>
              </w:rPr>
              <w:t>Hospital</w:t>
            </w:r>
          </w:p>
        </w:tc>
        <w:tc>
          <w:tcPr>
            <w:tcW w:w="642" w:type="pct"/>
            <w:tcBorders>
              <w:top w:val="single" w:sz="4" w:space="0" w:color="auto"/>
              <w:left w:val="nil"/>
              <w:bottom w:val="single" w:sz="4" w:space="0" w:color="auto"/>
              <w:right w:val="single" w:sz="4" w:space="0" w:color="auto"/>
            </w:tcBorders>
            <w:shd w:val="clear" w:color="000000" w:fill="E5F1FF"/>
            <w:vAlign w:val="center"/>
            <w:hideMark/>
          </w:tcPr>
          <w:p w:rsidR="00815416" w:rsidRPr="00563CF9" w:rsidRDefault="00815416" w:rsidP="00D6580C">
            <w:pPr>
              <w:keepNext/>
              <w:keepLines/>
              <w:jc w:val="center"/>
              <w:rPr>
                <w:rFonts w:ascii="Calibri" w:hAnsi="Calibri" w:cs="Calibri"/>
                <w:b/>
                <w:bCs/>
                <w:color w:val="000000"/>
                <w:sz w:val="20"/>
                <w:lang w:val="en-GB"/>
              </w:rPr>
            </w:pPr>
            <w:r w:rsidRPr="00563CF9">
              <w:rPr>
                <w:b/>
                <w:sz w:val="20"/>
                <w:lang w:val="en-GB" w:bidi="en-GB"/>
              </w:rPr>
              <w:t>Unit</w:t>
            </w:r>
          </w:p>
        </w:tc>
        <w:tc>
          <w:tcPr>
            <w:tcW w:w="859" w:type="pct"/>
            <w:tcBorders>
              <w:top w:val="single" w:sz="4" w:space="0" w:color="auto"/>
              <w:left w:val="nil"/>
              <w:bottom w:val="single" w:sz="4" w:space="0" w:color="auto"/>
              <w:right w:val="single" w:sz="4" w:space="0" w:color="auto"/>
            </w:tcBorders>
            <w:shd w:val="clear" w:color="000000" w:fill="E5F1FF"/>
            <w:vAlign w:val="center"/>
            <w:hideMark/>
          </w:tcPr>
          <w:p w:rsidR="00815416" w:rsidRPr="00563CF9" w:rsidRDefault="00815416" w:rsidP="00D6580C">
            <w:pPr>
              <w:keepNext/>
              <w:keepLines/>
              <w:ind w:right="68"/>
              <w:jc w:val="center"/>
              <w:rPr>
                <w:rFonts w:ascii="Calibri" w:hAnsi="Calibri" w:cs="Calibri"/>
                <w:b/>
                <w:bCs/>
                <w:color w:val="000000"/>
                <w:sz w:val="20"/>
                <w:lang w:val="en-GB"/>
              </w:rPr>
            </w:pPr>
            <w:r w:rsidRPr="00563CF9">
              <w:rPr>
                <w:b/>
                <w:sz w:val="20"/>
                <w:lang w:val="en-GB" w:bidi="en-GB"/>
              </w:rPr>
              <w:t>2014</w:t>
            </w:r>
          </w:p>
        </w:tc>
        <w:tc>
          <w:tcPr>
            <w:tcW w:w="859" w:type="pct"/>
            <w:tcBorders>
              <w:top w:val="single" w:sz="4" w:space="0" w:color="auto"/>
              <w:left w:val="nil"/>
              <w:bottom w:val="single" w:sz="4" w:space="0" w:color="auto"/>
              <w:right w:val="single" w:sz="4" w:space="0" w:color="auto"/>
            </w:tcBorders>
            <w:shd w:val="clear" w:color="000000" w:fill="E5F1FF"/>
            <w:vAlign w:val="center"/>
            <w:hideMark/>
          </w:tcPr>
          <w:p w:rsidR="00815416" w:rsidRPr="00563CF9" w:rsidRDefault="00815416" w:rsidP="00D6580C">
            <w:pPr>
              <w:keepNext/>
              <w:keepLines/>
              <w:ind w:right="68"/>
              <w:jc w:val="center"/>
              <w:rPr>
                <w:rFonts w:ascii="Calibri" w:hAnsi="Calibri" w:cs="Calibri"/>
                <w:b/>
                <w:bCs/>
                <w:color w:val="000000"/>
                <w:sz w:val="20"/>
                <w:lang w:val="en-GB"/>
              </w:rPr>
            </w:pPr>
            <w:r w:rsidRPr="00563CF9">
              <w:rPr>
                <w:b/>
                <w:sz w:val="20"/>
                <w:lang w:val="en-GB" w:bidi="en-GB"/>
              </w:rPr>
              <w:t>2015</w:t>
            </w:r>
          </w:p>
        </w:tc>
        <w:tc>
          <w:tcPr>
            <w:tcW w:w="858" w:type="pct"/>
            <w:tcBorders>
              <w:top w:val="single" w:sz="4" w:space="0" w:color="auto"/>
              <w:left w:val="nil"/>
              <w:bottom w:val="single" w:sz="4" w:space="0" w:color="auto"/>
              <w:right w:val="single" w:sz="4" w:space="0" w:color="auto"/>
            </w:tcBorders>
            <w:shd w:val="clear" w:color="000000" w:fill="E5F1FF"/>
            <w:vAlign w:val="center"/>
            <w:hideMark/>
          </w:tcPr>
          <w:p w:rsidR="00815416" w:rsidRPr="00563CF9" w:rsidRDefault="00815416" w:rsidP="00D6580C">
            <w:pPr>
              <w:keepNext/>
              <w:keepLines/>
              <w:ind w:right="68"/>
              <w:jc w:val="center"/>
              <w:rPr>
                <w:rFonts w:ascii="Calibri" w:hAnsi="Calibri" w:cs="Calibri"/>
                <w:b/>
                <w:bCs/>
                <w:color w:val="000000"/>
                <w:sz w:val="20"/>
                <w:lang w:val="en-GB"/>
              </w:rPr>
            </w:pPr>
            <w:r w:rsidRPr="00563CF9">
              <w:rPr>
                <w:b/>
                <w:sz w:val="20"/>
                <w:lang w:val="en-GB" w:bidi="en-GB"/>
              </w:rPr>
              <w:t>2016</w:t>
            </w:r>
          </w:p>
        </w:tc>
      </w:tr>
      <w:tr w:rsidR="00815416" w:rsidRPr="00563CF9" w:rsidTr="004C3B13">
        <w:trPr>
          <w:trHeight w:val="227"/>
        </w:trPr>
        <w:tc>
          <w:tcPr>
            <w:tcW w:w="1192" w:type="pct"/>
            <w:vMerge w:val="restart"/>
            <w:tcBorders>
              <w:top w:val="nil"/>
              <w:left w:val="single" w:sz="4" w:space="0" w:color="auto"/>
              <w:bottom w:val="single" w:sz="4" w:space="0" w:color="auto"/>
              <w:right w:val="single" w:sz="4" w:space="0" w:color="auto"/>
            </w:tcBorders>
            <w:shd w:val="clear" w:color="auto" w:fill="auto"/>
            <w:vAlign w:val="center"/>
            <w:hideMark/>
          </w:tcPr>
          <w:p w:rsidR="00815416" w:rsidRPr="00563CF9" w:rsidRDefault="00815416" w:rsidP="00D6580C">
            <w:pPr>
              <w:keepNext/>
              <w:keepLines/>
              <w:jc w:val="left"/>
              <w:rPr>
                <w:rFonts w:ascii="Calibri" w:hAnsi="Calibri" w:cs="Calibri"/>
                <w:color w:val="000000"/>
                <w:sz w:val="20"/>
                <w:lang w:val="en-GB"/>
              </w:rPr>
            </w:pPr>
            <w:r w:rsidRPr="00563CF9">
              <w:rPr>
                <w:sz w:val="20"/>
                <w:lang w:val="en-GB" w:bidi="en-GB"/>
              </w:rPr>
              <w:t>Total costs</w:t>
            </w:r>
          </w:p>
        </w:tc>
        <w:tc>
          <w:tcPr>
            <w:tcW w:w="589"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jc w:val="center"/>
              <w:rPr>
                <w:rFonts w:ascii="Calibri" w:hAnsi="Calibri" w:cs="Calibri"/>
                <w:color w:val="000000"/>
                <w:sz w:val="20"/>
                <w:lang w:val="en-GB"/>
              </w:rPr>
            </w:pPr>
            <w:r w:rsidRPr="00563CF9">
              <w:rPr>
                <w:sz w:val="20"/>
                <w:lang w:val="en-GB" w:bidi="en-GB"/>
              </w:rPr>
              <w:t>BUH</w:t>
            </w:r>
          </w:p>
        </w:tc>
        <w:tc>
          <w:tcPr>
            <w:tcW w:w="642" w:type="pct"/>
            <w:vMerge w:val="restart"/>
            <w:tcBorders>
              <w:top w:val="nil"/>
              <w:left w:val="single" w:sz="4" w:space="0" w:color="auto"/>
              <w:bottom w:val="single" w:sz="4" w:space="0" w:color="auto"/>
              <w:right w:val="single" w:sz="4" w:space="0" w:color="auto"/>
            </w:tcBorders>
            <w:shd w:val="clear" w:color="auto" w:fill="auto"/>
            <w:vAlign w:val="center"/>
            <w:hideMark/>
          </w:tcPr>
          <w:p w:rsidR="00815416" w:rsidRPr="00563CF9" w:rsidRDefault="00815416" w:rsidP="00D6580C">
            <w:pPr>
              <w:keepNext/>
              <w:keepLines/>
              <w:jc w:val="center"/>
              <w:rPr>
                <w:rFonts w:ascii="Calibri" w:hAnsi="Calibri" w:cs="Calibri"/>
                <w:color w:val="000000"/>
                <w:sz w:val="20"/>
                <w:lang w:val="en-GB"/>
              </w:rPr>
            </w:pPr>
            <w:r w:rsidRPr="00563CF9">
              <w:rPr>
                <w:sz w:val="20"/>
                <w:lang w:val="en-GB" w:bidi="en-GB"/>
              </w:rPr>
              <w:t>CZK thousands</w:t>
            </w:r>
          </w:p>
        </w:tc>
        <w:tc>
          <w:tcPr>
            <w:tcW w:w="859" w:type="pct"/>
            <w:tcBorders>
              <w:top w:val="nil"/>
              <w:left w:val="nil"/>
              <w:bottom w:val="single" w:sz="4" w:space="0" w:color="auto"/>
              <w:right w:val="single" w:sz="4" w:space="0" w:color="auto"/>
            </w:tcBorders>
            <w:shd w:val="clear" w:color="auto" w:fill="auto"/>
            <w:noWrap/>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6,587,570.41</w:t>
            </w:r>
          </w:p>
        </w:tc>
        <w:tc>
          <w:tcPr>
            <w:tcW w:w="859" w:type="pct"/>
            <w:tcBorders>
              <w:top w:val="nil"/>
              <w:left w:val="nil"/>
              <w:bottom w:val="single" w:sz="4" w:space="0" w:color="auto"/>
              <w:right w:val="single" w:sz="4" w:space="0" w:color="auto"/>
            </w:tcBorders>
            <w:shd w:val="clear" w:color="auto" w:fill="auto"/>
            <w:noWrap/>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6,873,887.66</w:t>
            </w:r>
          </w:p>
        </w:tc>
        <w:tc>
          <w:tcPr>
            <w:tcW w:w="858" w:type="pct"/>
            <w:tcBorders>
              <w:top w:val="nil"/>
              <w:left w:val="nil"/>
              <w:bottom w:val="single" w:sz="4" w:space="0" w:color="auto"/>
              <w:right w:val="single" w:sz="4" w:space="0" w:color="auto"/>
            </w:tcBorders>
            <w:shd w:val="clear" w:color="auto" w:fill="auto"/>
            <w:noWrap/>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7,658,859.58</w:t>
            </w:r>
          </w:p>
        </w:tc>
      </w:tr>
      <w:tr w:rsidR="00815416" w:rsidRPr="00563CF9" w:rsidTr="004C3B13">
        <w:trPr>
          <w:trHeight w:val="227"/>
        </w:trPr>
        <w:tc>
          <w:tcPr>
            <w:tcW w:w="1192" w:type="pct"/>
            <w:vMerge/>
            <w:tcBorders>
              <w:top w:val="nil"/>
              <w:left w:val="single" w:sz="4" w:space="0" w:color="auto"/>
              <w:bottom w:val="single" w:sz="4" w:space="0" w:color="auto"/>
              <w:right w:val="single" w:sz="4" w:space="0" w:color="auto"/>
            </w:tcBorders>
            <w:shd w:val="clear" w:color="auto" w:fill="auto"/>
            <w:vAlign w:val="center"/>
            <w:hideMark/>
          </w:tcPr>
          <w:p w:rsidR="00815416" w:rsidRPr="00563CF9" w:rsidRDefault="00815416" w:rsidP="00D6580C">
            <w:pPr>
              <w:keepNext/>
              <w:keepLines/>
              <w:jc w:val="left"/>
              <w:rPr>
                <w:rFonts w:ascii="Calibri" w:hAnsi="Calibri" w:cs="Calibri"/>
                <w:color w:val="000000"/>
                <w:sz w:val="20"/>
                <w:lang w:val="en-GB"/>
              </w:rPr>
            </w:pPr>
          </w:p>
        </w:tc>
        <w:tc>
          <w:tcPr>
            <w:tcW w:w="589"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jc w:val="center"/>
              <w:rPr>
                <w:rFonts w:ascii="Calibri" w:hAnsi="Calibri" w:cs="Calibri"/>
                <w:color w:val="000000"/>
                <w:sz w:val="20"/>
                <w:lang w:val="en-GB"/>
              </w:rPr>
            </w:pPr>
            <w:r w:rsidRPr="00563CF9">
              <w:rPr>
                <w:sz w:val="20"/>
                <w:lang w:val="en-GB" w:bidi="en-GB"/>
              </w:rPr>
              <w:t>MUH</w:t>
            </w:r>
          </w:p>
        </w:tc>
        <w:tc>
          <w:tcPr>
            <w:tcW w:w="642" w:type="pct"/>
            <w:vMerge/>
            <w:tcBorders>
              <w:top w:val="nil"/>
              <w:left w:val="single" w:sz="4" w:space="0" w:color="auto"/>
              <w:bottom w:val="single" w:sz="4" w:space="0" w:color="auto"/>
              <w:right w:val="single" w:sz="4" w:space="0" w:color="auto"/>
            </w:tcBorders>
            <w:shd w:val="clear" w:color="auto" w:fill="auto"/>
            <w:vAlign w:val="center"/>
            <w:hideMark/>
          </w:tcPr>
          <w:p w:rsidR="00815416" w:rsidRPr="00563CF9" w:rsidRDefault="00815416" w:rsidP="00D6580C">
            <w:pPr>
              <w:keepNext/>
              <w:keepLines/>
              <w:jc w:val="center"/>
              <w:rPr>
                <w:rFonts w:ascii="Calibri" w:hAnsi="Calibri" w:cs="Calibri"/>
                <w:color w:val="000000"/>
                <w:sz w:val="20"/>
                <w:lang w:val="en-GB"/>
              </w:rPr>
            </w:pPr>
          </w:p>
        </w:tc>
        <w:tc>
          <w:tcPr>
            <w:tcW w:w="859" w:type="pct"/>
            <w:tcBorders>
              <w:top w:val="nil"/>
              <w:left w:val="nil"/>
              <w:bottom w:val="single" w:sz="4" w:space="0" w:color="auto"/>
              <w:right w:val="single" w:sz="4" w:space="0" w:color="auto"/>
            </w:tcBorders>
            <w:shd w:val="clear" w:color="auto" w:fill="auto"/>
            <w:noWrap/>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7,486,988.59</w:t>
            </w:r>
          </w:p>
        </w:tc>
        <w:tc>
          <w:tcPr>
            <w:tcW w:w="859" w:type="pct"/>
            <w:tcBorders>
              <w:top w:val="nil"/>
              <w:left w:val="nil"/>
              <w:bottom w:val="single" w:sz="4" w:space="0" w:color="auto"/>
              <w:right w:val="single" w:sz="4" w:space="0" w:color="auto"/>
            </w:tcBorders>
            <w:shd w:val="clear" w:color="auto" w:fill="auto"/>
            <w:noWrap/>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7,775,201.10</w:t>
            </w:r>
          </w:p>
        </w:tc>
        <w:tc>
          <w:tcPr>
            <w:tcW w:w="858" w:type="pct"/>
            <w:tcBorders>
              <w:top w:val="nil"/>
              <w:left w:val="nil"/>
              <w:bottom w:val="single" w:sz="4" w:space="0" w:color="auto"/>
              <w:right w:val="single" w:sz="4" w:space="0" w:color="auto"/>
            </w:tcBorders>
            <w:shd w:val="clear" w:color="auto" w:fill="auto"/>
            <w:noWrap/>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8,134,270.53</w:t>
            </w:r>
          </w:p>
        </w:tc>
      </w:tr>
      <w:tr w:rsidR="00815416" w:rsidRPr="00563CF9" w:rsidTr="004C3B13">
        <w:trPr>
          <w:trHeight w:val="227"/>
        </w:trPr>
        <w:tc>
          <w:tcPr>
            <w:tcW w:w="1192" w:type="pct"/>
            <w:vMerge/>
            <w:tcBorders>
              <w:top w:val="nil"/>
              <w:left w:val="single" w:sz="4" w:space="0" w:color="auto"/>
              <w:bottom w:val="single" w:sz="4" w:space="0" w:color="auto"/>
              <w:right w:val="single" w:sz="4" w:space="0" w:color="auto"/>
            </w:tcBorders>
            <w:shd w:val="clear" w:color="auto" w:fill="auto"/>
            <w:vAlign w:val="center"/>
            <w:hideMark/>
          </w:tcPr>
          <w:p w:rsidR="00815416" w:rsidRPr="00563CF9" w:rsidRDefault="00815416" w:rsidP="00D6580C">
            <w:pPr>
              <w:keepNext/>
              <w:keepLines/>
              <w:jc w:val="left"/>
              <w:rPr>
                <w:rFonts w:ascii="Calibri" w:hAnsi="Calibri" w:cs="Calibri"/>
                <w:color w:val="000000"/>
                <w:sz w:val="20"/>
                <w:lang w:val="en-GB"/>
              </w:rPr>
            </w:pPr>
          </w:p>
        </w:tc>
        <w:tc>
          <w:tcPr>
            <w:tcW w:w="589"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jc w:val="center"/>
              <w:rPr>
                <w:rFonts w:ascii="Calibri" w:hAnsi="Calibri" w:cs="Calibri"/>
                <w:color w:val="000000"/>
                <w:sz w:val="20"/>
                <w:lang w:val="en-GB"/>
              </w:rPr>
            </w:pPr>
            <w:r w:rsidRPr="00563CF9">
              <w:rPr>
                <w:sz w:val="20"/>
                <w:lang w:val="en-GB" w:bidi="en-GB"/>
              </w:rPr>
              <w:t>CMH</w:t>
            </w:r>
          </w:p>
        </w:tc>
        <w:tc>
          <w:tcPr>
            <w:tcW w:w="642" w:type="pct"/>
            <w:vMerge/>
            <w:tcBorders>
              <w:top w:val="nil"/>
              <w:left w:val="single" w:sz="4" w:space="0" w:color="auto"/>
              <w:bottom w:val="single" w:sz="4" w:space="0" w:color="auto"/>
              <w:right w:val="single" w:sz="4" w:space="0" w:color="auto"/>
            </w:tcBorders>
            <w:shd w:val="clear" w:color="auto" w:fill="auto"/>
            <w:vAlign w:val="center"/>
            <w:hideMark/>
          </w:tcPr>
          <w:p w:rsidR="00815416" w:rsidRPr="00563CF9" w:rsidRDefault="00815416" w:rsidP="00D6580C">
            <w:pPr>
              <w:keepNext/>
              <w:keepLines/>
              <w:jc w:val="center"/>
              <w:rPr>
                <w:rFonts w:ascii="Calibri" w:hAnsi="Calibri" w:cs="Calibri"/>
                <w:color w:val="000000"/>
                <w:sz w:val="20"/>
                <w:lang w:val="en-GB"/>
              </w:rPr>
            </w:pPr>
          </w:p>
        </w:tc>
        <w:tc>
          <w:tcPr>
            <w:tcW w:w="859" w:type="pct"/>
            <w:tcBorders>
              <w:top w:val="nil"/>
              <w:left w:val="nil"/>
              <w:bottom w:val="single" w:sz="4" w:space="0" w:color="auto"/>
              <w:right w:val="single" w:sz="4" w:space="0" w:color="auto"/>
            </w:tcBorders>
            <w:shd w:val="clear" w:color="auto" w:fill="auto"/>
            <w:noWrap/>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2,211,717.27</w:t>
            </w:r>
          </w:p>
        </w:tc>
        <w:tc>
          <w:tcPr>
            <w:tcW w:w="859" w:type="pct"/>
            <w:tcBorders>
              <w:top w:val="nil"/>
              <w:left w:val="nil"/>
              <w:bottom w:val="single" w:sz="4" w:space="0" w:color="auto"/>
              <w:right w:val="single" w:sz="4" w:space="0" w:color="auto"/>
            </w:tcBorders>
            <w:shd w:val="clear" w:color="auto" w:fill="auto"/>
            <w:noWrap/>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2,454,898.59</w:t>
            </w:r>
          </w:p>
        </w:tc>
        <w:tc>
          <w:tcPr>
            <w:tcW w:w="858" w:type="pct"/>
            <w:tcBorders>
              <w:top w:val="nil"/>
              <w:left w:val="nil"/>
              <w:bottom w:val="single" w:sz="4" w:space="0" w:color="auto"/>
              <w:right w:val="single" w:sz="4" w:space="0" w:color="auto"/>
            </w:tcBorders>
            <w:shd w:val="clear" w:color="auto" w:fill="auto"/>
            <w:noWrap/>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2,550,626.66</w:t>
            </w:r>
          </w:p>
        </w:tc>
      </w:tr>
      <w:tr w:rsidR="00815416" w:rsidRPr="00563CF9" w:rsidTr="004C3B13">
        <w:trPr>
          <w:trHeight w:val="227"/>
        </w:trPr>
        <w:tc>
          <w:tcPr>
            <w:tcW w:w="1192" w:type="pct"/>
            <w:vMerge w:val="restart"/>
            <w:tcBorders>
              <w:top w:val="nil"/>
              <w:left w:val="single" w:sz="4" w:space="0" w:color="auto"/>
              <w:bottom w:val="single" w:sz="4" w:space="0" w:color="auto"/>
              <w:right w:val="single" w:sz="4" w:space="0" w:color="auto"/>
            </w:tcBorders>
            <w:shd w:val="clear" w:color="auto" w:fill="auto"/>
            <w:vAlign w:val="center"/>
            <w:hideMark/>
          </w:tcPr>
          <w:p w:rsidR="00815416" w:rsidRPr="00563CF9" w:rsidRDefault="00815416" w:rsidP="00D6580C">
            <w:pPr>
              <w:keepNext/>
              <w:keepLines/>
              <w:jc w:val="left"/>
              <w:rPr>
                <w:rFonts w:ascii="Calibri" w:hAnsi="Calibri" w:cs="Calibri"/>
                <w:color w:val="000000"/>
                <w:sz w:val="20"/>
                <w:lang w:val="en-GB"/>
              </w:rPr>
            </w:pPr>
            <w:r w:rsidRPr="00563CF9">
              <w:rPr>
                <w:sz w:val="20"/>
                <w:lang w:val="en-GB" w:bidi="en-GB"/>
              </w:rPr>
              <w:t>Total revenues</w:t>
            </w:r>
          </w:p>
        </w:tc>
        <w:tc>
          <w:tcPr>
            <w:tcW w:w="589"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jc w:val="center"/>
              <w:rPr>
                <w:rFonts w:ascii="Calibri" w:hAnsi="Calibri" w:cs="Calibri"/>
                <w:color w:val="000000"/>
                <w:sz w:val="20"/>
                <w:lang w:val="en-GB"/>
              </w:rPr>
            </w:pPr>
            <w:r w:rsidRPr="00563CF9">
              <w:rPr>
                <w:sz w:val="20"/>
                <w:lang w:val="en-GB" w:bidi="en-GB"/>
              </w:rPr>
              <w:t>BUH</w:t>
            </w:r>
          </w:p>
        </w:tc>
        <w:tc>
          <w:tcPr>
            <w:tcW w:w="642" w:type="pct"/>
            <w:vMerge w:val="restart"/>
            <w:tcBorders>
              <w:top w:val="nil"/>
              <w:left w:val="single" w:sz="4" w:space="0" w:color="auto"/>
              <w:bottom w:val="single" w:sz="4" w:space="0" w:color="auto"/>
              <w:right w:val="single" w:sz="4" w:space="0" w:color="auto"/>
            </w:tcBorders>
            <w:shd w:val="clear" w:color="auto" w:fill="auto"/>
            <w:vAlign w:val="center"/>
            <w:hideMark/>
          </w:tcPr>
          <w:p w:rsidR="00815416" w:rsidRPr="00563CF9" w:rsidRDefault="00815416" w:rsidP="00D6580C">
            <w:pPr>
              <w:keepNext/>
              <w:keepLines/>
              <w:jc w:val="center"/>
              <w:rPr>
                <w:rFonts w:ascii="Calibri" w:hAnsi="Calibri" w:cs="Calibri"/>
                <w:color w:val="000000"/>
                <w:sz w:val="20"/>
                <w:lang w:val="en-GB"/>
              </w:rPr>
            </w:pPr>
            <w:r w:rsidRPr="00563CF9">
              <w:rPr>
                <w:sz w:val="20"/>
                <w:lang w:val="en-GB" w:bidi="en-GB"/>
              </w:rPr>
              <w:t>CZK thousands</w:t>
            </w:r>
          </w:p>
        </w:tc>
        <w:tc>
          <w:tcPr>
            <w:tcW w:w="859" w:type="pct"/>
            <w:tcBorders>
              <w:top w:val="nil"/>
              <w:left w:val="nil"/>
              <w:bottom w:val="single" w:sz="4" w:space="0" w:color="auto"/>
              <w:right w:val="single" w:sz="4" w:space="0" w:color="auto"/>
            </w:tcBorders>
            <w:shd w:val="clear" w:color="auto" w:fill="auto"/>
            <w:noWrap/>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6,588,113.88</w:t>
            </w:r>
          </w:p>
        </w:tc>
        <w:tc>
          <w:tcPr>
            <w:tcW w:w="859" w:type="pct"/>
            <w:tcBorders>
              <w:top w:val="nil"/>
              <w:left w:val="nil"/>
              <w:bottom w:val="single" w:sz="4" w:space="0" w:color="auto"/>
              <w:right w:val="single" w:sz="4" w:space="0" w:color="auto"/>
            </w:tcBorders>
            <w:shd w:val="clear" w:color="auto" w:fill="auto"/>
            <w:noWrap/>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6,881,839.09</w:t>
            </w:r>
          </w:p>
        </w:tc>
        <w:tc>
          <w:tcPr>
            <w:tcW w:w="858" w:type="pct"/>
            <w:tcBorders>
              <w:top w:val="nil"/>
              <w:left w:val="nil"/>
              <w:bottom w:val="single" w:sz="4" w:space="0" w:color="auto"/>
              <w:right w:val="single" w:sz="4" w:space="0" w:color="auto"/>
            </w:tcBorders>
            <w:shd w:val="clear" w:color="auto" w:fill="auto"/>
            <w:noWrap/>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7,659,339.53</w:t>
            </w:r>
          </w:p>
        </w:tc>
      </w:tr>
      <w:tr w:rsidR="00815416" w:rsidRPr="00563CF9" w:rsidTr="004C3B13">
        <w:trPr>
          <w:trHeight w:val="227"/>
        </w:trPr>
        <w:tc>
          <w:tcPr>
            <w:tcW w:w="1192" w:type="pct"/>
            <w:vMerge/>
            <w:tcBorders>
              <w:top w:val="nil"/>
              <w:left w:val="single" w:sz="4" w:space="0" w:color="auto"/>
              <w:bottom w:val="single" w:sz="4" w:space="0" w:color="auto"/>
              <w:right w:val="single" w:sz="4" w:space="0" w:color="auto"/>
            </w:tcBorders>
            <w:shd w:val="clear" w:color="auto" w:fill="auto"/>
            <w:vAlign w:val="center"/>
            <w:hideMark/>
          </w:tcPr>
          <w:p w:rsidR="00815416" w:rsidRPr="00563CF9" w:rsidRDefault="00815416" w:rsidP="00D6580C">
            <w:pPr>
              <w:keepNext/>
              <w:keepLines/>
              <w:jc w:val="left"/>
              <w:rPr>
                <w:rFonts w:ascii="Calibri" w:hAnsi="Calibri" w:cs="Calibri"/>
                <w:color w:val="000000"/>
                <w:sz w:val="20"/>
                <w:lang w:val="en-GB"/>
              </w:rPr>
            </w:pPr>
          </w:p>
        </w:tc>
        <w:tc>
          <w:tcPr>
            <w:tcW w:w="589"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jc w:val="center"/>
              <w:rPr>
                <w:rFonts w:ascii="Calibri" w:hAnsi="Calibri" w:cs="Calibri"/>
                <w:color w:val="000000"/>
                <w:sz w:val="20"/>
                <w:lang w:val="en-GB"/>
              </w:rPr>
            </w:pPr>
            <w:r w:rsidRPr="00563CF9">
              <w:rPr>
                <w:sz w:val="20"/>
                <w:lang w:val="en-GB" w:bidi="en-GB"/>
              </w:rPr>
              <w:t>MUH</w:t>
            </w:r>
          </w:p>
        </w:tc>
        <w:tc>
          <w:tcPr>
            <w:tcW w:w="642" w:type="pct"/>
            <w:vMerge/>
            <w:tcBorders>
              <w:top w:val="nil"/>
              <w:left w:val="single" w:sz="4" w:space="0" w:color="auto"/>
              <w:bottom w:val="single" w:sz="4" w:space="0" w:color="auto"/>
              <w:right w:val="single" w:sz="4" w:space="0" w:color="auto"/>
            </w:tcBorders>
            <w:shd w:val="clear" w:color="auto" w:fill="auto"/>
            <w:vAlign w:val="center"/>
            <w:hideMark/>
          </w:tcPr>
          <w:p w:rsidR="00815416" w:rsidRPr="00563CF9" w:rsidRDefault="00815416" w:rsidP="00D6580C">
            <w:pPr>
              <w:keepNext/>
              <w:keepLines/>
              <w:jc w:val="center"/>
              <w:rPr>
                <w:rFonts w:ascii="Calibri" w:hAnsi="Calibri" w:cs="Calibri"/>
                <w:color w:val="000000"/>
                <w:sz w:val="20"/>
                <w:lang w:val="en-GB"/>
              </w:rPr>
            </w:pPr>
          </w:p>
        </w:tc>
        <w:tc>
          <w:tcPr>
            <w:tcW w:w="859" w:type="pct"/>
            <w:tcBorders>
              <w:top w:val="nil"/>
              <w:left w:val="nil"/>
              <w:bottom w:val="single" w:sz="4" w:space="0" w:color="auto"/>
              <w:right w:val="single" w:sz="4" w:space="0" w:color="auto"/>
            </w:tcBorders>
            <w:shd w:val="clear" w:color="auto" w:fill="auto"/>
            <w:noWrap/>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7,488,001.54</w:t>
            </w:r>
          </w:p>
        </w:tc>
        <w:tc>
          <w:tcPr>
            <w:tcW w:w="859" w:type="pct"/>
            <w:tcBorders>
              <w:top w:val="nil"/>
              <w:left w:val="nil"/>
              <w:bottom w:val="single" w:sz="4" w:space="0" w:color="auto"/>
              <w:right w:val="single" w:sz="4" w:space="0" w:color="auto"/>
            </w:tcBorders>
            <w:shd w:val="clear" w:color="auto" w:fill="auto"/>
            <w:noWrap/>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7,778,152.72</w:t>
            </w:r>
          </w:p>
        </w:tc>
        <w:tc>
          <w:tcPr>
            <w:tcW w:w="858" w:type="pct"/>
            <w:tcBorders>
              <w:top w:val="nil"/>
              <w:left w:val="nil"/>
              <w:bottom w:val="single" w:sz="4" w:space="0" w:color="auto"/>
              <w:right w:val="single" w:sz="4" w:space="0" w:color="auto"/>
            </w:tcBorders>
            <w:shd w:val="clear" w:color="auto" w:fill="auto"/>
            <w:noWrap/>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8,138,421.14</w:t>
            </w:r>
          </w:p>
        </w:tc>
      </w:tr>
      <w:tr w:rsidR="00815416" w:rsidRPr="00563CF9" w:rsidTr="004C3B13">
        <w:trPr>
          <w:trHeight w:val="227"/>
        </w:trPr>
        <w:tc>
          <w:tcPr>
            <w:tcW w:w="1192" w:type="pct"/>
            <w:vMerge/>
            <w:tcBorders>
              <w:top w:val="nil"/>
              <w:left w:val="single" w:sz="4" w:space="0" w:color="auto"/>
              <w:bottom w:val="single" w:sz="4" w:space="0" w:color="auto"/>
              <w:right w:val="single" w:sz="4" w:space="0" w:color="auto"/>
            </w:tcBorders>
            <w:shd w:val="clear" w:color="auto" w:fill="auto"/>
            <w:vAlign w:val="center"/>
            <w:hideMark/>
          </w:tcPr>
          <w:p w:rsidR="00815416" w:rsidRPr="00563CF9" w:rsidRDefault="00815416" w:rsidP="00D6580C">
            <w:pPr>
              <w:keepNext/>
              <w:keepLines/>
              <w:jc w:val="left"/>
              <w:rPr>
                <w:rFonts w:ascii="Calibri" w:hAnsi="Calibri" w:cs="Calibri"/>
                <w:color w:val="000000"/>
                <w:sz w:val="20"/>
                <w:lang w:val="en-GB"/>
              </w:rPr>
            </w:pPr>
          </w:p>
        </w:tc>
        <w:tc>
          <w:tcPr>
            <w:tcW w:w="589"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jc w:val="center"/>
              <w:rPr>
                <w:rFonts w:ascii="Calibri" w:hAnsi="Calibri" w:cs="Calibri"/>
                <w:color w:val="000000"/>
                <w:sz w:val="20"/>
                <w:lang w:val="en-GB"/>
              </w:rPr>
            </w:pPr>
            <w:r w:rsidRPr="00563CF9">
              <w:rPr>
                <w:sz w:val="20"/>
                <w:lang w:val="en-GB" w:bidi="en-GB"/>
              </w:rPr>
              <w:t>CMH</w:t>
            </w:r>
          </w:p>
        </w:tc>
        <w:tc>
          <w:tcPr>
            <w:tcW w:w="642" w:type="pct"/>
            <w:vMerge/>
            <w:tcBorders>
              <w:top w:val="nil"/>
              <w:left w:val="single" w:sz="4" w:space="0" w:color="auto"/>
              <w:bottom w:val="single" w:sz="4" w:space="0" w:color="auto"/>
              <w:right w:val="single" w:sz="4" w:space="0" w:color="auto"/>
            </w:tcBorders>
            <w:shd w:val="clear" w:color="auto" w:fill="auto"/>
            <w:vAlign w:val="center"/>
            <w:hideMark/>
          </w:tcPr>
          <w:p w:rsidR="00815416" w:rsidRPr="00563CF9" w:rsidRDefault="00815416" w:rsidP="00D6580C">
            <w:pPr>
              <w:keepNext/>
              <w:keepLines/>
              <w:jc w:val="center"/>
              <w:rPr>
                <w:rFonts w:ascii="Calibri" w:hAnsi="Calibri" w:cs="Calibri"/>
                <w:color w:val="000000"/>
                <w:sz w:val="20"/>
                <w:lang w:val="en-GB"/>
              </w:rPr>
            </w:pPr>
          </w:p>
        </w:tc>
        <w:tc>
          <w:tcPr>
            <w:tcW w:w="859" w:type="pct"/>
            <w:tcBorders>
              <w:top w:val="nil"/>
              <w:left w:val="nil"/>
              <w:bottom w:val="single" w:sz="4" w:space="0" w:color="auto"/>
              <w:right w:val="single" w:sz="4" w:space="0" w:color="auto"/>
            </w:tcBorders>
            <w:shd w:val="clear" w:color="auto" w:fill="auto"/>
            <w:noWrap/>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2,212,789.31</w:t>
            </w:r>
          </w:p>
        </w:tc>
        <w:tc>
          <w:tcPr>
            <w:tcW w:w="859" w:type="pct"/>
            <w:tcBorders>
              <w:top w:val="nil"/>
              <w:left w:val="nil"/>
              <w:bottom w:val="single" w:sz="4" w:space="0" w:color="auto"/>
              <w:right w:val="single" w:sz="4" w:space="0" w:color="auto"/>
            </w:tcBorders>
            <w:shd w:val="clear" w:color="auto" w:fill="auto"/>
            <w:noWrap/>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2,455,903.11</w:t>
            </w:r>
          </w:p>
        </w:tc>
        <w:tc>
          <w:tcPr>
            <w:tcW w:w="858" w:type="pct"/>
            <w:tcBorders>
              <w:top w:val="nil"/>
              <w:left w:val="nil"/>
              <w:bottom w:val="single" w:sz="4" w:space="0" w:color="auto"/>
              <w:right w:val="single" w:sz="4" w:space="0" w:color="auto"/>
            </w:tcBorders>
            <w:shd w:val="clear" w:color="auto" w:fill="auto"/>
            <w:noWrap/>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2,551,479.41</w:t>
            </w:r>
          </w:p>
        </w:tc>
      </w:tr>
      <w:tr w:rsidR="00815416" w:rsidRPr="00563CF9" w:rsidTr="004C3B13">
        <w:trPr>
          <w:trHeight w:val="227"/>
        </w:trPr>
        <w:tc>
          <w:tcPr>
            <w:tcW w:w="1192" w:type="pct"/>
            <w:vMerge w:val="restart"/>
            <w:tcBorders>
              <w:top w:val="nil"/>
              <w:left w:val="single" w:sz="4" w:space="0" w:color="auto"/>
              <w:bottom w:val="single" w:sz="4" w:space="0" w:color="auto"/>
              <w:right w:val="single" w:sz="4" w:space="0" w:color="auto"/>
            </w:tcBorders>
            <w:shd w:val="clear" w:color="auto" w:fill="auto"/>
            <w:vAlign w:val="center"/>
            <w:hideMark/>
          </w:tcPr>
          <w:p w:rsidR="00815416" w:rsidRPr="00563CF9" w:rsidRDefault="00815416" w:rsidP="00D6580C">
            <w:pPr>
              <w:keepNext/>
              <w:keepLines/>
              <w:jc w:val="left"/>
              <w:rPr>
                <w:rFonts w:ascii="Calibri" w:hAnsi="Calibri" w:cs="Calibri"/>
                <w:color w:val="000000"/>
                <w:sz w:val="20"/>
                <w:lang w:val="en-GB"/>
              </w:rPr>
            </w:pPr>
            <w:r w:rsidRPr="00563CF9">
              <w:rPr>
                <w:sz w:val="20"/>
                <w:lang w:val="en-GB" w:bidi="en-GB"/>
              </w:rPr>
              <w:t>Profit</w:t>
            </w:r>
          </w:p>
        </w:tc>
        <w:tc>
          <w:tcPr>
            <w:tcW w:w="589"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jc w:val="center"/>
              <w:rPr>
                <w:rFonts w:ascii="Calibri" w:hAnsi="Calibri" w:cs="Calibri"/>
                <w:color w:val="000000"/>
                <w:sz w:val="20"/>
                <w:lang w:val="en-GB"/>
              </w:rPr>
            </w:pPr>
            <w:r w:rsidRPr="00563CF9">
              <w:rPr>
                <w:sz w:val="20"/>
                <w:lang w:val="en-GB" w:bidi="en-GB"/>
              </w:rPr>
              <w:t>BUH</w:t>
            </w:r>
          </w:p>
        </w:tc>
        <w:tc>
          <w:tcPr>
            <w:tcW w:w="642" w:type="pct"/>
            <w:vMerge w:val="restart"/>
            <w:tcBorders>
              <w:top w:val="nil"/>
              <w:left w:val="single" w:sz="4" w:space="0" w:color="auto"/>
              <w:bottom w:val="single" w:sz="4" w:space="0" w:color="auto"/>
              <w:right w:val="single" w:sz="4" w:space="0" w:color="auto"/>
            </w:tcBorders>
            <w:shd w:val="clear" w:color="auto" w:fill="auto"/>
            <w:vAlign w:val="center"/>
            <w:hideMark/>
          </w:tcPr>
          <w:p w:rsidR="00815416" w:rsidRPr="00563CF9" w:rsidRDefault="00815416" w:rsidP="00D6580C">
            <w:pPr>
              <w:keepNext/>
              <w:keepLines/>
              <w:jc w:val="center"/>
              <w:rPr>
                <w:rFonts w:ascii="Calibri" w:hAnsi="Calibri" w:cs="Calibri"/>
                <w:color w:val="000000"/>
                <w:sz w:val="20"/>
                <w:lang w:val="en-GB"/>
              </w:rPr>
            </w:pPr>
            <w:r w:rsidRPr="00563CF9">
              <w:rPr>
                <w:sz w:val="20"/>
                <w:lang w:val="en-GB" w:bidi="en-GB"/>
              </w:rPr>
              <w:t>CZK thousands</w:t>
            </w:r>
          </w:p>
        </w:tc>
        <w:tc>
          <w:tcPr>
            <w:tcW w:w="859"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543.48</w:t>
            </w:r>
          </w:p>
        </w:tc>
        <w:tc>
          <w:tcPr>
            <w:tcW w:w="859"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7,951.43</w:t>
            </w:r>
          </w:p>
        </w:tc>
        <w:tc>
          <w:tcPr>
            <w:tcW w:w="858"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479.946</w:t>
            </w:r>
          </w:p>
        </w:tc>
      </w:tr>
      <w:tr w:rsidR="00815416" w:rsidRPr="00563CF9" w:rsidTr="004C3B13">
        <w:trPr>
          <w:trHeight w:val="227"/>
        </w:trPr>
        <w:tc>
          <w:tcPr>
            <w:tcW w:w="1192" w:type="pct"/>
            <w:vMerge/>
            <w:tcBorders>
              <w:top w:val="nil"/>
              <w:left w:val="single" w:sz="4" w:space="0" w:color="auto"/>
              <w:bottom w:val="single" w:sz="4" w:space="0" w:color="auto"/>
              <w:right w:val="single" w:sz="4" w:space="0" w:color="auto"/>
            </w:tcBorders>
            <w:shd w:val="clear" w:color="auto" w:fill="auto"/>
            <w:vAlign w:val="center"/>
            <w:hideMark/>
          </w:tcPr>
          <w:p w:rsidR="00815416" w:rsidRPr="00563CF9" w:rsidRDefault="00815416" w:rsidP="00D6580C">
            <w:pPr>
              <w:keepNext/>
              <w:keepLines/>
              <w:jc w:val="left"/>
              <w:rPr>
                <w:rFonts w:ascii="Calibri" w:hAnsi="Calibri" w:cs="Calibri"/>
                <w:color w:val="000000"/>
                <w:sz w:val="20"/>
                <w:lang w:val="en-GB"/>
              </w:rPr>
            </w:pPr>
          </w:p>
        </w:tc>
        <w:tc>
          <w:tcPr>
            <w:tcW w:w="589"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jc w:val="center"/>
              <w:rPr>
                <w:rFonts w:ascii="Calibri" w:hAnsi="Calibri" w:cs="Calibri"/>
                <w:color w:val="000000"/>
                <w:sz w:val="20"/>
                <w:lang w:val="en-GB"/>
              </w:rPr>
            </w:pPr>
            <w:r w:rsidRPr="00563CF9">
              <w:rPr>
                <w:sz w:val="20"/>
                <w:lang w:val="en-GB" w:bidi="en-GB"/>
              </w:rPr>
              <w:t>MUH</w:t>
            </w:r>
          </w:p>
        </w:tc>
        <w:tc>
          <w:tcPr>
            <w:tcW w:w="642" w:type="pct"/>
            <w:vMerge/>
            <w:tcBorders>
              <w:top w:val="nil"/>
              <w:left w:val="single" w:sz="4" w:space="0" w:color="auto"/>
              <w:bottom w:val="single" w:sz="4" w:space="0" w:color="auto"/>
              <w:right w:val="single" w:sz="4" w:space="0" w:color="auto"/>
            </w:tcBorders>
            <w:shd w:val="clear" w:color="auto" w:fill="auto"/>
            <w:vAlign w:val="center"/>
            <w:hideMark/>
          </w:tcPr>
          <w:p w:rsidR="00815416" w:rsidRPr="00563CF9" w:rsidRDefault="00815416" w:rsidP="00D6580C">
            <w:pPr>
              <w:keepNext/>
              <w:keepLines/>
              <w:jc w:val="center"/>
              <w:rPr>
                <w:rFonts w:ascii="Calibri" w:hAnsi="Calibri" w:cs="Calibri"/>
                <w:color w:val="000000"/>
                <w:sz w:val="20"/>
                <w:lang w:val="en-GB"/>
              </w:rPr>
            </w:pPr>
          </w:p>
        </w:tc>
        <w:tc>
          <w:tcPr>
            <w:tcW w:w="859"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1,012.94</w:t>
            </w:r>
          </w:p>
        </w:tc>
        <w:tc>
          <w:tcPr>
            <w:tcW w:w="859"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2,951.62</w:t>
            </w:r>
          </w:p>
        </w:tc>
        <w:tc>
          <w:tcPr>
            <w:tcW w:w="858"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4,150.61</w:t>
            </w:r>
          </w:p>
        </w:tc>
      </w:tr>
      <w:tr w:rsidR="00815416" w:rsidRPr="00563CF9" w:rsidTr="004C3B13">
        <w:trPr>
          <w:trHeight w:val="227"/>
        </w:trPr>
        <w:tc>
          <w:tcPr>
            <w:tcW w:w="1192" w:type="pct"/>
            <w:vMerge/>
            <w:tcBorders>
              <w:top w:val="nil"/>
              <w:left w:val="single" w:sz="4" w:space="0" w:color="auto"/>
              <w:bottom w:val="single" w:sz="4" w:space="0" w:color="auto"/>
              <w:right w:val="single" w:sz="4" w:space="0" w:color="auto"/>
            </w:tcBorders>
            <w:shd w:val="clear" w:color="auto" w:fill="auto"/>
            <w:vAlign w:val="center"/>
            <w:hideMark/>
          </w:tcPr>
          <w:p w:rsidR="00815416" w:rsidRPr="00563CF9" w:rsidRDefault="00815416" w:rsidP="00D6580C">
            <w:pPr>
              <w:keepNext/>
              <w:keepLines/>
              <w:jc w:val="left"/>
              <w:rPr>
                <w:rFonts w:ascii="Calibri" w:hAnsi="Calibri" w:cs="Calibri"/>
                <w:color w:val="000000"/>
                <w:sz w:val="20"/>
                <w:lang w:val="en-GB"/>
              </w:rPr>
            </w:pPr>
          </w:p>
        </w:tc>
        <w:tc>
          <w:tcPr>
            <w:tcW w:w="589"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jc w:val="center"/>
              <w:rPr>
                <w:rFonts w:ascii="Calibri" w:hAnsi="Calibri" w:cs="Calibri"/>
                <w:color w:val="000000"/>
                <w:sz w:val="20"/>
                <w:lang w:val="en-GB"/>
              </w:rPr>
            </w:pPr>
            <w:r w:rsidRPr="00563CF9">
              <w:rPr>
                <w:sz w:val="20"/>
                <w:lang w:val="en-GB" w:bidi="en-GB"/>
              </w:rPr>
              <w:t>CMH</w:t>
            </w:r>
          </w:p>
        </w:tc>
        <w:tc>
          <w:tcPr>
            <w:tcW w:w="642" w:type="pct"/>
            <w:vMerge/>
            <w:tcBorders>
              <w:top w:val="nil"/>
              <w:left w:val="single" w:sz="4" w:space="0" w:color="auto"/>
              <w:bottom w:val="single" w:sz="4" w:space="0" w:color="auto"/>
              <w:right w:val="single" w:sz="4" w:space="0" w:color="auto"/>
            </w:tcBorders>
            <w:shd w:val="clear" w:color="auto" w:fill="auto"/>
            <w:vAlign w:val="center"/>
            <w:hideMark/>
          </w:tcPr>
          <w:p w:rsidR="00815416" w:rsidRPr="00563CF9" w:rsidRDefault="00815416" w:rsidP="00D6580C">
            <w:pPr>
              <w:keepNext/>
              <w:keepLines/>
              <w:jc w:val="center"/>
              <w:rPr>
                <w:rFonts w:ascii="Calibri" w:hAnsi="Calibri" w:cs="Calibri"/>
                <w:color w:val="000000"/>
                <w:sz w:val="20"/>
                <w:lang w:val="en-GB"/>
              </w:rPr>
            </w:pPr>
          </w:p>
        </w:tc>
        <w:tc>
          <w:tcPr>
            <w:tcW w:w="859"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1,072.04</w:t>
            </w:r>
          </w:p>
        </w:tc>
        <w:tc>
          <w:tcPr>
            <w:tcW w:w="859"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1,004.52</w:t>
            </w:r>
          </w:p>
        </w:tc>
        <w:tc>
          <w:tcPr>
            <w:tcW w:w="858"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852.75</w:t>
            </w:r>
          </w:p>
        </w:tc>
      </w:tr>
      <w:tr w:rsidR="00815416" w:rsidRPr="00563CF9" w:rsidTr="004C3B13">
        <w:trPr>
          <w:trHeight w:val="227"/>
        </w:trPr>
        <w:tc>
          <w:tcPr>
            <w:tcW w:w="1192" w:type="pct"/>
            <w:vMerge w:val="restart"/>
            <w:tcBorders>
              <w:top w:val="nil"/>
              <w:left w:val="single" w:sz="4" w:space="0" w:color="auto"/>
              <w:bottom w:val="single" w:sz="4" w:space="0" w:color="auto"/>
              <w:right w:val="single" w:sz="4" w:space="0" w:color="auto"/>
            </w:tcBorders>
            <w:shd w:val="clear" w:color="auto" w:fill="auto"/>
            <w:vAlign w:val="center"/>
            <w:hideMark/>
          </w:tcPr>
          <w:p w:rsidR="00815416" w:rsidRPr="00563CF9" w:rsidRDefault="00815416" w:rsidP="00D6580C">
            <w:pPr>
              <w:keepNext/>
              <w:keepLines/>
              <w:jc w:val="left"/>
              <w:rPr>
                <w:rFonts w:ascii="Calibri" w:hAnsi="Calibri" w:cs="Calibri"/>
                <w:color w:val="000000"/>
                <w:sz w:val="20"/>
                <w:lang w:val="en-GB"/>
              </w:rPr>
            </w:pPr>
            <w:r w:rsidRPr="00563CF9">
              <w:rPr>
                <w:sz w:val="20"/>
                <w:lang w:val="en-GB" w:bidi="en-GB"/>
              </w:rPr>
              <w:t>Costs of medicinal products</w:t>
            </w:r>
          </w:p>
        </w:tc>
        <w:tc>
          <w:tcPr>
            <w:tcW w:w="589"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jc w:val="center"/>
              <w:rPr>
                <w:rFonts w:ascii="Calibri" w:hAnsi="Calibri" w:cs="Calibri"/>
                <w:color w:val="000000"/>
                <w:sz w:val="20"/>
                <w:lang w:val="en-GB"/>
              </w:rPr>
            </w:pPr>
            <w:r w:rsidRPr="00563CF9">
              <w:rPr>
                <w:sz w:val="20"/>
                <w:lang w:val="en-GB" w:bidi="en-GB"/>
              </w:rPr>
              <w:t>BUH</w:t>
            </w:r>
          </w:p>
        </w:tc>
        <w:tc>
          <w:tcPr>
            <w:tcW w:w="642" w:type="pct"/>
            <w:vMerge w:val="restart"/>
            <w:tcBorders>
              <w:top w:val="nil"/>
              <w:left w:val="single" w:sz="4" w:space="0" w:color="auto"/>
              <w:bottom w:val="single" w:sz="4" w:space="0" w:color="auto"/>
              <w:right w:val="single" w:sz="4" w:space="0" w:color="auto"/>
            </w:tcBorders>
            <w:shd w:val="clear" w:color="auto" w:fill="auto"/>
            <w:vAlign w:val="center"/>
            <w:hideMark/>
          </w:tcPr>
          <w:p w:rsidR="00815416" w:rsidRPr="00563CF9" w:rsidRDefault="00815416" w:rsidP="00D6580C">
            <w:pPr>
              <w:keepNext/>
              <w:keepLines/>
              <w:jc w:val="center"/>
              <w:rPr>
                <w:rFonts w:ascii="Calibri" w:hAnsi="Calibri" w:cs="Calibri"/>
                <w:color w:val="000000"/>
                <w:sz w:val="20"/>
                <w:lang w:val="en-GB"/>
              </w:rPr>
            </w:pPr>
            <w:r w:rsidRPr="00563CF9">
              <w:rPr>
                <w:sz w:val="20"/>
                <w:lang w:val="en-GB" w:bidi="en-GB"/>
              </w:rPr>
              <w:t>CZK thousands</w:t>
            </w:r>
          </w:p>
        </w:tc>
        <w:tc>
          <w:tcPr>
            <w:tcW w:w="859"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1,655,371.94</w:t>
            </w:r>
          </w:p>
        </w:tc>
        <w:tc>
          <w:tcPr>
            <w:tcW w:w="859"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1,806,487.17</w:t>
            </w:r>
          </w:p>
        </w:tc>
        <w:tc>
          <w:tcPr>
            <w:tcW w:w="858"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2,085,461.23</w:t>
            </w:r>
          </w:p>
        </w:tc>
      </w:tr>
      <w:tr w:rsidR="00815416" w:rsidRPr="00563CF9" w:rsidTr="004C3B13">
        <w:trPr>
          <w:trHeight w:val="227"/>
        </w:trPr>
        <w:tc>
          <w:tcPr>
            <w:tcW w:w="1192" w:type="pct"/>
            <w:vMerge/>
            <w:tcBorders>
              <w:top w:val="nil"/>
              <w:left w:val="single" w:sz="4" w:space="0" w:color="auto"/>
              <w:bottom w:val="single" w:sz="4" w:space="0" w:color="auto"/>
              <w:right w:val="single" w:sz="4" w:space="0" w:color="auto"/>
            </w:tcBorders>
            <w:shd w:val="clear" w:color="auto" w:fill="auto"/>
            <w:vAlign w:val="center"/>
            <w:hideMark/>
          </w:tcPr>
          <w:p w:rsidR="00815416" w:rsidRPr="00563CF9" w:rsidRDefault="00815416" w:rsidP="00D6580C">
            <w:pPr>
              <w:keepNext/>
              <w:keepLines/>
              <w:jc w:val="left"/>
              <w:rPr>
                <w:rFonts w:ascii="Calibri" w:hAnsi="Calibri" w:cs="Calibri"/>
                <w:color w:val="000000"/>
                <w:sz w:val="20"/>
                <w:lang w:val="en-GB"/>
              </w:rPr>
            </w:pPr>
          </w:p>
        </w:tc>
        <w:tc>
          <w:tcPr>
            <w:tcW w:w="589"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jc w:val="center"/>
              <w:rPr>
                <w:rFonts w:ascii="Calibri" w:hAnsi="Calibri" w:cs="Calibri"/>
                <w:color w:val="000000"/>
                <w:sz w:val="20"/>
                <w:lang w:val="en-GB"/>
              </w:rPr>
            </w:pPr>
            <w:r w:rsidRPr="00563CF9">
              <w:rPr>
                <w:sz w:val="20"/>
                <w:lang w:val="en-GB" w:bidi="en-GB"/>
              </w:rPr>
              <w:t>MUH</w:t>
            </w:r>
          </w:p>
        </w:tc>
        <w:tc>
          <w:tcPr>
            <w:tcW w:w="642" w:type="pct"/>
            <w:vMerge/>
            <w:tcBorders>
              <w:top w:val="nil"/>
              <w:left w:val="single" w:sz="4" w:space="0" w:color="auto"/>
              <w:bottom w:val="single" w:sz="4" w:space="0" w:color="auto"/>
              <w:right w:val="single" w:sz="4" w:space="0" w:color="auto"/>
            </w:tcBorders>
            <w:shd w:val="clear" w:color="auto" w:fill="auto"/>
            <w:vAlign w:val="center"/>
            <w:hideMark/>
          </w:tcPr>
          <w:p w:rsidR="00815416" w:rsidRPr="00563CF9" w:rsidRDefault="00815416" w:rsidP="00D6580C">
            <w:pPr>
              <w:keepNext/>
              <w:keepLines/>
              <w:jc w:val="center"/>
              <w:rPr>
                <w:rFonts w:ascii="Calibri" w:hAnsi="Calibri" w:cs="Calibri"/>
                <w:color w:val="000000"/>
                <w:sz w:val="20"/>
                <w:lang w:val="en-GB"/>
              </w:rPr>
            </w:pPr>
          </w:p>
        </w:tc>
        <w:tc>
          <w:tcPr>
            <w:tcW w:w="859"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1,251,483.94</w:t>
            </w:r>
          </w:p>
        </w:tc>
        <w:tc>
          <w:tcPr>
            <w:tcW w:w="859"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1,333,835.77</w:t>
            </w:r>
          </w:p>
        </w:tc>
        <w:tc>
          <w:tcPr>
            <w:tcW w:w="858"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1,477,736.11</w:t>
            </w:r>
          </w:p>
        </w:tc>
      </w:tr>
      <w:tr w:rsidR="00815416" w:rsidRPr="00563CF9" w:rsidTr="004C3B13">
        <w:trPr>
          <w:trHeight w:val="227"/>
        </w:trPr>
        <w:tc>
          <w:tcPr>
            <w:tcW w:w="1192" w:type="pct"/>
            <w:vMerge/>
            <w:tcBorders>
              <w:top w:val="nil"/>
              <w:left w:val="single" w:sz="4" w:space="0" w:color="auto"/>
              <w:bottom w:val="single" w:sz="4" w:space="0" w:color="auto"/>
              <w:right w:val="single" w:sz="4" w:space="0" w:color="auto"/>
            </w:tcBorders>
            <w:shd w:val="clear" w:color="auto" w:fill="auto"/>
            <w:vAlign w:val="center"/>
            <w:hideMark/>
          </w:tcPr>
          <w:p w:rsidR="00815416" w:rsidRPr="00563CF9" w:rsidRDefault="00815416" w:rsidP="00D6580C">
            <w:pPr>
              <w:keepNext/>
              <w:keepLines/>
              <w:jc w:val="left"/>
              <w:rPr>
                <w:rFonts w:ascii="Calibri" w:hAnsi="Calibri" w:cs="Calibri"/>
                <w:color w:val="000000"/>
                <w:sz w:val="20"/>
                <w:lang w:val="en-GB"/>
              </w:rPr>
            </w:pPr>
          </w:p>
        </w:tc>
        <w:tc>
          <w:tcPr>
            <w:tcW w:w="589"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jc w:val="center"/>
              <w:rPr>
                <w:rFonts w:ascii="Calibri" w:hAnsi="Calibri" w:cs="Calibri"/>
                <w:color w:val="000000"/>
                <w:sz w:val="20"/>
                <w:lang w:val="en-GB"/>
              </w:rPr>
            </w:pPr>
            <w:r w:rsidRPr="00563CF9">
              <w:rPr>
                <w:sz w:val="20"/>
                <w:lang w:val="en-GB" w:bidi="en-GB"/>
              </w:rPr>
              <w:t>CMH</w:t>
            </w:r>
          </w:p>
        </w:tc>
        <w:tc>
          <w:tcPr>
            <w:tcW w:w="642" w:type="pct"/>
            <w:vMerge/>
            <w:tcBorders>
              <w:top w:val="nil"/>
              <w:left w:val="single" w:sz="4" w:space="0" w:color="auto"/>
              <w:bottom w:val="single" w:sz="4" w:space="0" w:color="auto"/>
              <w:right w:val="single" w:sz="4" w:space="0" w:color="auto"/>
            </w:tcBorders>
            <w:shd w:val="clear" w:color="auto" w:fill="auto"/>
            <w:vAlign w:val="center"/>
            <w:hideMark/>
          </w:tcPr>
          <w:p w:rsidR="00815416" w:rsidRPr="00563CF9" w:rsidRDefault="00815416" w:rsidP="00D6580C">
            <w:pPr>
              <w:keepNext/>
              <w:keepLines/>
              <w:jc w:val="center"/>
              <w:rPr>
                <w:rFonts w:ascii="Calibri" w:hAnsi="Calibri" w:cs="Calibri"/>
                <w:color w:val="000000"/>
                <w:sz w:val="20"/>
                <w:lang w:val="en-GB"/>
              </w:rPr>
            </w:pPr>
          </w:p>
        </w:tc>
        <w:tc>
          <w:tcPr>
            <w:tcW w:w="859"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141,119.58</w:t>
            </w:r>
          </w:p>
        </w:tc>
        <w:tc>
          <w:tcPr>
            <w:tcW w:w="859"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157,737.61</w:t>
            </w:r>
          </w:p>
        </w:tc>
        <w:tc>
          <w:tcPr>
            <w:tcW w:w="858"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210,317.45</w:t>
            </w:r>
          </w:p>
        </w:tc>
      </w:tr>
      <w:tr w:rsidR="00815416" w:rsidRPr="00563CF9" w:rsidTr="004C3B13">
        <w:trPr>
          <w:trHeight w:val="227"/>
        </w:trPr>
        <w:tc>
          <w:tcPr>
            <w:tcW w:w="1192" w:type="pct"/>
            <w:vMerge w:val="restart"/>
            <w:tcBorders>
              <w:top w:val="nil"/>
              <w:left w:val="single" w:sz="4" w:space="0" w:color="auto"/>
              <w:bottom w:val="single" w:sz="4" w:space="0" w:color="auto"/>
              <w:right w:val="single" w:sz="4" w:space="0" w:color="auto"/>
            </w:tcBorders>
            <w:shd w:val="clear" w:color="auto" w:fill="auto"/>
            <w:vAlign w:val="center"/>
            <w:hideMark/>
          </w:tcPr>
          <w:p w:rsidR="00815416" w:rsidRPr="00563CF9" w:rsidRDefault="00815416" w:rsidP="00D6580C">
            <w:pPr>
              <w:keepNext/>
              <w:keepLines/>
              <w:jc w:val="left"/>
              <w:rPr>
                <w:rFonts w:ascii="Calibri" w:hAnsi="Calibri" w:cs="Calibri"/>
                <w:color w:val="000000"/>
                <w:sz w:val="20"/>
                <w:lang w:val="en-GB"/>
              </w:rPr>
            </w:pPr>
            <w:r w:rsidRPr="00563CF9">
              <w:rPr>
                <w:sz w:val="20"/>
                <w:lang w:val="en-GB" w:bidi="en-GB"/>
              </w:rPr>
              <w:t>Cost of medical devices</w:t>
            </w:r>
            <w:r w:rsidRPr="00563CF9">
              <w:rPr>
                <w:rStyle w:val="Znakapoznpodarou"/>
                <w:sz w:val="20"/>
                <w:lang w:val="en-GB" w:bidi="en-GB"/>
              </w:rPr>
              <w:footnoteReference w:id="27"/>
            </w:r>
          </w:p>
        </w:tc>
        <w:tc>
          <w:tcPr>
            <w:tcW w:w="589"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jc w:val="center"/>
              <w:rPr>
                <w:rFonts w:ascii="Calibri" w:hAnsi="Calibri" w:cs="Calibri"/>
                <w:color w:val="000000"/>
                <w:sz w:val="20"/>
                <w:lang w:val="en-GB"/>
              </w:rPr>
            </w:pPr>
            <w:r w:rsidRPr="00563CF9">
              <w:rPr>
                <w:sz w:val="20"/>
                <w:lang w:val="en-GB" w:bidi="en-GB"/>
              </w:rPr>
              <w:t>BUH</w:t>
            </w:r>
          </w:p>
        </w:tc>
        <w:tc>
          <w:tcPr>
            <w:tcW w:w="642" w:type="pct"/>
            <w:vMerge w:val="restart"/>
            <w:tcBorders>
              <w:top w:val="nil"/>
              <w:left w:val="single" w:sz="4" w:space="0" w:color="auto"/>
              <w:bottom w:val="single" w:sz="4" w:space="0" w:color="auto"/>
              <w:right w:val="single" w:sz="4" w:space="0" w:color="auto"/>
            </w:tcBorders>
            <w:shd w:val="clear" w:color="auto" w:fill="auto"/>
            <w:vAlign w:val="center"/>
            <w:hideMark/>
          </w:tcPr>
          <w:p w:rsidR="00815416" w:rsidRPr="00563CF9" w:rsidRDefault="00815416" w:rsidP="00D6580C">
            <w:pPr>
              <w:keepNext/>
              <w:keepLines/>
              <w:jc w:val="center"/>
              <w:rPr>
                <w:rFonts w:ascii="Calibri" w:hAnsi="Calibri" w:cs="Calibri"/>
                <w:color w:val="000000"/>
                <w:sz w:val="20"/>
                <w:lang w:val="en-GB"/>
              </w:rPr>
            </w:pPr>
            <w:r w:rsidRPr="00563CF9">
              <w:rPr>
                <w:sz w:val="20"/>
                <w:lang w:val="en-GB" w:bidi="en-GB"/>
              </w:rPr>
              <w:t>CZK thousands</w:t>
            </w:r>
          </w:p>
        </w:tc>
        <w:tc>
          <w:tcPr>
            <w:tcW w:w="859"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708,273.05</w:t>
            </w:r>
          </w:p>
        </w:tc>
        <w:tc>
          <w:tcPr>
            <w:tcW w:w="859"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703,494.78</w:t>
            </w:r>
          </w:p>
        </w:tc>
        <w:tc>
          <w:tcPr>
            <w:tcW w:w="858"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730,820.72</w:t>
            </w:r>
          </w:p>
        </w:tc>
      </w:tr>
      <w:tr w:rsidR="00815416" w:rsidRPr="00563CF9" w:rsidTr="004C3B13">
        <w:trPr>
          <w:trHeight w:val="227"/>
        </w:trPr>
        <w:tc>
          <w:tcPr>
            <w:tcW w:w="1192" w:type="pct"/>
            <w:vMerge/>
            <w:tcBorders>
              <w:top w:val="nil"/>
              <w:left w:val="single" w:sz="4" w:space="0" w:color="auto"/>
              <w:bottom w:val="single" w:sz="4" w:space="0" w:color="auto"/>
              <w:right w:val="single" w:sz="4" w:space="0" w:color="auto"/>
            </w:tcBorders>
            <w:shd w:val="clear" w:color="auto" w:fill="auto"/>
            <w:vAlign w:val="center"/>
            <w:hideMark/>
          </w:tcPr>
          <w:p w:rsidR="00815416" w:rsidRPr="00563CF9" w:rsidRDefault="00815416" w:rsidP="00D6580C">
            <w:pPr>
              <w:keepNext/>
              <w:keepLines/>
              <w:jc w:val="left"/>
              <w:rPr>
                <w:rFonts w:ascii="Calibri" w:hAnsi="Calibri" w:cs="Calibri"/>
                <w:color w:val="000000"/>
                <w:sz w:val="20"/>
                <w:lang w:val="en-GB"/>
              </w:rPr>
            </w:pPr>
          </w:p>
        </w:tc>
        <w:tc>
          <w:tcPr>
            <w:tcW w:w="589"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jc w:val="center"/>
              <w:rPr>
                <w:rFonts w:ascii="Calibri" w:hAnsi="Calibri" w:cs="Calibri"/>
                <w:color w:val="000000"/>
                <w:sz w:val="20"/>
                <w:lang w:val="en-GB"/>
              </w:rPr>
            </w:pPr>
            <w:r w:rsidRPr="00563CF9">
              <w:rPr>
                <w:sz w:val="20"/>
                <w:lang w:val="en-GB" w:bidi="en-GB"/>
              </w:rPr>
              <w:t>MUH</w:t>
            </w:r>
          </w:p>
        </w:tc>
        <w:tc>
          <w:tcPr>
            <w:tcW w:w="642" w:type="pct"/>
            <w:vMerge/>
            <w:tcBorders>
              <w:top w:val="nil"/>
              <w:left w:val="single" w:sz="4" w:space="0" w:color="auto"/>
              <w:bottom w:val="single" w:sz="4" w:space="0" w:color="auto"/>
              <w:right w:val="single" w:sz="4" w:space="0" w:color="auto"/>
            </w:tcBorders>
            <w:shd w:val="clear" w:color="auto" w:fill="auto"/>
            <w:vAlign w:val="center"/>
            <w:hideMark/>
          </w:tcPr>
          <w:p w:rsidR="00815416" w:rsidRPr="00563CF9" w:rsidRDefault="00815416" w:rsidP="00D6580C">
            <w:pPr>
              <w:keepNext/>
              <w:keepLines/>
              <w:jc w:val="center"/>
              <w:rPr>
                <w:rFonts w:ascii="Calibri" w:hAnsi="Calibri" w:cs="Calibri"/>
                <w:color w:val="000000"/>
                <w:sz w:val="20"/>
                <w:lang w:val="en-GB"/>
              </w:rPr>
            </w:pPr>
          </w:p>
        </w:tc>
        <w:tc>
          <w:tcPr>
            <w:tcW w:w="859"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808,992.74</w:t>
            </w:r>
          </w:p>
        </w:tc>
        <w:tc>
          <w:tcPr>
            <w:tcW w:w="859"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829,716.84</w:t>
            </w:r>
          </w:p>
        </w:tc>
        <w:tc>
          <w:tcPr>
            <w:tcW w:w="858"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894,714.30</w:t>
            </w:r>
          </w:p>
        </w:tc>
      </w:tr>
      <w:tr w:rsidR="00815416" w:rsidRPr="00563CF9" w:rsidTr="004C3B13">
        <w:trPr>
          <w:trHeight w:val="227"/>
        </w:trPr>
        <w:tc>
          <w:tcPr>
            <w:tcW w:w="1192" w:type="pct"/>
            <w:vMerge/>
            <w:tcBorders>
              <w:top w:val="nil"/>
              <w:left w:val="single" w:sz="4" w:space="0" w:color="auto"/>
              <w:bottom w:val="single" w:sz="4" w:space="0" w:color="auto"/>
              <w:right w:val="single" w:sz="4" w:space="0" w:color="auto"/>
            </w:tcBorders>
            <w:shd w:val="clear" w:color="auto" w:fill="auto"/>
            <w:vAlign w:val="center"/>
            <w:hideMark/>
          </w:tcPr>
          <w:p w:rsidR="00815416" w:rsidRPr="00563CF9" w:rsidRDefault="00815416" w:rsidP="00D6580C">
            <w:pPr>
              <w:keepNext/>
              <w:keepLines/>
              <w:jc w:val="left"/>
              <w:rPr>
                <w:rFonts w:ascii="Calibri" w:hAnsi="Calibri" w:cs="Calibri"/>
                <w:color w:val="000000"/>
                <w:sz w:val="20"/>
                <w:lang w:val="en-GB"/>
              </w:rPr>
            </w:pPr>
          </w:p>
        </w:tc>
        <w:tc>
          <w:tcPr>
            <w:tcW w:w="589"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jc w:val="center"/>
              <w:rPr>
                <w:rFonts w:ascii="Calibri" w:hAnsi="Calibri" w:cs="Calibri"/>
                <w:color w:val="000000"/>
                <w:sz w:val="20"/>
                <w:lang w:val="en-GB"/>
              </w:rPr>
            </w:pPr>
            <w:r w:rsidRPr="00563CF9">
              <w:rPr>
                <w:sz w:val="20"/>
                <w:lang w:val="en-GB" w:bidi="en-GB"/>
              </w:rPr>
              <w:t>CMH</w:t>
            </w:r>
          </w:p>
        </w:tc>
        <w:tc>
          <w:tcPr>
            <w:tcW w:w="642" w:type="pct"/>
            <w:vMerge/>
            <w:tcBorders>
              <w:top w:val="nil"/>
              <w:left w:val="single" w:sz="4" w:space="0" w:color="auto"/>
              <w:bottom w:val="single" w:sz="4" w:space="0" w:color="auto"/>
              <w:right w:val="single" w:sz="4" w:space="0" w:color="auto"/>
            </w:tcBorders>
            <w:shd w:val="clear" w:color="auto" w:fill="auto"/>
            <w:vAlign w:val="center"/>
            <w:hideMark/>
          </w:tcPr>
          <w:p w:rsidR="00815416" w:rsidRPr="00563CF9" w:rsidRDefault="00815416" w:rsidP="00D6580C">
            <w:pPr>
              <w:keepNext/>
              <w:keepLines/>
              <w:jc w:val="center"/>
              <w:rPr>
                <w:rFonts w:ascii="Calibri" w:hAnsi="Calibri" w:cs="Calibri"/>
                <w:color w:val="000000"/>
                <w:sz w:val="20"/>
                <w:lang w:val="en-GB"/>
              </w:rPr>
            </w:pPr>
          </w:p>
        </w:tc>
        <w:tc>
          <w:tcPr>
            <w:tcW w:w="859"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349,256.99</w:t>
            </w:r>
          </w:p>
        </w:tc>
        <w:tc>
          <w:tcPr>
            <w:tcW w:w="859"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365,104.47</w:t>
            </w:r>
          </w:p>
        </w:tc>
        <w:tc>
          <w:tcPr>
            <w:tcW w:w="858"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370,461.96</w:t>
            </w:r>
          </w:p>
        </w:tc>
      </w:tr>
      <w:tr w:rsidR="00815416" w:rsidRPr="00563CF9" w:rsidTr="004C3B13">
        <w:trPr>
          <w:trHeight w:val="227"/>
        </w:trPr>
        <w:tc>
          <w:tcPr>
            <w:tcW w:w="1192" w:type="pct"/>
            <w:vMerge w:val="restart"/>
            <w:tcBorders>
              <w:top w:val="nil"/>
              <w:left w:val="single" w:sz="4" w:space="0" w:color="auto"/>
              <w:bottom w:val="single" w:sz="4" w:space="0" w:color="auto"/>
              <w:right w:val="single" w:sz="4" w:space="0" w:color="auto"/>
            </w:tcBorders>
            <w:shd w:val="clear" w:color="auto" w:fill="auto"/>
            <w:vAlign w:val="center"/>
            <w:hideMark/>
          </w:tcPr>
          <w:p w:rsidR="00815416" w:rsidRPr="00563CF9" w:rsidRDefault="00815416" w:rsidP="00D6580C">
            <w:pPr>
              <w:keepNext/>
              <w:keepLines/>
              <w:jc w:val="left"/>
              <w:rPr>
                <w:rFonts w:ascii="Calibri" w:hAnsi="Calibri" w:cs="Calibri"/>
                <w:color w:val="000000"/>
                <w:sz w:val="20"/>
                <w:lang w:val="en-GB"/>
              </w:rPr>
            </w:pPr>
            <w:r w:rsidRPr="00563CF9">
              <w:rPr>
                <w:sz w:val="20"/>
                <w:lang w:val="en-GB" w:bidi="en-GB"/>
              </w:rPr>
              <w:t>Bonuses</w:t>
            </w:r>
            <w:r w:rsidRPr="00563CF9">
              <w:rPr>
                <w:rStyle w:val="Znakapoznpodarou"/>
                <w:sz w:val="20"/>
                <w:lang w:val="en-GB" w:bidi="en-GB"/>
              </w:rPr>
              <w:footnoteReference w:id="28"/>
            </w:r>
            <w:r w:rsidRPr="00563CF9">
              <w:rPr>
                <w:sz w:val="20"/>
                <w:lang w:val="en-GB" w:bidi="en-GB"/>
              </w:rPr>
              <w:t xml:space="preserve"> for medicinal products and medical devices</w:t>
            </w:r>
          </w:p>
        </w:tc>
        <w:tc>
          <w:tcPr>
            <w:tcW w:w="589"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jc w:val="center"/>
              <w:rPr>
                <w:rFonts w:ascii="Calibri" w:hAnsi="Calibri" w:cs="Calibri"/>
                <w:color w:val="000000"/>
                <w:sz w:val="20"/>
                <w:lang w:val="en-GB"/>
              </w:rPr>
            </w:pPr>
            <w:r w:rsidRPr="00563CF9">
              <w:rPr>
                <w:sz w:val="20"/>
                <w:lang w:val="en-GB" w:bidi="en-GB"/>
              </w:rPr>
              <w:t>BUH</w:t>
            </w:r>
          </w:p>
        </w:tc>
        <w:tc>
          <w:tcPr>
            <w:tcW w:w="642" w:type="pct"/>
            <w:vMerge w:val="restart"/>
            <w:tcBorders>
              <w:top w:val="nil"/>
              <w:left w:val="single" w:sz="4" w:space="0" w:color="auto"/>
              <w:bottom w:val="single" w:sz="4" w:space="0" w:color="auto"/>
              <w:right w:val="single" w:sz="4" w:space="0" w:color="auto"/>
            </w:tcBorders>
            <w:shd w:val="clear" w:color="auto" w:fill="auto"/>
            <w:vAlign w:val="center"/>
            <w:hideMark/>
          </w:tcPr>
          <w:p w:rsidR="00815416" w:rsidRPr="00563CF9" w:rsidRDefault="00815416" w:rsidP="00D6580C">
            <w:pPr>
              <w:keepNext/>
              <w:keepLines/>
              <w:jc w:val="center"/>
              <w:rPr>
                <w:rFonts w:ascii="Calibri" w:hAnsi="Calibri" w:cs="Calibri"/>
                <w:color w:val="000000"/>
                <w:sz w:val="20"/>
                <w:lang w:val="en-GB"/>
              </w:rPr>
            </w:pPr>
            <w:r w:rsidRPr="00563CF9">
              <w:rPr>
                <w:sz w:val="20"/>
                <w:lang w:val="en-GB" w:bidi="en-GB"/>
              </w:rPr>
              <w:t>CZK thousands</w:t>
            </w:r>
          </w:p>
        </w:tc>
        <w:tc>
          <w:tcPr>
            <w:tcW w:w="859"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226,476.06</w:t>
            </w:r>
          </w:p>
        </w:tc>
        <w:tc>
          <w:tcPr>
            <w:tcW w:w="859"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209,997.55</w:t>
            </w:r>
          </w:p>
        </w:tc>
        <w:tc>
          <w:tcPr>
            <w:tcW w:w="858"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225,448.27</w:t>
            </w:r>
          </w:p>
        </w:tc>
      </w:tr>
      <w:tr w:rsidR="00815416" w:rsidRPr="00563CF9" w:rsidTr="004C3B13">
        <w:trPr>
          <w:trHeight w:val="227"/>
        </w:trPr>
        <w:tc>
          <w:tcPr>
            <w:tcW w:w="1192" w:type="pct"/>
            <w:vMerge/>
            <w:tcBorders>
              <w:top w:val="nil"/>
              <w:left w:val="single" w:sz="4" w:space="0" w:color="auto"/>
              <w:bottom w:val="single" w:sz="4" w:space="0" w:color="auto"/>
              <w:right w:val="single" w:sz="4" w:space="0" w:color="auto"/>
            </w:tcBorders>
            <w:shd w:val="clear" w:color="auto" w:fill="auto"/>
            <w:vAlign w:val="center"/>
            <w:hideMark/>
          </w:tcPr>
          <w:p w:rsidR="00815416" w:rsidRPr="00563CF9" w:rsidRDefault="00815416" w:rsidP="00D6580C">
            <w:pPr>
              <w:keepNext/>
              <w:keepLines/>
              <w:jc w:val="left"/>
              <w:rPr>
                <w:rFonts w:ascii="Calibri" w:hAnsi="Calibri" w:cs="Calibri"/>
                <w:color w:val="000000"/>
                <w:sz w:val="20"/>
                <w:lang w:val="en-GB"/>
              </w:rPr>
            </w:pPr>
          </w:p>
        </w:tc>
        <w:tc>
          <w:tcPr>
            <w:tcW w:w="589"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jc w:val="center"/>
              <w:rPr>
                <w:rFonts w:ascii="Calibri" w:hAnsi="Calibri" w:cs="Calibri"/>
                <w:color w:val="000000"/>
                <w:sz w:val="20"/>
                <w:lang w:val="en-GB"/>
              </w:rPr>
            </w:pPr>
            <w:r w:rsidRPr="00563CF9">
              <w:rPr>
                <w:sz w:val="20"/>
                <w:lang w:val="en-GB" w:bidi="en-GB"/>
              </w:rPr>
              <w:t>MUH</w:t>
            </w:r>
          </w:p>
        </w:tc>
        <w:tc>
          <w:tcPr>
            <w:tcW w:w="642" w:type="pct"/>
            <w:vMerge/>
            <w:tcBorders>
              <w:top w:val="nil"/>
              <w:left w:val="single" w:sz="4" w:space="0" w:color="auto"/>
              <w:bottom w:val="single" w:sz="4" w:space="0" w:color="auto"/>
              <w:right w:val="single" w:sz="4" w:space="0" w:color="auto"/>
            </w:tcBorders>
            <w:shd w:val="clear" w:color="auto" w:fill="auto"/>
            <w:vAlign w:val="center"/>
            <w:hideMark/>
          </w:tcPr>
          <w:p w:rsidR="00815416" w:rsidRPr="00563CF9" w:rsidRDefault="00815416" w:rsidP="00D6580C">
            <w:pPr>
              <w:keepNext/>
              <w:keepLines/>
              <w:jc w:val="center"/>
              <w:rPr>
                <w:rFonts w:ascii="Calibri" w:hAnsi="Calibri" w:cs="Calibri"/>
                <w:color w:val="000000"/>
                <w:sz w:val="20"/>
                <w:lang w:val="en-GB"/>
              </w:rPr>
            </w:pPr>
          </w:p>
        </w:tc>
        <w:tc>
          <w:tcPr>
            <w:tcW w:w="859"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49,212.92</w:t>
            </w:r>
          </w:p>
        </w:tc>
        <w:tc>
          <w:tcPr>
            <w:tcW w:w="859"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79,705.04</w:t>
            </w:r>
          </w:p>
        </w:tc>
        <w:tc>
          <w:tcPr>
            <w:tcW w:w="858"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79,345.73</w:t>
            </w:r>
          </w:p>
        </w:tc>
      </w:tr>
      <w:tr w:rsidR="00815416" w:rsidRPr="00563CF9" w:rsidTr="004C3B13">
        <w:trPr>
          <w:trHeight w:val="227"/>
        </w:trPr>
        <w:tc>
          <w:tcPr>
            <w:tcW w:w="1192" w:type="pct"/>
            <w:vMerge/>
            <w:tcBorders>
              <w:top w:val="nil"/>
              <w:left w:val="single" w:sz="4" w:space="0" w:color="auto"/>
              <w:bottom w:val="single" w:sz="4" w:space="0" w:color="auto"/>
              <w:right w:val="single" w:sz="4" w:space="0" w:color="auto"/>
            </w:tcBorders>
            <w:shd w:val="clear" w:color="auto" w:fill="auto"/>
            <w:vAlign w:val="center"/>
            <w:hideMark/>
          </w:tcPr>
          <w:p w:rsidR="00815416" w:rsidRPr="00563CF9" w:rsidRDefault="00815416" w:rsidP="00D6580C">
            <w:pPr>
              <w:keepNext/>
              <w:keepLines/>
              <w:jc w:val="left"/>
              <w:rPr>
                <w:rFonts w:ascii="Calibri" w:hAnsi="Calibri" w:cs="Calibri"/>
                <w:color w:val="000000"/>
                <w:sz w:val="20"/>
                <w:lang w:val="en-GB"/>
              </w:rPr>
            </w:pPr>
          </w:p>
        </w:tc>
        <w:tc>
          <w:tcPr>
            <w:tcW w:w="589"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jc w:val="center"/>
              <w:rPr>
                <w:rFonts w:ascii="Calibri" w:hAnsi="Calibri" w:cs="Calibri"/>
                <w:color w:val="000000"/>
                <w:sz w:val="20"/>
                <w:lang w:val="en-GB"/>
              </w:rPr>
            </w:pPr>
            <w:r w:rsidRPr="00563CF9">
              <w:rPr>
                <w:sz w:val="20"/>
                <w:lang w:val="en-GB" w:bidi="en-GB"/>
              </w:rPr>
              <w:t>CMH</w:t>
            </w:r>
          </w:p>
        </w:tc>
        <w:tc>
          <w:tcPr>
            <w:tcW w:w="642" w:type="pct"/>
            <w:vMerge/>
            <w:tcBorders>
              <w:top w:val="nil"/>
              <w:left w:val="single" w:sz="4" w:space="0" w:color="auto"/>
              <w:bottom w:val="single" w:sz="4" w:space="0" w:color="auto"/>
              <w:right w:val="single" w:sz="4" w:space="0" w:color="auto"/>
            </w:tcBorders>
            <w:shd w:val="clear" w:color="auto" w:fill="auto"/>
            <w:vAlign w:val="center"/>
            <w:hideMark/>
          </w:tcPr>
          <w:p w:rsidR="00815416" w:rsidRPr="00563CF9" w:rsidRDefault="00815416" w:rsidP="00D6580C">
            <w:pPr>
              <w:keepNext/>
              <w:keepLines/>
              <w:jc w:val="center"/>
              <w:rPr>
                <w:rFonts w:ascii="Calibri" w:hAnsi="Calibri" w:cs="Calibri"/>
                <w:color w:val="000000"/>
                <w:sz w:val="20"/>
                <w:lang w:val="en-GB"/>
              </w:rPr>
            </w:pPr>
          </w:p>
        </w:tc>
        <w:tc>
          <w:tcPr>
            <w:tcW w:w="859"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45,015.29</w:t>
            </w:r>
          </w:p>
        </w:tc>
        <w:tc>
          <w:tcPr>
            <w:tcW w:w="859"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41,186.44</w:t>
            </w:r>
          </w:p>
        </w:tc>
        <w:tc>
          <w:tcPr>
            <w:tcW w:w="858" w:type="pct"/>
            <w:tcBorders>
              <w:top w:val="nil"/>
              <w:left w:val="nil"/>
              <w:bottom w:val="single" w:sz="4" w:space="0" w:color="auto"/>
              <w:right w:val="single" w:sz="4" w:space="0" w:color="auto"/>
            </w:tcBorders>
            <w:shd w:val="clear" w:color="auto" w:fill="auto"/>
            <w:vAlign w:val="center"/>
            <w:hideMark/>
          </w:tcPr>
          <w:p w:rsidR="00815416" w:rsidRPr="00563CF9" w:rsidRDefault="00815416" w:rsidP="00D6580C">
            <w:pPr>
              <w:keepNext/>
              <w:keepLines/>
              <w:ind w:right="68"/>
              <w:jc w:val="right"/>
              <w:rPr>
                <w:rFonts w:ascii="Calibri" w:hAnsi="Calibri" w:cs="Calibri"/>
                <w:color w:val="000000"/>
                <w:sz w:val="20"/>
                <w:lang w:val="en-GB"/>
              </w:rPr>
            </w:pPr>
            <w:r w:rsidRPr="00563CF9">
              <w:rPr>
                <w:sz w:val="20"/>
                <w:lang w:val="en-GB" w:bidi="en-GB"/>
              </w:rPr>
              <w:t>12,363.31</w:t>
            </w:r>
          </w:p>
        </w:tc>
      </w:tr>
    </w:tbl>
    <w:p w:rsidR="00815416" w:rsidRPr="00563CF9" w:rsidRDefault="00815416" w:rsidP="0077471E">
      <w:pPr>
        <w:pStyle w:val="Zdroj"/>
        <w:spacing w:before="40"/>
        <w:ind w:left="567" w:hanging="567"/>
        <w:rPr>
          <w:i w:val="0"/>
          <w:lang w:val="en-GB"/>
        </w:rPr>
      </w:pPr>
      <w:r w:rsidRPr="00563CF9">
        <w:rPr>
          <w:b/>
          <w:i w:val="0"/>
          <w:lang w:val="en-GB" w:bidi="en-GB"/>
        </w:rPr>
        <w:t xml:space="preserve">Source: </w:t>
      </w:r>
      <w:r w:rsidR="00D6580C" w:rsidRPr="00563CF9">
        <w:rPr>
          <w:i w:val="0"/>
          <w:lang w:val="en-GB" w:bidi="en-GB"/>
        </w:rPr>
        <w:t xml:space="preserve">profit and loss statements of the individual university hospitals as of 31 December 2014, 31 December 2015 and 31 December 2016, the main ledgers of the hospitals as of 31 December 2014, 31 December 2015 and 31 December 2016, reports submitted by the individual university hospitals on the basis of the SAO’s requests. </w:t>
      </w:r>
    </w:p>
    <w:p w:rsidR="00815416" w:rsidRPr="00563CF9" w:rsidRDefault="00815416" w:rsidP="0077471E">
      <w:pPr>
        <w:autoSpaceDE w:val="0"/>
        <w:autoSpaceDN w:val="0"/>
        <w:adjustRightInd w:val="0"/>
        <w:spacing w:before="120"/>
        <w:rPr>
          <w:rFonts w:cs="Arial"/>
          <w:lang w:val="en-GB"/>
        </w:rPr>
      </w:pPr>
      <w:r w:rsidRPr="00563CF9">
        <w:rPr>
          <w:lang w:val="en-GB" w:bidi="en-GB"/>
        </w:rPr>
        <w:t xml:space="preserve">In the period under review of 2014 to 2016, the BUH, the MUH and the CMH reported a positive after-tax profit. The result of the main activity was loss for all the university hospitals, and the positive overall financial results of the university hospitals were due to a positive economic result from other (economic) activities. The increase in the loss from the main activity is due to, among other things, an increase in the cost of pharmaceuticals. </w:t>
      </w:r>
    </w:p>
    <w:p w:rsidR="00815416" w:rsidRPr="00563CF9" w:rsidRDefault="00815416" w:rsidP="00815416">
      <w:pPr>
        <w:autoSpaceDE w:val="0"/>
        <w:autoSpaceDN w:val="0"/>
        <w:adjustRightInd w:val="0"/>
        <w:spacing w:before="120"/>
        <w:rPr>
          <w:rFonts w:cs="Arial"/>
          <w:lang w:val="en-GB"/>
        </w:rPr>
      </w:pPr>
      <w:r w:rsidRPr="00563CF9">
        <w:rPr>
          <w:lang w:val="en-GB" w:bidi="en-GB"/>
        </w:rPr>
        <w:t>The share of costs spent on pharmaceuticals on total costs for the period under review of the university hospitals was about 7 % to 26 %. The share of costs spent on medical devices on total costs for the period under review of the university hospitals was about 10 % to 15 %.</w:t>
      </w:r>
    </w:p>
    <w:p w:rsidR="00815416" w:rsidRPr="00563CF9" w:rsidRDefault="00815416" w:rsidP="0077471E">
      <w:pPr>
        <w:autoSpaceDE w:val="0"/>
        <w:autoSpaceDN w:val="0"/>
        <w:adjustRightInd w:val="0"/>
        <w:spacing w:before="120"/>
        <w:rPr>
          <w:rFonts w:cs="Arial"/>
          <w:lang w:val="en-GB"/>
        </w:rPr>
      </w:pPr>
      <w:r w:rsidRPr="00563CF9">
        <w:rPr>
          <w:lang w:val="en-GB" w:bidi="en-GB"/>
        </w:rPr>
        <w:t>The revenues of the university hospitals increased in the period under review. The increase in 2016 compared to 2015 was mainly influenced by the growth of revenues from health insurance companies.</w:t>
      </w:r>
    </w:p>
    <w:p w:rsidR="00A83EDB" w:rsidRPr="00563CF9" w:rsidRDefault="00A83EDB" w:rsidP="004C3B13">
      <w:pPr>
        <w:spacing w:before="240" w:after="120"/>
        <w:rPr>
          <w:rFonts w:cstheme="minorHAnsi"/>
          <w:b/>
          <w:noProof/>
          <w:color w:val="000000" w:themeColor="text1"/>
          <w:szCs w:val="26"/>
          <w:lang w:val="en-GB"/>
        </w:rPr>
      </w:pPr>
      <w:r w:rsidRPr="00563CF9">
        <w:rPr>
          <w:b/>
          <w:noProof/>
          <w:lang w:val="en-GB" w:bidi="en-GB"/>
        </w:rPr>
        <w:t>Selected capacity and performance indicators of the audited university hospitals</w:t>
      </w:r>
    </w:p>
    <w:p w:rsidR="00A83EDB" w:rsidRPr="00563CF9" w:rsidRDefault="00A83EDB" w:rsidP="0077471E">
      <w:pPr>
        <w:spacing w:before="120"/>
        <w:rPr>
          <w:noProof/>
          <w:lang w:val="en-GB"/>
        </w:rPr>
      </w:pPr>
      <w:r w:rsidRPr="00563CF9">
        <w:rPr>
          <w:noProof/>
          <w:lang w:val="en-GB" w:bidi="en-GB"/>
        </w:rPr>
        <w:t>The following table shows selected capacity and performance indicators for each university hospital for the period 2014-2016.</w:t>
      </w:r>
    </w:p>
    <w:p w:rsidR="00A83EDB" w:rsidRPr="00563CF9" w:rsidRDefault="00A83EDB" w:rsidP="00964E70">
      <w:pPr>
        <w:keepNext/>
        <w:shd w:val="clear" w:color="auto" w:fill="FFFFFF"/>
        <w:spacing w:before="120" w:after="40"/>
        <w:rPr>
          <w:rFonts w:cstheme="minorHAnsi"/>
          <w:b/>
          <w:lang w:val="en-GB"/>
        </w:rPr>
      </w:pPr>
      <w:r w:rsidRPr="00563CF9">
        <w:rPr>
          <w:b/>
          <w:lang w:val="en-GB" w:bidi="en-GB"/>
        </w:rPr>
        <w:t>Table 2: Selected capacity and performance indicators of university hospitals for 2014-2016</w:t>
      </w:r>
    </w:p>
    <w:tbl>
      <w:tblPr>
        <w:tblW w:w="5000" w:type="pct"/>
        <w:tblLayout w:type="fixed"/>
        <w:tblCellMar>
          <w:left w:w="30" w:type="dxa"/>
          <w:right w:w="30" w:type="dxa"/>
        </w:tblCellMar>
        <w:tblLook w:val="04A0" w:firstRow="1" w:lastRow="0" w:firstColumn="1" w:lastColumn="0" w:noHBand="0" w:noVBand="1"/>
      </w:tblPr>
      <w:tblGrid>
        <w:gridCol w:w="3546"/>
        <w:gridCol w:w="590"/>
        <w:gridCol w:w="997"/>
        <w:gridCol w:w="1333"/>
        <w:gridCol w:w="1333"/>
        <w:gridCol w:w="1333"/>
      </w:tblGrid>
      <w:tr w:rsidR="00A21943" w:rsidRPr="00563CF9" w:rsidTr="004C3B13">
        <w:trPr>
          <w:trHeight w:val="227"/>
        </w:trPr>
        <w:tc>
          <w:tcPr>
            <w:tcW w:w="1941" w:type="pct"/>
            <w:tcBorders>
              <w:top w:val="single" w:sz="6" w:space="0" w:color="auto"/>
              <w:left w:val="single" w:sz="6" w:space="0" w:color="auto"/>
              <w:bottom w:val="single" w:sz="6" w:space="0" w:color="auto"/>
              <w:right w:val="single" w:sz="6" w:space="0" w:color="auto"/>
            </w:tcBorders>
            <w:shd w:val="clear" w:color="auto" w:fill="E5F1FF"/>
            <w:vAlign w:val="center"/>
          </w:tcPr>
          <w:p w:rsidR="00A83EDB" w:rsidRPr="00563CF9" w:rsidRDefault="00A83EDB" w:rsidP="00964E70">
            <w:pPr>
              <w:keepNext/>
              <w:autoSpaceDE w:val="0"/>
              <w:autoSpaceDN w:val="0"/>
              <w:adjustRightInd w:val="0"/>
              <w:spacing w:line="256" w:lineRule="auto"/>
              <w:jc w:val="center"/>
              <w:rPr>
                <w:rFonts w:ascii="Calibri" w:hAnsi="Calibri" w:cs="Calibri"/>
                <w:sz w:val="20"/>
                <w:lang w:val="en-GB"/>
              </w:rPr>
            </w:pPr>
          </w:p>
        </w:tc>
        <w:tc>
          <w:tcPr>
            <w:tcW w:w="323" w:type="pct"/>
            <w:tcBorders>
              <w:top w:val="single" w:sz="6" w:space="0" w:color="auto"/>
              <w:left w:val="single" w:sz="6" w:space="0" w:color="auto"/>
              <w:bottom w:val="single" w:sz="6" w:space="0" w:color="auto"/>
              <w:right w:val="single" w:sz="6" w:space="0" w:color="auto"/>
            </w:tcBorders>
            <w:shd w:val="clear" w:color="auto" w:fill="E5F1FF"/>
            <w:vAlign w:val="center"/>
          </w:tcPr>
          <w:p w:rsidR="00A83EDB" w:rsidRPr="00563CF9" w:rsidRDefault="00A83EDB" w:rsidP="00964E70">
            <w:pPr>
              <w:keepNext/>
              <w:autoSpaceDE w:val="0"/>
              <w:autoSpaceDN w:val="0"/>
              <w:adjustRightInd w:val="0"/>
              <w:spacing w:line="256" w:lineRule="auto"/>
              <w:jc w:val="center"/>
              <w:rPr>
                <w:rFonts w:ascii="Calibri" w:hAnsi="Calibri" w:cs="Calibri"/>
                <w:sz w:val="20"/>
                <w:lang w:val="en-GB"/>
              </w:rPr>
            </w:pPr>
          </w:p>
        </w:tc>
        <w:tc>
          <w:tcPr>
            <w:tcW w:w="546" w:type="pct"/>
            <w:tcBorders>
              <w:top w:val="single" w:sz="6" w:space="0" w:color="auto"/>
              <w:left w:val="single" w:sz="6" w:space="0" w:color="auto"/>
              <w:bottom w:val="single" w:sz="6" w:space="0" w:color="auto"/>
              <w:right w:val="single" w:sz="6" w:space="0" w:color="auto"/>
            </w:tcBorders>
            <w:shd w:val="clear" w:color="auto" w:fill="E5F1FF"/>
            <w:vAlign w:val="center"/>
            <w:hideMark/>
          </w:tcPr>
          <w:p w:rsidR="00A83EDB" w:rsidRPr="00563CF9" w:rsidRDefault="00A83EDB" w:rsidP="00964E70">
            <w:pPr>
              <w:keepNext/>
              <w:autoSpaceDE w:val="0"/>
              <w:autoSpaceDN w:val="0"/>
              <w:adjustRightInd w:val="0"/>
              <w:spacing w:line="256" w:lineRule="auto"/>
              <w:jc w:val="center"/>
              <w:rPr>
                <w:rFonts w:ascii="Calibri" w:hAnsi="Calibri" w:cs="Calibri"/>
                <w:b/>
                <w:bCs/>
                <w:sz w:val="20"/>
                <w:lang w:val="en-GB"/>
              </w:rPr>
            </w:pPr>
            <w:r w:rsidRPr="00563CF9">
              <w:rPr>
                <w:b/>
                <w:sz w:val="20"/>
                <w:lang w:val="en-GB" w:bidi="en-GB"/>
              </w:rPr>
              <w:t>Unit</w:t>
            </w:r>
          </w:p>
        </w:tc>
        <w:tc>
          <w:tcPr>
            <w:tcW w:w="730" w:type="pct"/>
            <w:tcBorders>
              <w:top w:val="single" w:sz="6" w:space="0" w:color="auto"/>
              <w:left w:val="single" w:sz="6" w:space="0" w:color="auto"/>
              <w:bottom w:val="single" w:sz="6" w:space="0" w:color="auto"/>
              <w:right w:val="single" w:sz="6" w:space="0" w:color="auto"/>
            </w:tcBorders>
            <w:shd w:val="clear" w:color="auto" w:fill="E5F1FF"/>
            <w:vAlign w:val="center"/>
            <w:hideMark/>
          </w:tcPr>
          <w:p w:rsidR="00A83EDB" w:rsidRPr="00563CF9" w:rsidRDefault="00A83EDB" w:rsidP="00964E70">
            <w:pPr>
              <w:keepNext/>
              <w:autoSpaceDE w:val="0"/>
              <w:autoSpaceDN w:val="0"/>
              <w:adjustRightInd w:val="0"/>
              <w:spacing w:line="256" w:lineRule="auto"/>
              <w:jc w:val="center"/>
              <w:rPr>
                <w:rFonts w:ascii="Calibri" w:hAnsi="Calibri" w:cs="Calibri"/>
                <w:b/>
                <w:bCs/>
                <w:sz w:val="20"/>
                <w:lang w:val="en-GB"/>
              </w:rPr>
            </w:pPr>
            <w:r w:rsidRPr="00563CF9">
              <w:rPr>
                <w:b/>
                <w:sz w:val="20"/>
                <w:lang w:val="en-GB" w:bidi="en-GB"/>
              </w:rPr>
              <w:t>2014</w:t>
            </w:r>
          </w:p>
        </w:tc>
        <w:tc>
          <w:tcPr>
            <w:tcW w:w="730" w:type="pct"/>
            <w:tcBorders>
              <w:top w:val="single" w:sz="6" w:space="0" w:color="auto"/>
              <w:left w:val="single" w:sz="6" w:space="0" w:color="auto"/>
              <w:bottom w:val="single" w:sz="6" w:space="0" w:color="auto"/>
              <w:right w:val="single" w:sz="6" w:space="0" w:color="auto"/>
            </w:tcBorders>
            <w:shd w:val="clear" w:color="auto" w:fill="E5F1FF"/>
            <w:vAlign w:val="center"/>
            <w:hideMark/>
          </w:tcPr>
          <w:p w:rsidR="00A83EDB" w:rsidRPr="00563CF9" w:rsidRDefault="00A83EDB" w:rsidP="00964E70">
            <w:pPr>
              <w:keepNext/>
              <w:autoSpaceDE w:val="0"/>
              <w:autoSpaceDN w:val="0"/>
              <w:adjustRightInd w:val="0"/>
              <w:spacing w:line="256" w:lineRule="auto"/>
              <w:jc w:val="center"/>
              <w:rPr>
                <w:rFonts w:ascii="Calibri" w:hAnsi="Calibri" w:cs="Calibri"/>
                <w:b/>
                <w:bCs/>
                <w:sz w:val="20"/>
                <w:lang w:val="en-GB"/>
              </w:rPr>
            </w:pPr>
            <w:r w:rsidRPr="00563CF9">
              <w:rPr>
                <w:b/>
                <w:sz w:val="20"/>
                <w:lang w:val="en-GB" w:bidi="en-GB"/>
              </w:rPr>
              <w:t>2015</w:t>
            </w:r>
          </w:p>
        </w:tc>
        <w:tc>
          <w:tcPr>
            <w:tcW w:w="730" w:type="pct"/>
            <w:tcBorders>
              <w:top w:val="single" w:sz="6" w:space="0" w:color="auto"/>
              <w:left w:val="single" w:sz="6" w:space="0" w:color="auto"/>
              <w:bottom w:val="single" w:sz="6" w:space="0" w:color="auto"/>
              <w:right w:val="single" w:sz="6" w:space="0" w:color="auto"/>
            </w:tcBorders>
            <w:shd w:val="clear" w:color="auto" w:fill="E5F1FF"/>
            <w:vAlign w:val="center"/>
            <w:hideMark/>
          </w:tcPr>
          <w:p w:rsidR="00A83EDB" w:rsidRPr="00563CF9" w:rsidRDefault="00A83EDB" w:rsidP="00964E70">
            <w:pPr>
              <w:keepNext/>
              <w:autoSpaceDE w:val="0"/>
              <w:autoSpaceDN w:val="0"/>
              <w:adjustRightInd w:val="0"/>
              <w:spacing w:line="256" w:lineRule="auto"/>
              <w:jc w:val="center"/>
              <w:rPr>
                <w:rFonts w:ascii="Calibri" w:hAnsi="Calibri" w:cs="Calibri"/>
                <w:b/>
                <w:bCs/>
                <w:sz w:val="20"/>
                <w:lang w:val="en-GB"/>
              </w:rPr>
            </w:pPr>
            <w:r w:rsidRPr="00563CF9">
              <w:rPr>
                <w:b/>
                <w:sz w:val="20"/>
                <w:lang w:val="en-GB" w:bidi="en-GB"/>
              </w:rPr>
              <w:t>2016</w:t>
            </w:r>
          </w:p>
        </w:tc>
      </w:tr>
      <w:tr w:rsidR="00A21943" w:rsidRPr="00563CF9" w:rsidTr="004C3B13">
        <w:trPr>
          <w:trHeight w:val="227"/>
        </w:trPr>
        <w:tc>
          <w:tcPr>
            <w:tcW w:w="1941" w:type="pct"/>
            <w:vMerge w:val="restart"/>
            <w:tcBorders>
              <w:top w:val="single" w:sz="6" w:space="0" w:color="auto"/>
              <w:left w:val="single" w:sz="6" w:space="0" w:color="auto"/>
              <w:right w:val="single" w:sz="6" w:space="0" w:color="auto"/>
            </w:tcBorders>
            <w:vAlign w:val="center"/>
            <w:hideMark/>
          </w:tcPr>
          <w:p w:rsidR="00A83EDB" w:rsidRPr="00563CF9" w:rsidRDefault="00A83EDB" w:rsidP="00964E70">
            <w:pPr>
              <w:keepNext/>
              <w:autoSpaceDE w:val="0"/>
              <w:autoSpaceDN w:val="0"/>
              <w:adjustRightInd w:val="0"/>
              <w:spacing w:line="256" w:lineRule="auto"/>
              <w:jc w:val="left"/>
              <w:rPr>
                <w:rFonts w:ascii="Calibri" w:hAnsi="Calibri" w:cs="Calibri"/>
                <w:sz w:val="20"/>
                <w:lang w:val="en-GB"/>
              </w:rPr>
            </w:pPr>
            <w:r w:rsidRPr="00563CF9">
              <w:rPr>
                <w:sz w:val="20"/>
                <w:lang w:val="en-GB" w:bidi="en-GB"/>
              </w:rPr>
              <w:t xml:space="preserve">Average recalculated number of doctors </w:t>
            </w:r>
          </w:p>
        </w:tc>
        <w:tc>
          <w:tcPr>
            <w:tcW w:w="323"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964E70">
            <w:pPr>
              <w:keepNext/>
              <w:autoSpaceDE w:val="0"/>
              <w:autoSpaceDN w:val="0"/>
              <w:adjustRightInd w:val="0"/>
              <w:spacing w:line="256" w:lineRule="auto"/>
              <w:jc w:val="center"/>
              <w:rPr>
                <w:rFonts w:ascii="Calibri" w:hAnsi="Calibri" w:cs="Calibri"/>
                <w:sz w:val="20"/>
                <w:lang w:val="en-GB"/>
              </w:rPr>
            </w:pPr>
            <w:r w:rsidRPr="00563CF9">
              <w:rPr>
                <w:sz w:val="20"/>
                <w:lang w:val="en-GB" w:bidi="en-GB"/>
              </w:rPr>
              <w:t>BUH</w:t>
            </w:r>
          </w:p>
        </w:tc>
        <w:tc>
          <w:tcPr>
            <w:tcW w:w="546" w:type="pct"/>
            <w:vMerge w:val="restart"/>
            <w:tcBorders>
              <w:top w:val="single" w:sz="6" w:space="0" w:color="auto"/>
              <w:left w:val="single" w:sz="6" w:space="0" w:color="auto"/>
              <w:right w:val="single" w:sz="6" w:space="0" w:color="auto"/>
            </w:tcBorders>
            <w:vAlign w:val="center"/>
            <w:hideMark/>
          </w:tcPr>
          <w:p w:rsidR="00A83EDB" w:rsidRPr="00563CF9" w:rsidRDefault="00A83EDB" w:rsidP="00964E70">
            <w:pPr>
              <w:keepNext/>
              <w:autoSpaceDE w:val="0"/>
              <w:autoSpaceDN w:val="0"/>
              <w:adjustRightInd w:val="0"/>
              <w:spacing w:line="256" w:lineRule="auto"/>
              <w:jc w:val="center"/>
              <w:rPr>
                <w:rFonts w:ascii="Calibri" w:hAnsi="Calibri" w:cs="Calibri"/>
                <w:sz w:val="20"/>
                <w:lang w:val="en-GB"/>
              </w:rPr>
            </w:pPr>
            <w:r w:rsidRPr="00563CF9">
              <w:rPr>
                <w:sz w:val="20"/>
                <w:lang w:val="en-GB" w:bidi="en-GB"/>
              </w:rPr>
              <w:t>doctor</w:t>
            </w:r>
          </w:p>
        </w:tc>
        <w:tc>
          <w:tcPr>
            <w:tcW w:w="730"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1B739F">
            <w:pPr>
              <w:keepNext/>
              <w:autoSpaceDE w:val="0"/>
              <w:autoSpaceDN w:val="0"/>
              <w:adjustRightInd w:val="0"/>
              <w:spacing w:line="256" w:lineRule="auto"/>
              <w:ind w:left="115" w:right="153"/>
              <w:jc w:val="right"/>
              <w:rPr>
                <w:rFonts w:ascii="Calibri" w:hAnsi="Calibri" w:cs="Calibri"/>
                <w:sz w:val="20"/>
                <w:lang w:val="en-GB"/>
              </w:rPr>
            </w:pPr>
            <w:r w:rsidRPr="00563CF9">
              <w:rPr>
                <w:sz w:val="20"/>
                <w:lang w:val="en-GB" w:bidi="en-GB"/>
              </w:rPr>
              <w:t>847.96</w:t>
            </w:r>
          </w:p>
        </w:tc>
        <w:tc>
          <w:tcPr>
            <w:tcW w:w="730" w:type="pct"/>
            <w:vAlign w:val="center"/>
            <w:hideMark/>
          </w:tcPr>
          <w:p w:rsidR="00A83EDB" w:rsidRPr="00563CF9" w:rsidRDefault="00A83EDB" w:rsidP="001B739F">
            <w:pPr>
              <w:keepNext/>
              <w:autoSpaceDE w:val="0"/>
              <w:autoSpaceDN w:val="0"/>
              <w:adjustRightInd w:val="0"/>
              <w:spacing w:line="256" w:lineRule="auto"/>
              <w:ind w:left="115" w:right="153"/>
              <w:jc w:val="right"/>
              <w:rPr>
                <w:rFonts w:ascii="Calibri" w:hAnsi="Calibri" w:cs="Calibri"/>
                <w:sz w:val="20"/>
                <w:lang w:val="en-GB"/>
              </w:rPr>
            </w:pPr>
            <w:r w:rsidRPr="00563CF9">
              <w:rPr>
                <w:sz w:val="20"/>
                <w:lang w:val="en-GB" w:bidi="en-GB"/>
              </w:rPr>
              <w:t>870.86</w:t>
            </w:r>
          </w:p>
        </w:tc>
        <w:tc>
          <w:tcPr>
            <w:tcW w:w="730"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1B739F">
            <w:pPr>
              <w:keepNext/>
              <w:autoSpaceDE w:val="0"/>
              <w:autoSpaceDN w:val="0"/>
              <w:adjustRightInd w:val="0"/>
              <w:spacing w:line="256" w:lineRule="auto"/>
              <w:ind w:left="115" w:right="153"/>
              <w:jc w:val="right"/>
              <w:rPr>
                <w:rFonts w:ascii="Calibri" w:hAnsi="Calibri" w:cs="Calibri"/>
                <w:sz w:val="20"/>
                <w:lang w:val="en-GB"/>
              </w:rPr>
            </w:pPr>
            <w:r w:rsidRPr="00563CF9">
              <w:rPr>
                <w:sz w:val="20"/>
                <w:lang w:val="en-GB" w:bidi="en-GB"/>
              </w:rPr>
              <w:t>903.79</w:t>
            </w:r>
          </w:p>
        </w:tc>
      </w:tr>
      <w:tr w:rsidR="00A21943" w:rsidRPr="00563CF9" w:rsidTr="004C3B13">
        <w:trPr>
          <w:trHeight w:val="227"/>
        </w:trPr>
        <w:tc>
          <w:tcPr>
            <w:tcW w:w="1941" w:type="pct"/>
            <w:vMerge/>
            <w:tcBorders>
              <w:left w:val="single" w:sz="6" w:space="0" w:color="auto"/>
              <w:right w:val="single" w:sz="6" w:space="0" w:color="auto"/>
            </w:tcBorders>
            <w:vAlign w:val="center"/>
          </w:tcPr>
          <w:p w:rsidR="00A83EDB" w:rsidRPr="00563CF9" w:rsidRDefault="00A83EDB" w:rsidP="00964E70">
            <w:pPr>
              <w:keepNext/>
              <w:autoSpaceDE w:val="0"/>
              <w:autoSpaceDN w:val="0"/>
              <w:adjustRightInd w:val="0"/>
              <w:spacing w:line="256" w:lineRule="auto"/>
              <w:jc w:val="left"/>
              <w:rPr>
                <w:rFonts w:ascii="Calibri" w:hAnsi="Calibri" w:cs="Calibri"/>
                <w:sz w:val="20"/>
                <w:lang w:val="en-GB"/>
              </w:rPr>
            </w:pPr>
          </w:p>
        </w:tc>
        <w:tc>
          <w:tcPr>
            <w:tcW w:w="323"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964E70">
            <w:pPr>
              <w:keepNext/>
              <w:autoSpaceDE w:val="0"/>
              <w:autoSpaceDN w:val="0"/>
              <w:adjustRightInd w:val="0"/>
              <w:spacing w:line="256" w:lineRule="auto"/>
              <w:jc w:val="center"/>
              <w:rPr>
                <w:rFonts w:ascii="Calibri" w:hAnsi="Calibri" w:cs="Calibri"/>
                <w:sz w:val="20"/>
                <w:lang w:val="en-GB"/>
              </w:rPr>
            </w:pPr>
            <w:r w:rsidRPr="00563CF9">
              <w:rPr>
                <w:sz w:val="20"/>
                <w:lang w:val="en-GB" w:bidi="en-GB"/>
              </w:rPr>
              <w:t>MUH</w:t>
            </w:r>
          </w:p>
        </w:tc>
        <w:tc>
          <w:tcPr>
            <w:tcW w:w="546" w:type="pct"/>
            <w:vMerge/>
            <w:tcBorders>
              <w:left w:val="single" w:sz="6" w:space="0" w:color="auto"/>
              <w:right w:val="single" w:sz="6" w:space="0" w:color="auto"/>
            </w:tcBorders>
          </w:tcPr>
          <w:p w:rsidR="00A83EDB" w:rsidRPr="00563CF9" w:rsidRDefault="00A83EDB" w:rsidP="00964E70">
            <w:pPr>
              <w:keepNext/>
              <w:autoSpaceDE w:val="0"/>
              <w:autoSpaceDN w:val="0"/>
              <w:adjustRightInd w:val="0"/>
              <w:spacing w:line="256" w:lineRule="auto"/>
              <w:jc w:val="center"/>
              <w:rPr>
                <w:rFonts w:ascii="Calibri" w:hAnsi="Calibri" w:cs="Calibri"/>
                <w:sz w:val="20"/>
                <w:lang w:val="en-GB"/>
              </w:rPr>
            </w:pPr>
          </w:p>
        </w:tc>
        <w:tc>
          <w:tcPr>
            <w:tcW w:w="730"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1B739F">
            <w:pPr>
              <w:keepNext/>
              <w:autoSpaceDE w:val="0"/>
              <w:autoSpaceDN w:val="0"/>
              <w:adjustRightInd w:val="0"/>
              <w:spacing w:line="256" w:lineRule="auto"/>
              <w:ind w:left="115" w:right="153"/>
              <w:jc w:val="right"/>
              <w:rPr>
                <w:rFonts w:ascii="Calibri" w:hAnsi="Calibri" w:cs="Calibri"/>
                <w:sz w:val="20"/>
                <w:lang w:val="en-GB"/>
              </w:rPr>
            </w:pPr>
            <w:r w:rsidRPr="00563CF9">
              <w:rPr>
                <w:sz w:val="20"/>
                <w:lang w:val="en-GB" w:bidi="en-GB"/>
              </w:rPr>
              <w:t>888.00</w:t>
            </w:r>
          </w:p>
        </w:tc>
        <w:tc>
          <w:tcPr>
            <w:tcW w:w="730"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1B739F">
            <w:pPr>
              <w:keepNext/>
              <w:autoSpaceDE w:val="0"/>
              <w:autoSpaceDN w:val="0"/>
              <w:adjustRightInd w:val="0"/>
              <w:spacing w:line="256" w:lineRule="auto"/>
              <w:ind w:left="115" w:right="153"/>
              <w:jc w:val="right"/>
              <w:rPr>
                <w:rFonts w:ascii="Calibri" w:hAnsi="Calibri" w:cs="Calibri"/>
                <w:sz w:val="20"/>
                <w:lang w:val="en-GB"/>
              </w:rPr>
            </w:pPr>
            <w:r w:rsidRPr="00563CF9">
              <w:rPr>
                <w:sz w:val="20"/>
                <w:lang w:val="en-GB" w:bidi="en-GB"/>
              </w:rPr>
              <w:t>888.00</w:t>
            </w:r>
          </w:p>
        </w:tc>
        <w:tc>
          <w:tcPr>
            <w:tcW w:w="730"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1B739F">
            <w:pPr>
              <w:keepNext/>
              <w:autoSpaceDE w:val="0"/>
              <w:autoSpaceDN w:val="0"/>
              <w:adjustRightInd w:val="0"/>
              <w:spacing w:line="256" w:lineRule="auto"/>
              <w:ind w:left="115" w:right="153"/>
              <w:jc w:val="right"/>
              <w:rPr>
                <w:rFonts w:ascii="Calibri" w:hAnsi="Calibri" w:cs="Calibri"/>
                <w:sz w:val="20"/>
                <w:lang w:val="en-GB"/>
              </w:rPr>
            </w:pPr>
            <w:r w:rsidRPr="00563CF9">
              <w:rPr>
                <w:sz w:val="20"/>
                <w:lang w:val="en-GB" w:bidi="en-GB"/>
              </w:rPr>
              <w:t>888.00</w:t>
            </w:r>
          </w:p>
        </w:tc>
      </w:tr>
      <w:tr w:rsidR="00A21943" w:rsidRPr="00563CF9" w:rsidTr="004C3B13">
        <w:trPr>
          <w:trHeight w:val="227"/>
        </w:trPr>
        <w:tc>
          <w:tcPr>
            <w:tcW w:w="1941" w:type="pct"/>
            <w:vMerge/>
            <w:tcBorders>
              <w:left w:val="single" w:sz="6" w:space="0" w:color="auto"/>
              <w:bottom w:val="single" w:sz="6" w:space="0" w:color="auto"/>
              <w:right w:val="single" w:sz="6" w:space="0" w:color="auto"/>
            </w:tcBorders>
            <w:vAlign w:val="center"/>
          </w:tcPr>
          <w:p w:rsidR="00A83EDB" w:rsidRPr="00563CF9" w:rsidRDefault="00A83EDB" w:rsidP="00964E70">
            <w:pPr>
              <w:keepNext/>
              <w:autoSpaceDE w:val="0"/>
              <w:autoSpaceDN w:val="0"/>
              <w:adjustRightInd w:val="0"/>
              <w:spacing w:line="256" w:lineRule="auto"/>
              <w:jc w:val="left"/>
              <w:rPr>
                <w:rFonts w:ascii="Calibri" w:hAnsi="Calibri" w:cs="Calibri"/>
                <w:sz w:val="20"/>
                <w:lang w:val="en-GB"/>
              </w:rPr>
            </w:pPr>
          </w:p>
        </w:tc>
        <w:tc>
          <w:tcPr>
            <w:tcW w:w="323"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964E70">
            <w:pPr>
              <w:keepNext/>
              <w:autoSpaceDE w:val="0"/>
              <w:autoSpaceDN w:val="0"/>
              <w:adjustRightInd w:val="0"/>
              <w:spacing w:line="256" w:lineRule="auto"/>
              <w:jc w:val="center"/>
              <w:rPr>
                <w:rFonts w:ascii="Calibri" w:hAnsi="Calibri" w:cs="Calibri"/>
                <w:sz w:val="20"/>
                <w:lang w:val="en-GB"/>
              </w:rPr>
            </w:pPr>
            <w:r w:rsidRPr="00563CF9">
              <w:rPr>
                <w:sz w:val="20"/>
                <w:lang w:val="en-GB" w:bidi="en-GB"/>
              </w:rPr>
              <w:t>CMH</w:t>
            </w:r>
          </w:p>
        </w:tc>
        <w:tc>
          <w:tcPr>
            <w:tcW w:w="546" w:type="pct"/>
            <w:vMerge/>
            <w:tcBorders>
              <w:left w:val="single" w:sz="6" w:space="0" w:color="auto"/>
              <w:bottom w:val="single" w:sz="6" w:space="0" w:color="auto"/>
              <w:right w:val="single" w:sz="6" w:space="0" w:color="auto"/>
            </w:tcBorders>
          </w:tcPr>
          <w:p w:rsidR="00A83EDB" w:rsidRPr="00563CF9" w:rsidRDefault="00A83EDB" w:rsidP="00964E70">
            <w:pPr>
              <w:keepNext/>
              <w:autoSpaceDE w:val="0"/>
              <w:autoSpaceDN w:val="0"/>
              <w:adjustRightInd w:val="0"/>
              <w:spacing w:line="256" w:lineRule="auto"/>
              <w:jc w:val="center"/>
              <w:rPr>
                <w:rFonts w:ascii="Calibri" w:hAnsi="Calibri" w:cs="Calibri"/>
                <w:sz w:val="20"/>
                <w:lang w:val="en-GB"/>
              </w:rPr>
            </w:pPr>
          </w:p>
        </w:tc>
        <w:tc>
          <w:tcPr>
            <w:tcW w:w="730"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1B739F">
            <w:pPr>
              <w:keepNext/>
              <w:autoSpaceDE w:val="0"/>
              <w:autoSpaceDN w:val="0"/>
              <w:adjustRightInd w:val="0"/>
              <w:spacing w:line="256" w:lineRule="auto"/>
              <w:ind w:left="115" w:right="153"/>
              <w:jc w:val="right"/>
              <w:rPr>
                <w:rFonts w:ascii="Calibri" w:hAnsi="Calibri" w:cs="Calibri"/>
                <w:sz w:val="20"/>
                <w:lang w:val="en-GB"/>
              </w:rPr>
            </w:pPr>
            <w:r w:rsidRPr="00563CF9">
              <w:rPr>
                <w:sz w:val="20"/>
                <w:lang w:val="en-GB" w:bidi="en-GB"/>
              </w:rPr>
              <w:t>320.38</w:t>
            </w:r>
          </w:p>
        </w:tc>
        <w:tc>
          <w:tcPr>
            <w:tcW w:w="730"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1B739F">
            <w:pPr>
              <w:keepNext/>
              <w:autoSpaceDE w:val="0"/>
              <w:autoSpaceDN w:val="0"/>
              <w:adjustRightInd w:val="0"/>
              <w:spacing w:line="256" w:lineRule="auto"/>
              <w:ind w:left="115" w:right="153"/>
              <w:jc w:val="right"/>
              <w:rPr>
                <w:rFonts w:ascii="Calibri" w:hAnsi="Calibri" w:cs="Calibri"/>
                <w:sz w:val="20"/>
                <w:lang w:val="en-GB"/>
              </w:rPr>
            </w:pPr>
            <w:r w:rsidRPr="00563CF9">
              <w:rPr>
                <w:sz w:val="20"/>
                <w:lang w:val="en-GB" w:bidi="en-GB"/>
              </w:rPr>
              <w:t>330.41</w:t>
            </w:r>
          </w:p>
        </w:tc>
        <w:tc>
          <w:tcPr>
            <w:tcW w:w="730"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1B739F">
            <w:pPr>
              <w:keepNext/>
              <w:autoSpaceDE w:val="0"/>
              <w:autoSpaceDN w:val="0"/>
              <w:adjustRightInd w:val="0"/>
              <w:spacing w:line="256" w:lineRule="auto"/>
              <w:ind w:left="115" w:right="153"/>
              <w:jc w:val="right"/>
              <w:rPr>
                <w:rFonts w:ascii="Calibri" w:hAnsi="Calibri" w:cs="Calibri"/>
                <w:sz w:val="20"/>
                <w:lang w:val="en-GB"/>
              </w:rPr>
            </w:pPr>
            <w:r w:rsidRPr="00563CF9">
              <w:rPr>
                <w:sz w:val="20"/>
                <w:lang w:val="en-GB" w:bidi="en-GB"/>
              </w:rPr>
              <w:t>334.78</w:t>
            </w:r>
          </w:p>
        </w:tc>
      </w:tr>
      <w:tr w:rsidR="00A21943" w:rsidRPr="00563CF9" w:rsidTr="004C3B13">
        <w:trPr>
          <w:trHeight w:val="227"/>
        </w:trPr>
        <w:tc>
          <w:tcPr>
            <w:tcW w:w="1941" w:type="pct"/>
            <w:vMerge w:val="restart"/>
            <w:tcBorders>
              <w:top w:val="single" w:sz="6" w:space="0" w:color="auto"/>
              <w:left w:val="single" w:sz="6" w:space="0" w:color="auto"/>
              <w:right w:val="single" w:sz="6" w:space="0" w:color="auto"/>
            </w:tcBorders>
            <w:vAlign w:val="center"/>
            <w:hideMark/>
          </w:tcPr>
          <w:p w:rsidR="00A83EDB" w:rsidRPr="00563CF9" w:rsidRDefault="00A83EDB" w:rsidP="00964E70">
            <w:pPr>
              <w:keepNext/>
              <w:autoSpaceDE w:val="0"/>
              <w:autoSpaceDN w:val="0"/>
              <w:adjustRightInd w:val="0"/>
              <w:spacing w:line="256" w:lineRule="auto"/>
              <w:jc w:val="left"/>
              <w:rPr>
                <w:rFonts w:ascii="Calibri" w:hAnsi="Calibri" w:cs="Calibri"/>
                <w:sz w:val="20"/>
                <w:lang w:val="en-GB"/>
              </w:rPr>
            </w:pPr>
            <w:r w:rsidRPr="00563CF9">
              <w:rPr>
                <w:sz w:val="20"/>
                <w:lang w:val="en-GB" w:bidi="en-GB"/>
              </w:rPr>
              <w:t>Number of hospitalised patients</w:t>
            </w:r>
          </w:p>
        </w:tc>
        <w:tc>
          <w:tcPr>
            <w:tcW w:w="323"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964E70">
            <w:pPr>
              <w:keepNext/>
              <w:autoSpaceDE w:val="0"/>
              <w:autoSpaceDN w:val="0"/>
              <w:adjustRightInd w:val="0"/>
              <w:spacing w:line="256" w:lineRule="auto"/>
              <w:jc w:val="center"/>
              <w:rPr>
                <w:rFonts w:ascii="Calibri" w:hAnsi="Calibri" w:cs="Calibri"/>
                <w:sz w:val="20"/>
                <w:lang w:val="en-GB"/>
              </w:rPr>
            </w:pPr>
            <w:r w:rsidRPr="00563CF9">
              <w:rPr>
                <w:sz w:val="20"/>
                <w:lang w:val="en-GB" w:bidi="en-GB"/>
              </w:rPr>
              <w:t>BUH</w:t>
            </w:r>
          </w:p>
        </w:tc>
        <w:tc>
          <w:tcPr>
            <w:tcW w:w="546" w:type="pct"/>
            <w:vMerge w:val="restart"/>
            <w:tcBorders>
              <w:top w:val="single" w:sz="6" w:space="0" w:color="auto"/>
              <w:left w:val="single" w:sz="6" w:space="0" w:color="auto"/>
              <w:right w:val="single" w:sz="6" w:space="0" w:color="auto"/>
            </w:tcBorders>
            <w:vAlign w:val="center"/>
            <w:hideMark/>
          </w:tcPr>
          <w:p w:rsidR="00A83EDB" w:rsidRPr="00563CF9" w:rsidRDefault="00A83EDB" w:rsidP="00964E70">
            <w:pPr>
              <w:keepNext/>
              <w:autoSpaceDE w:val="0"/>
              <w:autoSpaceDN w:val="0"/>
              <w:adjustRightInd w:val="0"/>
              <w:spacing w:line="256" w:lineRule="auto"/>
              <w:jc w:val="center"/>
              <w:rPr>
                <w:rFonts w:ascii="Calibri" w:hAnsi="Calibri" w:cs="Calibri"/>
                <w:sz w:val="20"/>
                <w:lang w:val="en-GB"/>
              </w:rPr>
            </w:pPr>
            <w:r w:rsidRPr="00563CF9">
              <w:rPr>
                <w:sz w:val="20"/>
                <w:lang w:val="en-GB" w:bidi="en-GB"/>
              </w:rPr>
              <w:t>patient</w:t>
            </w:r>
          </w:p>
        </w:tc>
        <w:tc>
          <w:tcPr>
            <w:tcW w:w="730"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1B739F">
            <w:pPr>
              <w:keepNext/>
              <w:autoSpaceDE w:val="0"/>
              <w:autoSpaceDN w:val="0"/>
              <w:adjustRightInd w:val="0"/>
              <w:spacing w:line="256" w:lineRule="auto"/>
              <w:ind w:right="436"/>
              <w:jc w:val="right"/>
              <w:rPr>
                <w:rFonts w:ascii="Calibri" w:hAnsi="Calibri" w:cs="Calibri"/>
                <w:sz w:val="20"/>
                <w:lang w:val="en-GB"/>
              </w:rPr>
            </w:pPr>
            <w:r w:rsidRPr="00563CF9">
              <w:rPr>
                <w:sz w:val="20"/>
                <w:lang w:val="en-GB" w:bidi="en-GB"/>
              </w:rPr>
              <w:t>71,736</w:t>
            </w:r>
          </w:p>
        </w:tc>
        <w:tc>
          <w:tcPr>
            <w:tcW w:w="730"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1B739F">
            <w:pPr>
              <w:keepNext/>
              <w:autoSpaceDE w:val="0"/>
              <w:autoSpaceDN w:val="0"/>
              <w:adjustRightInd w:val="0"/>
              <w:spacing w:line="256" w:lineRule="auto"/>
              <w:ind w:right="436"/>
              <w:jc w:val="right"/>
              <w:rPr>
                <w:rFonts w:ascii="Calibri" w:hAnsi="Calibri" w:cs="Calibri"/>
                <w:sz w:val="20"/>
                <w:lang w:val="en-GB"/>
              </w:rPr>
            </w:pPr>
            <w:r w:rsidRPr="00563CF9">
              <w:rPr>
                <w:sz w:val="20"/>
                <w:lang w:val="en-GB" w:bidi="en-GB"/>
              </w:rPr>
              <w:t>71,047</w:t>
            </w:r>
          </w:p>
        </w:tc>
        <w:tc>
          <w:tcPr>
            <w:tcW w:w="730"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1B739F">
            <w:pPr>
              <w:keepNext/>
              <w:autoSpaceDE w:val="0"/>
              <w:autoSpaceDN w:val="0"/>
              <w:adjustRightInd w:val="0"/>
              <w:spacing w:line="256" w:lineRule="auto"/>
              <w:ind w:right="436"/>
              <w:jc w:val="right"/>
              <w:rPr>
                <w:rFonts w:ascii="Calibri" w:hAnsi="Calibri" w:cs="Calibri"/>
                <w:sz w:val="20"/>
                <w:lang w:val="en-GB"/>
              </w:rPr>
            </w:pPr>
            <w:r w:rsidRPr="00563CF9">
              <w:rPr>
                <w:sz w:val="20"/>
                <w:lang w:val="en-GB" w:bidi="en-GB"/>
              </w:rPr>
              <w:t>71,367</w:t>
            </w:r>
          </w:p>
        </w:tc>
      </w:tr>
      <w:tr w:rsidR="00A21943" w:rsidRPr="00563CF9" w:rsidTr="004C3B13">
        <w:trPr>
          <w:trHeight w:val="227"/>
        </w:trPr>
        <w:tc>
          <w:tcPr>
            <w:tcW w:w="1941" w:type="pct"/>
            <w:vMerge/>
            <w:tcBorders>
              <w:left w:val="single" w:sz="6" w:space="0" w:color="auto"/>
              <w:right w:val="single" w:sz="6" w:space="0" w:color="auto"/>
            </w:tcBorders>
            <w:vAlign w:val="center"/>
          </w:tcPr>
          <w:p w:rsidR="00A83EDB" w:rsidRPr="00563CF9" w:rsidRDefault="00A83EDB" w:rsidP="00964E70">
            <w:pPr>
              <w:keepNext/>
              <w:autoSpaceDE w:val="0"/>
              <w:autoSpaceDN w:val="0"/>
              <w:adjustRightInd w:val="0"/>
              <w:spacing w:line="256" w:lineRule="auto"/>
              <w:jc w:val="left"/>
              <w:rPr>
                <w:rFonts w:ascii="Calibri" w:hAnsi="Calibri" w:cs="Calibri"/>
                <w:sz w:val="20"/>
                <w:lang w:val="en-GB"/>
              </w:rPr>
            </w:pPr>
          </w:p>
        </w:tc>
        <w:tc>
          <w:tcPr>
            <w:tcW w:w="323"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964E70">
            <w:pPr>
              <w:keepNext/>
              <w:autoSpaceDE w:val="0"/>
              <w:autoSpaceDN w:val="0"/>
              <w:adjustRightInd w:val="0"/>
              <w:spacing w:line="256" w:lineRule="auto"/>
              <w:jc w:val="center"/>
              <w:rPr>
                <w:rFonts w:ascii="Calibri" w:hAnsi="Calibri" w:cs="Calibri"/>
                <w:sz w:val="20"/>
                <w:lang w:val="en-GB"/>
              </w:rPr>
            </w:pPr>
            <w:r w:rsidRPr="00563CF9">
              <w:rPr>
                <w:sz w:val="20"/>
                <w:lang w:val="en-GB" w:bidi="en-GB"/>
              </w:rPr>
              <w:t>MUH</w:t>
            </w:r>
          </w:p>
        </w:tc>
        <w:tc>
          <w:tcPr>
            <w:tcW w:w="546" w:type="pct"/>
            <w:vMerge/>
            <w:tcBorders>
              <w:left w:val="single" w:sz="6" w:space="0" w:color="auto"/>
              <w:right w:val="single" w:sz="6" w:space="0" w:color="auto"/>
            </w:tcBorders>
          </w:tcPr>
          <w:p w:rsidR="00A83EDB" w:rsidRPr="00563CF9" w:rsidRDefault="00A83EDB" w:rsidP="00964E70">
            <w:pPr>
              <w:keepNext/>
              <w:autoSpaceDE w:val="0"/>
              <w:autoSpaceDN w:val="0"/>
              <w:adjustRightInd w:val="0"/>
              <w:spacing w:line="256" w:lineRule="auto"/>
              <w:jc w:val="center"/>
              <w:rPr>
                <w:rFonts w:ascii="Calibri" w:hAnsi="Calibri" w:cs="Calibri"/>
                <w:sz w:val="20"/>
                <w:lang w:val="en-GB"/>
              </w:rPr>
            </w:pPr>
          </w:p>
        </w:tc>
        <w:tc>
          <w:tcPr>
            <w:tcW w:w="730"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1B739F">
            <w:pPr>
              <w:keepNext/>
              <w:autoSpaceDE w:val="0"/>
              <w:autoSpaceDN w:val="0"/>
              <w:adjustRightInd w:val="0"/>
              <w:spacing w:line="256" w:lineRule="auto"/>
              <w:ind w:right="436"/>
              <w:jc w:val="right"/>
              <w:rPr>
                <w:rFonts w:ascii="Calibri" w:hAnsi="Calibri" w:cs="Calibri"/>
                <w:sz w:val="20"/>
                <w:lang w:val="en-GB"/>
              </w:rPr>
            </w:pPr>
            <w:r w:rsidRPr="00563CF9">
              <w:rPr>
                <w:sz w:val="20"/>
                <w:lang w:val="en-GB" w:bidi="en-GB"/>
              </w:rPr>
              <w:t>78,760</w:t>
            </w:r>
          </w:p>
        </w:tc>
        <w:tc>
          <w:tcPr>
            <w:tcW w:w="730"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1B739F">
            <w:pPr>
              <w:keepNext/>
              <w:autoSpaceDE w:val="0"/>
              <w:autoSpaceDN w:val="0"/>
              <w:adjustRightInd w:val="0"/>
              <w:spacing w:line="256" w:lineRule="auto"/>
              <w:ind w:right="436"/>
              <w:jc w:val="right"/>
              <w:rPr>
                <w:rFonts w:ascii="Calibri" w:hAnsi="Calibri" w:cs="Calibri"/>
                <w:sz w:val="20"/>
                <w:lang w:val="en-GB"/>
              </w:rPr>
            </w:pPr>
            <w:r w:rsidRPr="00563CF9">
              <w:rPr>
                <w:sz w:val="20"/>
                <w:lang w:val="en-GB" w:bidi="en-GB"/>
              </w:rPr>
              <w:t>76,755</w:t>
            </w:r>
          </w:p>
        </w:tc>
        <w:tc>
          <w:tcPr>
            <w:tcW w:w="730"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1B739F">
            <w:pPr>
              <w:keepNext/>
              <w:autoSpaceDE w:val="0"/>
              <w:autoSpaceDN w:val="0"/>
              <w:adjustRightInd w:val="0"/>
              <w:spacing w:line="256" w:lineRule="auto"/>
              <w:ind w:right="436"/>
              <w:jc w:val="right"/>
              <w:rPr>
                <w:rFonts w:ascii="Calibri" w:hAnsi="Calibri" w:cs="Calibri"/>
                <w:sz w:val="20"/>
                <w:lang w:val="en-GB"/>
              </w:rPr>
            </w:pPr>
            <w:r w:rsidRPr="00563CF9">
              <w:rPr>
                <w:sz w:val="20"/>
                <w:lang w:val="en-GB" w:bidi="en-GB"/>
              </w:rPr>
              <w:t>79,450</w:t>
            </w:r>
          </w:p>
        </w:tc>
      </w:tr>
      <w:tr w:rsidR="00A21943" w:rsidRPr="00563CF9" w:rsidTr="004C3B13">
        <w:trPr>
          <w:trHeight w:val="227"/>
        </w:trPr>
        <w:tc>
          <w:tcPr>
            <w:tcW w:w="1941" w:type="pct"/>
            <w:vMerge/>
            <w:tcBorders>
              <w:left w:val="single" w:sz="6" w:space="0" w:color="auto"/>
              <w:bottom w:val="single" w:sz="6" w:space="0" w:color="auto"/>
              <w:right w:val="single" w:sz="6" w:space="0" w:color="auto"/>
            </w:tcBorders>
            <w:vAlign w:val="center"/>
          </w:tcPr>
          <w:p w:rsidR="00A83EDB" w:rsidRPr="00563CF9" w:rsidRDefault="00A83EDB" w:rsidP="00964E70">
            <w:pPr>
              <w:keepNext/>
              <w:autoSpaceDE w:val="0"/>
              <w:autoSpaceDN w:val="0"/>
              <w:adjustRightInd w:val="0"/>
              <w:spacing w:line="256" w:lineRule="auto"/>
              <w:jc w:val="left"/>
              <w:rPr>
                <w:rFonts w:ascii="Calibri" w:hAnsi="Calibri" w:cs="Calibri"/>
                <w:sz w:val="20"/>
                <w:lang w:val="en-GB"/>
              </w:rPr>
            </w:pPr>
          </w:p>
        </w:tc>
        <w:tc>
          <w:tcPr>
            <w:tcW w:w="323"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964E70">
            <w:pPr>
              <w:keepNext/>
              <w:autoSpaceDE w:val="0"/>
              <w:autoSpaceDN w:val="0"/>
              <w:adjustRightInd w:val="0"/>
              <w:spacing w:line="256" w:lineRule="auto"/>
              <w:jc w:val="center"/>
              <w:rPr>
                <w:rFonts w:ascii="Calibri" w:hAnsi="Calibri" w:cs="Calibri"/>
                <w:sz w:val="20"/>
                <w:lang w:val="en-GB"/>
              </w:rPr>
            </w:pPr>
            <w:r w:rsidRPr="00563CF9">
              <w:rPr>
                <w:sz w:val="20"/>
                <w:lang w:val="en-GB" w:bidi="en-GB"/>
              </w:rPr>
              <w:t>CMH</w:t>
            </w:r>
          </w:p>
        </w:tc>
        <w:tc>
          <w:tcPr>
            <w:tcW w:w="546" w:type="pct"/>
            <w:vMerge/>
            <w:tcBorders>
              <w:left w:val="single" w:sz="6" w:space="0" w:color="auto"/>
              <w:bottom w:val="single" w:sz="6" w:space="0" w:color="auto"/>
              <w:right w:val="single" w:sz="6" w:space="0" w:color="auto"/>
            </w:tcBorders>
          </w:tcPr>
          <w:p w:rsidR="00A83EDB" w:rsidRPr="00563CF9" w:rsidRDefault="00A83EDB" w:rsidP="00964E70">
            <w:pPr>
              <w:keepNext/>
              <w:autoSpaceDE w:val="0"/>
              <w:autoSpaceDN w:val="0"/>
              <w:adjustRightInd w:val="0"/>
              <w:spacing w:line="256" w:lineRule="auto"/>
              <w:jc w:val="center"/>
              <w:rPr>
                <w:rFonts w:ascii="Calibri" w:hAnsi="Calibri" w:cs="Calibri"/>
                <w:sz w:val="20"/>
                <w:lang w:val="en-GB"/>
              </w:rPr>
            </w:pPr>
          </w:p>
        </w:tc>
        <w:tc>
          <w:tcPr>
            <w:tcW w:w="730"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1B739F">
            <w:pPr>
              <w:keepNext/>
              <w:autoSpaceDE w:val="0"/>
              <w:autoSpaceDN w:val="0"/>
              <w:adjustRightInd w:val="0"/>
              <w:spacing w:line="256" w:lineRule="auto"/>
              <w:ind w:right="436"/>
              <w:jc w:val="right"/>
              <w:rPr>
                <w:rFonts w:ascii="Calibri" w:hAnsi="Calibri" w:cs="Calibri"/>
                <w:sz w:val="20"/>
                <w:lang w:val="en-GB"/>
              </w:rPr>
            </w:pPr>
            <w:r w:rsidRPr="00563CF9">
              <w:rPr>
                <w:sz w:val="20"/>
                <w:lang w:val="en-GB" w:bidi="en-GB"/>
              </w:rPr>
              <w:t>25,462</w:t>
            </w:r>
          </w:p>
        </w:tc>
        <w:tc>
          <w:tcPr>
            <w:tcW w:w="730"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1B739F">
            <w:pPr>
              <w:keepNext/>
              <w:autoSpaceDE w:val="0"/>
              <w:autoSpaceDN w:val="0"/>
              <w:adjustRightInd w:val="0"/>
              <w:spacing w:line="256" w:lineRule="auto"/>
              <w:ind w:right="436"/>
              <w:jc w:val="right"/>
              <w:rPr>
                <w:rFonts w:ascii="Calibri" w:hAnsi="Calibri" w:cs="Calibri"/>
                <w:sz w:val="20"/>
                <w:lang w:val="en-GB"/>
              </w:rPr>
            </w:pPr>
            <w:r w:rsidRPr="00563CF9">
              <w:rPr>
                <w:sz w:val="20"/>
                <w:lang w:val="en-GB" w:bidi="en-GB"/>
              </w:rPr>
              <w:t>26,028</w:t>
            </w:r>
          </w:p>
        </w:tc>
        <w:tc>
          <w:tcPr>
            <w:tcW w:w="730"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1B739F">
            <w:pPr>
              <w:keepNext/>
              <w:autoSpaceDE w:val="0"/>
              <w:autoSpaceDN w:val="0"/>
              <w:adjustRightInd w:val="0"/>
              <w:spacing w:line="256" w:lineRule="auto"/>
              <w:ind w:right="436"/>
              <w:jc w:val="right"/>
              <w:rPr>
                <w:rFonts w:ascii="Calibri" w:hAnsi="Calibri" w:cs="Calibri"/>
                <w:sz w:val="20"/>
                <w:lang w:val="en-GB"/>
              </w:rPr>
            </w:pPr>
            <w:r w:rsidRPr="00563CF9">
              <w:rPr>
                <w:sz w:val="20"/>
                <w:lang w:val="en-GB" w:bidi="en-GB"/>
              </w:rPr>
              <w:t>26,494</w:t>
            </w:r>
          </w:p>
        </w:tc>
      </w:tr>
      <w:tr w:rsidR="00A21943" w:rsidRPr="00563CF9" w:rsidTr="004C3B13">
        <w:trPr>
          <w:trHeight w:val="227"/>
        </w:trPr>
        <w:tc>
          <w:tcPr>
            <w:tcW w:w="1941" w:type="pct"/>
            <w:vMerge w:val="restart"/>
            <w:tcBorders>
              <w:top w:val="single" w:sz="6" w:space="0" w:color="auto"/>
              <w:left w:val="single" w:sz="6" w:space="0" w:color="auto"/>
              <w:right w:val="single" w:sz="6" w:space="0" w:color="auto"/>
            </w:tcBorders>
            <w:vAlign w:val="center"/>
            <w:hideMark/>
          </w:tcPr>
          <w:p w:rsidR="00A83EDB" w:rsidRPr="00563CF9" w:rsidRDefault="00A83EDB" w:rsidP="00964E70">
            <w:pPr>
              <w:keepNext/>
              <w:autoSpaceDE w:val="0"/>
              <w:autoSpaceDN w:val="0"/>
              <w:adjustRightInd w:val="0"/>
              <w:spacing w:line="256" w:lineRule="auto"/>
              <w:jc w:val="left"/>
              <w:rPr>
                <w:rFonts w:ascii="Calibri" w:hAnsi="Calibri" w:cs="Calibri"/>
                <w:sz w:val="20"/>
                <w:lang w:val="en-GB"/>
              </w:rPr>
            </w:pPr>
            <w:r w:rsidRPr="00563CF9">
              <w:rPr>
                <w:sz w:val="20"/>
                <w:lang w:val="en-GB" w:bidi="en-GB"/>
              </w:rPr>
              <w:t>Costs per 1 hospitalised patient</w:t>
            </w:r>
          </w:p>
        </w:tc>
        <w:tc>
          <w:tcPr>
            <w:tcW w:w="323"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964E70">
            <w:pPr>
              <w:keepNext/>
              <w:autoSpaceDE w:val="0"/>
              <w:autoSpaceDN w:val="0"/>
              <w:adjustRightInd w:val="0"/>
              <w:spacing w:line="256" w:lineRule="auto"/>
              <w:jc w:val="center"/>
              <w:rPr>
                <w:rFonts w:ascii="Calibri" w:hAnsi="Calibri" w:cs="Calibri"/>
                <w:sz w:val="20"/>
                <w:lang w:val="en-GB"/>
              </w:rPr>
            </w:pPr>
            <w:r w:rsidRPr="00563CF9">
              <w:rPr>
                <w:sz w:val="20"/>
                <w:lang w:val="en-GB" w:bidi="en-GB"/>
              </w:rPr>
              <w:t>BUH</w:t>
            </w:r>
          </w:p>
        </w:tc>
        <w:tc>
          <w:tcPr>
            <w:tcW w:w="546" w:type="pct"/>
            <w:vMerge w:val="restart"/>
            <w:tcBorders>
              <w:top w:val="single" w:sz="6" w:space="0" w:color="auto"/>
              <w:left w:val="single" w:sz="6" w:space="0" w:color="auto"/>
              <w:right w:val="single" w:sz="6" w:space="0" w:color="auto"/>
            </w:tcBorders>
            <w:vAlign w:val="center"/>
            <w:hideMark/>
          </w:tcPr>
          <w:p w:rsidR="00A83EDB" w:rsidRPr="00563CF9" w:rsidRDefault="00A83EDB" w:rsidP="00964E70">
            <w:pPr>
              <w:keepNext/>
              <w:autoSpaceDE w:val="0"/>
              <w:autoSpaceDN w:val="0"/>
              <w:adjustRightInd w:val="0"/>
              <w:spacing w:line="256" w:lineRule="auto"/>
              <w:jc w:val="center"/>
              <w:rPr>
                <w:rFonts w:ascii="Calibri" w:hAnsi="Calibri" w:cs="Calibri"/>
                <w:sz w:val="20"/>
                <w:lang w:val="en-GB"/>
              </w:rPr>
            </w:pPr>
            <w:r w:rsidRPr="00563CF9">
              <w:rPr>
                <w:sz w:val="20"/>
                <w:lang w:val="en-GB" w:bidi="en-GB"/>
              </w:rPr>
              <w:t>CZK</w:t>
            </w:r>
          </w:p>
        </w:tc>
        <w:tc>
          <w:tcPr>
            <w:tcW w:w="730"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1B739F">
            <w:pPr>
              <w:keepNext/>
              <w:autoSpaceDE w:val="0"/>
              <w:autoSpaceDN w:val="0"/>
              <w:adjustRightInd w:val="0"/>
              <w:spacing w:line="256" w:lineRule="auto"/>
              <w:ind w:right="436"/>
              <w:jc w:val="right"/>
              <w:rPr>
                <w:rFonts w:ascii="Calibri" w:hAnsi="Calibri" w:cs="Calibri"/>
                <w:sz w:val="20"/>
                <w:lang w:val="en-GB"/>
              </w:rPr>
            </w:pPr>
            <w:r w:rsidRPr="00563CF9">
              <w:rPr>
                <w:sz w:val="20"/>
                <w:lang w:val="en-GB" w:bidi="en-GB"/>
              </w:rPr>
              <w:t>50,724</w:t>
            </w:r>
          </w:p>
        </w:tc>
        <w:tc>
          <w:tcPr>
            <w:tcW w:w="730"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1B739F">
            <w:pPr>
              <w:keepNext/>
              <w:autoSpaceDE w:val="0"/>
              <w:autoSpaceDN w:val="0"/>
              <w:adjustRightInd w:val="0"/>
              <w:spacing w:line="256" w:lineRule="auto"/>
              <w:ind w:right="436"/>
              <w:jc w:val="right"/>
              <w:rPr>
                <w:rFonts w:ascii="Calibri" w:hAnsi="Calibri" w:cs="Calibri"/>
                <w:sz w:val="20"/>
                <w:lang w:val="en-GB"/>
              </w:rPr>
            </w:pPr>
            <w:r w:rsidRPr="00563CF9">
              <w:rPr>
                <w:sz w:val="20"/>
                <w:lang w:val="en-GB" w:bidi="en-GB"/>
              </w:rPr>
              <w:t>50,370</w:t>
            </w:r>
          </w:p>
        </w:tc>
        <w:tc>
          <w:tcPr>
            <w:tcW w:w="730"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1B739F">
            <w:pPr>
              <w:keepNext/>
              <w:autoSpaceDE w:val="0"/>
              <w:autoSpaceDN w:val="0"/>
              <w:adjustRightInd w:val="0"/>
              <w:spacing w:line="256" w:lineRule="auto"/>
              <w:ind w:right="436"/>
              <w:jc w:val="right"/>
              <w:rPr>
                <w:rFonts w:ascii="Calibri" w:hAnsi="Calibri" w:cs="Calibri"/>
                <w:sz w:val="20"/>
                <w:lang w:val="en-GB"/>
              </w:rPr>
            </w:pPr>
            <w:r w:rsidRPr="00563CF9">
              <w:rPr>
                <w:sz w:val="20"/>
                <w:lang w:val="en-GB" w:bidi="en-GB"/>
              </w:rPr>
              <w:t>53,824</w:t>
            </w:r>
          </w:p>
        </w:tc>
      </w:tr>
      <w:tr w:rsidR="00A21943" w:rsidRPr="00563CF9" w:rsidTr="004C3B13">
        <w:trPr>
          <w:trHeight w:val="227"/>
        </w:trPr>
        <w:tc>
          <w:tcPr>
            <w:tcW w:w="1941" w:type="pct"/>
            <w:vMerge/>
            <w:tcBorders>
              <w:left w:val="single" w:sz="6" w:space="0" w:color="auto"/>
              <w:right w:val="single" w:sz="6" w:space="0" w:color="auto"/>
            </w:tcBorders>
            <w:vAlign w:val="center"/>
          </w:tcPr>
          <w:p w:rsidR="00A83EDB" w:rsidRPr="00563CF9" w:rsidRDefault="00A83EDB" w:rsidP="00964E70">
            <w:pPr>
              <w:keepNext/>
              <w:autoSpaceDE w:val="0"/>
              <w:autoSpaceDN w:val="0"/>
              <w:adjustRightInd w:val="0"/>
              <w:spacing w:line="256" w:lineRule="auto"/>
              <w:jc w:val="left"/>
              <w:rPr>
                <w:rFonts w:ascii="Calibri" w:hAnsi="Calibri" w:cs="Calibri"/>
                <w:sz w:val="20"/>
                <w:lang w:val="en-GB"/>
              </w:rPr>
            </w:pPr>
          </w:p>
        </w:tc>
        <w:tc>
          <w:tcPr>
            <w:tcW w:w="323"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964E70">
            <w:pPr>
              <w:keepNext/>
              <w:autoSpaceDE w:val="0"/>
              <w:autoSpaceDN w:val="0"/>
              <w:adjustRightInd w:val="0"/>
              <w:spacing w:line="256" w:lineRule="auto"/>
              <w:jc w:val="center"/>
              <w:rPr>
                <w:rFonts w:ascii="Calibri" w:hAnsi="Calibri" w:cs="Calibri"/>
                <w:sz w:val="20"/>
                <w:lang w:val="en-GB"/>
              </w:rPr>
            </w:pPr>
            <w:r w:rsidRPr="00563CF9">
              <w:rPr>
                <w:sz w:val="20"/>
                <w:lang w:val="en-GB" w:bidi="en-GB"/>
              </w:rPr>
              <w:t>MUH</w:t>
            </w:r>
          </w:p>
        </w:tc>
        <w:tc>
          <w:tcPr>
            <w:tcW w:w="546" w:type="pct"/>
            <w:vMerge/>
            <w:tcBorders>
              <w:left w:val="single" w:sz="6" w:space="0" w:color="auto"/>
              <w:right w:val="single" w:sz="6" w:space="0" w:color="auto"/>
            </w:tcBorders>
          </w:tcPr>
          <w:p w:rsidR="00A83EDB" w:rsidRPr="00563CF9" w:rsidRDefault="00A83EDB" w:rsidP="00964E70">
            <w:pPr>
              <w:keepNext/>
              <w:autoSpaceDE w:val="0"/>
              <w:autoSpaceDN w:val="0"/>
              <w:adjustRightInd w:val="0"/>
              <w:spacing w:line="256" w:lineRule="auto"/>
              <w:jc w:val="center"/>
              <w:rPr>
                <w:rFonts w:ascii="Calibri" w:hAnsi="Calibri" w:cs="Calibri"/>
                <w:sz w:val="20"/>
                <w:lang w:val="en-GB"/>
              </w:rPr>
            </w:pPr>
          </w:p>
        </w:tc>
        <w:tc>
          <w:tcPr>
            <w:tcW w:w="730"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1B739F">
            <w:pPr>
              <w:keepNext/>
              <w:autoSpaceDE w:val="0"/>
              <w:autoSpaceDN w:val="0"/>
              <w:adjustRightInd w:val="0"/>
              <w:spacing w:line="256" w:lineRule="auto"/>
              <w:ind w:right="436"/>
              <w:jc w:val="right"/>
              <w:rPr>
                <w:rFonts w:ascii="Calibri" w:hAnsi="Calibri" w:cs="Calibri"/>
                <w:sz w:val="20"/>
                <w:lang w:val="en-GB"/>
              </w:rPr>
            </w:pPr>
            <w:r w:rsidRPr="00563CF9">
              <w:rPr>
                <w:sz w:val="20"/>
                <w:lang w:val="en-GB" w:bidi="en-GB"/>
              </w:rPr>
              <w:t>63,853</w:t>
            </w:r>
          </w:p>
        </w:tc>
        <w:tc>
          <w:tcPr>
            <w:tcW w:w="730"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1B739F">
            <w:pPr>
              <w:keepNext/>
              <w:autoSpaceDE w:val="0"/>
              <w:autoSpaceDN w:val="0"/>
              <w:adjustRightInd w:val="0"/>
              <w:spacing w:line="256" w:lineRule="auto"/>
              <w:ind w:right="436"/>
              <w:jc w:val="right"/>
              <w:rPr>
                <w:rFonts w:ascii="Calibri" w:hAnsi="Calibri" w:cs="Calibri"/>
                <w:sz w:val="20"/>
                <w:lang w:val="en-GB"/>
              </w:rPr>
            </w:pPr>
            <w:r w:rsidRPr="00563CF9">
              <w:rPr>
                <w:sz w:val="20"/>
                <w:lang w:val="en-GB" w:bidi="en-GB"/>
              </w:rPr>
              <w:t>64,695</w:t>
            </w:r>
          </w:p>
        </w:tc>
        <w:tc>
          <w:tcPr>
            <w:tcW w:w="730"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1B739F">
            <w:pPr>
              <w:keepNext/>
              <w:autoSpaceDE w:val="0"/>
              <w:autoSpaceDN w:val="0"/>
              <w:adjustRightInd w:val="0"/>
              <w:spacing w:line="256" w:lineRule="auto"/>
              <w:ind w:right="436"/>
              <w:jc w:val="right"/>
              <w:rPr>
                <w:rFonts w:ascii="Calibri" w:hAnsi="Calibri" w:cs="Calibri"/>
                <w:sz w:val="20"/>
                <w:lang w:val="en-GB"/>
              </w:rPr>
            </w:pPr>
            <w:r w:rsidRPr="00563CF9">
              <w:rPr>
                <w:sz w:val="20"/>
                <w:lang w:val="en-GB" w:bidi="en-GB"/>
              </w:rPr>
              <w:t>62,514</w:t>
            </w:r>
          </w:p>
        </w:tc>
      </w:tr>
      <w:tr w:rsidR="00A21943" w:rsidRPr="00563CF9" w:rsidTr="004C3B13">
        <w:trPr>
          <w:trHeight w:val="227"/>
        </w:trPr>
        <w:tc>
          <w:tcPr>
            <w:tcW w:w="1941" w:type="pct"/>
            <w:vMerge/>
            <w:tcBorders>
              <w:left w:val="single" w:sz="6" w:space="0" w:color="auto"/>
              <w:bottom w:val="single" w:sz="6" w:space="0" w:color="auto"/>
              <w:right w:val="single" w:sz="6" w:space="0" w:color="auto"/>
            </w:tcBorders>
            <w:vAlign w:val="center"/>
          </w:tcPr>
          <w:p w:rsidR="00A83EDB" w:rsidRPr="00563CF9" w:rsidRDefault="00A83EDB" w:rsidP="00964E70">
            <w:pPr>
              <w:keepNext/>
              <w:autoSpaceDE w:val="0"/>
              <w:autoSpaceDN w:val="0"/>
              <w:adjustRightInd w:val="0"/>
              <w:spacing w:line="256" w:lineRule="auto"/>
              <w:jc w:val="left"/>
              <w:rPr>
                <w:rFonts w:ascii="Calibri" w:hAnsi="Calibri" w:cs="Calibri"/>
                <w:sz w:val="20"/>
                <w:lang w:val="en-GB"/>
              </w:rPr>
            </w:pPr>
          </w:p>
        </w:tc>
        <w:tc>
          <w:tcPr>
            <w:tcW w:w="323"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964E70">
            <w:pPr>
              <w:keepNext/>
              <w:autoSpaceDE w:val="0"/>
              <w:autoSpaceDN w:val="0"/>
              <w:adjustRightInd w:val="0"/>
              <w:spacing w:line="256" w:lineRule="auto"/>
              <w:jc w:val="center"/>
              <w:rPr>
                <w:rFonts w:ascii="Calibri" w:hAnsi="Calibri" w:cs="Calibri"/>
                <w:sz w:val="20"/>
                <w:lang w:val="en-GB"/>
              </w:rPr>
            </w:pPr>
            <w:r w:rsidRPr="00563CF9">
              <w:rPr>
                <w:sz w:val="20"/>
                <w:lang w:val="en-GB" w:bidi="en-GB"/>
              </w:rPr>
              <w:t>CMH</w:t>
            </w:r>
          </w:p>
        </w:tc>
        <w:tc>
          <w:tcPr>
            <w:tcW w:w="546" w:type="pct"/>
            <w:vMerge/>
            <w:tcBorders>
              <w:left w:val="single" w:sz="6" w:space="0" w:color="auto"/>
              <w:bottom w:val="single" w:sz="6" w:space="0" w:color="auto"/>
              <w:right w:val="single" w:sz="6" w:space="0" w:color="auto"/>
            </w:tcBorders>
          </w:tcPr>
          <w:p w:rsidR="00A83EDB" w:rsidRPr="00563CF9" w:rsidRDefault="00A83EDB" w:rsidP="00964E70">
            <w:pPr>
              <w:keepNext/>
              <w:autoSpaceDE w:val="0"/>
              <w:autoSpaceDN w:val="0"/>
              <w:adjustRightInd w:val="0"/>
              <w:spacing w:line="256" w:lineRule="auto"/>
              <w:jc w:val="center"/>
              <w:rPr>
                <w:rFonts w:ascii="Calibri" w:hAnsi="Calibri" w:cs="Calibri"/>
                <w:sz w:val="20"/>
                <w:lang w:val="en-GB"/>
              </w:rPr>
            </w:pPr>
          </w:p>
        </w:tc>
        <w:tc>
          <w:tcPr>
            <w:tcW w:w="730"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1B739F">
            <w:pPr>
              <w:keepNext/>
              <w:autoSpaceDE w:val="0"/>
              <w:autoSpaceDN w:val="0"/>
              <w:adjustRightInd w:val="0"/>
              <w:spacing w:line="256" w:lineRule="auto"/>
              <w:ind w:right="436"/>
              <w:jc w:val="right"/>
              <w:rPr>
                <w:rFonts w:ascii="Calibri" w:hAnsi="Calibri" w:cs="Calibri"/>
                <w:sz w:val="20"/>
                <w:lang w:val="en-GB"/>
              </w:rPr>
            </w:pPr>
            <w:r w:rsidRPr="00563CF9">
              <w:rPr>
                <w:sz w:val="20"/>
                <w:lang w:val="en-GB" w:bidi="en-GB"/>
              </w:rPr>
              <w:t>57,193</w:t>
            </w:r>
          </w:p>
        </w:tc>
        <w:tc>
          <w:tcPr>
            <w:tcW w:w="730"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1B739F">
            <w:pPr>
              <w:keepNext/>
              <w:autoSpaceDE w:val="0"/>
              <w:autoSpaceDN w:val="0"/>
              <w:adjustRightInd w:val="0"/>
              <w:spacing w:line="256" w:lineRule="auto"/>
              <w:ind w:right="436"/>
              <w:jc w:val="right"/>
              <w:rPr>
                <w:rFonts w:ascii="Calibri" w:hAnsi="Calibri" w:cs="Calibri"/>
                <w:sz w:val="20"/>
                <w:lang w:val="en-GB"/>
              </w:rPr>
            </w:pPr>
            <w:r w:rsidRPr="00563CF9">
              <w:rPr>
                <w:sz w:val="20"/>
                <w:lang w:val="en-GB" w:bidi="en-GB"/>
              </w:rPr>
              <w:t>56,757</w:t>
            </w:r>
          </w:p>
        </w:tc>
        <w:tc>
          <w:tcPr>
            <w:tcW w:w="730"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1B739F">
            <w:pPr>
              <w:keepNext/>
              <w:autoSpaceDE w:val="0"/>
              <w:autoSpaceDN w:val="0"/>
              <w:adjustRightInd w:val="0"/>
              <w:spacing w:line="256" w:lineRule="auto"/>
              <w:ind w:right="436"/>
              <w:jc w:val="right"/>
              <w:rPr>
                <w:rFonts w:ascii="Calibri" w:hAnsi="Calibri" w:cs="Calibri"/>
                <w:sz w:val="20"/>
                <w:lang w:val="en-GB"/>
              </w:rPr>
            </w:pPr>
            <w:r w:rsidRPr="00563CF9">
              <w:rPr>
                <w:sz w:val="20"/>
                <w:lang w:val="en-GB" w:bidi="en-GB"/>
              </w:rPr>
              <w:t>57,135</w:t>
            </w:r>
          </w:p>
        </w:tc>
      </w:tr>
      <w:tr w:rsidR="00A21943" w:rsidRPr="00563CF9" w:rsidTr="004C3B13">
        <w:trPr>
          <w:trHeight w:val="227"/>
        </w:trPr>
        <w:tc>
          <w:tcPr>
            <w:tcW w:w="1941" w:type="pct"/>
            <w:vMerge w:val="restart"/>
            <w:tcBorders>
              <w:top w:val="single" w:sz="6" w:space="0" w:color="auto"/>
              <w:left w:val="single" w:sz="6" w:space="0" w:color="auto"/>
              <w:right w:val="single" w:sz="6" w:space="0" w:color="auto"/>
            </w:tcBorders>
            <w:vAlign w:val="center"/>
            <w:hideMark/>
          </w:tcPr>
          <w:p w:rsidR="00A83EDB" w:rsidRPr="00563CF9" w:rsidRDefault="00A83EDB" w:rsidP="00964E70">
            <w:pPr>
              <w:keepNext/>
              <w:autoSpaceDE w:val="0"/>
              <w:autoSpaceDN w:val="0"/>
              <w:adjustRightInd w:val="0"/>
              <w:spacing w:line="256" w:lineRule="auto"/>
              <w:jc w:val="left"/>
              <w:rPr>
                <w:rFonts w:ascii="Calibri" w:hAnsi="Calibri" w:cs="Calibri"/>
                <w:sz w:val="20"/>
                <w:lang w:val="en-GB"/>
              </w:rPr>
            </w:pPr>
            <w:r w:rsidRPr="00563CF9">
              <w:rPr>
                <w:sz w:val="20"/>
                <w:lang w:val="en-GB" w:bidi="en-GB"/>
              </w:rPr>
              <w:t>Average number of beds</w:t>
            </w:r>
          </w:p>
        </w:tc>
        <w:tc>
          <w:tcPr>
            <w:tcW w:w="323"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964E70">
            <w:pPr>
              <w:keepNext/>
              <w:autoSpaceDE w:val="0"/>
              <w:autoSpaceDN w:val="0"/>
              <w:adjustRightInd w:val="0"/>
              <w:spacing w:line="256" w:lineRule="auto"/>
              <w:jc w:val="center"/>
              <w:rPr>
                <w:rFonts w:ascii="Calibri" w:hAnsi="Calibri" w:cs="Calibri"/>
                <w:sz w:val="20"/>
                <w:lang w:val="en-GB"/>
              </w:rPr>
            </w:pPr>
            <w:r w:rsidRPr="00563CF9">
              <w:rPr>
                <w:sz w:val="20"/>
                <w:lang w:val="en-GB" w:bidi="en-GB"/>
              </w:rPr>
              <w:t>BUH</w:t>
            </w:r>
          </w:p>
        </w:tc>
        <w:tc>
          <w:tcPr>
            <w:tcW w:w="546" w:type="pct"/>
            <w:vMerge w:val="restart"/>
            <w:tcBorders>
              <w:top w:val="single" w:sz="6" w:space="0" w:color="auto"/>
              <w:left w:val="single" w:sz="6" w:space="0" w:color="auto"/>
              <w:right w:val="single" w:sz="6" w:space="0" w:color="auto"/>
            </w:tcBorders>
            <w:vAlign w:val="center"/>
            <w:hideMark/>
          </w:tcPr>
          <w:p w:rsidR="00A83EDB" w:rsidRPr="00563CF9" w:rsidRDefault="00DF2638" w:rsidP="00964E70">
            <w:pPr>
              <w:keepNext/>
              <w:autoSpaceDE w:val="0"/>
              <w:autoSpaceDN w:val="0"/>
              <w:adjustRightInd w:val="0"/>
              <w:spacing w:line="256" w:lineRule="auto"/>
              <w:jc w:val="center"/>
              <w:rPr>
                <w:rFonts w:ascii="Calibri" w:hAnsi="Calibri" w:cs="Calibri"/>
                <w:sz w:val="20"/>
                <w:lang w:val="en-GB"/>
              </w:rPr>
            </w:pPr>
            <w:r w:rsidRPr="00563CF9">
              <w:rPr>
                <w:sz w:val="20"/>
                <w:lang w:val="en-GB" w:bidi="en-GB"/>
              </w:rPr>
              <w:t>U</w:t>
            </w:r>
            <w:r w:rsidR="00A83EDB" w:rsidRPr="00563CF9">
              <w:rPr>
                <w:sz w:val="20"/>
                <w:lang w:val="en-GB" w:bidi="en-GB"/>
              </w:rPr>
              <w:t>nit</w:t>
            </w:r>
          </w:p>
        </w:tc>
        <w:tc>
          <w:tcPr>
            <w:tcW w:w="730"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964E70">
            <w:pPr>
              <w:keepNext/>
              <w:autoSpaceDE w:val="0"/>
              <w:autoSpaceDN w:val="0"/>
              <w:adjustRightInd w:val="0"/>
              <w:spacing w:line="256" w:lineRule="auto"/>
              <w:ind w:right="153"/>
              <w:jc w:val="right"/>
              <w:rPr>
                <w:rFonts w:ascii="Calibri" w:hAnsi="Calibri" w:cs="Calibri"/>
                <w:sz w:val="20"/>
                <w:lang w:val="en-GB"/>
              </w:rPr>
            </w:pPr>
            <w:r w:rsidRPr="00563CF9">
              <w:rPr>
                <w:sz w:val="20"/>
                <w:lang w:val="en-GB" w:bidi="en-GB"/>
              </w:rPr>
              <w:t>1,907.00</w:t>
            </w:r>
          </w:p>
        </w:tc>
        <w:tc>
          <w:tcPr>
            <w:tcW w:w="730"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964E70">
            <w:pPr>
              <w:keepNext/>
              <w:autoSpaceDE w:val="0"/>
              <w:autoSpaceDN w:val="0"/>
              <w:adjustRightInd w:val="0"/>
              <w:spacing w:line="256" w:lineRule="auto"/>
              <w:ind w:right="153"/>
              <w:jc w:val="right"/>
              <w:rPr>
                <w:rFonts w:ascii="Calibri" w:hAnsi="Calibri" w:cs="Calibri"/>
                <w:sz w:val="20"/>
                <w:lang w:val="en-GB"/>
              </w:rPr>
            </w:pPr>
            <w:r w:rsidRPr="00563CF9">
              <w:rPr>
                <w:sz w:val="20"/>
                <w:lang w:val="en-GB" w:bidi="en-GB"/>
              </w:rPr>
              <w:t>1,910.00</w:t>
            </w:r>
          </w:p>
        </w:tc>
        <w:tc>
          <w:tcPr>
            <w:tcW w:w="730"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964E70">
            <w:pPr>
              <w:keepNext/>
              <w:autoSpaceDE w:val="0"/>
              <w:autoSpaceDN w:val="0"/>
              <w:adjustRightInd w:val="0"/>
              <w:spacing w:line="256" w:lineRule="auto"/>
              <w:ind w:right="153"/>
              <w:jc w:val="right"/>
              <w:rPr>
                <w:rFonts w:ascii="Calibri" w:hAnsi="Calibri" w:cs="Calibri"/>
                <w:sz w:val="20"/>
                <w:lang w:val="en-GB"/>
              </w:rPr>
            </w:pPr>
            <w:r w:rsidRPr="00563CF9">
              <w:rPr>
                <w:sz w:val="20"/>
                <w:lang w:val="en-GB" w:bidi="en-GB"/>
              </w:rPr>
              <w:t>1,882.00</w:t>
            </w:r>
          </w:p>
        </w:tc>
      </w:tr>
      <w:tr w:rsidR="00A21943" w:rsidRPr="00563CF9" w:rsidTr="004C3B13">
        <w:trPr>
          <w:trHeight w:val="227"/>
        </w:trPr>
        <w:tc>
          <w:tcPr>
            <w:tcW w:w="1941" w:type="pct"/>
            <w:vMerge/>
            <w:tcBorders>
              <w:left w:val="single" w:sz="6" w:space="0" w:color="auto"/>
              <w:right w:val="single" w:sz="6" w:space="0" w:color="auto"/>
            </w:tcBorders>
            <w:vAlign w:val="center"/>
          </w:tcPr>
          <w:p w:rsidR="00A83EDB" w:rsidRPr="00563CF9" w:rsidRDefault="00A83EDB" w:rsidP="00964E70">
            <w:pPr>
              <w:keepNext/>
              <w:autoSpaceDE w:val="0"/>
              <w:autoSpaceDN w:val="0"/>
              <w:adjustRightInd w:val="0"/>
              <w:spacing w:line="256" w:lineRule="auto"/>
              <w:jc w:val="left"/>
              <w:rPr>
                <w:rFonts w:ascii="Calibri" w:hAnsi="Calibri" w:cs="Calibri"/>
                <w:sz w:val="20"/>
                <w:lang w:val="en-GB"/>
              </w:rPr>
            </w:pPr>
          </w:p>
        </w:tc>
        <w:tc>
          <w:tcPr>
            <w:tcW w:w="323"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964E70">
            <w:pPr>
              <w:keepNext/>
              <w:autoSpaceDE w:val="0"/>
              <w:autoSpaceDN w:val="0"/>
              <w:adjustRightInd w:val="0"/>
              <w:spacing w:line="256" w:lineRule="auto"/>
              <w:jc w:val="center"/>
              <w:rPr>
                <w:rFonts w:ascii="Calibri" w:hAnsi="Calibri" w:cs="Calibri"/>
                <w:sz w:val="20"/>
                <w:lang w:val="en-GB"/>
              </w:rPr>
            </w:pPr>
            <w:r w:rsidRPr="00563CF9">
              <w:rPr>
                <w:sz w:val="20"/>
                <w:lang w:val="en-GB" w:bidi="en-GB"/>
              </w:rPr>
              <w:t>MUH</w:t>
            </w:r>
          </w:p>
        </w:tc>
        <w:tc>
          <w:tcPr>
            <w:tcW w:w="546" w:type="pct"/>
            <w:vMerge/>
            <w:tcBorders>
              <w:left w:val="single" w:sz="6" w:space="0" w:color="auto"/>
              <w:right w:val="single" w:sz="6" w:space="0" w:color="auto"/>
            </w:tcBorders>
            <w:vAlign w:val="center"/>
          </w:tcPr>
          <w:p w:rsidR="00A83EDB" w:rsidRPr="00563CF9" w:rsidRDefault="00A83EDB" w:rsidP="00964E70">
            <w:pPr>
              <w:keepNext/>
              <w:autoSpaceDE w:val="0"/>
              <w:autoSpaceDN w:val="0"/>
              <w:adjustRightInd w:val="0"/>
              <w:spacing w:line="256" w:lineRule="auto"/>
              <w:jc w:val="center"/>
              <w:rPr>
                <w:rFonts w:ascii="Calibri" w:hAnsi="Calibri" w:cs="Calibri"/>
                <w:sz w:val="20"/>
                <w:lang w:val="en-GB"/>
              </w:rPr>
            </w:pPr>
          </w:p>
        </w:tc>
        <w:tc>
          <w:tcPr>
            <w:tcW w:w="730"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964E70">
            <w:pPr>
              <w:keepNext/>
              <w:autoSpaceDE w:val="0"/>
              <w:autoSpaceDN w:val="0"/>
              <w:adjustRightInd w:val="0"/>
              <w:spacing w:line="256" w:lineRule="auto"/>
              <w:ind w:right="153"/>
              <w:jc w:val="right"/>
              <w:rPr>
                <w:rFonts w:ascii="Calibri" w:hAnsi="Calibri" w:cs="Calibri"/>
                <w:sz w:val="20"/>
                <w:lang w:val="en-GB"/>
              </w:rPr>
            </w:pPr>
            <w:r w:rsidRPr="00563CF9">
              <w:rPr>
                <w:sz w:val="20"/>
                <w:lang w:val="en-GB" w:bidi="en-GB"/>
              </w:rPr>
              <w:t>2,189.00</w:t>
            </w:r>
          </w:p>
        </w:tc>
        <w:tc>
          <w:tcPr>
            <w:tcW w:w="730"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964E70">
            <w:pPr>
              <w:keepNext/>
              <w:autoSpaceDE w:val="0"/>
              <w:autoSpaceDN w:val="0"/>
              <w:adjustRightInd w:val="0"/>
              <w:spacing w:line="256" w:lineRule="auto"/>
              <w:ind w:right="153"/>
              <w:jc w:val="right"/>
              <w:rPr>
                <w:rFonts w:ascii="Calibri" w:hAnsi="Calibri" w:cs="Calibri"/>
                <w:sz w:val="20"/>
                <w:lang w:val="en-GB"/>
              </w:rPr>
            </w:pPr>
            <w:r w:rsidRPr="00563CF9">
              <w:rPr>
                <w:sz w:val="20"/>
                <w:lang w:val="en-GB" w:bidi="en-GB"/>
              </w:rPr>
              <w:t>2,197.00</w:t>
            </w:r>
          </w:p>
        </w:tc>
        <w:tc>
          <w:tcPr>
            <w:tcW w:w="730"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964E70">
            <w:pPr>
              <w:keepNext/>
              <w:autoSpaceDE w:val="0"/>
              <w:autoSpaceDN w:val="0"/>
              <w:adjustRightInd w:val="0"/>
              <w:spacing w:line="256" w:lineRule="auto"/>
              <w:ind w:right="153"/>
              <w:jc w:val="right"/>
              <w:rPr>
                <w:rFonts w:ascii="Calibri" w:hAnsi="Calibri" w:cs="Calibri"/>
                <w:sz w:val="20"/>
                <w:lang w:val="en-GB"/>
              </w:rPr>
            </w:pPr>
            <w:r w:rsidRPr="00563CF9">
              <w:rPr>
                <w:sz w:val="20"/>
                <w:lang w:val="en-GB" w:bidi="en-GB"/>
              </w:rPr>
              <w:t>2,201.92</w:t>
            </w:r>
          </w:p>
        </w:tc>
      </w:tr>
      <w:tr w:rsidR="00A21943" w:rsidRPr="00563CF9" w:rsidTr="004C3B13">
        <w:trPr>
          <w:trHeight w:val="227"/>
        </w:trPr>
        <w:tc>
          <w:tcPr>
            <w:tcW w:w="1941" w:type="pct"/>
            <w:vMerge/>
            <w:tcBorders>
              <w:left w:val="single" w:sz="6" w:space="0" w:color="auto"/>
              <w:bottom w:val="single" w:sz="6" w:space="0" w:color="auto"/>
              <w:right w:val="single" w:sz="6" w:space="0" w:color="auto"/>
            </w:tcBorders>
            <w:vAlign w:val="center"/>
          </w:tcPr>
          <w:p w:rsidR="00A83EDB" w:rsidRPr="00563CF9" w:rsidRDefault="00A83EDB" w:rsidP="00964E70">
            <w:pPr>
              <w:keepNext/>
              <w:autoSpaceDE w:val="0"/>
              <w:autoSpaceDN w:val="0"/>
              <w:adjustRightInd w:val="0"/>
              <w:spacing w:line="256" w:lineRule="auto"/>
              <w:jc w:val="left"/>
              <w:rPr>
                <w:rFonts w:ascii="Calibri" w:hAnsi="Calibri" w:cs="Calibri"/>
                <w:sz w:val="20"/>
                <w:lang w:val="en-GB"/>
              </w:rPr>
            </w:pPr>
          </w:p>
        </w:tc>
        <w:tc>
          <w:tcPr>
            <w:tcW w:w="323"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964E70">
            <w:pPr>
              <w:keepNext/>
              <w:autoSpaceDE w:val="0"/>
              <w:autoSpaceDN w:val="0"/>
              <w:adjustRightInd w:val="0"/>
              <w:spacing w:line="256" w:lineRule="auto"/>
              <w:jc w:val="center"/>
              <w:rPr>
                <w:rFonts w:ascii="Calibri" w:hAnsi="Calibri" w:cs="Calibri"/>
                <w:sz w:val="20"/>
                <w:lang w:val="en-GB"/>
              </w:rPr>
            </w:pPr>
            <w:r w:rsidRPr="00563CF9">
              <w:rPr>
                <w:sz w:val="20"/>
                <w:lang w:val="en-GB" w:bidi="en-GB"/>
              </w:rPr>
              <w:t>CMH</w:t>
            </w:r>
          </w:p>
        </w:tc>
        <w:tc>
          <w:tcPr>
            <w:tcW w:w="546" w:type="pct"/>
            <w:vMerge/>
            <w:tcBorders>
              <w:left w:val="single" w:sz="6" w:space="0" w:color="auto"/>
              <w:bottom w:val="single" w:sz="6" w:space="0" w:color="auto"/>
              <w:right w:val="single" w:sz="6" w:space="0" w:color="auto"/>
            </w:tcBorders>
          </w:tcPr>
          <w:p w:rsidR="00A83EDB" w:rsidRPr="00563CF9" w:rsidRDefault="00A83EDB" w:rsidP="00964E70">
            <w:pPr>
              <w:keepNext/>
              <w:autoSpaceDE w:val="0"/>
              <w:autoSpaceDN w:val="0"/>
              <w:adjustRightInd w:val="0"/>
              <w:spacing w:line="256" w:lineRule="auto"/>
              <w:jc w:val="center"/>
              <w:rPr>
                <w:rFonts w:ascii="Calibri" w:hAnsi="Calibri" w:cs="Calibri"/>
                <w:sz w:val="20"/>
                <w:lang w:val="en-GB"/>
              </w:rPr>
            </w:pPr>
          </w:p>
        </w:tc>
        <w:tc>
          <w:tcPr>
            <w:tcW w:w="730"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964E70">
            <w:pPr>
              <w:keepNext/>
              <w:autoSpaceDE w:val="0"/>
              <w:autoSpaceDN w:val="0"/>
              <w:adjustRightInd w:val="0"/>
              <w:spacing w:line="256" w:lineRule="auto"/>
              <w:ind w:right="153"/>
              <w:jc w:val="right"/>
              <w:rPr>
                <w:rFonts w:ascii="Calibri" w:hAnsi="Calibri" w:cs="Calibri"/>
                <w:sz w:val="20"/>
                <w:lang w:val="en-GB"/>
              </w:rPr>
            </w:pPr>
            <w:r w:rsidRPr="00563CF9">
              <w:rPr>
                <w:sz w:val="20"/>
                <w:lang w:val="en-GB" w:bidi="en-GB"/>
              </w:rPr>
              <w:t>664.00</w:t>
            </w:r>
          </w:p>
        </w:tc>
        <w:tc>
          <w:tcPr>
            <w:tcW w:w="730"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964E70">
            <w:pPr>
              <w:keepNext/>
              <w:autoSpaceDE w:val="0"/>
              <w:autoSpaceDN w:val="0"/>
              <w:adjustRightInd w:val="0"/>
              <w:spacing w:line="256" w:lineRule="auto"/>
              <w:ind w:right="153"/>
              <w:jc w:val="right"/>
              <w:rPr>
                <w:rFonts w:ascii="Calibri" w:hAnsi="Calibri" w:cs="Calibri"/>
                <w:sz w:val="20"/>
                <w:lang w:val="en-GB"/>
              </w:rPr>
            </w:pPr>
            <w:r w:rsidRPr="00563CF9">
              <w:rPr>
                <w:sz w:val="20"/>
                <w:lang w:val="en-GB" w:bidi="en-GB"/>
              </w:rPr>
              <w:t>674.00</w:t>
            </w:r>
          </w:p>
        </w:tc>
        <w:tc>
          <w:tcPr>
            <w:tcW w:w="730"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964E70">
            <w:pPr>
              <w:keepNext/>
              <w:autoSpaceDE w:val="0"/>
              <w:autoSpaceDN w:val="0"/>
              <w:adjustRightInd w:val="0"/>
              <w:spacing w:line="256" w:lineRule="auto"/>
              <w:ind w:right="153"/>
              <w:jc w:val="right"/>
              <w:rPr>
                <w:rFonts w:ascii="Calibri" w:hAnsi="Calibri" w:cs="Calibri"/>
                <w:sz w:val="20"/>
                <w:lang w:val="en-GB"/>
              </w:rPr>
            </w:pPr>
            <w:r w:rsidRPr="00563CF9">
              <w:rPr>
                <w:sz w:val="20"/>
                <w:lang w:val="en-GB" w:bidi="en-GB"/>
              </w:rPr>
              <w:t>677.00</w:t>
            </w:r>
          </w:p>
        </w:tc>
      </w:tr>
      <w:tr w:rsidR="00A21943" w:rsidRPr="00563CF9" w:rsidTr="004C3B13">
        <w:trPr>
          <w:trHeight w:val="227"/>
        </w:trPr>
        <w:tc>
          <w:tcPr>
            <w:tcW w:w="1941" w:type="pct"/>
            <w:vMerge w:val="restart"/>
            <w:tcBorders>
              <w:top w:val="single" w:sz="6" w:space="0" w:color="auto"/>
              <w:left w:val="single" w:sz="6" w:space="0" w:color="auto"/>
              <w:right w:val="single" w:sz="6" w:space="0" w:color="auto"/>
            </w:tcBorders>
            <w:vAlign w:val="center"/>
            <w:hideMark/>
          </w:tcPr>
          <w:p w:rsidR="00A83EDB" w:rsidRPr="00563CF9" w:rsidRDefault="00A83EDB" w:rsidP="00964E70">
            <w:pPr>
              <w:keepNext/>
              <w:autoSpaceDE w:val="0"/>
              <w:autoSpaceDN w:val="0"/>
              <w:adjustRightInd w:val="0"/>
              <w:spacing w:line="256" w:lineRule="auto"/>
              <w:jc w:val="left"/>
              <w:rPr>
                <w:rFonts w:ascii="Calibri" w:hAnsi="Calibri" w:cs="Calibri"/>
                <w:sz w:val="20"/>
                <w:lang w:val="en-GB"/>
              </w:rPr>
            </w:pPr>
            <w:r w:rsidRPr="00563CF9">
              <w:rPr>
                <w:sz w:val="20"/>
                <w:lang w:val="en-GB" w:bidi="en-GB"/>
              </w:rPr>
              <w:t>Use of beds</w:t>
            </w:r>
          </w:p>
        </w:tc>
        <w:tc>
          <w:tcPr>
            <w:tcW w:w="323"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964E70">
            <w:pPr>
              <w:keepNext/>
              <w:autoSpaceDE w:val="0"/>
              <w:autoSpaceDN w:val="0"/>
              <w:adjustRightInd w:val="0"/>
              <w:spacing w:line="256" w:lineRule="auto"/>
              <w:jc w:val="center"/>
              <w:rPr>
                <w:rFonts w:ascii="Calibri" w:hAnsi="Calibri" w:cs="Calibri"/>
                <w:sz w:val="20"/>
                <w:lang w:val="en-GB"/>
              </w:rPr>
            </w:pPr>
            <w:r w:rsidRPr="00563CF9">
              <w:rPr>
                <w:sz w:val="20"/>
                <w:lang w:val="en-GB" w:bidi="en-GB"/>
              </w:rPr>
              <w:t>BUH</w:t>
            </w:r>
          </w:p>
        </w:tc>
        <w:tc>
          <w:tcPr>
            <w:tcW w:w="546" w:type="pct"/>
            <w:vMerge w:val="restart"/>
            <w:tcBorders>
              <w:top w:val="single" w:sz="6" w:space="0" w:color="auto"/>
              <w:left w:val="single" w:sz="6" w:space="0" w:color="auto"/>
              <w:right w:val="single" w:sz="6" w:space="0" w:color="auto"/>
            </w:tcBorders>
            <w:vAlign w:val="center"/>
            <w:hideMark/>
          </w:tcPr>
          <w:p w:rsidR="00A83EDB" w:rsidRPr="00563CF9" w:rsidRDefault="00A83EDB" w:rsidP="00964E70">
            <w:pPr>
              <w:keepNext/>
              <w:autoSpaceDE w:val="0"/>
              <w:autoSpaceDN w:val="0"/>
              <w:adjustRightInd w:val="0"/>
              <w:spacing w:line="256" w:lineRule="auto"/>
              <w:jc w:val="center"/>
              <w:rPr>
                <w:rFonts w:ascii="Calibri" w:hAnsi="Calibri" w:cs="Calibri"/>
                <w:sz w:val="20"/>
                <w:lang w:val="en-GB"/>
              </w:rPr>
            </w:pPr>
            <w:r w:rsidRPr="00563CF9">
              <w:rPr>
                <w:sz w:val="20"/>
                <w:lang w:val="en-GB" w:bidi="en-GB"/>
              </w:rPr>
              <w:t>%</w:t>
            </w:r>
          </w:p>
        </w:tc>
        <w:tc>
          <w:tcPr>
            <w:tcW w:w="730"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964E70">
            <w:pPr>
              <w:keepNext/>
              <w:autoSpaceDE w:val="0"/>
              <w:autoSpaceDN w:val="0"/>
              <w:adjustRightInd w:val="0"/>
              <w:spacing w:line="256" w:lineRule="auto"/>
              <w:ind w:right="153"/>
              <w:jc w:val="right"/>
              <w:rPr>
                <w:rFonts w:ascii="Calibri" w:hAnsi="Calibri" w:cs="Calibri"/>
                <w:sz w:val="20"/>
                <w:lang w:val="en-GB"/>
              </w:rPr>
            </w:pPr>
            <w:r w:rsidRPr="00563CF9">
              <w:rPr>
                <w:sz w:val="20"/>
                <w:lang w:val="en-GB" w:bidi="en-GB"/>
              </w:rPr>
              <w:t>72.30</w:t>
            </w:r>
          </w:p>
        </w:tc>
        <w:tc>
          <w:tcPr>
            <w:tcW w:w="730"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964E70">
            <w:pPr>
              <w:keepNext/>
              <w:autoSpaceDE w:val="0"/>
              <w:autoSpaceDN w:val="0"/>
              <w:adjustRightInd w:val="0"/>
              <w:spacing w:line="256" w:lineRule="auto"/>
              <w:ind w:right="153"/>
              <w:jc w:val="right"/>
              <w:rPr>
                <w:rFonts w:ascii="Calibri" w:hAnsi="Calibri" w:cs="Calibri"/>
                <w:sz w:val="20"/>
                <w:lang w:val="en-GB"/>
              </w:rPr>
            </w:pPr>
            <w:r w:rsidRPr="00563CF9">
              <w:rPr>
                <w:sz w:val="20"/>
                <w:lang w:val="en-GB" w:bidi="en-GB"/>
              </w:rPr>
              <w:t>71.50</w:t>
            </w:r>
          </w:p>
        </w:tc>
        <w:tc>
          <w:tcPr>
            <w:tcW w:w="730"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964E70">
            <w:pPr>
              <w:keepNext/>
              <w:autoSpaceDE w:val="0"/>
              <w:autoSpaceDN w:val="0"/>
              <w:adjustRightInd w:val="0"/>
              <w:spacing w:line="256" w:lineRule="auto"/>
              <w:ind w:right="153"/>
              <w:jc w:val="right"/>
              <w:rPr>
                <w:rFonts w:ascii="Calibri" w:hAnsi="Calibri" w:cs="Calibri"/>
                <w:sz w:val="20"/>
                <w:lang w:val="en-GB"/>
              </w:rPr>
            </w:pPr>
            <w:r w:rsidRPr="00563CF9">
              <w:rPr>
                <w:sz w:val="20"/>
                <w:lang w:val="en-GB" w:bidi="en-GB"/>
              </w:rPr>
              <w:t>71.70</w:t>
            </w:r>
          </w:p>
        </w:tc>
      </w:tr>
      <w:tr w:rsidR="00A21943" w:rsidRPr="00563CF9" w:rsidTr="004C3B13">
        <w:trPr>
          <w:trHeight w:val="227"/>
        </w:trPr>
        <w:tc>
          <w:tcPr>
            <w:tcW w:w="1941" w:type="pct"/>
            <w:vMerge/>
            <w:tcBorders>
              <w:left w:val="single" w:sz="6" w:space="0" w:color="auto"/>
              <w:right w:val="single" w:sz="6" w:space="0" w:color="auto"/>
            </w:tcBorders>
          </w:tcPr>
          <w:p w:rsidR="00A83EDB" w:rsidRPr="00563CF9" w:rsidRDefault="00A83EDB" w:rsidP="00964E70">
            <w:pPr>
              <w:keepNext/>
              <w:autoSpaceDE w:val="0"/>
              <w:autoSpaceDN w:val="0"/>
              <w:adjustRightInd w:val="0"/>
              <w:spacing w:line="256" w:lineRule="auto"/>
              <w:rPr>
                <w:rFonts w:ascii="Calibri" w:hAnsi="Calibri" w:cs="Calibri"/>
                <w:sz w:val="20"/>
                <w:lang w:val="en-GB"/>
              </w:rPr>
            </w:pPr>
          </w:p>
        </w:tc>
        <w:tc>
          <w:tcPr>
            <w:tcW w:w="323"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964E70">
            <w:pPr>
              <w:keepNext/>
              <w:autoSpaceDE w:val="0"/>
              <w:autoSpaceDN w:val="0"/>
              <w:adjustRightInd w:val="0"/>
              <w:spacing w:line="256" w:lineRule="auto"/>
              <w:jc w:val="center"/>
              <w:rPr>
                <w:rFonts w:ascii="Calibri" w:hAnsi="Calibri" w:cs="Calibri"/>
                <w:sz w:val="20"/>
                <w:lang w:val="en-GB"/>
              </w:rPr>
            </w:pPr>
            <w:r w:rsidRPr="00563CF9">
              <w:rPr>
                <w:sz w:val="20"/>
                <w:lang w:val="en-GB" w:bidi="en-GB"/>
              </w:rPr>
              <w:t>MUH</w:t>
            </w:r>
          </w:p>
        </w:tc>
        <w:tc>
          <w:tcPr>
            <w:tcW w:w="546" w:type="pct"/>
            <w:vMerge/>
            <w:tcBorders>
              <w:left w:val="single" w:sz="6" w:space="0" w:color="auto"/>
              <w:right w:val="single" w:sz="6" w:space="0" w:color="auto"/>
            </w:tcBorders>
            <w:vAlign w:val="center"/>
          </w:tcPr>
          <w:p w:rsidR="00A83EDB" w:rsidRPr="00563CF9" w:rsidRDefault="00A83EDB" w:rsidP="00964E70">
            <w:pPr>
              <w:keepNext/>
              <w:autoSpaceDE w:val="0"/>
              <w:autoSpaceDN w:val="0"/>
              <w:adjustRightInd w:val="0"/>
              <w:spacing w:line="256" w:lineRule="auto"/>
              <w:jc w:val="center"/>
              <w:rPr>
                <w:rFonts w:ascii="Calibri" w:hAnsi="Calibri" w:cs="Calibri"/>
                <w:sz w:val="20"/>
                <w:lang w:val="en-GB"/>
              </w:rPr>
            </w:pPr>
          </w:p>
        </w:tc>
        <w:tc>
          <w:tcPr>
            <w:tcW w:w="730"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964E70">
            <w:pPr>
              <w:keepNext/>
              <w:autoSpaceDE w:val="0"/>
              <w:autoSpaceDN w:val="0"/>
              <w:adjustRightInd w:val="0"/>
              <w:spacing w:line="256" w:lineRule="auto"/>
              <w:ind w:right="153"/>
              <w:jc w:val="right"/>
              <w:rPr>
                <w:rFonts w:ascii="Calibri" w:hAnsi="Calibri" w:cs="Calibri"/>
                <w:sz w:val="20"/>
                <w:lang w:val="en-GB"/>
              </w:rPr>
            </w:pPr>
            <w:r w:rsidRPr="00563CF9">
              <w:rPr>
                <w:sz w:val="20"/>
                <w:lang w:val="en-GB" w:bidi="en-GB"/>
              </w:rPr>
              <w:t>81.00</w:t>
            </w:r>
          </w:p>
        </w:tc>
        <w:tc>
          <w:tcPr>
            <w:tcW w:w="730"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964E70">
            <w:pPr>
              <w:keepNext/>
              <w:autoSpaceDE w:val="0"/>
              <w:autoSpaceDN w:val="0"/>
              <w:adjustRightInd w:val="0"/>
              <w:spacing w:line="256" w:lineRule="auto"/>
              <w:ind w:right="153"/>
              <w:jc w:val="right"/>
              <w:rPr>
                <w:rFonts w:ascii="Calibri" w:hAnsi="Calibri" w:cs="Calibri"/>
                <w:sz w:val="20"/>
                <w:lang w:val="en-GB"/>
              </w:rPr>
            </w:pPr>
            <w:r w:rsidRPr="00563CF9">
              <w:rPr>
                <w:sz w:val="20"/>
                <w:lang w:val="en-GB" w:bidi="en-GB"/>
              </w:rPr>
              <w:t>83.00</w:t>
            </w:r>
          </w:p>
        </w:tc>
        <w:tc>
          <w:tcPr>
            <w:tcW w:w="730"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964E70">
            <w:pPr>
              <w:keepNext/>
              <w:autoSpaceDE w:val="0"/>
              <w:autoSpaceDN w:val="0"/>
              <w:adjustRightInd w:val="0"/>
              <w:spacing w:line="256" w:lineRule="auto"/>
              <w:ind w:right="153"/>
              <w:jc w:val="right"/>
              <w:rPr>
                <w:rFonts w:ascii="Calibri" w:hAnsi="Calibri" w:cs="Calibri"/>
                <w:sz w:val="20"/>
                <w:lang w:val="en-GB"/>
              </w:rPr>
            </w:pPr>
            <w:r w:rsidRPr="00563CF9">
              <w:rPr>
                <w:sz w:val="20"/>
                <w:lang w:val="en-GB" w:bidi="en-GB"/>
              </w:rPr>
              <w:t>84.00</w:t>
            </w:r>
          </w:p>
        </w:tc>
      </w:tr>
      <w:tr w:rsidR="00A21943" w:rsidRPr="00563CF9" w:rsidTr="004C3B13">
        <w:trPr>
          <w:trHeight w:val="227"/>
        </w:trPr>
        <w:tc>
          <w:tcPr>
            <w:tcW w:w="1941" w:type="pct"/>
            <w:vMerge/>
            <w:tcBorders>
              <w:left w:val="single" w:sz="6" w:space="0" w:color="auto"/>
              <w:bottom w:val="single" w:sz="6" w:space="0" w:color="auto"/>
              <w:right w:val="single" w:sz="6" w:space="0" w:color="auto"/>
            </w:tcBorders>
          </w:tcPr>
          <w:p w:rsidR="00A83EDB" w:rsidRPr="00563CF9" w:rsidRDefault="00A83EDB" w:rsidP="00964E70">
            <w:pPr>
              <w:keepNext/>
              <w:autoSpaceDE w:val="0"/>
              <w:autoSpaceDN w:val="0"/>
              <w:adjustRightInd w:val="0"/>
              <w:spacing w:line="256" w:lineRule="auto"/>
              <w:rPr>
                <w:rFonts w:ascii="Calibri" w:hAnsi="Calibri" w:cs="Calibri"/>
                <w:sz w:val="20"/>
                <w:lang w:val="en-GB"/>
              </w:rPr>
            </w:pPr>
          </w:p>
        </w:tc>
        <w:tc>
          <w:tcPr>
            <w:tcW w:w="323"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964E70">
            <w:pPr>
              <w:keepNext/>
              <w:autoSpaceDE w:val="0"/>
              <w:autoSpaceDN w:val="0"/>
              <w:adjustRightInd w:val="0"/>
              <w:spacing w:line="256" w:lineRule="auto"/>
              <w:jc w:val="center"/>
              <w:rPr>
                <w:rFonts w:ascii="Calibri" w:hAnsi="Calibri" w:cs="Calibri"/>
                <w:sz w:val="20"/>
                <w:lang w:val="en-GB"/>
              </w:rPr>
            </w:pPr>
            <w:r w:rsidRPr="00563CF9">
              <w:rPr>
                <w:sz w:val="20"/>
                <w:lang w:val="en-GB" w:bidi="en-GB"/>
              </w:rPr>
              <w:t>CMH</w:t>
            </w:r>
          </w:p>
        </w:tc>
        <w:tc>
          <w:tcPr>
            <w:tcW w:w="546" w:type="pct"/>
            <w:vMerge/>
            <w:tcBorders>
              <w:left w:val="single" w:sz="6" w:space="0" w:color="auto"/>
              <w:bottom w:val="single" w:sz="6" w:space="0" w:color="auto"/>
              <w:right w:val="single" w:sz="6" w:space="0" w:color="auto"/>
            </w:tcBorders>
            <w:vAlign w:val="center"/>
          </w:tcPr>
          <w:p w:rsidR="00A83EDB" w:rsidRPr="00563CF9" w:rsidRDefault="00A83EDB" w:rsidP="00964E70">
            <w:pPr>
              <w:keepNext/>
              <w:autoSpaceDE w:val="0"/>
              <w:autoSpaceDN w:val="0"/>
              <w:adjustRightInd w:val="0"/>
              <w:spacing w:line="256" w:lineRule="auto"/>
              <w:jc w:val="center"/>
              <w:rPr>
                <w:rFonts w:ascii="Calibri" w:hAnsi="Calibri" w:cs="Calibri"/>
                <w:sz w:val="20"/>
                <w:lang w:val="en-GB"/>
              </w:rPr>
            </w:pPr>
          </w:p>
        </w:tc>
        <w:tc>
          <w:tcPr>
            <w:tcW w:w="730"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964E70">
            <w:pPr>
              <w:keepNext/>
              <w:autoSpaceDE w:val="0"/>
              <w:autoSpaceDN w:val="0"/>
              <w:adjustRightInd w:val="0"/>
              <w:spacing w:line="256" w:lineRule="auto"/>
              <w:ind w:right="153"/>
              <w:jc w:val="right"/>
              <w:rPr>
                <w:rFonts w:ascii="Calibri" w:hAnsi="Calibri" w:cs="Calibri"/>
                <w:sz w:val="20"/>
                <w:lang w:val="en-GB"/>
              </w:rPr>
            </w:pPr>
            <w:r w:rsidRPr="00563CF9">
              <w:rPr>
                <w:sz w:val="20"/>
                <w:lang w:val="en-GB" w:bidi="en-GB"/>
              </w:rPr>
              <w:t>71.89</w:t>
            </w:r>
          </w:p>
        </w:tc>
        <w:tc>
          <w:tcPr>
            <w:tcW w:w="730"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964E70">
            <w:pPr>
              <w:keepNext/>
              <w:autoSpaceDE w:val="0"/>
              <w:autoSpaceDN w:val="0"/>
              <w:adjustRightInd w:val="0"/>
              <w:spacing w:line="256" w:lineRule="auto"/>
              <w:ind w:right="153"/>
              <w:jc w:val="right"/>
              <w:rPr>
                <w:rFonts w:ascii="Calibri" w:hAnsi="Calibri" w:cs="Calibri"/>
                <w:sz w:val="20"/>
                <w:lang w:val="en-GB"/>
              </w:rPr>
            </w:pPr>
            <w:r w:rsidRPr="00563CF9">
              <w:rPr>
                <w:sz w:val="20"/>
                <w:lang w:val="en-GB" w:bidi="en-GB"/>
              </w:rPr>
              <w:t>67.79</w:t>
            </w:r>
          </w:p>
        </w:tc>
        <w:tc>
          <w:tcPr>
            <w:tcW w:w="730" w:type="pct"/>
            <w:tcBorders>
              <w:top w:val="single" w:sz="6" w:space="0" w:color="auto"/>
              <w:left w:val="single" w:sz="6" w:space="0" w:color="auto"/>
              <w:bottom w:val="single" w:sz="6" w:space="0" w:color="auto"/>
              <w:right w:val="single" w:sz="6" w:space="0" w:color="auto"/>
            </w:tcBorders>
            <w:vAlign w:val="center"/>
            <w:hideMark/>
          </w:tcPr>
          <w:p w:rsidR="00A83EDB" w:rsidRPr="00563CF9" w:rsidRDefault="00A83EDB" w:rsidP="00964E70">
            <w:pPr>
              <w:keepNext/>
              <w:autoSpaceDE w:val="0"/>
              <w:autoSpaceDN w:val="0"/>
              <w:adjustRightInd w:val="0"/>
              <w:spacing w:line="256" w:lineRule="auto"/>
              <w:ind w:right="153"/>
              <w:jc w:val="right"/>
              <w:rPr>
                <w:rFonts w:ascii="Calibri" w:hAnsi="Calibri" w:cs="Calibri"/>
                <w:sz w:val="20"/>
                <w:lang w:val="en-GB"/>
              </w:rPr>
            </w:pPr>
            <w:r w:rsidRPr="00563CF9">
              <w:rPr>
                <w:sz w:val="20"/>
                <w:lang w:val="en-GB" w:bidi="en-GB"/>
              </w:rPr>
              <w:t>66.21</w:t>
            </w:r>
          </w:p>
        </w:tc>
      </w:tr>
    </w:tbl>
    <w:p w:rsidR="00A83EDB" w:rsidRPr="00563CF9" w:rsidRDefault="00A83EDB" w:rsidP="0077471E">
      <w:pPr>
        <w:pStyle w:val="Zdroj"/>
        <w:spacing w:before="40"/>
        <w:ind w:left="0"/>
        <w:rPr>
          <w:i w:val="0"/>
          <w:lang w:val="en-GB" w:eastAsia="en-US"/>
        </w:rPr>
      </w:pPr>
      <w:r w:rsidRPr="00563CF9">
        <w:rPr>
          <w:b/>
          <w:i w:val="0"/>
          <w:lang w:val="en-GB" w:bidi="en-GB"/>
        </w:rPr>
        <w:t xml:space="preserve">Source: </w:t>
      </w:r>
      <w:r w:rsidR="00964E70" w:rsidRPr="00563CF9">
        <w:rPr>
          <w:i w:val="0"/>
          <w:lang w:val="en-GB" w:bidi="en-GB"/>
        </w:rPr>
        <w:t>statistical reports of the individual university hospitals for the years 2014, 2015 and 2016 and communications by the university hospitals at the request of the SAO.</w:t>
      </w:r>
    </w:p>
    <w:p w:rsidR="00A83EDB" w:rsidRPr="00563CF9" w:rsidRDefault="00A83EDB" w:rsidP="0077471E">
      <w:pPr>
        <w:spacing w:before="120"/>
        <w:rPr>
          <w:noProof/>
          <w:lang w:val="en-GB"/>
        </w:rPr>
      </w:pPr>
      <w:r w:rsidRPr="00563CF9">
        <w:rPr>
          <w:noProof/>
          <w:lang w:val="en-GB" w:bidi="en-GB"/>
        </w:rPr>
        <w:t>The selected capacity and performance indicators show:</w:t>
      </w:r>
    </w:p>
    <w:p w:rsidR="00A83EDB" w:rsidRPr="00563CF9" w:rsidRDefault="00A83EDB" w:rsidP="0077471E">
      <w:pPr>
        <w:pStyle w:val="Odstavecseseznamem"/>
        <w:numPr>
          <w:ilvl w:val="0"/>
          <w:numId w:val="31"/>
        </w:numPr>
        <w:ind w:left="284" w:hanging="284"/>
        <w:rPr>
          <w:noProof/>
          <w:lang w:val="en-GB"/>
        </w:rPr>
      </w:pPr>
      <w:r w:rsidRPr="00563CF9">
        <w:rPr>
          <w:noProof/>
          <w:lang w:val="en-GB" w:bidi="en-GB"/>
        </w:rPr>
        <w:t>The average recalculated number of doctors at the university hospitals did not decrease in the period between 2014 and 2016.</w:t>
      </w:r>
    </w:p>
    <w:p w:rsidR="00A83EDB" w:rsidRPr="00563CF9" w:rsidRDefault="00A83EDB" w:rsidP="0077471E">
      <w:pPr>
        <w:pStyle w:val="Odstavecseseznamem"/>
        <w:numPr>
          <w:ilvl w:val="0"/>
          <w:numId w:val="31"/>
        </w:numPr>
        <w:ind w:left="284" w:hanging="284"/>
        <w:rPr>
          <w:noProof/>
          <w:lang w:val="en-GB"/>
        </w:rPr>
      </w:pPr>
      <w:r w:rsidRPr="00563CF9">
        <w:rPr>
          <w:noProof/>
          <w:lang w:val="en-GB" w:bidi="en-GB"/>
        </w:rPr>
        <w:t>The MUH had the highest costs per one hospitalised patient and also the highest number of patients hospitalised in all the years under review, which corresponds to the highest number of beds.</w:t>
      </w:r>
    </w:p>
    <w:p w:rsidR="00A83EDB" w:rsidRPr="00563CF9" w:rsidRDefault="00A83EDB" w:rsidP="0077471E">
      <w:pPr>
        <w:pStyle w:val="Odstavecseseznamem"/>
        <w:numPr>
          <w:ilvl w:val="0"/>
          <w:numId w:val="31"/>
        </w:numPr>
        <w:ind w:left="284" w:hanging="284"/>
        <w:rPr>
          <w:noProof/>
          <w:lang w:val="en-GB"/>
        </w:rPr>
      </w:pPr>
      <w:r w:rsidRPr="00563CF9">
        <w:rPr>
          <w:noProof/>
          <w:lang w:val="en-GB" w:bidi="en-GB"/>
        </w:rPr>
        <w:t>The use of bed capacity at the MUH was the highest, over 80 %, and increased every year. The lowest use of beds was at the CMH.</w:t>
      </w:r>
    </w:p>
    <w:p w:rsidR="00A83EDB" w:rsidRPr="00563CF9" w:rsidRDefault="00A83EDB" w:rsidP="004C3B13">
      <w:pPr>
        <w:spacing w:before="240" w:after="120"/>
        <w:rPr>
          <w:rFonts w:cstheme="minorHAnsi"/>
          <w:b/>
          <w:noProof/>
          <w:color w:val="000000" w:themeColor="text1"/>
          <w:szCs w:val="26"/>
          <w:lang w:val="en-GB"/>
        </w:rPr>
      </w:pPr>
      <w:r w:rsidRPr="00563CF9">
        <w:rPr>
          <w:b/>
          <w:noProof/>
          <w:lang w:val="en-GB" w:bidi="en-GB"/>
        </w:rPr>
        <w:t>Profit/loss of university hospitals</w:t>
      </w:r>
    </w:p>
    <w:p w:rsidR="00A83EDB" w:rsidRPr="00563CF9" w:rsidRDefault="00A83EDB" w:rsidP="00A83EDB">
      <w:pPr>
        <w:shd w:val="clear" w:color="auto" w:fill="FFFFFF"/>
        <w:spacing w:before="158"/>
        <w:rPr>
          <w:rFonts w:cstheme="minorHAnsi"/>
          <w:lang w:val="en-GB"/>
        </w:rPr>
      </w:pPr>
      <w:r w:rsidRPr="00563CF9">
        <w:rPr>
          <w:lang w:val="en-GB" w:bidi="en-GB"/>
        </w:rPr>
        <w:t>The economic result consists of the result of the main activity and other (economic) activities after taxation.</w:t>
      </w:r>
    </w:p>
    <w:p w:rsidR="00A83EDB" w:rsidRPr="00563CF9" w:rsidRDefault="00A83EDB" w:rsidP="00A21943">
      <w:pPr>
        <w:keepNext/>
        <w:shd w:val="clear" w:color="auto" w:fill="FFFFFF"/>
        <w:tabs>
          <w:tab w:val="right" w:pos="9072"/>
        </w:tabs>
        <w:spacing w:before="120" w:after="40"/>
        <w:rPr>
          <w:rFonts w:cstheme="minorHAnsi"/>
          <w:b/>
          <w:lang w:val="en-GB"/>
        </w:rPr>
      </w:pPr>
      <w:r w:rsidRPr="00563CF9">
        <w:rPr>
          <w:b/>
          <w:lang w:val="en-GB" w:bidi="en-GB"/>
        </w:rPr>
        <w:t>Table 3: Profit/loss of university hospitals</w:t>
      </w:r>
      <w:r w:rsidRPr="00563CF9">
        <w:rPr>
          <w:b/>
          <w:lang w:val="en-GB" w:bidi="en-GB"/>
        </w:rPr>
        <w:tab/>
        <w:t>(in CZK)</w:t>
      </w:r>
    </w:p>
    <w:tbl>
      <w:tblPr>
        <w:tblW w:w="5000" w:type="pct"/>
        <w:tblCellMar>
          <w:left w:w="30" w:type="dxa"/>
          <w:right w:w="30" w:type="dxa"/>
        </w:tblCellMar>
        <w:tblLook w:val="0000" w:firstRow="0" w:lastRow="0" w:firstColumn="0" w:lastColumn="0" w:noHBand="0" w:noVBand="0"/>
      </w:tblPr>
      <w:tblGrid>
        <w:gridCol w:w="1657"/>
        <w:gridCol w:w="2875"/>
        <w:gridCol w:w="1534"/>
        <w:gridCol w:w="1534"/>
        <w:gridCol w:w="1532"/>
      </w:tblGrid>
      <w:tr w:rsidR="00A83EDB" w:rsidRPr="00563CF9" w:rsidTr="00784431">
        <w:trPr>
          <w:trHeight w:val="283"/>
        </w:trPr>
        <w:tc>
          <w:tcPr>
            <w:tcW w:w="907" w:type="pct"/>
            <w:tcBorders>
              <w:top w:val="single" w:sz="6" w:space="0" w:color="auto"/>
              <w:left w:val="single" w:sz="6" w:space="0" w:color="auto"/>
              <w:bottom w:val="single" w:sz="6" w:space="0" w:color="auto"/>
              <w:right w:val="single" w:sz="6" w:space="0" w:color="auto"/>
            </w:tcBorders>
            <w:shd w:val="clear" w:color="auto" w:fill="E5F1FF"/>
            <w:vAlign w:val="center"/>
          </w:tcPr>
          <w:p w:rsidR="00A83EDB" w:rsidRPr="00563CF9" w:rsidRDefault="00A83EDB" w:rsidP="00A21943">
            <w:pPr>
              <w:keepNext/>
              <w:autoSpaceDE w:val="0"/>
              <w:autoSpaceDN w:val="0"/>
              <w:adjustRightInd w:val="0"/>
              <w:jc w:val="center"/>
              <w:rPr>
                <w:rFonts w:ascii="Calibri" w:hAnsi="Calibri" w:cs="Calibri"/>
                <w:b/>
                <w:bCs/>
                <w:color w:val="000000"/>
                <w:sz w:val="20"/>
                <w:lang w:val="en-GB"/>
              </w:rPr>
            </w:pPr>
            <w:r w:rsidRPr="00563CF9">
              <w:rPr>
                <w:b/>
                <w:sz w:val="20"/>
                <w:lang w:val="en-GB" w:bidi="en-GB"/>
              </w:rPr>
              <w:t>University hospital</w:t>
            </w:r>
          </w:p>
        </w:tc>
        <w:tc>
          <w:tcPr>
            <w:tcW w:w="1574" w:type="pct"/>
            <w:tcBorders>
              <w:top w:val="single" w:sz="6" w:space="0" w:color="auto"/>
              <w:left w:val="single" w:sz="6" w:space="0" w:color="auto"/>
              <w:bottom w:val="single" w:sz="6" w:space="0" w:color="auto"/>
              <w:right w:val="single" w:sz="6" w:space="0" w:color="auto"/>
            </w:tcBorders>
            <w:shd w:val="clear" w:color="auto" w:fill="E5F1FF"/>
            <w:vAlign w:val="center"/>
          </w:tcPr>
          <w:p w:rsidR="00A83EDB" w:rsidRPr="00563CF9" w:rsidRDefault="00A83EDB" w:rsidP="00A21943">
            <w:pPr>
              <w:keepNext/>
              <w:autoSpaceDE w:val="0"/>
              <w:autoSpaceDN w:val="0"/>
              <w:adjustRightInd w:val="0"/>
              <w:jc w:val="center"/>
              <w:rPr>
                <w:rFonts w:ascii="Calibri" w:hAnsi="Calibri" w:cs="Calibri"/>
                <w:b/>
                <w:bCs/>
                <w:color w:val="000000"/>
                <w:sz w:val="20"/>
                <w:lang w:val="en-GB"/>
              </w:rPr>
            </w:pPr>
          </w:p>
        </w:tc>
        <w:tc>
          <w:tcPr>
            <w:tcW w:w="840" w:type="pct"/>
            <w:tcBorders>
              <w:top w:val="single" w:sz="6" w:space="0" w:color="auto"/>
              <w:left w:val="single" w:sz="6" w:space="0" w:color="auto"/>
              <w:bottom w:val="single" w:sz="6" w:space="0" w:color="auto"/>
              <w:right w:val="single" w:sz="6" w:space="0" w:color="auto"/>
            </w:tcBorders>
            <w:shd w:val="clear" w:color="auto" w:fill="E5F1FF"/>
            <w:vAlign w:val="center"/>
          </w:tcPr>
          <w:p w:rsidR="00A83EDB" w:rsidRPr="00563CF9" w:rsidRDefault="00A83EDB" w:rsidP="00A21943">
            <w:pPr>
              <w:keepNext/>
              <w:autoSpaceDE w:val="0"/>
              <w:autoSpaceDN w:val="0"/>
              <w:adjustRightInd w:val="0"/>
              <w:jc w:val="center"/>
              <w:rPr>
                <w:rFonts w:ascii="Calibri" w:hAnsi="Calibri" w:cs="Calibri"/>
                <w:b/>
                <w:bCs/>
                <w:color w:val="000000"/>
                <w:sz w:val="20"/>
                <w:lang w:val="en-GB"/>
              </w:rPr>
            </w:pPr>
            <w:r w:rsidRPr="00563CF9">
              <w:rPr>
                <w:b/>
                <w:sz w:val="20"/>
                <w:lang w:val="en-GB" w:bidi="en-GB"/>
              </w:rPr>
              <w:t>2014</w:t>
            </w:r>
          </w:p>
        </w:tc>
        <w:tc>
          <w:tcPr>
            <w:tcW w:w="840" w:type="pct"/>
            <w:tcBorders>
              <w:top w:val="single" w:sz="6" w:space="0" w:color="auto"/>
              <w:left w:val="single" w:sz="6" w:space="0" w:color="auto"/>
              <w:bottom w:val="single" w:sz="6" w:space="0" w:color="auto"/>
              <w:right w:val="single" w:sz="6" w:space="0" w:color="auto"/>
            </w:tcBorders>
            <w:shd w:val="clear" w:color="auto" w:fill="E5F1FF"/>
            <w:vAlign w:val="center"/>
          </w:tcPr>
          <w:p w:rsidR="00A83EDB" w:rsidRPr="00563CF9" w:rsidRDefault="00A83EDB" w:rsidP="00A21943">
            <w:pPr>
              <w:keepNext/>
              <w:autoSpaceDE w:val="0"/>
              <w:autoSpaceDN w:val="0"/>
              <w:adjustRightInd w:val="0"/>
              <w:jc w:val="center"/>
              <w:rPr>
                <w:rFonts w:ascii="Calibri" w:hAnsi="Calibri" w:cs="Calibri"/>
                <w:b/>
                <w:bCs/>
                <w:color w:val="000000"/>
                <w:sz w:val="20"/>
                <w:lang w:val="en-GB"/>
              </w:rPr>
            </w:pPr>
            <w:r w:rsidRPr="00563CF9">
              <w:rPr>
                <w:b/>
                <w:sz w:val="20"/>
                <w:lang w:val="en-GB" w:bidi="en-GB"/>
              </w:rPr>
              <w:t>2015</w:t>
            </w:r>
          </w:p>
        </w:tc>
        <w:tc>
          <w:tcPr>
            <w:tcW w:w="839" w:type="pct"/>
            <w:tcBorders>
              <w:top w:val="single" w:sz="6" w:space="0" w:color="auto"/>
              <w:left w:val="single" w:sz="6" w:space="0" w:color="auto"/>
              <w:bottom w:val="single" w:sz="6" w:space="0" w:color="auto"/>
              <w:right w:val="single" w:sz="6" w:space="0" w:color="auto"/>
            </w:tcBorders>
            <w:shd w:val="clear" w:color="auto" w:fill="E5F1FF"/>
            <w:vAlign w:val="center"/>
          </w:tcPr>
          <w:p w:rsidR="00A83EDB" w:rsidRPr="00563CF9" w:rsidRDefault="00A83EDB" w:rsidP="00A21943">
            <w:pPr>
              <w:keepNext/>
              <w:autoSpaceDE w:val="0"/>
              <w:autoSpaceDN w:val="0"/>
              <w:adjustRightInd w:val="0"/>
              <w:jc w:val="center"/>
              <w:rPr>
                <w:rFonts w:ascii="Calibri" w:hAnsi="Calibri" w:cs="Calibri"/>
                <w:b/>
                <w:bCs/>
                <w:color w:val="000000"/>
                <w:sz w:val="20"/>
                <w:lang w:val="en-GB"/>
              </w:rPr>
            </w:pPr>
            <w:r w:rsidRPr="00563CF9">
              <w:rPr>
                <w:b/>
                <w:sz w:val="20"/>
                <w:lang w:val="en-GB" w:bidi="en-GB"/>
              </w:rPr>
              <w:t>2016</w:t>
            </w:r>
          </w:p>
        </w:tc>
      </w:tr>
      <w:tr w:rsidR="00784431" w:rsidRPr="00563CF9" w:rsidTr="00784431">
        <w:trPr>
          <w:trHeight w:val="283"/>
        </w:trPr>
        <w:tc>
          <w:tcPr>
            <w:tcW w:w="907" w:type="pct"/>
            <w:vMerge w:val="restart"/>
            <w:tcBorders>
              <w:top w:val="single" w:sz="6" w:space="0" w:color="auto"/>
              <w:left w:val="single" w:sz="6" w:space="0" w:color="auto"/>
              <w:right w:val="single" w:sz="6" w:space="0" w:color="auto"/>
            </w:tcBorders>
            <w:shd w:val="clear" w:color="auto" w:fill="auto"/>
            <w:vAlign w:val="center"/>
          </w:tcPr>
          <w:p w:rsidR="00784431" w:rsidRPr="00563CF9" w:rsidRDefault="00784431" w:rsidP="00A21943">
            <w:pPr>
              <w:keepNext/>
              <w:autoSpaceDE w:val="0"/>
              <w:autoSpaceDN w:val="0"/>
              <w:adjustRightInd w:val="0"/>
              <w:jc w:val="left"/>
              <w:rPr>
                <w:rFonts w:ascii="Calibri" w:hAnsi="Calibri" w:cs="Calibri"/>
                <w:b/>
                <w:bCs/>
                <w:color w:val="000000"/>
                <w:sz w:val="20"/>
                <w:lang w:val="en-GB"/>
              </w:rPr>
            </w:pPr>
            <w:r w:rsidRPr="00563CF9">
              <w:rPr>
                <w:b/>
                <w:sz w:val="20"/>
                <w:lang w:val="en-GB" w:bidi="en-GB"/>
              </w:rPr>
              <w:t>BUH</w:t>
            </w:r>
          </w:p>
        </w:tc>
        <w:tc>
          <w:tcPr>
            <w:tcW w:w="1574" w:type="pct"/>
            <w:tcBorders>
              <w:top w:val="single" w:sz="6" w:space="0" w:color="auto"/>
              <w:left w:val="single" w:sz="6" w:space="0" w:color="auto"/>
              <w:bottom w:val="single" w:sz="6" w:space="0" w:color="auto"/>
              <w:right w:val="single" w:sz="6" w:space="0" w:color="auto"/>
            </w:tcBorders>
            <w:shd w:val="clear" w:color="auto" w:fill="auto"/>
            <w:vAlign w:val="center"/>
          </w:tcPr>
          <w:p w:rsidR="00784431" w:rsidRPr="00563CF9" w:rsidRDefault="00784431" w:rsidP="00A21943">
            <w:pPr>
              <w:keepNext/>
              <w:autoSpaceDE w:val="0"/>
              <w:autoSpaceDN w:val="0"/>
              <w:adjustRightInd w:val="0"/>
              <w:jc w:val="left"/>
              <w:rPr>
                <w:rFonts w:ascii="Calibri" w:hAnsi="Calibri" w:cs="Calibri"/>
                <w:b/>
                <w:bCs/>
                <w:color w:val="000000"/>
                <w:sz w:val="20"/>
                <w:lang w:val="en-GB"/>
              </w:rPr>
            </w:pPr>
            <w:r w:rsidRPr="00563CF9">
              <w:rPr>
                <w:b/>
                <w:sz w:val="20"/>
                <w:lang w:val="en-GB" w:bidi="en-GB"/>
              </w:rPr>
              <w:t>Profit</w:t>
            </w:r>
          </w:p>
        </w:tc>
        <w:tc>
          <w:tcPr>
            <w:tcW w:w="840" w:type="pct"/>
            <w:tcBorders>
              <w:top w:val="single" w:sz="6" w:space="0" w:color="auto"/>
              <w:left w:val="single" w:sz="6" w:space="0" w:color="auto"/>
              <w:bottom w:val="single" w:sz="6" w:space="0" w:color="auto"/>
              <w:right w:val="single" w:sz="6" w:space="0" w:color="auto"/>
            </w:tcBorders>
            <w:shd w:val="clear" w:color="auto" w:fill="auto"/>
            <w:vAlign w:val="center"/>
          </w:tcPr>
          <w:p w:rsidR="00784431" w:rsidRPr="00563CF9" w:rsidRDefault="00784431" w:rsidP="00A21943">
            <w:pPr>
              <w:keepNext/>
              <w:autoSpaceDE w:val="0"/>
              <w:autoSpaceDN w:val="0"/>
              <w:adjustRightInd w:val="0"/>
              <w:ind w:right="46"/>
              <w:jc w:val="right"/>
              <w:rPr>
                <w:rFonts w:ascii="Calibri" w:hAnsi="Calibri" w:cs="Calibri"/>
                <w:b/>
                <w:bCs/>
                <w:color w:val="000000"/>
                <w:sz w:val="20"/>
                <w:lang w:val="en-GB"/>
              </w:rPr>
            </w:pPr>
            <w:r w:rsidRPr="00563CF9">
              <w:rPr>
                <w:b/>
                <w:sz w:val="20"/>
                <w:lang w:val="en-GB" w:bidi="en-GB"/>
              </w:rPr>
              <w:t>543,475.58</w:t>
            </w:r>
          </w:p>
        </w:tc>
        <w:tc>
          <w:tcPr>
            <w:tcW w:w="840" w:type="pct"/>
            <w:tcBorders>
              <w:top w:val="single" w:sz="6" w:space="0" w:color="auto"/>
              <w:left w:val="single" w:sz="6" w:space="0" w:color="auto"/>
              <w:bottom w:val="single" w:sz="6" w:space="0" w:color="auto"/>
              <w:right w:val="single" w:sz="6" w:space="0" w:color="auto"/>
            </w:tcBorders>
            <w:shd w:val="clear" w:color="auto" w:fill="auto"/>
            <w:vAlign w:val="center"/>
          </w:tcPr>
          <w:p w:rsidR="00784431" w:rsidRPr="00563CF9" w:rsidRDefault="00784431" w:rsidP="00A21943">
            <w:pPr>
              <w:keepNext/>
              <w:autoSpaceDE w:val="0"/>
              <w:autoSpaceDN w:val="0"/>
              <w:adjustRightInd w:val="0"/>
              <w:ind w:right="46"/>
              <w:jc w:val="right"/>
              <w:rPr>
                <w:rFonts w:ascii="Calibri" w:hAnsi="Calibri" w:cs="Calibri"/>
                <w:b/>
                <w:bCs/>
                <w:color w:val="000000"/>
                <w:sz w:val="20"/>
                <w:lang w:val="en-GB"/>
              </w:rPr>
            </w:pPr>
            <w:r w:rsidRPr="00563CF9">
              <w:rPr>
                <w:b/>
                <w:sz w:val="20"/>
                <w:lang w:val="en-GB" w:bidi="en-GB"/>
              </w:rPr>
              <w:t>7,951,433.13</w:t>
            </w:r>
          </w:p>
        </w:tc>
        <w:tc>
          <w:tcPr>
            <w:tcW w:w="839" w:type="pct"/>
            <w:tcBorders>
              <w:top w:val="single" w:sz="6" w:space="0" w:color="auto"/>
              <w:left w:val="single" w:sz="6" w:space="0" w:color="auto"/>
              <w:bottom w:val="single" w:sz="6" w:space="0" w:color="auto"/>
              <w:right w:val="single" w:sz="6" w:space="0" w:color="auto"/>
            </w:tcBorders>
            <w:shd w:val="clear" w:color="auto" w:fill="auto"/>
            <w:vAlign w:val="center"/>
          </w:tcPr>
          <w:p w:rsidR="00784431" w:rsidRPr="00563CF9" w:rsidRDefault="00784431" w:rsidP="00A21943">
            <w:pPr>
              <w:keepNext/>
              <w:autoSpaceDE w:val="0"/>
              <w:autoSpaceDN w:val="0"/>
              <w:adjustRightInd w:val="0"/>
              <w:ind w:right="46"/>
              <w:jc w:val="right"/>
              <w:rPr>
                <w:rFonts w:ascii="Calibri" w:hAnsi="Calibri" w:cs="Calibri"/>
                <w:b/>
                <w:bCs/>
                <w:color w:val="000000"/>
                <w:sz w:val="20"/>
                <w:lang w:val="en-GB"/>
              </w:rPr>
            </w:pPr>
            <w:r w:rsidRPr="00563CF9">
              <w:rPr>
                <w:b/>
                <w:sz w:val="20"/>
                <w:lang w:val="en-GB" w:bidi="en-GB"/>
              </w:rPr>
              <w:t>479,946.11</w:t>
            </w:r>
          </w:p>
        </w:tc>
      </w:tr>
      <w:tr w:rsidR="00784431" w:rsidRPr="00563CF9" w:rsidTr="00784431">
        <w:trPr>
          <w:trHeight w:val="283"/>
        </w:trPr>
        <w:tc>
          <w:tcPr>
            <w:tcW w:w="907" w:type="pct"/>
            <w:vMerge/>
            <w:tcBorders>
              <w:left w:val="single" w:sz="6" w:space="0" w:color="auto"/>
              <w:right w:val="single" w:sz="6" w:space="0" w:color="auto"/>
            </w:tcBorders>
            <w:vAlign w:val="center"/>
          </w:tcPr>
          <w:p w:rsidR="00784431" w:rsidRPr="00563CF9" w:rsidRDefault="00784431" w:rsidP="00A21943">
            <w:pPr>
              <w:keepNext/>
              <w:autoSpaceDE w:val="0"/>
              <w:autoSpaceDN w:val="0"/>
              <w:adjustRightInd w:val="0"/>
              <w:jc w:val="left"/>
              <w:rPr>
                <w:rFonts w:ascii="Calibri" w:hAnsi="Calibri" w:cs="Calibri"/>
                <w:b/>
                <w:bCs/>
                <w:color w:val="000000"/>
                <w:sz w:val="20"/>
                <w:lang w:val="en-GB"/>
              </w:rPr>
            </w:pPr>
          </w:p>
        </w:tc>
        <w:tc>
          <w:tcPr>
            <w:tcW w:w="1574" w:type="pct"/>
            <w:tcBorders>
              <w:top w:val="single" w:sz="6" w:space="0" w:color="auto"/>
              <w:left w:val="single" w:sz="6" w:space="0" w:color="auto"/>
              <w:bottom w:val="single" w:sz="6" w:space="0" w:color="auto"/>
              <w:right w:val="single" w:sz="6" w:space="0" w:color="auto"/>
            </w:tcBorders>
            <w:vAlign w:val="center"/>
          </w:tcPr>
          <w:p w:rsidR="00784431" w:rsidRPr="00563CF9" w:rsidRDefault="00784431" w:rsidP="00A21943">
            <w:pPr>
              <w:keepNext/>
              <w:autoSpaceDE w:val="0"/>
              <w:autoSpaceDN w:val="0"/>
              <w:adjustRightInd w:val="0"/>
              <w:jc w:val="left"/>
              <w:rPr>
                <w:rFonts w:ascii="Calibri" w:hAnsi="Calibri" w:cs="Calibri"/>
                <w:color w:val="000000"/>
                <w:sz w:val="20"/>
                <w:lang w:val="en-GB"/>
              </w:rPr>
            </w:pPr>
            <w:r w:rsidRPr="00563CF9">
              <w:rPr>
                <w:sz w:val="20"/>
                <w:lang w:val="en-GB" w:bidi="en-GB"/>
              </w:rPr>
              <w:t xml:space="preserve">Main activity </w:t>
            </w:r>
          </w:p>
        </w:tc>
        <w:tc>
          <w:tcPr>
            <w:tcW w:w="840" w:type="pct"/>
            <w:tcBorders>
              <w:top w:val="single" w:sz="6" w:space="0" w:color="auto"/>
              <w:left w:val="single" w:sz="6" w:space="0" w:color="auto"/>
              <w:bottom w:val="single" w:sz="6" w:space="0" w:color="auto"/>
              <w:right w:val="single" w:sz="6" w:space="0" w:color="auto"/>
            </w:tcBorders>
            <w:vAlign w:val="center"/>
          </w:tcPr>
          <w:p w:rsidR="00784431" w:rsidRPr="00563CF9" w:rsidRDefault="00964E70" w:rsidP="00A21943">
            <w:pPr>
              <w:keepNext/>
              <w:autoSpaceDE w:val="0"/>
              <w:autoSpaceDN w:val="0"/>
              <w:adjustRightInd w:val="0"/>
              <w:ind w:right="46"/>
              <w:jc w:val="right"/>
              <w:rPr>
                <w:rFonts w:ascii="Calibri" w:hAnsi="Calibri" w:cs="Calibri"/>
                <w:color w:val="000000"/>
                <w:sz w:val="20"/>
                <w:lang w:val="en-GB"/>
              </w:rPr>
            </w:pPr>
            <w:r w:rsidRPr="00563CF9">
              <w:rPr>
                <w:sz w:val="20"/>
                <w:lang w:val="en-GB" w:bidi="en-GB"/>
              </w:rPr>
              <w:sym w:font="Symbol" w:char="F02D"/>
            </w:r>
            <w:r w:rsidR="00784431" w:rsidRPr="00563CF9">
              <w:rPr>
                <w:sz w:val="20"/>
                <w:lang w:val="en-GB" w:bidi="en-GB"/>
              </w:rPr>
              <w:t>8,407,783.09</w:t>
            </w:r>
          </w:p>
        </w:tc>
        <w:tc>
          <w:tcPr>
            <w:tcW w:w="840" w:type="pct"/>
            <w:tcBorders>
              <w:top w:val="single" w:sz="6" w:space="0" w:color="auto"/>
              <w:left w:val="single" w:sz="6" w:space="0" w:color="auto"/>
              <w:bottom w:val="single" w:sz="6" w:space="0" w:color="auto"/>
              <w:right w:val="single" w:sz="6" w:space="0" w:color="auto"/>
            </w:tcBorders>
            <w:vAlign w:val="center"/>
          </w:tcPr>
          <w:p w:rsidR="00784431" w:rsidRPr="00563CF9" w:rsidRDefault="00964E70" w:rsidP="00A21943">
            <w:pPr>
              <w:keepNext/>
              <w:autoSpaceDE w:val="0"/>
              <w:autoSpaceDN w:val="0"/>
              <w:adjustRightInd w:val="0"/>
              <w:ind w:right="46"/>
              <w:jc w:val="right"/>
              <w:rPr>
                <w:rFonts w:ascii="Calibri" w:hAnsi="Calibri" w:cs="Calibri"/>
                <w:color w:val="000000"/>
                <w:sz w:val="20"/>
                <w:lang w:val="en-GB"/>
              </w:rPr>
            </w:pPr>
            <w:r w:rsidRPr="00563CF9">
              <w:rPr>
                <w:sz w:val="20"/>
                <w:lang w:val="en-GB" w:bidi="en-GB"/>
              </w:rPr>
              <w:sym w:font="Symbol" w:char="F02D"/>
            </w:r>
            <w:r w:rsidR="00784431" w:rsidRPr="00563CF9">
              <w:rPr>
                <w:sz w:val="20"/>
                <w:lang w:val="en-GB" w:bidi="en-GB"/>
              </w:rPr>
              <w:t>1,520,342.22</w:t>
            </w:r>
          </w:p>
        </w:tc>
        <w:tc>
          <w:tcPr>
            <w:tcW w:w="839" w:type="pct"/>
            <w:tcBorders>
              <w:top w:val="single" w:sz="6" w:space="0" w:color="auto"/>
              <w:left w:val="single" w:sz="6" w:space="0" w:color="auto"/>
              <w:bottom w:val="single" w:sz="6" w:space="0" w:color="auto"/>
              <w:right w:val="single" w:sz="6" w:space="0" w:color="auto"/>
            </w:tcBorders>
            <w:vAlign w:val="center"/>
          </w:tcPr>
          <w:p w:rsidR="00784431" w:rsidRPr="00563CF9" w:rsidRDefault="00964E70" w:rsidP="00A21943">
            <w:pPr>
              <w:keepNext/>
              <w:autoSpaceDE w:val="0"/>
              <w:autoSpaceDN w:val="0"/>
              <w:adjustRightInd w:val="0"/>
              <w:ind w:right="46"/>
              <w:jc w:val="right"/>
              <w:rPr>
                <w:rFonts w:ascii="Calibri" w:hAnsi="Calibri" w:cs="Calibri"/>
                <w:color w:val="000000"/>
                <w:sz w:val="20"/>
                <w:lang w:val="en-GB"/>
              </w:rPr>
            </w:pPr>
            <w:r w:rsidRPr="00563CF9">
              <w:rPr>
                <w:sz w:val="20"/>
                <w:lang w:val="en-GB" w:bidi="en-GB"/>
              </w:rPr>
              <w:sym w:font="Symbol" w:char="F02D"/>
            </w:r>
            <w:r w:rsidR="00784431" w:rsidRPr="00563CF9">
              <w:rPr>
                <w:sz w:val="20"/>
                <w:lang w:val="en-GB" w:bidi="en-GB"/>
              </w:rPr>
              <w:t>12,727,125.57</w:t>
            </w:r>
          </w:p>
        </w:tc>
      </w:tr>
      <w:tr w:rsidR="00784431" w:rsidRPr="00563CF9" w:rsidTr="00784431">
        <w:trPr>
          <w:trHeight w:val="283"/>
        </w:trPr>
        <w:tc>
          <w:tcPr>
            <w:tcW w:w="907" w:type="pct"/>
            <w:vMerge/>
            <w:tcBorders>
              <w:left w:val="single" w:sz="6" w:space="0" w:color="auto"/>
              <w:bottom w:val="single" w:sz="6" w:space="0" w:color="auto"/>
              <w:right w:val="single" w:sz="6" w:space="0" w:color="auto"/>
            </w:tcBorders>
            <w:vAlign w:val="center"/>
          </w:tcPr>
          <w:p w:rsidR="00784431" w:rsidRPr="00563CF9" w:rsidRDefault="00784431" w:rsidP="00A21943">
            <w:pPr>
              <w:keepNext/>
              <w:autoSpaceDE w:val="0"/>
              <w:autoSpaceDN w:val="0"/>
              <w:adjustRightInd w:val="0"/>
              <w:jc w:val="left"/>
              <w:rPr>
                <w:rFonts w:ascii="Calibri" w:hAnsi="Calibri" w:cs="Calibri"/>
                <w:b/>
                <w:bCs/>
                <w:color w:val="000000"/>
                <w:sz w:val="20"/>
                <w:lang w:val="en-GB"/>
              </w:rPr>
            </w:pPr>
          </w:p>
        </w:tc>
        <w:tc>
          <w:tcPr>
            <w:tcW w:w="1574" w:type="pct"/>
            <w:tcBorders>
              <w:top w:val="single" w:sz="6" w:space="0" w:color="auto"/>
              <w:left w:val="single" w:sz="6" w:space="0" w:color="auto"/>
              <w:bottom w:val="single" w:sz="6" w:space="0" w:color="auto"/>
              <w:right w:val="single" w:sz="6" w:space="0" w:color="auto"/>
            </w:tcBorders>
            <w:vAlign w:val="center"/>
          </w:tcPr>
          <w:p w:rsidR="00784431" w:rsidRPr="00563CF9" w:rsidRDefault="00784431" w:rsidP="00A21943">
            <w:pPr>
              <w:keepNext/>
              <w:autoSpaceDE w:val="0"/>
              <w:autoSpaceDN w:val="0"/>
              <w:adjustRightInd w:val="0"/>
              <w:jc w:val="left"/>
              <w:rPr>
                <w:rFonts w:ascii="Calibri" w:hAnsi="Calibri" w:cs="Calibri"/>
                <w:color w:val="000000"/>
                <w:sz w:val="20"/>
                <w:lang w:val="en-GB"/>
              </w:rPr>
            </w:pPr>
            <w:r w:rsidRPr="00563CF9">
              <w:rPr>
                <w:sz w:val="20"/>
                <w:lang w:val="en-GB" w:bidi="en-GB"/>
              </w:rPr>
              <w:t>Other (economic) activity</w:t>
            </w:r>
          </w:p>
        </w:tc>
        <w:tc>
          <w:tcPr>
            <w:tcW w:w="840" w:type="pct"/>
            <w:tcBorders>
              <w:top w:val="single" w:sz="6" w:space="0" w:color="auto"/>
              <w:left w:val="single" w:sz="6" w:space="0" w:color="auto"/>
              <w:bottom w:val="single" w:sz="6" w:space="0" w:color="auto"/>
              <w:right w:val="single" w:sz="6" w:space="0" w:color="auto"/>
            </w:tcBorders>
            <w:vAlign w:val="center"/>
          </w:tcPr>
          <w:p w:rsidR="00784431" w:rsidRPr="00563CF9" w:rsidRDefault="00784431" w:rsidP="00A21943">
            <w:pPr>
              <w:keepNext/>
              <w:autoSpaceDE w:val="0"/>
              <w:autoSpaceDN w:val="0"/>
              <w:adjustRightInd w:val="0"/>
              <w:ind w:right="46"/>
              <w:jc w:val="right"/>
              <w:rPr>
                <w:rFonts w:ascii="Calibri" w:hAnsi="Calibri" w:cs="Calibri"/>
                <w:color w:val="000000"/>
                <w:sz w:val="20"/>
                <w:lang w:val="en-GB"/>
              </w:rPr>
            </w:pPr>
            <w:r w:rsidRPr="00563CF9">
              <w:rPr>
                <w:sz w:val="20"/>
                <w:lang w:val="en-GB" w:bidi="en-GB"/>
              </w:rPr>
              <w:t>8,951,258.67</w:t>
            </w:r>
          </w:p>
        </w:tc>
        <w:tc>
          <w:tcPr>
            <w:tcW w:w="840" w:type="pct"/>
            <w:tcBorders>
              <w:top w:val="single" w:sz="6" w:space="0" w:color="auto"/>
              <w:left w:val="single" w:sz="6" w:space="0" w:color="auto"/>
              <w:bottom w:val="single" w:sz="6" w:space="0" w:color="auto"/>
              <w:right w:val="single" w:sz="6" w:space="0" w:color="auto"/>
            </w:tcBorders>
            <w:vAlign w:val="center"/>
          </w:tcPr>
          <w:p w:rsidR="00784431" w:rsidRPr="00563CF9" w:rsidRDefault="00784431" w:rsidP="00A21943">
            <w:pPr>
              <w:keepNext/>
              <w:autoSpaceDE w:val="0"/>
              <w:autoSpaceDN w:val="0"/>
              <w:adjustRightInd w:val="0"/>
              <w:ind w:right="46"/>
              <w:jc w:val="right"/>
              <w:rPr>
                <w:rFonts w:ascii="Calibri" w:hAnsi="Calibri" w:cs="Calibri"/>
                <w:color w:val="000000"/>
                <w:sz w:val="20"/>
                <w:lang w:val="en-GB"/>
              </w:rPr>
            </w:pPr>
            <w:r w:rsidRPr="00563CF9">
              <w:rPr>
                <w:sz w:val="20"/>
                <w:lang w:val="en-GB" w:bidi="en-GB"/>
              </w:rPr>
              <w:t>9,471,775.35</w:t>
            </w:r>
          </w:p>
        </w:tc>
        <w:tc>
          <w:tcPr>
            <w:tcW w:w="839" w:type="pct"/>
            <w:tcBorders>
              <w:top w:val="single" w:sz="6" w:space="0" w:color="auto"/>
              <w:left w:val="single" w:sz="6" w:space="0" w:color="auto"/>
              <w:bottom w:val="single" w:sz="6" w:space="0" w:color="auto"/>
              <w:right w:val="single" w:sz="6" w:space="0" w:color="auto"/>
            </w:tcBorders>
            <w:vAlign w:val="center"/>
          </w:tcPr>
          <w:p w:rsidR="00784431" w:rsidRPr="00563CF9" w:rsidRDefault="00784431" w:rsidP="00A21943">
            <w:pPr>
              <w:keepNext/>
              <w:autoSpaceDE w:val="0"/>
              <w:autoSpaceDN w:val="0"/>
              <w:adjustRightInd w:val="0"/>
              <w:ind w:right="46"/>
              <w:jc w:val="right"/>
              <w:rPr>
                <w:rFonts w:ascii="Calibri" w:hAnsi="Calibri" w:cs="Calibri"/>
                <w:color w:val="000000"/>
                <w:sz w:val="20"/>
                <w:lang w:val="en-GB"/>
              </w:rPr>
            </w:pPr>
            <w:r w:rsidRPr="00563CF9">
              <w:rPr>
                <w:sz w:val="20"/>
                <w:lang w:val="en-GB" w:bidi="en-GB"/>
              </w:rPr>
              <w:t>13,207,071.68</w:t>
            </w:r>
          </w:p>
        </w:tc>
      </w:tr>
      <w:tr w:rsidR="00784431" w:rsidRPr="00563CF9" w:rsidTr="00BA09ED">
        <w:trPr>
          <w:trHeight w:val="283"/>
        </w:trPr>
        <w:tc>
          <w:tcPr>
            <w:tcW w:w="907" w:type="pct"/>
            <w:vMerge w:val="restart"/>
            <w:tcBorders>
              <w:top w:val="single" w:sz="6" w:space="0" w:color="auto"/>
              <w:left w:val="single" w:sz="6" w:space="0" w:color="auto"/>
              <w:right w:val="single" w:sz="6" w:space="0" w:color="auto"/>
            </w:tcBorders>
            <w:shd w:val="clear" w:color="auto" w:fill="auto"/>
            <w:vAlign w:val="center"/>
          </w:tcPr>
          <w:p w:rsidR="00784431" w:rsidRPr="00563CF9" w:rsidRDefault="00784431" w:rsidP="00A21943">
            <w:pPr>
              <w:keepNext/>
              <w:autoSpaceDE w:val="0"/>
              <w:autoSpaceDN w:val="0"/>
              <w:adjustRightInd w:val="0"/>
              <w:jc w:val="left"/>
              <w:rPr>
                <w:rFonts w:ascii="Calibri" w:hAnsi="Calibri" w:cs="Calibri"/>
                <w:b/>
                <w:bCs/>
                <w:color w:val="000000"/>
                <w:sz w:val="20"/>
                <w:lang w:val="en-GB"/>
              </w:rPr>
            </w:pPr>
            <w:r w:rsidRPr="00563CF9">
              <w:rPr>
                <w:b/>
                <w:sz w:val="20"/>
                <w:lang w:val="en-GB" w:bidi="en-GB"/>
              </w:rPr>
              <w:t>MUH</w:t>
            </w:r>
          </w:p>
        </w:tc>
        <w:tc>
          <w:tcPr>
            <w:tcW w:w="1574" w:type="pct"/>
            <w:tcBorders>
              <w:top w:val="single" w:sz="6" w:space="0" w:color="auto"/>
              <w:left w:val="single" w:sz="6" w:space="0" w:color="auto"/>
              <w:bottom w:val="single" w:sz="6" w:space="0" w:color="auto"/>
              <w:right w:val="single" w:sz="6" w:space="0" w:color="auto"/>
            </w:tcBorders>
            <w:shd w:val="clear" w:color="auto" w:fill="auto"/>
            <w:vAlign w:val="center"/>
          </w:tcPr>
          <w:p w:rsidR="00784431" w:rsidRPr="00563CF9" w:rsidRDefault="00784431" w:rsidP="00A21943">
            <w:pPr>
              <w:keepNext/>
              <w:autoSpaceDE w:val="0"/>
              <w:autoSpaceDN w:val="0"/>
              <w:adjustRightInd w:val="0"/>
              <w:jc w:val="left"/>
              <w:rPr>
                <w:rFonts w:ascii="Calibri" w:hAnsi="Calibri" w:cs="Calibri"/>
                <w:b/>
                <w:bCs/>
                <w:color w:val="000000"/>
                <w:sz w:val="20"/>
                <w:lang w:val="en-GB"/>
              </w:rPr>
            </w:pPr>
            <w:r w:rsidRPr="00563CF9">
              <w:rPr>
                <w:b/>
                <w:sz w:val="20"/>
                <w:lang w:val="en-GB" w:bidi="en-GB"/>
              </w:rPr>
              <w:t>Profit</w:t>
            </w:r>
          </w:p>
        </w:tc>
        <w:tc>
          <w:tcPr>
            <w:tcW w:w="840" w:type="pct"/>
            <w:tcBorders>
              <w:top w:val="single" w:sz="6" w:space="0" w:color="auto"/>
              <w:left w:val="single" w:sz="6" w:space="0" w:color="auto"/>
              <w:bottom w:val="single" w:sz="6" w:space="0" w:color="auto"/>
              <w:right w:val="single" w:sz="6" w:space="0" w:color="auto"/>
            </w:tcBorders>
            <w:shd w:val="clear" w:color="auto" w:fill="auto"/>
            <w:vAlign w:val="center"/>
          </w:tcPr>
          <w:p w:rsidR="00784431" w:rsidRPr="00563CF9" w:rsidRDefault="00784431" w:rsidP="00A21943">
            <w:pPr>
              <w:keepNext/>
              <w:autoSpaceDE w:val="0"/>
              <w:autoSpaceDN w:val="0"/>
              <w:adjustRightInd w:val="0"/>
              <w:ind w:right="46"/>
              <w:jc w:val="right"/>
              <w:rPr>
                <w:rFonts w:ascii="Calibri" w:hAnsi="Calibri" w:cs="Calibri"/>
                <w:b/>
                <w:bCs/>
                <w:color w:val="000000"/>
                <w:sz w:val="20"/>
                <w:lang w:val="en-GB"/>
              </w:rPr>
            </w:pPr>
            <w:r w:rsidRPr="00563CF9">
              <w:rPr>
                <w:b/>
                <w:sz w:val="20"/>
                <w:lang w:val="en-GB" w:bidi="en-GB"/>
              </w:rPr>
              <w:t>1,012,942.81</w:t>
            </w:r>
          </w:p>
        </w:tc>
        <w:tc>
          <w:tcPr>
            <w:tcW w:w="840" w:type="pct"/>
            <w:tcBorders>
              <w:top w:val="single" w:sz="6" w:space="0" w:color="auto"/>
              <w:left w:val="single" w:sz="6" w:space="0" w:color="auto"/>
              <w:bottom w:val="single" w:sz="6" w:space="0" w:color="auto"/>
              <w:right w:val="single" w:sz="6" w:space="0" w:color="auto"/>
            </w:tcBorders>
            <w:shd w:val="clear" w:color="auto" w:fill="auto"/>
            <w:vAlign w:val="center"/>
          </w:tcPr>
          <w:p w:rsidR="00784431" w:rsidRPr="00563CF9" w:rsidRDefault="00784431" w:rsidP="00A21943">
            <w:pPr>
              <w:keepNext/>
              <w:autoSpaceDE w:val="0"/>
              <w:autoSpaceDN w:val="0"/>
              <w:adjustRightInd w:val="0"/>
              <w:ind w:right="46"/>
              <w:jc w:val="right"/>
              <w:rPr>
                <w:rFonts w:ascii="Calibri" w:hAnsi="Calibri" w:cs="Calibri"/>
                <w:b/>
                <w:bCs/>
                <w:color w:val="000000"/>
                <w:sz w:val="20"/>
                <w:lang w:val="en-GB"/>
              </w:rPr>
            </w:pPr>
            <w:r w:rsidRPr="00563CF9">
              <w:rPr>
                <w:b/>
                <w:sz w:val="20"/>
                <w:lang w:val="en-GB" w:bidi="en-GB"/>
              </w:rPr>
              <w:t>2,951,621.03</w:t>
            </w:r>
          </w:p>
        </w:tc>
        <w:tc>
          <w:tcPr>
            <w:tcW w:w="839" w:type="pct"/>
            <w:tcBorders>
              <w:top w:val="single" w:sz="6" w:space="0" w:color="auto"/>
              <w:left w:val="single" w:sz="6" w:space="0" w:color="auto"/>
              <w:bottom w:val="single" w:sz="6" w:space="0" w:color="auto"/>
              <w:right w:val="single" w:sz="6" w:space="0" w:color="auto"/>
            </w:tcBorders>
            <w:shd w:val="clear" w:color="auto" w:fill="auto"/>
            <w:vAlign w:val="center"/>
          </w:tcPr>
          <w:p w:rsidR="00784431" w:rsidRPr="00563CF9" w:rsidRDefault="00784431" w:rsidP="00A21943">
            <w:pPr>
              <w:keepNext/>
              <w:autoSpaceDE w:val="0"/>
              <w:autoSpaceDN w:val="0"/>
              <w:adjustRightInd w:val="0"/>
              <w:ind w:right="46"/>
              <w:jc w:val="right"/>
              <w:rPr>
                <w:rFonts w:ascii="Calibri" w:hAnsi="Calibri" w:cs="Calibri"/>
                <w:b/>
                <w:bCs/>
                <w:color w:val="000000"/>
                <w:sz w:val="20"/>
                <w:lang w:val="en-GB"/>
              </w:rPr>
            </w:pPr>
            <w:r w:rsidRPr="00563CF9">
              <w:rPr>
                <w:b/>
                <w:sz w:val="20"/>
                <w:lang w:val="en-GB" w:bidi="en-GB"/>
              </w:rPr>
              <w:t>4,150,611.35</w:t>
            </w:r>
          </w:p>
        </w:tc>
      </w:tr>
      <w:tr w:rsidR="00784431" w:rsidRPr="00563CF9" w:rsidTr="00BA09ED">
        <w:trPr>
          <w:trHeight w:val="283"/>
        </w:trPr>
        <w:tc>
          <w:tcPr>
            <w:tcW w:w="907" w:type="pct"/>
            <w:vMerge/>
            <w:tcBorders>
              <w:left w:val="single" w:sz="6" w:space="0" w:color="auto"/>
              <w:right w:val="single" w:sz="6" w:space="0" w:color="auto"/>
            </w:tcBorders>
            <w:vAlign w:val="center"/>
          </w:tcPr>
          <w:p w:rsidR="00784431" w:rsidRPr="00563CF9" w:rsidRDefault="00784431" w:rsidP="00A21943">
            <w:pPr>
              <w:keepNext/>
              <w:autoSpaceDE w:val="0"/>
              <w:autoSpaceDN w:val="0"/>
              <w:adjustRightInd w:val="0"/>
              <w:jc w:val="left"/>
              <w:rPr>
                <w:rFonts w:ascii="Calibri" w:hAnsi="Calibri" w:cs="Calibri"/>
                <w:b/>
                <w:bCs/>
                <w:color w:val="000000"/>
                <w:sz w:val="20"/>
                <w:lang w:val="en-GB"/>
              </w:rPr>
            </w:pPr>
          </w:p>
        </w:tc>
        <w:tc>
          <w:tcPr>
            <w:tcW w:w="1574" w:type="pct"/>
            <w:tcBorders>
              <w:top w:val="single" w:sz="6" w:space="0" w:color="auto"/>
              <w:left w:val="single" w:sz="6" w:space="0" w:color="auto"/>
              <w:bottom w:val="single" w:sz="6" w:space="0" w:color="auto"/>
              <w:right w:val="single" w:sz="6" w:space="0" w:color="auto"/>
            </w:tcBorders>
            <w:vAlign w:val="center"/>
          </w:tcPr>
          <w:p w:rsidR="00784431" w:rsidRPr="00563CF9" w:rsidRDefault="00784431" w:rsidP="00A21943">
            <w:pPr>
              <w:keepNext/>
              <w:autoSpaceDE w:val="0"/>
              <w:autoSpaceDN w:val="0"/>
              <w:adjustRightInd w:val="0"/>
              <w:jc w:val="left"/>
              <w:rPr>
                <w:rFonts w:ascii="Calibri" w:hAnsi="Calibri" w:cs="Calibri"/>
                <w:color w:val="000000"/>
                <w:sz w:val="20"/>
                <w:lang w:val="en-GB"/>
              </w:rPr>
            </w:pPr>
            <w:r w:rsidRPr="00563CF9">
              <w:rPr>
                <w:sz w:val="20"/>
                <w:lang w:val="en-GB" w:bidi="en-GB"/>
              </w:rPr>
              <w:t xml:space="preserve">Main activity </w:t>
            </w:r>
          </w:p>
        </w:tc>
        <w:tc>
          <w:tcPr>
            <w:tcW w:w="840" w:type="pct"/>
            <w:tcBorders>
              <w:top w:val="single" w:sz="6" w:space="0" w:color="auto"/>
              <w:left w:val="single" w:sz="6" w:space="0" w:color="auto"/>
              <w:bottom w:val="single" w:sz="6" w:space="0" w:color="auto"/>
              <w:right w:val="single" w:sz="6" w:space="0" w:color="auto"/>
            </w:tcBorders>
            <w:vAlign w:val="center"/>
          </w:tcPr>
          <w:p w:rsidR="00784431" w:rsidRPr="00563CF9" w:rsidRDefault="00964E70" w:rsidP="00A21943">
            <w:pPr>
              <w:keepNext/>
              <w:autoSpaceDE w:val="0"/>
              <w:autoSpaceDN w:val="0"/>
              <w:adjustRightInd w:val="0"/>
              <w:ind w:right="46"/>
              <w:jc w:val="right"/>
              <w:rPr>
                <w:rFonts w:ascii="Calibri" w:hAnsi="Calibri" w:cs="Calibri"/>
                <w:color w:val="000000"/>
                <w:sz w:val="20"/>
                <w:lang w:val="en-GB"/>
              </w:rPr>
            </w:pPr>
            <w:r w:rsidRPr="00563CF9">
              <w:rPr>
                <w:sz w:val="20"/>
                <w:lang w:val="en-GB" w:bidi="en-GB"/>
              </w:rPr>
              <w:sym w:font="Symbol" w:char="F02D"/>
            </w:r>
            <w:r w:rsidR="00784431" w:rsidRPr="00563CF9">
              <w:rPr>
                <w:sz w:val="20"/>
                <w:lang w:val="en-GB" w:bidi="en-GB"/>
              </w:rPr>
              <w:t>39,402,777.52</w:t>
            </w:r>
          </w:p>
        </w:tc>
        <w:tc>
          <w:tcPr>
            <w:tcW w:w="840" w:type="pct"/>
            <w:tcBorders>
              <w:top w:val="single" w:sz="6" w:space="0" w:color="auto"/>
              <w:left w:val="single" w:sz="6" w:space="0" w:color="auto"/>
              <w:bottom w:val="single" w:sz="6" w:space="0" w:color="auto"/>
              <w:right w:val="single" w:sz="6" w:space="0" w:color="auto"/>
            </w:tcBorders>
            <w:vAlign w:val="center"/>
          </w:tcPr>
          <w:p w:rsidR="00784431" w:rsidRPr="00563CF9" w:rsidRDefault="00964E70" w:rsidP="00A21943">
            <w:pPr>
              <w:keepNext/>
              <w:autoSpaceDE w:val="0"/>
              <w:autoSpaceDN w:val="0"/>
              <w:adjustRightInd w:val="0"/>
              <w:ind w:right="46"/>
              <w:jc w:val="right"/>
              <w:rPr>
                <w:rFonts w:ascii="Calibri" w:hAnsi="Calibri" w:cs="Calibri"/>
                <w:color w:val="000000"/>
                <w:sz w:val="20"/>
                <w:lang w:val="en-GB"/>
              </w:rPr>
            </w:pPr>
            <w:r w:rsidRPr="00563CF9">
              <w:rPr>
                <w:sz w:val="20"/>
                <w:lang w:val="en-GB" w:bidi="en-GB"/>
              </w:rPr>
              <w:sym w:font="Symbol" w:char="F02D"/>
            </w:r>
            <w:r w:rsidR="00784431" w:rsidRPr="00563CF9">
              <w:rPr>
                <w:sz w:val="20"/>
                <w:lang w:val="en-GB" w:bidi="en-GB"/>
              </w:rPr>
              <w:t>44,653,992.61</w:t>
            </w:r>
          </w:p>
        </w:tc>
        <w:tc>
          <w:tcPr>
            <w:tcW w:w="839" w:type="pct"/>
            <w:tcBorders>
              <w:top w:val="single" w:sz="6" w:space="0" w:color="auto"/>
              <w:left w:val="single" w:sz="6" w:space="0" w:color="auto"/>
              <w:bottom w:val="single" w:sz="6" w:space="0" w:color="auto"/>
              <w:right w:val="single" w:sz="6" w:space="0" w:color="auto"/>
            </w:tcBorders>
            <w:vAlign w:val="center"/>
          </w:tcPr>
          <w:p w:rsidR="00784431" w:rsidRPr="00563CF9" w:rsidRDefault="00964E70" w:rsidP="00A21943">
            <w:pPr>
              <w:keepNext/>
              <w:autoSpaceDE w:val="0"/>
              <w:autoSpaceDN w:val="0"/>
              <w:adjustRightInd w:val="0"/>
              <w:ind w:right="46"/>
              <w:jc w:val="right"/>
              <w:rPr>
                <w:rFonts w:ascii="Calibri" w:hAnsi="Calibri" w:cs="Calibri"/>
                <w:color w:val="000000"/>
                <w:sz w:val="20"/>
                <w:lang w:val="en-GB"/>
              </w:rPr>
            </w:pPr>
            <w:r w:rsidRPr="00563CF9">
              <w:rPr>
                <w:sz w:val="20"/>
                <w:lang w:val="en-GB" w:bidi="en-GB"/>
              </w:rPr>
              <w:sym w:font="Symbol" w:char="F02D"/>
            </w:r>
            <w:r w:rsidR="00784431" w:rsidRPr="00563CF9">
              <w:rPr>
                <w:sz w:val="20"/>
                <w:lang w:val="en-GB" w:bidi="en-GB"/>
              </w:rPr>
              <w:t>40,674,691.40</w:t>
            </w:r>
          </w:p>
        </w:tc>
      </w:tr>
      <w:tr w:rsidR="00784431" w:rsidRPr="00563CF9" w:rsidTr="00BA09ED">
        <w:trPr>
          <w:trHeight w:val="283"/>
        </w:trPr>
        <w:tc>
          <w:tcPr>
            <w:tcW w:w="907" w:type="pct"/>
            <w:vMerge/>
            <w:tcBorders>
              <w:left w:val="single" w:sz="6" w:space="0" w:color="auto"/>
              <w:bottom w:val="single" w:sz="6" w:space="0" w:color="auto"/>
              <w:right w:val="single" w:sz="6" w:space="0" w:color="auto"/>
            </w:tcBorders>
            <w:vAlign w:val="center"/>
          </w:tcPr>
          <w:p w:rsidR="00784431" w:rsidRPr="00563CF9" w:rsidRDefault="00784431" w:rsidP="00A21943">
            <w:pPr>
              <w:keepNext/>
              <w:autoSpaceDE w:val="0"/>
              <w:autoSpaceDN w:val="0"/>
              <w:adjustRightInd w:val="0"/>
              <w:jc w:val="left"/>
              <w:rPr>
                <w:rFonts w:ascii="Calibri" w:hAnsi="Calibri" w:cs="Calibri"/>
                <w:b/>
                <w:bCs/>
                <w:color w:val="000000"/>
                <w:sz w:val="20"/>
                <w:lang w:val="en-GB"/>
              </w:rPr>
            </w:pPr>
          </w:p>
        </w:tc>
        <w:tc>
          <w:tcPr>
            <w:tcW w:w="1574" w:type="pct"/>
            <w:tcBorders>
              <w:top w:val="single" w:sz="6" w:space="0" w:color="auto"/>
              <w:left w:val="single" w:sz="6" w:space="0" w:color="auto"/>
              <w:bottom w:val="single" w:sz="6" w:space="0" w:color="auto"/>
              <w:right w:val="single" w:sz="6" w:space="0" w:color="auto"/>
            </w:tcBorders>
            <w:vAlign w:val="center"/>
          </w:tcPr>
          <w:p w:rsidR="00784431" w:rsidRPr="00563CF9" w:rsidRDefault="00784431" w:rsidP="00A21943">
            <w:pPr>
              <w:keepNext/>
              <w:autoSpaceDE w:val="0"/>
              <w:autoSpaceDN w:val="0"/>
              <w:adjustRightInd w:val="0"/>
              <w:jc w:val="left"/>
              <w:rPr>
                <w:rFonts w:ascii="Calibri" w:hAnsi="Calibri" w:cs="Calibri"/>
                <w:color w:val="000000"/>
                <w:sz w:val="20"/>
                <w:lang w:val="en-GB"/>
              </w:rPr>
            </w:pPr>
            <w:r w:rsidRPr="00563CF9">
              <w:rPr>
                <w:sz w:val="20"/>
                <w:lang w:val="en-GB" w:bidi="en-GB"/>
              </w:rPr>
              <w:t>Other (economic) activity</w:t>
            </w:r>
          </w:p>
        </w:tc>
        <w:tc>
          <w:tcPr>
            <w:tcW w:w="840" w:type="pct"/>
            <w:tcBorders>
              <w:top w:val="single" w:sz="6" w:space="0" w:color="auto"/>
              <w:left w:val="single" w:sz="6" w:space="0" w:color="auto"/>
              <w:bottom w:val="single" w:sz="6" w:space="0" w:color="auto"/>
              <w:right w:val="single" w:sz="6" w:space="0" w:color="auto"/>
            </w:tcBorders>
            <w:vAlign w:val="center"/>
          </w:tcPr>
          <w:p w:rsidR="00784431" w:rsidRPr="00563CF9" w:rsidRDefault="00784431" w:rsidP="00A21943">
            <w:pPr>
              <w:keepNext/>
              <w:autoSpaceDE w:val="0"/>
              <w:autoSpaceDN w:val="0"/>
              <w:adjustRightInd w:val="0"/>
              <w:ind w:right="46"/>
              <w:jc w:val="right"/>
              <w:rPr>
                <w:rFonts w:ascii="Calibri" w:hAnsi="Calibri" w:cs="Calibri"/>
                <w:color w:val="000000"/>
                <w:sz w:val="20"/>
                <w:lang w:val="en-GB"/>
              </w:rPr>
            </w:pPr>
            <w:r w:rsidRPr="00563CF9">
              <w:rPr>
                <w:sz w:val="20"/>
                <w:lang w:val="en-GB" w:bidi="en-GB"/>
              </w:rPr>
              <w:t>40,415,720.33</w:t>
            </w:r>
          </w:p>
        </w:tc>
        <w:tc>
          <w:tcPr>
            <w:tcW w:w="840" w:type="pct"/>
            <w:tcBorders>
              <w:top w:val="single" w:sz="6" w:space="0" w:color="auto"/>
              <w:left w:val="single" w:sz="6" w:space="0" w:color="auto"/>
              <w:bottom w:val="single" w:sz="6" w:space="0" w:color="auto"/>
              <w:right w:val="single" w:sz="6" w:space="0" w:color="auto"/>
            </w:tcBorders>
            <w:vAlign w:val="center"/>
          </w:tcPr>
          <w:p w:rsidR="00784431" w:rsidRPr="00563CF9" w:rsidRDefault="00784431" w:rsidP="00A21943">
            <w:pPr>
              <w:keepNext/>
              <w:autoSpaceDE w:val="0"/>
              <w:autoSpaceDN w:val="0"/>
              <w:adjustRightInd w:val="0"/>
              <w:ind w:right="46"/>
              <w:jc w:val="right"/>
              <w:rPr>
                <w:rFonts w:ascii="Calibri" w:hAnsi="Calibri" w:cs="Calibri"/>
                <w:color w:val="000000"/>
                <w:sz w:val="20"/>
                <w:lang w:val="en-GB"/>
              </w:rPr>
            </w:pPr>
            <w:r w:rsidRPr="00563CF9">
              <w:rPr>
                <w:sz w:val="20"/>
                <w:lang w:val="en-GB" w:bidi="en-GB"/>
              </w:rPr>
              <w:t>47,605,613.64</w:t>
            </w:r>
          </w:p>
        </w:tc>
        <w:tc>
          <w:tcPr>
            <w:tcW w:w="839" w:type="pct"/>
            <w:tcBorders>
              <w:top w:val="single" w:sz="6" w:space="0" w:color="auto"/>
              <w:left w:val="single" w:sz="6" w:space="0" w:color="auto"/>
              <w:bottom w:val="single" w:sz="6" w:space="0" w:color="auto"/>
              <w:right w:val="single" w:sz="6" w:space="0" w:color="auto"/>
            </w:tcBorders>
            <w:vAlign w:val="center"/>
          </w:tcPr>
          <w:p w:rsidR="00784431" w:rsidRPr="00563CF9" w:rsidRDefault="00784431" w:rsidP="00A21943">
            <w:pPr>
              <w:keepNext/>
              <w:autoSpaceDE w:val="0"/>
              <w:autoSpaceDN w:val="0"/>
              <w:adjustRightInd w:val="0"/>
              <w:ind w:right="46"/>
              <w:jc w:val="right"/>
              <w:rPr>
                <w:rFonts w:ascii="Calibri" w:hAnsi="Calibri" w:cs="Calibri"/>
                <w:color w:val="000000"/>
                <w:sz w:val="20"/>
                <w:lang w:val="en-GB"/>
              </w:rPr>
            </w:pPr>
            <w:r w:rsidRPr="00563CF9">
              <w:rPr>
                <w:sz w:val="20"/>
                <w:lang w:val="en-GB" w:bidi="en-GB"/>
              </w:rPr>
              <w:t>45,363,002.75</w:t>
            </w:r>
          </w:p>
        </w:tc>
      </w:tr>
      <w:tr w:rsidR="00784431" w:rsidRPr="00563CF9" w:rsidTr="00BA09ED">
        <w:trPr>
          <w:trHeight w:val="283"/>
        </w:trPr>
        <w:tc>
          <w:tcPr>
            <w:tcW w:w="907" w:type="pct"/>
            <w:vMerge w:val="restart"/>
            <w:tcBorders>
              <w:top w:val="single" w:sz="6" w:space="0" w:color="auto"/>
              <w:left w:val="single" w:sz="6" w:space="0" w:color="auto"/>
              <w:right w:val="single" w:sz="6" w:space="0" w:color="auto"/>
            </w:tcBorders>
            <w:shd w:val="clear" w:color="auto" w:fill="auto"/>
            <w:vAlign w:val="center"/>
          </w:tcPr>
          <w:p w:rsidR="00784431" w:rsidRPr="00563CF9" w:rsidRDefault="00784431" w:rsidP="00A21943">
            <w:pPr>
              <w:keepNext/>
              <w:autoSpaceDE w:val="0"/>
              <w:autoSpaceDN w:val="0"/>
              <w:adjustRightInd w:val="0"/>
              <w:jc w:val="left"/>
              <w:rPr>
                <w:rFonts w:ascii="Calibri" w:hAnsi="Calibri" w:cs="Calibri"/>
                <w:b/>
                <w:bCs/>
                <w:color w:val="000000"/>
                <w:sz w:val="20"/>
                <w:lang w:val="en-GB"/>
              </w:rPr>
            </w:pPr>
            <w:r w:rsidRPr="00563CF9">
              <w:rPr>
                <w:b/>
                <w:sz w:val="20"/>
                <w:lang w:val="en-GB" w:bidi="en-GB"/>
              </w:rPr>
              <w:t>CMH</w:t>
            </w:r>
          </w:p>
        </w:tc>
        <w:tc>
          <w:tcPr>
            <w:tcW w:w="1574" w:type="pct"/>
            <w:tcBorders>
              <w:top w:val="single" w:sz="6" w:space="0" w:color="auto"/>
              <w:left w:val="single" w:sz="6" w:space="0" w:color="auto"/>
              <w:bottom w:val="single" w:sz="6" w:space="0" w:color="auto"/>
              <w:right w:val="single" w:sz="6" w:space="0" w:color="auto"/>
            </w:tcBorders>
            <w:shd w:val="clear" w:color="auto" w:fill="auto"/>
            <w:vAlign w:val="center"/>
          </w:tcPr>
          <w:p w:rsidR="00784431" w:rsidRPr="00563CF9" w:rsidRDefault="00784431" w:rsidP="00A21943">
            <w:pPr>
              <w:keepNext/>
              <w:autoSpaceDE w:val="0"/>
              <w:autoSpaceDN w:val="0"/>
              <w:adjustRightInd w:val="0"/>
              <w:jc w:val="left"/>
              <w:rPr>
                <w:rFonts w:ascii="Calibri" w:hAnsi="Calibri" w:cs="Calibri"/>
                <w:b/>
                <w:bCs/>
                <w:color w:val="000000"/>
                <w:sz w:val="20"/>
                <w:lang w:val="en-GB"/>
              </w:rPr>
            </w:pPr>
            <w:r w:rsidRPr="00563CF9">
              <w:rPr>
                <w:b/>
                <w:sz w:val="20"/>
                <w:lang w:val="en-GB" w:bidi="en-GB"/>
              </w:rPr>
              <w:t>Profit</w:t>
            </w:r>
          </w:p>
        </w:tc>
        <w:tc>
          <w:tcPr>
            <w:tcW w:w="840" w:type="pct"/>
            <w:tcBorders>
              <w:top w:val="single" w:sz="6" w:space="0" w:color="auto"/>
              <w:left w:val="single" w:sz="6" w:space="0" w:color="auto"/>
              <w:bottom w:val="single" w:sz="6" w:space="0" w:color="auto"/>
              <w:right w:val="single" w:sz="6" w:space="0" w:color="auto"/>
            </w:tcBorders>
            <w:shd w:val="clear" w:color="auto" w:fill="auto"/>
            <w:vAlign w:val="center"/>
          </w:tcPr>
          <w:p w:rsidR="00784431" w:rsidRPr="00563CF9" w:rsidRDefault="00784431" w:rsidP="00A21943">
            <w:pPr>
              <w:keepNext/>
              <w:autoSpaceDE w:val="0"/>
              <w:autoSpaceDN w:val="0"/>
              <w:adjustRightInd w:val="0"/>
              <w:ind w:right="46"/>
              <w:jc w:val="right"/>
              <w:rPr>
                <w:rFonts w:ascii="Calibri" w:hAnsi="Calibri" w:cs="Calibri"/>
                <w:b/>
                <w:bCs/>
                <w:color w:val="000000"/>
                <w:sz w:val="20"/>
                <w:lang w:val="en-GB"/>
              </w:rPr>
            </w:pPr>
            <w:r w:rsidRPr="00563CF9">
              <w:rPr>
                <w:b/>
                <w:sz w:val="20"/>
                <w:lang w:val="en-GB" w:bidi="en-GB"/>
              </w:rPr>
              <w:t>1,072,043.87</w:t>
            </w:r>
          </w:p>
        </w:tc>
        <w:tc>
          <w:tcPr>
            <w:tcW w:w="840" w:type="pct"/>
            <w:tcBorders>
              <w:top w:val="single" w:sz="6" w:space="0" w:color="auto"/>
              <w:left w:val="single" w:sz="6" w:space="0" w:color="auto"/>
              <w:bottom w:val="single" w:sz="6" w:space="0" w:color="auto"/>
              <w:right w:val="single" w:sz="6" w:space="0" w:color="auto"/>
            </w:tcBorders>
            <w:shd w:val="clear" w:color="auto" w:fill="auto"/>
            <w:vAlign w:val="center"/>
          </w:tcPr>
          <w:p w:rsidR="00784431" w:rsidRPr="00563CF9" w:rsidRDefault="00784431" w:rsidP="00A21943">
            <w:pPr>
              <w:keepNext/>
              <w:autoSpaceDE w:val="0"/>
              <w:autoSpaceDN w:val="0"/>
              <w:adjustRightInd w:val="0"/>
              <w:ind w:right="46"/>
              <w:jc w:val="right"/>
              <w:rPr>
                <w:rFonts w:ascii="Calibri" w:hAnsi="Calibri" w:cs="Calibri"/>
                <w:b/>
                <w:bCs/>
                <w:color w:val="000000"/>
                <w:sz w:val="20"/>
                <w:lang w:val="en-GB"/>
              </w:rPr>
            </w:pPr>
            <w:r w:rsidRPr="00563CF9">
              <w:rPr>
                <w:b/>
                <w:sz w:val="20"/>
                <w:lang w:val="en-GB" w:bidi="en-GB"/>
              </w:rPr>
              <w:t>1,004,517.01</w:t>
            </w:r>
          </w:p>
        </w:tc>
        <w:tc>
          <w:tcPr>
            <w:tcW w:w="839" w:type="pct"/>
            <w:tcBorders>
              <w:top w:val="single" w:sz="6" w:space="0" w:color="auto"/>
              <w:left w:val="single" w:sz="6" w:space="0" w:color="auto"/>
              <w:bottom w:val="single" w:sz="6" w:space="0" w:color="auto"/>
              <w:right w:val="single" w:sz="6" w:space="0" w:color="auto"/>
            </w:tcBorders>
            <w:shd w:val="clear" w:color="auto" w:fill="auto"/>
            <w:vAlign w:val="center"/>
          </w:tcPr>
          <w:p w:rsidR="00784431" w:rsidRPr="00563CF9" w:rsidRDefault="00784431" w:rsidP="00A21943">
            <w:pPr>
              <w:keepNext/>
              <w:autoSpaceDE w:val="0"/>
              <w:autoSpaceDN w:val="0"/>
              <w:adjustRightInd w:val="0"/>
              <w:ind w:right="46"/>
              <w:jc w:val="right"/>
              <w:rPr>
                <w:rFonts w:ascii="Calibri" w:hAnsi="Calibri" w:cs="Calibri"/>
                <w:b/>
                <w:bCs/>
                <w:color w:val="000000"/>
                <w:sz w:val="20"/>
                <w:lang w:val="en-GB"/>
              </w:rPr>
            </w:pPr>
            <w:r w:rsidRPr="00563CF9">
              <w:rPr>
                <w:b/>
                <w:sz w:val="20"/>
                <w:lang w:val="en-GB" w:bidi="en-GB"/>
              </w:rPr>
              <w:t>852,748.00</w:t>
            </w:r>
          </w:p>
        </w:tc>
      </w:tr>
      <w:tr w:rsidR="00784431" w:rsidRPr="00563CF9" w:rsidTr="00BA09ED">
        <w:trPr>
          <w:trHeight w:val="283"/>
        </w:trPr>
        <w:tc>
          <w:tcPr>
            <w:tcW w:w="907" w:type="pct"/>
            <w:vMerge/>
            <w:tcBorders>
              <w:left w:val="single" w:sz="6" w:space="0" w:color="auto"/>
              <w:right w:val="single" w:sz="6" w:space="0" w:color="auto"/>
            </w:tcBorders>
            <w:vAlign w:val="center"/>
          </w:tcPr>
          <w:p w:rsidR="00784431" w:rsidRPr="00563CF9" w:rsidRDefault="00784431" w:rsidP="00A21943">
            <w:pPr>
              <w:keepNext/>
              <w:autoSpaceDE w:val="0"/>
              <w:autoSpaceDN w:val="0"/>
              <w:adjustRightInd w:val="0"/>
              <w:jc w:val="left"/>
              <w:rPr>
                <w:rFonts w:ascii="Calibri" w:hAnsi="Calibri" w:cs="Calibri"/>
                <w:b/>
                <w:bCs/>
                <w:color w:val="000000"/>
                <w:sz w:val="20"/>
                <w:lang w:val="en-GB"/>
              </w:rPr>
            </w:pPr>
          </w:p>
        </w:tc>
        <w:tc>
          <w:tcPr>
            <w:tcW w:w="1574" w:type="pct"/>
            <w:tcBorders>
              <w:top w:val="single" w:sz="6" w:space="0" w:color="auto"/>
              <w:left w:val="single" w:sz="6" w:space="0" w:color="auto"/>
              <w:bottom w:val="single" w:sz="6" w:space="0" w:color="auto"/>
              <w:right w:val="single" w:sz="6" w:space="0" w:color="auto"/>
            </w:tcBorders>
            <w:vAlign w:val="center"/>
          </w:tcPr>
          <w:p w:rsidR="00784431" w:rsidRPr="00563CF9" w:rsidRDefault="00784431" w:rsidP="00A21943">
            <w:pPr>
              <w:keepNext/>
              <w:autoSpaceDE w:val="0"/>
              <w:autoSpaceDN w:val="0"/>
              <w:adjustRightInd w:val="0"/>
              <w:jc w:val="left"/>
              <w:rPr>
                <w:rFonts w:ascii="Calibri" w:hAnsi="Calibri" w:cs="Calibri"/>
                <w:color w:val="000000"/>
                <w:sz w:val="20"/>
                <w:lang w:val="en-GB"/>
              </w:rPr>
            </w:pPr>
            <w:r w:rsidRPr="00563CF9">
              <w:rPr>
                <w:sz w:val="20"/>
                <w:lang w:val="en-GB" w:bidi="en-GB"/>
              </w:rPr>
              <w:t xml:space="preserve">Main activity </w:t>
            </w:r>
          </w:p>
        </w:tc>
        <w:tc>
          <w:tcPr>
            <w:tcW w:w="840" w:type="pct"/>
            <w:tcBorders>
              <w:top w:val="single" w:sz="6" w:space="0" w:color="auto"/>
              <w:left w:val="single" w:sz="6" w:space="0" w:color="auto"/>
              <w:bottom w:val="single" w:sz="6" w:space="0" w:color="auto"/>
              <w:right w:val="single" w:sz="6" w:space="0" w:color="auto"/>
            </w:tcBorders>
            <w:vAlign w:val="center"/>
          </w:tcPr>
          <w:p w:rsidR="00784431" w:rsidRPr="00563CF9" w:rsidRDefault="00964E70" w:rsidP="00A21943">
            <w:pPr>
              <w:keepNext/>
              <w:autoSpaceDE w:val="0"/>
              <w:autoSpaceDN w:val="0"/>
              <w:adjustRightInd w:val="0"/>
              <w:ind w:right="46"/>
              <w:jc w:val="right"/>
              <w:rPr>
                <w:rFonts w:ascii="Calibri" w:hAnsi="Calibri" w:cs="Calibri"/>
                <w:color w:val="000000"/>
                <w:sz w:val="20"/>
                <w:lang w:val="en-GB"/>
              </w:rPr>
            </w:pPr>
            <w:r w:rsidRPr="00563CF9">
              <w:rPr>
                <w:sz w:val="20"/>
                <w:lang w:val="en-GB" w:bidi="en-GB"/>
              </w:rPr>
              <w:sym w:font="Symbol" w:char="F02D"/>
            </w:r>
            <w:r w:rsidR="00784431" w:rsidRPr="00563CF9">
              <w:rPr>
                <w:sz w:val="20"/>
                <w:lang w:val="en-GB" w:bidi="en-GB"/>
              </w:rPr>
              <w:t>2,157,056.72</w:t>
            </w:r>
          </w:p>
        </w:tc>
        <w:tc>
          <w:tcPr>
            <w:tcW w:w="840" w:type="pct"/>
            <w:tcBorders>
              <w:top w:val="single" w:sz="6" w:space="0" w:color="auto"/>
              <w:left w:val="single" w:sz="6" w:space="0" w:color="auto"/>
              <w:bottom w:val="single" w:sz="6" w:space="0" w:color="auto"/>
              <w:right w:val="single" w:sz="6" w:space="0" w:color="auto"/>
            </w:tcBorders>
            <w:vAlign w:val="center"/>
          </w:tcPr>
          <w:p w:rsidR="00784431" w:rsidRPr="00563CF9" w:rsidRDefault="00964E70" w:rsidP="00A21943">
            <w:pPr>
              <w:keepNext/>
              <w:autoSpaceDE w:val="0"/>
              <w:autoSpaceDN w:val="0"/>
              <w:adjustRightInd w:val="0"/>
              <w:ind w:right="46"/>
              <w:jc w:val="right"/>
              <w:rPr>
                <w:rFonts w:ascii="Calibri" w:hAnsi="Calibri" w:cs="Calibri"/>
                <w:color w:val="000000"/>
                <w:sz w:val="20"/>
                <w:lang w:val="en-GB"/>
              </w:rPr>
            </w:pPr>
            <w:r w:rsidRPr="00563CF9">
              <w:rPr>
                <w:sz w:val="20"/>
                <w:lang w:val="en-GB" w:bidi="en-GB"/>
              </w:rPr>
              <w:sym w:font="Symbol" w:char="F02D"/>
            </w:r>
            <w:r w:rsidR="00784431" w:rsidRPr="00563CF9">
              <w:rPr>
                <w:sz w:val="20"/>
                <w:lang w:val="en-GB" w:bidi="en-GB"/>
              </w:rPr>
              <w:t>3,034,088.45</w:t>
            </w:r>
          </w:p>
        </w:tc>
        <w:tc>
          <w:tcPr>
            <w:tcW w:w="839" w:type="pct"/>
            <w:tcBorders>
              <w:top w:val="single" w:sz="6" w:space="0" w:color="auto"/>
              <w:left w:val="single" w:sz="6" w:space="0" w:color="auto"/>
              <w:bottom w:val="single" w:sz="6" w:space="0" w:color="auto"/>
              <w:right w:val="single" w:sz="6" w:space="0" w:color="auto"/>
            </w:tcBorders>
            <w:vAlign w:val="center"/>
          </w:tcPr>
          <w:p w:rsidR="00784431" w:rsidRPr="00563CF9" w:rsidRDefault="00964E70" w:rsidP="00A21943">
            <w:pPr>
              <w:keepNext/>
              <w:autoSpaceDE w:val="0"/>
              <w:autoSpaceDN w:val="0"/>
              <w:adjustRightInd w:val="0"/>
              <w:ind w:right="46"/>
              <w:jc w:val="right"/>
              <w:rPr>
                <w:rFonts w:ascii="Calibri" w:hAnsi="Calibri" w:cs="Calibri"/>
                <w:color w:val="000000"/>
                <w:sz w:val="20"/>
                <w:lang w:val="en-GB"/>
              </w:rPr>
            </w:pPr>
            <w:r w:rsidRPr="00563CF9">
              <w:rPr>
                <w:sz w:val="20"/>
                <w:lang w:val="en-GB" w:bidi="en-GB"/>
              </w:rPr>
              <w:sym w:font="Symbol" w:char="F02D"/>
            </w:r>
            <w:r w:rsidR="00784431" w:rsidRPr="00563CF9">
              <w:rPr>
                <w:sz w:val="20"/>
                <w:lang w:val="en-GB" w:bidi="en-GB"/>
              </w:rPr>
              <w:t>3,288,718.26</w:t>
            </w:r>
          </w:p>
        </w:tc>
      </w:tr>
      <w:tr w:rsidR="00784431" w:rsidRPr="00563CF9" w:rsidTr="00BA09ED">
        <w:trPr>
          <w:trHeight w:val="283"/>
        </w:trPr>
        <w:tc>
          <w:tcPr>
            <w:tcW w:w="907" w:type="pct"/>
            <w:vMerge/>
            <w:tcBorders>
              <w:left w:val="single" w:sz="6" w:space="0" w:color="auto"/>
              <w:bottom w:val="single" w:sz="6" w:space="0" w:color="auto"/>
              <w:right w:val="single" w:sz="6" w:space="0" w:color="auto"/>
            </w:tcBorders>
          </w:tcPr>
          <w:p w:rsidR="00784431" w:rsidRPr="00563CF9" w:rsidRDefault="00784431" w:rsidP="00A21943">
            <w:pPr>
              <w:keepNext/>
              <w:autoSpaceDE w:val="0"/>
              <w:autoSpaceDN w:val="0"/>
              <w:adjustRightInd w:val="0"/>
              <w:jc w:val="center"/>
              <w:rPr>
                <w:rFonts w:ascii="Calibri" w:hAnsi="Calibri" w:cs="Calibri"/>
                <w:b/>
                <w:bCs/>
                <w:color w:val="000000"/>
                <w:sz w:val="20"/>
                <w:lang w:val="en-GB"/>
              </w:rPr>
            </w:pPr>
          </w:p>
        </w:tc>
        <w:tc>
          <w:tcPr>
            <w:tcW w:w="1574" w:type="pct"/>
            <w:tcBorders>
              <w:top w:val="single" w:sz="6" w:space="0" w:color="auto"/>
              <w:left w:val="single" w:sz="6" w:space="0" w:color="auto"/>
              <w:bottom w:val="single" w:sz="6" w:space="0" w:color="auto"/>
              <w:right w:val="single" w:sz="6" w:space="0" w:color="auto"/>
            </w:tcBorders>
            <w:vAlign w:val="center"/>
          </w:tcPr>
          <w:p w:rsidR="00784431" w:rsidRPr="00563CF9" w:rsidRDefault="00784431" w:rsidP="00A21943">
            <w:pPr>
              <w:keepNext/>
              <w:autoSpaceDE w:val="0"/>
              <w:autoSpaceDN w:val="0"/>
              <w:adjustRightInd w:val="0"/>
              <w:jc w:val="left"/>
              <w:rPr>
                <w:rFonts w:ascii="Calibri" w:hAnsi="Calibri" w:cs="Calibri"/>
                <w:color w:val="000000"/>
                <w:sz w:val="20"/>
                <w:lang w:val="en-GB"/>
              </w:rPr>
            </w:pPr>
            <w:r w:rsidRPr="00563CF9">
              <w:rPr>
                <w:sz w:val="20"/>
                <w:lang w:val="en-GB" w:bidi="en-GB"/>
              </w:rPr>
              <w:t>Other (economic) activity</w:t>
            </w:r>
          </w:p>
        </w:tc>
        <w:tc>
          <w:tcPr>
            <w:tcW w:w="840" w:type="pct"/>
            <w:tcBorders>
              <w:top w:val="single" w:sz="6" w:space="0" w:color="auto"/>
              <w:left w:val="single" w:sz="6" w:space="0" w:color="auto"/>
              <w:bottom w:val="single" w:sz="6" w:space="0" w:color="auto"/>
              <w:right w:val="single" w:sz="6" w:space="0" w:color="auto"/>
            </w:tcBorders>
            <w:vAlign w:val="center"/>
          </w:tcPr>
          <w:p w:rsidR="00784431" w:rsidRPr="00563CF9" w:rsidRDefault="00784431" w:rsidP="00A21943">
            <w:pPr>
              <w:keepNext/>
              <w:autoSpaceDE w:val="0"/>
              <w:autoSpaceDN w:val="0"/>
              <w:adjustRightInd w:val="0"/>
              <w:ind w:right="46"/>
              <w:jc w:val="right"/>
              <w:rPr>
                <w:rFonts w:ascii="Calibri" w:hAnsi="Calibri" w:cs="Calibri"/>
                <w:color w:val="000000"/>
                <w:sz w:val="20"/>
                <w:lang w:val="en-GB"/>
              </w:rPr>
            </w:pPr>
            <w:r w:rsidRPr="00563CF9">
              <w:rPr>
                <w:sz w:val="20"/>
                <w:lang w:val="en-GB" w:bidi="en-GB"/>
              </w:rPr>
              <w:t>3,229,100.59</w:t>
            </w:r>
          </w:p>
        </w:tc>
        <w:tc>
          <w:tcPr>
            <w:tcW w:w="840" w:type="pct"/>
            <w:tcBorders>
              <w:top w:val="single" w:sz="6" w:space="0" w:color="auto"/>
              <w:left w:val="single" w:sz="6" w:space="0" w:color="auto"/>
              <w:bottom w:val="single" w:sz="6" w:space="0" w:color="auto"/>
              <w:right w:val="single" w:sz="6" w:space="0" w:color="auto"/>
            </w:tcBorders>
            <w:vAlign w:val="center"/>
          </w:tcPr>
          <w:p w:rsidR="00784431" w:rsidRPr="00563CF9" w:rsidRDefault="00784431" w:rsidP="00A21943">
            <w:pPr>
              <w:keepNext/>
              <w:autoSpaceDE w:val="0"/>
              <w:autoSpaceDN w:val="0"/>
              <w:adjustRightInd w:val="0"/>
              <w:ind w:right="46"/>
              <w:jc w:val="right"/>
              <w:rPr>
                <w:rFonts w:ascii="Calibri" w:hAnsi="Calibri" w:cs="Calibri"/>
                <w:color w:val="000000"/>
                <w:sz w:val="20"/>
                <w:lang w:val="en-GB"/>
              </w:rPr>
            </w:pPr>
            <w:r w:rsidRPr="00563CF9">
              <w:rPr>
                <w:sz w:val="20"/>
                <w:lang w:val="en-GB" w:bidi="en-GB"/>
              </w:rPr>
              <w:t>4,038,605.46</w:t>
            </w:r>
          </w:p>
        </w:tc>
        <w:tc>
          <w:tcPr>
            <w:tcW w:w="839" w:type="pct"/>
            <w:tcBorders>
              <w:top w:val="single" w:sz="6" w:space="0" w:color="auto"/>
              <w:left w:val="single" w:sz="6" w:space="0" w:color="auto"/>
              <w:bottom w:val="single" w:sz="6" w:space="0" w:color="auto"/>
              <w:right w:val="single" w:sz="6" w:space="0" w:color="auto"/>
            </w:tcBorders>
            <w:vAlign w:val="center"/>
          </w:tcPr>
          <w:p w:rsidR="00784431" w:rsidRPr="00563CF9" w:rsidRDefault="00784431" w:rsidP="00A21943">
            <w:pPr>
              <w:keepNext/>
              <w:autoSpaceDE w:val="0"/>
              <w:autoSpaceDN w:val="0"/>
              <w:adjustRightInd w:val="0"/>
              <w:ind w:right="46"/>
              <w:jc w:val="right"/>
              <w:rPr>
                <w:rFonts w:ascii="Calibri" w:hAnsi="Calibri" w:cs="Calibri"/>
                <w:color w:val="000000"/>
                <w:sz w:val="20"/>
                <w:lang w:val="en-GB"/>
              </w:rPr>
            </w:pPr>
            <w:r w:rsidRPr="00563CF9">
              <w:rPr>
                <w:sz w:val="20"/>
                <w:lang w:val="en-GB" w:bidi="en-GB"/>
              </w:rPr>
              <w:t>4,141,466.26</w:t>
            </w:r>
          </w:p>
        </w:tc>
      </w:tr>
    </w:tbl>
    <w:p w:rsidR="00A83EDB" w:rsidRPr="00563CF9" w:rsidRDefault="00A83EDB" w:rsidP="00A21943">
      <w:pPr>
        <w:pStyle w:val="Zdroj"/>
        <w:keepNext/>
        <w:spacing w:before="40"/>
        <w:ind w:left="0"/>
        <w:rPr>
          <w:i w:val="0"/>
          <w:lang w:val="en-GB"/>
        </w:rPr>
      </w:pPr>
      <w:r w:rsidRPr="00563CF9">
        <w:rPr>
          <w:b/>
          <w:i w:val="0"/>
          <w:lang w:val="en-GB" w:bidi="en-GB"/>
        </w:rPr>
        <w:t xml:space="preserve">Source: </w:t>
      </w:r>
      <w:r w:rsidR="00964E70" w:rsidRPr="00563CF9">
        <w:rPr>
          <w:i w:val="0"/>
          <w:lang w:val="en-GB" w:bidi="en-GB"/>
        </w:rPr>
        <w:t>financial statements and profit and loss statements of the university hospitals as of 31 December 2014, 31 December 2015 and 31 December 2016.</w:t>
      </w:r>
    </w:p>
    <w:p w:rsidR="00A83EDB" w:rsidRPr="00563CF9" w:rsidRDefault="00A83EDB" w:rsidP="0077471E">
      <w:pPr>
        <w:autoSpaceDE w:val="0"/>
        <w:autoSpaceDN w:val="0"/>
        <w:adjustRightInd w:val="0"/>
        <w:spacing w:before="120"/>
        <w:rPr>
          <w:rFonts w:cs="Arial"/>
          <w:lang w:val="en-GB"/>
        </w:rPr>
      </w:pPr>
      <w:r w:rsidRPr="00563CF9">
        <w:rPr>
          <w:lang w:val="en-GB" w:bidi="en-GB"/>
        </w:rPr>
        <w:t xml:space="preserve">In the period under review of 2014 to 2016, all the university hospitals reported a positive after-tax profit as of 31 December. The result of the main activity was loss for all the university hospitals, and the positive overall financial results of the university hospitals were due to a positive economic result from other (economic) activities. Other economic activities included catering for external persons, parking, laundry, sales in the public pharmacy and accommodation services. The increase in the loss from the main activity is due to, among other things, an increase in the cost of pharmaceuticals. </w:t>
      </w:r>
    </w:p>
    <w:p w:rsidR="00A83EDB" w:rsidRPr="00563CF9" w:rsidRDefault="00A83EDB" w:rsidP="004C3B13">
      <w:pPr>
        <w:spacing w:before="240" w:after="120"/>
        <w:rPr>
          <w:rFonts w:cstheme="minorHAnsi"/>
          <w:b/>
          <w:noProof/>
          <w:color w:val="000000" w:themeColor="text1"/>
          <w:szCs w:val="26"/>
          <w:lang w:val="en-GB"/>
        </w:rPr>
      </w:pPr>
      <w:r w:rsidRPr="00563CF9">
        <w:rPr>
          <w:b/>
          <w:noProof/>
          <w:lang w:val="en-GB" w:bidi="en-GB"/>
        </w:rPr>
        <w:t>Costs of audited university hospitals</w:t>
      </w:r>
    </w:p>
    <w:p w:rsidR="00A83EDB" w:rsidRPr="00563CF9" w:rsidRDefault="00A83EDB" w:rsidP="0077471E">
      <w:pPr>
        <w:spacing w:before="120"/>
        <w:rPr>
          <w:rFonts w:cstheme="minorHAnsi"/>
          <w:noProof/>
          <w:color w:val="000000" w:themeColor="text1"/>
          <w:szCs w:val="28"/>
          <w:lang w:val="en-GB"/>
        </w:rPr>
      </w:pPr>
      <w:r w:rsidRPr="00563CF9">
        <w:rPr>
          <w:noProof/>
          <w:lang w:val="en-GB" w:bidi="en-GB"/>
        </w:rPr>
        <w:t>The share of the costs of consumed purchases, services and personnel costs in the total costs for the period 2014 to 2016 broken down by the individual university hospitals is shown in the following table:</w:t>
      </w:r>
    </w:p>
    <w:p w:rsidR="00A83EDB" w:rsidRPr="00563CF9" w:rsidRDefault="00CC64C6" w:rsidP="00CC64C6">
      <w:pPr>
        <w:spacing w:before="120" w:after="40"/>
        <w:ind w:left="1276" w:hanging="1276"/>
        <w:rPr>
          <w:rFonts w:cstheme="minorHAnsi"/>
          <w:b/>
          <w:noProof/>
          <w:color w:val="000000" w:themeColor="text1"/>
          <w:szCs w:val="28"/>
          <w:lang w:val="en-GB"/>
        </w:rPr>
      </w:pPr>
      <w:r w:rsidRPr="00563CF9">
        <w:rPr>
          <w:b/>
          <w:noProof/>
          <w:lang w:val="en-GB" w:bidi="en-GB"/>
        </w:rPr>
        <w:t>Table 4:</w:t>
      </w:r>
      <w:r w:rsidRPr="00563CF9">
        <w:rPr>
          <w:b/>
          <w:noProof/>
          <w:lang w:val="en-GB" w:bidi="en-GB"/>
        </w:rPr>
        <w:tab/>
        <w:t>Share of consumed purchases, services and personnel costs in total costs</w:t>
      </w:r>
    </w:p>
    <w:tbl>
      <w:tblPr>
        <w:tblW w:w="5000" w:type="pct"/>
        <w:tblCellMar>
          <w:left w:w="70" w:type="dxa"/>
          <w:right w:w="70" w:type="dxa"/>
        </w:tblCellMar>
        <w:tblLook w:val="04A0" w:firstRow="1" w:lastRow="0" w:firstColumn="1" w:lastColumn="0" w:noHBand="0" w:noVBand="1"/>
      </w:tblPr>
      <w:tblGrid>
        <w:gridCol w:w="572"/>
        <w:gridCol w:w="546"/>
        <w:gridCol w:w="1410"/>
        <w:gridCol w:w="1498"/>
        <w:gridCol w:w="910"/>
        <w:gridCol w:w="1361"/>
        <w:gridCol w:w="777"/>
        <w:gridCol w:w="1361"/>
        <w:gridCol w:w="777"/>
      </w:tblGrid>
      <w:tr w:rsidR="00A83EDB" w:rsidRPr="00563CF9" w:rsidTr="00784431">
        <w:trPr>
          <w:trHeight w:val="244"/>
        </w:trPr>
        <w:tc>
          <w:tcPr>
            <w:tcW w:w="643" w:type="pct"/>
            <w:gridSpan w:val="2"/>
            <w:vMerge w:val="restart"/>
            <w:tcBorders>
              <w:top w:val="single" w:sz="4" w:space="0" w:color="auto"/>
              <w:left w:val="single" w:sz="4" w:space="0" w:color="auto"/>
              <w:bottom w:val="single" w:sz="4" w:space="0" w:color="000000"/>
              <w:right w:val="single" w:sz="4" w:space="0" w:color="000000"/>
            </w:tcBorders>
            <w:shd w:val="clear" w:color="000000" w:fill="E5F1FF"/>
            <w:noWrap/>
            <w:vAlign w:val="bottom"/>
            <w:hideMark/>
          </w:tcPr>
          <w:p w:rsidR="00A83EDB" w:rsidRPr="00563CF9" w:rsidRDefault="00A83EDB" w:rsidP="00A62436">
            <w:pPr>
              <w:jc w:val="center"/>
              <w:rPr>
                <w:rFonts w:ascii="Calibri" w:hAnsi="Calibri" w:cs="Calibri"/>
                <w:b/>
                <w:bCs/>
                <w:color w:val="000000"/>
                <w:sz w:val="20"/>
                <w:lang w:val="en-GB"/>
              </w:rPr>
            </w:pPr>
            <w:r w:rsidRPr="00563CF9">
              <w:rPr>
                <w:sz w:val="20"/>
                <w:lang w:val="en-GB" w:bidi="en-GB"/>
              </w:rPr>
              <w:t> </w:t>
            </w:r>
          </w:p>
        </w:tc>
        <w:tc>
          <w:tcPr>
            <w:tcW w:w="787" w:type="pct"/>
            <w:vMerge w:val="restart"/>
            <w:tcBorders>
              <w:top w:val="single" w:sz="4" w:space="0" w:color="auto"/>
              <w:left w:val="single" w:sz="4" w:space="0" w:color="auto"/>
              <w:bottom w:val="single" w:sz="4" w:space="0" w:color="000000"/>
              <w:right w:val="single" w:sz="4" w:space="0" w:color="auto"/>
            </w:tcBorders>
            <w:shd w:val="clear" w:color="000000" w:fill="E5F1FF"/>
            <w:vAlign w:val="center"/>
            <w:hideMark/>
          </w:tcPr>
          <w:p w:rsidR="00A83EDB" w:rsidRPr="00563CF9" w:rsidRDefault="00A83EDB" w:rsidP="00784431">
            <w:pPr>
              <w:jc w:val="center"/>
              <w:rPr>
                <w:rFonts w:ascii="Calibri" w:hAnsi="Calibri" w:cs="Calibri"/>
                <w:b/>
                <w:bCs/>
                <w:color w:val="000000"/>
                <w:sz w:val="20"/>
                <w:lang w:val="en-GB"/>
              </w:rPr>
            </w:pPr>
            <w:r w:rsidRPr="00563CF9">
              <w:rPr>
                <w:b/>
                <w:sz w:val="20"/>
                <w:lang w:val="en-GB" w:bidi="en-GB"/>
              </w:rPr>
              <w:t xml:space="preserve">Total costs </w:t>
            </w:r>
            <w:r w:rsidRPr="00563CF9">
              <w:rPr>
                <w:b/>
                <w:sz w:val="20"/>
                <w:lang w:val="en-GB" w:bidi="en-GB"/>
              </w:rPr>
              <w:br/>
              <w:t>(Class 5)</w:t>
            </w:r>
          </w:p>
        </w:tc>
        <w:tc>
          <w:tcPr>
            <w:tcW w:w="3570" w:type="pct"/>
            <w:gridSpan w:val="6"/>
            <w:tcBorders>
              <w:top w:val="single" w:sz="4" w:space="0" w:color="auto"/>
              <w:left w:val="nil"/>
              <w:bottom w:val="single" w:sz="4" w:space="0" w:color="auto"/>
              <w:right w:val="single" w:sz="4" w:space="0" w:color="000000"/>
            </w:tcBorders>
            <w:shd w:val="clear" w:color="000000" w:fill="E5F1FF"/>
            <w:noWrap/>
            <w:vAlign w:val="center"/>
            <w:hideMark/>
          </w:tcPr>
          <w:p w:rsidR="00A83EDB" w:rsidRPr="00563CF9" w:rsidRDefault="00A83EDB" w:rsidP="00784431">
            <w:pPr>
              <w:jc w:val="center"/>
              <w:rPr>
                <w:rFonts w:ascii="Calibri" w:hAnsi="Calibri" w:cs="Calibri"/>
                <w:b/>
                <w:bCs/>
                <w:color w:val="000000"/>
                <w:sz w:val="20"/>
                <w:lang w:val="en-GB"/>
              </w:rPr>
            </w:pPr>
            <w:r w:rsidRPr="00563CF9">
              <w:rPr>
                <w:b/>
                <w:sz w:val="20"/>
                <w:lang w:val="en-GB" w:bidi="en-GB"/>
              </w:rPr>
              <w:t>Of this account groups</w:t>
            </w:r>
          </w:p>
        </w:tc>
      </w:tr>
      <w:tr w:rsidR="00A83EDB" w:rsidRPr="00563CF9" w:rsidTr="00784431">
        <w:trPr>
          <w:trHeight w:val="244"/>
        </w:trPr>
        <w:tc>
          <w:tcPr>
            <w:tcW w:w="643" w:type="pct"/>
            <w:gridSpan w:val="2"/>
            <w:vMerge/>
            <w:tcBorders>
              <w:top w:val="single" w:sz="4" w:space="0" w:color="auto"/>
              <w:left w:val="single" w:sz="4" w:space="0" w:color="auto"/>
              <w:bottom w:val="single" w:sz="4" w:space="0" w:color="000000"/>
              <w:right w:val="single" w:sz="4" w:space="0" w:color="000000"/>
            </w:tcBorders>
            <w:vAlign w:val="center"/>
            <w:hideMark/>
          </w:tcPr>
          <w:p w:rsidR="00A83EDB" w:rsidRPr="00563CF9" w:rsidRDefault="00A83EDB" w:rsidP="00A62436">
            <w:pPr>
              <w:jc w:val="left"/>
              <w:rPr>
                <w:rFonts w:ascii="Calibri" w:hAnsi="Calibri" w:cs="Calibri"/>
                <w:b/>
                <w:bCs/>
                <w:color w:val="000000"/>
                <w:sz w:val="20"/>
                <w:lang w:val="en-GB"/>
              </w:rPr>
            </w:pPr>
          </w:p>
        </w:tc>
        <w:tc>
          <w:tcPr>
            <w:tcW w:w="787" w:type="pct"/>
            <w:vMerge/>
            <w:tcBorders>
              <w:top w:val="single" w:sz="4" w:space="0" w:color="auto"/>
              <w:left w:val="single" w:sz="4" w:space="0" w:color="auto"/>
              <w:bottom w:val="single" w:sz="4" w:space="0" w:color="000000"/>
              <w:right w:val="single" w:sz="4" w:space="0" w:color="auto"/>
            </w:tcBorders>
            <w:vAlign w:val="center"/>
            <w:hideMark/>
          </w:tcPr>
          <w:p w:rsidR="00A83EDB" w:rsidRPr="00563CF9" w:rsidRDefault="00A83EDB" w:rsidP="00784431">
            <w:pPr>
              <w:jc w:val="center"/>
              <w:rPr>
                <w:rFonts w:ascii="Calibri" w:hAnsi="Calibri" w:cs="Calibri"/>
                <w:b/>
                <w:bCs/>
                <w:color w:val="000000"/>
                <w:sz w:val="20"/>
                <w:lang w:val="en-GB"/>
              </w:rPr>
            </w:pPr>
          </w:p>
        </w:tc>
        <w:tc>
          <w:tcPr>
            <w:tcW w:w="1345" w:type="pct"/>
            <w:gridSpan w:val="2"/>
            <w:tcBorders>
              <w:top w:val="single" w:sz="4" w:space="0" w:color="auto"/>
              <w:left w:val="nil"/>
              <w:bottom w:val="single" w:sz="4" w:space="0" w:color="auto"/>
              <w:right w:val="single" w:sz="4" w:space="0" w:color="000000"/>
            </w:tcBorders>
            <w:shd w:val="clear" w:color="000000" w:fill="E5F1FF"/>
            <w:noWrap/>
            <w:vAlign w:val="center"/>
            <w:hideMark/>
          </w:tcPr>
          <w:p w:rsidR="00A83EDB" w:rsidRPr="00563CF9" w:rsidRDefault="00A83EDB" w:rsidP="00CC64C6">
            <w:pPr>
              <w:jc w:val="center"/>
              <w:rPr>
                <w:rFonts w:ascii="Calibri" w:hAnsi="Calibri" w:cs="Calibri"/>
                <w:b/>
                <w:bCs/>
                <w:color w:val="000000"/>
                <w:sz w:val="20"/>
                <w:lang w:val="en-GB"/>
              </w:rPr>
            </w:pPr>
            <w:r w:rsidRPr="00563CF9">
              <w:rPr>
                <w:b/>
                <w:sz w:val="20"/>
                <w:lang w:val="en-GB" w:bidi="en-GB"/>
              </w:rPr>
              <w:t>50 – Consumed purchases</w:t>
            </w:r>
          </w:p>
        </w:tc>
        <w:tc>
          <w:tcPr>
            <w:tcW w:w="1068" w:type="pct"/>
            <w:gridSpan w:val="2"/>
            <w:tcBorders>
              <w:top w:val="single" w:sz="4" w:space="0" w:color="auto"/>
              <w:left w:val="nil"/>
              <w:bottom w:val="single" w:sz="4" w:space="0" w:color="auto"/>
              <w:right w:val="single" w:sz="4" w:space="0" w:color="000000"/>
            </w:tcBorders>
            <w:shd w:val="clear" w:color="000000" w:fill="E5F1FF"/>
            <w:noWrap/>
            <w:vAlign w:val="center"/>
            <w:hideMark/>
          </w:tcPr>
          <w:p w:rsidR="00A83EDB" w:rsidRPr="00563CF9" w:rsidRDefault="00A83EDB" w:rsidP="00CC64C6">
            <w:pPr>
              <w:jc w:val="center"/>
              <w:rPr>
                <w:rFonts w:ascii="Calibri" w:hAnsi="Calibri" w:cs="Calibri"/>
                <w:b/>
                <w:bCs/>
                <w:color w:val="000000"/>
                <w:sz w:val="20"/>
                <w:lang w:val="en-GB"/>
              </w:rPr>
            </w:pPr>
            <w:r w:rsidRPr="00563CF9">
              <w:rPr>
                <w:b/>
                <w:sz w:val="20"/>
                <w:lang w:val="en-GB" w:bidi="en-GB"/>
              </w:rPr>
              <w:t>51 – Services</w:t>
            </w:r>
          </w:p>
        </w:tc>
        <w:tc>
          <w:tcPr>
            <w:tcW w:w="1157" w:type="pct"/>
            <w:gridSpan w:val="2"/>
            <w:tcBorders>
              <w:top w:val="single" w:sz="4" w:space="0" w:color="auto"/>
              <w:left w:val="nil"/>
              <w:bottom w:val="single" w:sz="4" w:space="0" w:color="auto"/>
              <w:right w:val="single" w:sz="4" w:space="0" w:color="000000"/>
            </w:tcBorders>
            <w:shd w:val="clear" w:color="000000" w:fill="E5F1FF"/>
            <w:noWrap/>
            <w:vAlign w:val="center"/>
            <w:hideMark/>
          </w:tcPr>
          <w:p w:rsidR="00A83EDB" w:rsidRPr="00563CF9" w:rsidRDefault="00A83EDB" w:rsidP="00CC64C6">
            <w:pPr>
              <w:jc w:val="center"/>
              <w:rPr>
                <w:rFonts w:ascii="Calibri" w:hAnsi="Calibri" w:cs="Calibri"/>
                <w:b/>
                <w:bCs/>
                <w:color w:val="000000"/>
                <w:sz w:val="20"/>
                <w:lang w:val="en-GB"/>
              </w:rPr>
            </w:pPr>
            <w:r w:rsidRPr="00563CF9">
              <w:rPr>
                <w:b/>
                <w:sz w:val="20"/>
                <w:lang w:val="en-GB" w:bidi="en-GB"/>
              </w:rPr>
              <w:t>52 – Personnel costs</w:t>
            </w:r>
          </w:p>
        </w:tc>
      </w:tr>
      <w:tr w:rsidR="00A83EDB" w:rsidRPr="00563CF9" w:rsidTr="00784431">
        <w:trPr>
          <w:trHeight w:val="244"/>
        </w:trPr>
        <w:tc>
          <w:tcPr>
            <w:tcW w:w="643" w:type="pct"/>
            <w:gridSpan w:val="2"/>
            <w:vMerge/>
            <w:tcBorders>
              <w:top w:val="single" w:sz="4" w:space="0" w:color="auto"/>
              <w:left w:val="single" w:sz="4" w:space="0" w:color="auto"/>
              <w:bottom w:val="single" w:sz="4" w:space="0" w:color="000000"/>
              <w:right w:val="single" w:sz="4" w:space="0" w:color="000000"/>
            </w:tcBorders>
            <w:vAlign w:val="center"/>
            <w:hideMark/>
          </w:tcPr>
          <w:p w:rsidR="00A83EDB" w:rsidRPr="00563CF9" w:rsidRDefault="00A83EDB" w:rsidP="00A62436">
            <w:pPr>
              <w:jc w:val="left"/>
              <w:rPr>
                <w:rFonts w:ascii="Calibri" w:hAnsi="Calibri" w:cs="Calibri"/>
                <w:b/>
                <w:bCs/>
                <w:color w:val="000000"/>
                <w:sz w:val="20"/>
                <w:lang w:val="en-GB"/>
              </w:rPr>
            </w:pPr>
          </w:p>
        </w:tc>
        <w:tc>
          <w:tcPr>
            <w:tcW w:w="787" w:type="pct"/>
            <w:tcBorders>
              <w:top w:val="nil"/>
              <w:left w:val="nil"/>
              <w:bottom w:val="single" w:sz="4" w:space="0" w:color="auto"/>
              <w:right w:val="single" w:sz="4" w:space="0" w:color="auto"/>
            </w:tcBorders>
            <w:shd w:val="clear" w:color="000000" w:fill="E5F1FF"/>
            <w:noWrap/>
            <w:vAlign w:val="center"/>
            <w:hideMark/>
          </w:tcPr>
          <w:p w:rsidR="00A83EDB" w:rsidRPr="00563CF9" w:rsidRDefault="00A83EDB" w:rsidP="00784431">
            <w:pPr>
              <w:jc w:val="center"/>
              <w:rPr>
                <w:rFonts w:ascii="Calibri" w:hAnsi="Calibri" w:cs="Calibri"/>
                <w:b/>
                <w:bCs/>
                <w:color w:val="000000"/>
                <w:sz w:val="20"/>
                <w:lang w:val="en-GB"/>
              </w:rPr>
            </w:pPr>
            <w:r w:rsidRPr="00563CF9">
              <w:rPr>
                <w:b/>
                <w:sz w:val="20"/>
                <w:lang w:val="en-GB" w:bidi="en-GB"/>
              </w:rPr>
              <w:t>CZK thousands</w:t>
            </w:r>
          </w:p>
        </w:tc>
        <w:tc>
          <w:tcPr>
            <w:tcW w:w="832" w:type="pct"/>
            <w:tcBorders>
              <w:top w:val="nil"/>
              <w:left w:val="nil"/>
              <w:bottom w:val="single" w:sz="4" w:space="0" w:color="auto"/>
              <w:right w:val="single" w:sz="4" w:space="0" w:color="auto"/>
            </w:tcBorders>
            <w:shd w:val="clear" w:color="000000" w:fill="E5F1FF"/>
            <w:noWrap/>
            <w:vAlign w:val="center"/>
            <w:hideMark/>
          </w:tcPr>
          <w:p w:rsidR="00A83EDB" w:rsidRPr="00563CF9" w:rsidRDefault="00A83EDB" w:rsidP="00784431">
            <w:pPr>
              <w:jc w:val="center"/>
              <w:rPr>
                <w:rFonts w:ascii="Calibri" w:hAnsi="Calibri" w:cs="Calibri"/>
                <w:b/>
                <w:bCs/>
                <w:color w:val="000000"/>
                <w:sz w:val="20"/>
                <w:lang w:val="en-GB"/>
              </w:rPr>
            </w:pPr>
            <w:r w:rsidRPr="00563CF9">
              <w:rPr>
                <w:b/>
                <w:sz w:val="20"/>
                <w:lang w:val="en-GB" w:bidi="en-GB"/>
              </w:rPr>
              <w:t>CZK thousands</w:t>
            </w:r>
          </w:p>
        </w:tc>
        <w:tc>
          <w:tcPr>
            <w:tcW w:w="513" w:type="pct"/>
            <w:tcBorders>
              <w:top w:val="nil"/>
              <w:left w:val="nil"/>
              <w:bottom w:val="single" w:sz="4" w:space="0" w:color="auto"/>
              <w:right w:val="single" w:sz="4" w:space="0" w:color="auto"/>
            </w:tcBorders>
            <w:shd w:val="clear" w:color="000000" w:fill="E5F1FF"/>
            <w:noWrap/>
            <w:vAlign w:val="center"/>
            <w:hideMark/>
          </w:tcPr>
          <w:p w:rsidR="00A83EDB" w:rsidRPr="00563CF9" w:rsidRDefault="00A83EDB" w:rsidP="00784431">
            <w:pPr>
              <w:jc w:val="center"/>
              <w:rPr>
                <w:rFonts w:ascii="Calibri" w:hAnsi="Calibri" w:cs="Calibri"/>
                <w:b/>
                <w:bCs/>
                <w:color w:val="000000"/>
                <w:sz w:val="20"/>
                <w:lang w:val="en-GB"/>
              </w:rPr>
            </w:pPr>
            <w:r w:rsidRPr="00563CF9">
              <w:rPr>
                <w:b/>
                <w:sz w:val="20"/>
                <w:lang w:val="en-GB" w:bidi="en-GB"/>
              </w:rPr>
              <w:t>%</w:t>
            </w:r>
          </w:p>
        </w:tc>
        <w:tc>
          <w:tcPr>
            <w:tcW w:w="627" w:type="pct"/>
            <w:tcBorders>
              <w:top w:val="nil"/>
              <w:left w:val="nil"/>
              <w:bottom w:val="single" w:sz="4" w:space="0" w:color="auto"/>
              <w:right w:val="single" w:sz="4" w:space="0" w:color="auto"/>
            </w:tcBorders>
            <w:shd w:val="clear" w:color="000000" w:fill="E5F1FF"/>
            <w:noWrap/>
            <w:vAlign w:val="center"/>
            <w:hideMark/>
          </w:tcPr>
          <w:p w:rsidR="00A83EDB" w:rsidRPr="00563CF9" w:rsidRDefault="00A83EDB" w:rsidP="00784431">
            <w:pPr>
              <w:jc w:val="center"/>
              <w:rPr>
                <w:rFonts w:ascii="Calibri" w:hAnsi="Calibri" w:cs="Calibri"/>
                <w:b/>
                <w:bCs/>
                <w:color w:val="000000"/>
                <w:sz w:val="20"/>
                <w:lang w:val="en-GB"/>
              </w:rPr>
            </w:pPr>
            <w:r w:rsidRPr="00563CF9">
              <w:rPr>
                <w:b/>
                <w:sz w:val="20"/>
                <w:lang w:val="en-GB" w:bidi="en-GB"/>
              </w:rPr>
              <w:t>CZK thousands</w:t>
            </w:r>
          </w:p>
        </w:tc>
        <w:tc>
          <w:tcPr>
            <w:tcW w:w="441" w:type="pct"/>
            <w:tcBorders>
              <w:top w:val="nil"/>
              <w:left w:val="nil"/>
              <w:bottom w:val="single" w:sz="4" w:space="0" w:color="auto"/>
              <w:right w:val="single" w:sz="4" w:space="0" w:color="auto"/>
            </w:tcBorders>
            <w:shd w:val="clear" w:color="000000" w:fill="E5F1FF"/>
            <w:noWrap/>
            <w:vAlign w:val="center"/>
            <w:hideMark/>
          </w:tcPr>
          <w:p w:rsidR="00A83EDB" w:rsidRPr="00563CF9" w:rsidRDefault="00A83EDB" w:rsidP="00784431">
            <w:pPr>
              <w:jc w:val="center"/>
              <w:rPr>
                <w:rFonts w:ascii="Calibri" w:hAnsi="Calibri" w:cs="Calibri"/>
                <w:b/>
                <w:bCs/>
                <w:color w:val="000000"/>
                <w:sz w:val="20"/>
                <w:lang w:val="en-GB"/>
              </w:rPr>
            </w:pPr>
            <w:r w:rsidRPr="00563CF9">
              <w:rPr>
                <w:b/>
                <w:sz w:val="20"/>
                <w:lang w:val="en-GB" w:bidi="en-GB"/>
              </w:rPr>
              <w:t>%</w:t>
            </w:r>
          </w:p>
        </w:tc>
        <w:tc>
          <w:tcPr>
            <w:tcW w:w="716" w:type="pct"/>
            <w:tcBorders>
              <w:top w:val="nil"/>
              <w:left w:val="nil"/>
              <w:bottom w:val="single" w:sz="4" w:space="0" w:color="auto"/>
              <w:right w:val="single" w:sz="4" w:space="0" w:color="auto"/>
            </w:tcBorders>
            <w:shd w:val="clear" w:color="000000" w:fill="E5F1FF"/>
            <w:noWrap/>
            <w:vAlign w:val="center"/>
            <w:hideMark/>
          </w:tcPr>
          <w:p w:rsidR="00A83EDB" w:rsidRPr="00563CF9" w:rsidRDefault="00A83EDB" w:rsidP="00784431">
            <w:pPr>
              <w:jc w:val="center"/>
              <w:rPr>
                <w:rFonts w:ascii="Calibri" w:hAnsi="Calibri" w:cs="Calibri"/>
                <w:b/>
                <w:bCs/>
                <w:color w:val="000000"/>
                <w:sz w:val="20"/>
                <w:lang w:val="en-GB"/>
              </w:rPr>
            </w:pPr>
            <w:r w:rsidRPr="00563CF9">
              <w:rPr>
                <w:b/>
                <w:sz w:val="20"/>
                <w:lang w:val="en-GB" w:bidi="en-GB"/>
              </w:rPr>
              <w:t>CZK thousands</w:t>
            </w:r>
          </w:p>
        </w:tc>
        <w:tc>
          <w:tcPr>
            <w:tcW w:w="441" w:type="pct"/>
            <w:tcBorders>
              <w:top w:val="nil"/>
              <w:left w:val="nil"/>
              <w:bottom w:val="single" w:sz="4" w:space="0" w:color="auto"/>
              <w:right w:val="single" w:sz="4" w:space="0" w:color="auto"/>
            </w:tcBorders>
            <w:shd w:val="clear" w:color="000000" w:fill="E5F1FF"/>
            <w:noWrap/>
            <w:vAlign w:val="center"/>
            <w:hideMark/>
          </w:tcPr>
          <w:p w:rsidR="00A83EDB" w:rsidRPr="00563CF9" w:rsidRDefault="00A83EDB" w:rsidP="00784431">
            <w:pPr>
              <w:jc w:val="center"/>
              <w:rPr>
                <w:rFonts w:ascii="Calibri" w:hAnsi="Calibri" w:cs="Calibri"/>
                <w:b/>
                <w:bCs/>
                <w:color w:val="000000"/>
                <w:sz w:val="20"/>
                <w:lang w:val="en-GB"/>
              </w:rPr>
            </w:pPr>
            <w:r w:rsidRPr="00563CF9">
              <w:rPr>
                <w:b/>
                <w:sz w:val="20"/>
                <w:lang w:val="en-GB" w:bidi="en-GB"/>
              </w:rPr>
              <w:t>%</w:t>
            </w:r>
          </w:p>
        </w:tc>
      </w:tr>
      <w:tr w:rsidR="00A83EDB" w:rsidRPr="00563CF9" w:rsidTr="00784431">
        <w:trPr>
          <w:trHeight w:val="244"/>
        </w:trPr>
        <w:tc>
          <w:tcPr>
            <w:tcW w:w="31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83EDB" w:rsidRPr="00563CF9" w:rsidRDefault="00A83EDB" w:rsidP="00784431">
            <w:pPr>
              <w:jc w:val="left"/>
              <w:rPr>
                <w:rFonts w:ascii="Calibri" w:hAnsi="Calibri" w:cs="Calibri"/>
                <w:b/>
                <w:bCs/>
                <w:color w:val="000000"/>
                <w:sz w:val="20"/>
                <w:lang w:val="en-GB"/>
              </w:rPr>
            </w:pPr>
            <w:r w:rsidRPr="00563CF9">
              <w:rPr>
                <w:b/>
                <w:sz w:val="20"/>
                <w:lang w:val="en-GB" w:bidi="en-GB"/>
              </w:rPr>
              <w:t>BUH</w:t>
            </w:r>
          </w:p>
        </w:tc>
        <w:tc>
          <w:tcPr>
            <w:tcW w:w="324"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jc w:val="center"/>
              <w:rPr>
                <w:rFonts w:ascii="Calibri" w:hAnsi="Calibri" w:cs="Calibri"/>
                <w:color w:val="000000"/>
                <w:sz w:val="20"/>
                <w:lang w:val="en-GB"/>
              </w:rPr>
            </w:pPr>
            <w:r w:rsidRPr="00563CF9">
              <w:rPr>
                <w:sz w:val="20"/>
                <w:lang w:val="en-GB" w:bidi="en-GB"/>
              </w:rPr>
              <w:t>2014</w:t>
            </w:r>
          </w:p>
        </w:tc>
        <w:tc>
          <w:tcPr>
            <w:tcW w:w="787"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6,587,570.41</w:t>
            </w:r>
          </w:p>
        </w:tc>
        <w:tc>
          <w:tcPr>
            <w:tcW w:w="832"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3,227,699.32</w:t>
            </w:r>
          </w:p>
        </w:tc>
        <w:tc>
          <w:tcPr>
            <w:tcW w:w="513"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49.00</w:t>
            </w:r>
          </w:p>
        </w:tc>
        <w:tc>
          <w:tcPr>
            <w:tcW w:w="627"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262,769.50</w:t>
            </w:r>
          </w:p>
        </w:tc>
        <w:tc>
          <w:tcPr>
            <w:tcW w:w="441"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3.99</w:t>
            </w:r>
          </w:p>
        </w:tc>
        <w:tc>
          <w:tcPr>
            <w:tcW w:w="716"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2,591,842.01</w:t>
            </w:r>
          </w:p>
        </w:tc>
        <w:tc>
          <w:tcPr>
            <w:tcW w:w="441"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39.34</w:t>
            </w:r>
          </w:p>
        </w:tc>
      </w:tr>
      <w:tr w:rsidR="00A83EDB" w:rsidRPr="00563CF9" w:rsidTr="00784431">
        <w:trPr>
          <w:trHeight w:val="244"/>
        </w:trPr>
        <w:tc>
          <w:tcPr>
            <w:tcW w:w="319" w:type="pct"/>
            <w:vMerge/>
            <w:tcBorders>
              <w:top w:val="nil"/>
              <w:left w:val="single" w:sz="4" w:space="0" w:color="auto"/>
              <w:bottom w:val="single" w:sz="4" w:space="0" w:color="000000"/>
              <w:right w:val="single" w:sz="4" w:space="0" w:color="auto"/>
            </w:tcBorders>
            <w:vAlign w:val="center"/>
            <w:hideMark/>
          </w:tcPr>
          <w:p w:rsidR="00A83EDB" w:rsidRPr="00563CF9" w:rsidRDefault="00A83EDB" w:rsidP="00784431">
            <w:pPr>
              <w:jc w:val="left"/>
              <w:rPr>
                <w:rFonts w:ascii="Calibri" w:hAnsi="Calibri" w:cs="Calibri"/>
                <w:b/>
                <w:bCs/>
                <w:color w:val="000000"/>
                <w:sz w:val="20"/>
                <w:lang w:val="en-GB"/>
              </w:rPr>
            </w:pPr>
          </w:p>
        </w:tc>
        <w:tc>
          <w:tcPr>
            <w:tcW w:w="324"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jc w:val="center"/>
              <w:rPr>
                <w:rFonts w:ascii="Calibri" w:hAnsi="Calibri" w:cs="Calibri"/>
                <w:color w:val="000000"/>
                <w:sz w:val="20"/>
                <w:lang w:val="en-GB"/>
              </w:rPr>
            </w:pPr>
            <w:r w:rsidRPr="00563CF9">
              <w:rPr>
                <w:sz w:val="20"/>
                <w:lang w:val="en-GB" w:bidi="en-GB"/>
              </w:rPr>
              <w:t>2015</w:t>
            </w:r>
          </w:p>
        </w:tc>
        <w:tc>
          <w:tcPr>
            <w:tcW w:w="787"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6,873,887.66</w:t>
            </w:r>
          </w:p>
        </w:tc>
        <w:tc>
          <w:tcPr>
            <w:tcW w:w="832"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3,383,028.53</w:t>
            </w:r>
          </w:p>
        </w:tc>
        <w:tc>
          <w:tcPr>
            <w:tcW w:w="513"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49.22</w:t>
            </w:r>
          </w:p>
        </w:tc>
        <w:tc>
          <w:tcPr>
            <w:tcW w:w="627"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287,132.26</w:t>
            </w:r>
          </w:p>
        </w:tc>
        <w:tc>
          <w:tcPr>
            <w:tcW w:w="441"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4.18</w:t>
            </w:r>
          </w:p>
        </w:tc>
        <w:tc>
          <w:tcPr>
            <w:tcW w:w="716"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2,711,834.65</w:t>
            </w:r>
          </w:p>
        </w:tc>
        <w:tc>
          <w:tcPr>
            <w:tcW w:w="441"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39.45</w:t>
            </w:r>
          </w:p>
        </w:tc>
      </w:tr>
      <w:tr w:rsidR="00A83EDB" w:rsidRPr="00563CF9" w:rsidTr="00784431">
        <w:trPr>
          <w:trHeight w:val="244"/>
        </w:trPr>
        <w:tc>
          <w:tcPr>
            <w:tcW w:w="319" w:type="pct"/>
            <w:vMerge/>
            <w:tcBorders>
              <w:top w:val="nil"/>
              <w:left w:val="single" w:sz="4" w:space="0" w:color="auto"/>
              <w:bottom w:val="single" w:sz="4" w:space="0" w:color="000000"/>
              <w:right w:val="single" w:sz="4" w:space="0" w:color="auto"/>
            </w:tcBorders>
            <w:vAlign w:val="center"/>
            <w:hideMark/>
          </w:tcPr>
          <w:p w:rsidR="00A83EDB" w:rsidRPr="00563CF9" w:rsidRDefault="00A83EDB" w:rsidP="00784431">
            <w:pPr>
              <w:jc w:val="left"/>
              <w:rPr>
                <w:rFonts w:ascii="Calibri" w:hAnsi="Calibri" w:cs="Calibri"/>
                <w:b/>
                <w:bCs/>
                <w:color w:val="000000"/>
                <w:sz w:val="20"/>
                <w:lang w:val="en-GB"/>
              </w:rPr>
            </w:pPr>
          </w:p>
        </w:tc>
        <w:tc>
          <w:tcPr>
            <w:tcW w:w="324"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jc w:val="center"/>
              <w:rPr>
                <w:rFonts w:ascii="Calibri" w:hAnsi="Calibri" w:cs="Calibri"/>
                <w:color w:val="000000"/>
                <w:sz w:val="20"/>
                <w:lang w:val="en-GB"/>
              </w:rPr>
            </w:pPr>
            <w:r w:rsidRPr="00563CF9">
              <w:rPr>
                <w:sz w:val="20"/>
                <w:lang w:val="en-GB" w:bidi="en-GB"/>
              </w:rPr>
              <w:t>2016</w:t>
            </w:r>
          </w:p>
        </w:tc>
        <w:tc>
          <w:tcPr>
            <w:tcW w:w="787"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7,658,859.58</w:t>
            </w:r>
          </w:p>
        </w:tc>
        <w:tc>
          <w:tcPr>
            <w:tcW w:w="832"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3,782,971.41</w:t>
            </w:r>
          </w:p>
        </w:tc>
        <w:tc>
          <w:tcPr>
            <w:tcW w:w="513"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49.39</w:t>
            </w:r>
          </w:p>
        </w:tc>
        <w:tc>
          <w:tcPr>
            <w:tcW w:w="627"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295,059.86</w:t>
            </w:r>
          </w:p>
        </w:tc>
        <w:tc>
          <w:tcPr>
            <w:tcW w:w="441"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3.85</w:t>
            </w:r>
          </w:p>
        </w:tc>
        <w:tc>
          <w:tcPr>
            <w:tcW w:w="716"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3,016,498.10</w:t>
            </w:r>
          </w:p>
        </w:tc>
        <w:tc>
          <w:tcPr>
            <w:tcW w:w="441"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39.39</w:t>
            </w:r>
          </w:p>
        </w:tc>
      </w:tr>
      <w:tr w:rsidR="00A83EDB" w:rsidRPr="00563CF9" w:rsidTr="00784431">
        <w:trPr>
          <w:trHeight w:val="244"/>
        </w:trPr>
        <w:tc>
          <w:tcPr>
            <w:tcW w:w="319" w:type="pct"/>
            <w:vMerge w:val="restart"/>
            <w:tcBorders>
              <w:top w:val="nil"/>
              <w:left w:val="single" w:sz="4" w:space="0" w:color="auto"/>
              <w:bottom w:val="single" w:sz="4" w:space="0" w:color="000000"/>
              <w:right w:val="single" w:sz="4" w:space="0" w:color="auto"/>
            </w:tcBorders>
            <w:shd w:val="clear" w:color="auto" w:fill="auto"/>
            <w:vAlign w:val="center"/>
            <w:hideMark/>
          </w:tcPr>
          <w:p w:rsidR="00A83EDB" w:rsidRPr="00563CF9" w:rsidRDefault="00A83EDB" w:rsidP="00784431">
            <w:pPr>
              <w:jc w:val="left"/>
              <w:rPr>
                <w:rFonts w:ascii="Calibri" w:hAnsi="Calibri" w:cs="Calibri"/>
                <w:b/>
                <w:bCs/>
                <w:color w:val="000000"/>
                <w:sz w:val="20"/>
                <w:lang w:val="en-GB"/>
              </w:rPr>
            </w:pPr>
            <w:r w:rsidRPr="00563CF9">
              <w:rPr>
                <w:b/>
                <w:sz w:val="20"/>
                <w:lang w:val="en-GB" w:bidi="en-GB"/>
              </w:rPr>
              <w:t>MUH</w:t>
            </w:r>
          </w:p>
        </w:tc>
        <w:tc>
          <w:tcPr>
            <w:tcW w:w="324"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jc w:val="center"/>
              <w:rPr>
                <w:rFonts w:ascii="Calibri" w:hAnsi="Calibri" w:cs="Calibri"/>
                <w:color w:val="000000"/>
                <w:sz w:val="20"/>
                <w:lang w:val="en-GB"/>
              </w:rPr>
            </w:pPr>
            <w:r w:rsidRPr="00563CF9">
              <w:rPr>
                <w:sz w:val="20"/>
                <w:lang w:val="en-GB" w:bidi="en-GB"/>
              </w:rPr>
              <w:t>2014</w:t>
            </w:r>
          </w:p>
        </w:tc>
        <w:tc>
          <w:tcPr>
            <w:tcW w:w="787"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7,486,988.59</w:t>
            </w:r>
          </w:p>
        </w:tc>
        <w:tc>
          <w:tcPr>
            <w:tcW w:w="832"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3,055,805.69</w:t>
            </w:r>
          </w:p>
        </w:tc>
        <w:tc>
          <w:tcPr>
            <w:tcW w:w="513"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40.81</w:t>
            </w:r>
          </w:p>
        </w:tc>
        <w:tc>
          <w:tcPr>
            <w:tcW w:w="627"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675,711.33</w:t>
            </w:r>
          </w:p>
        </w:tc>
        <w:tc>
          <w:tcPr>
            <w:tcW w:w="441"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9.03</w:t>
            </w:r>
          </w:p>
        </w:tc>
        <w:tc>
          <w:tcPr>
            <w:tcW w:w="716"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2,915,355.03</w:t>
            </w:r>
          </w:p>
        </w:tc>
        <w:tc>
          <w:tcPr>
            <w:tcW w:w="441"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38.94</w:t>
            </w:r>
          </w:p>
        </w:tc>
      </w:tr>
      <w:tr w:rsidR="00A83EDB" w:rsidRPr="00563CF9" w:rsidTr="00784431">
        <w:trPr>
          <w:trHeight w:val="244"/>
        </w:trPr>
        <w:tc>
          <w:tcPr>
            <w:tcW w:w="319" w:type="pct"/>
            <w:vMerge/>
            <w:tcBorders>
              <w:top w:val="nil"/>
              <w:left w:val="single" w:sz="4" w:space="0" w:color="auto"/>
              <w:bottom w:val="single" w:sz="4" w:space="0" w:color="000000"/>
              <w:right w:val="single" w:sz="4" w:space="0" w:color="auto"/>
            </w:tcBorders>
            <w:vAlign w:val="center"/>
            <w:hideMark/>
          </w:tcPr>
          <w:p w:rsidR="00A83EDB" w:rsidRPr="00563CF9" w:rsidRDefault="00A83EDB" w:rsidP="00784431">
            <w:pPr>
              <w:jc w:val="left"/>
              <w:rPr>
                <w:rFonts w:ascii="Calibri" w:hAnsi="Calibri" w:cs="Calibri"/>
                <w:b/>
                <w:bCs/>
                <w:color w:val="000000"/>
                <w:sz w:val="20"/>
                <w:lang w:val="en-GB"/>
              </w:rPr>
            </w:pPr>
          </w:p>
        </w:tc>
        <w:tc>
          <w:tcPr>
            <w:tcW w:w="324"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jc w:val="center"/>
              <w:rPr>
                <w:rFonts w:ascii="Calibri" w:hAnsi="Calibri" w:cs="Calibri"/>
                <w:color w:val="000000"/>
                <w:sz w:val="20"/>
                <w:lang w:val="en-GB"/>
              </w:rPr>
            </w:pPr>
            <w:r w:rsidRPr="00563CF9">
              <w:rPr>
                <w:sz w:val="20"/>
                <w:lang w:val="en-GB" w:bidi="en-GB"/>
              </w:rPr>
              <w:t>2015</w:t>
            </w:r>
          </w:p>
        </w:tc>
        <w:tc>
          <w:tcPr>
            <w:tcW w:w="787"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7,775,201.10</w:t>
            </w:r>
          </w:p>
        </w:tc>
        <w:tc>
          <w:tcPr>
            <w:tcW w:w="832"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3,206,154.53</w:t>
            </w:r>
          </w:p>
        </w:tc>
        <w:tc>
          <w:tcPr>
            <w:tcW w:w="513"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41.24</w:t>
            </w:r>
          </w:p>
        </w:tc>
        <w:tc>
          <w:tcPr>
            <w:tcW w:w="627"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679,927.83</w:t>
            </w:r>
          </w:p>
        </w:tc>
        <w:tc>
          <w:tcPr>
            <w:tcW w:w="441"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8.74</w:t>
            </w:r>
          </w:p>
        </w:tc>
        <w:tc>
          <w:tcPr>
            <w:tcW w:w="716"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3,079,257.45</w:t>
            </w:r>
          </w:p>
        </w:tc>
        <w:tc>
          <w:tcPr>
            <w:tcW w:w="441"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39.60</w:t>
            </w:r>
          </w:p>
        </w:tc>
      </w:tr>
      <w:tr w:rsidR="00A83EDB" w:rsidRPr="00563CF9" w:rsidTr="00784431">
        <w:trPr>
          <w:trHeight w:val="244"/>
        </w:trPr>
        <w:tc>
          <w:tcPr>
            <w:tcW w:w="319" w:type="pct"/>
            <w:vMerge/>
            <w:tcBorders>
              <w:top w:val="nil"/>
              <w:left w:val="single" w:sz="4" w:space="0" w:color="auto"/>
              <w:bottom w:val="single" w:sz="4" w:space="0" w:color="000000"/>
              <w:right w:val="single" w:sz="4" w:space="0" w:color="auto"/>
            </w:tcBorders>
            <w:vAlign w:val="center"/>
            <w:hideMark/>
          </w:tcPr>
          <w:p w:rsidR="00A83EDB" w:rsidRPr="00563CF9" w:rsidRDefault="00A83EDB" w:rsidP="00784431">
            <w:pPr>
              <w:jc w:val="left"/>
              <w:rPr>
                <w:rFonts w:ascii="Calibri" w:hAnsi="Calibri" w:cs="Calibri"/>
                <w:b/>
                <w:bCs/>
                <w:color w:val="000000"/>
                <w:sz w:val="20"/>
                <w:lang w:val="en-GB"/>
              </w:rPr>
            </w:pPr>
          </w:p>
        </w:tc>
        <w:tc>
          <w:tcPr>
            <w:tcW w:w="324"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jc w:val="center"/>
              <w:rPr>
                <w:rFonts w:ascii="Calibri" w:hAnsi="Calibri" w:cs="Calibri"/>
                <w:color w:val="000000"/>
                <w:sz w:val="20"/>
                <w:lang w:val="en-GB"/>
              </w:rPr>
            </w:pPr>
            <w:r w:rsidRPr="00563CF9">
              <w:rPr>
                <w:sz w:val="20"/>
                <w:lang w:val="en-GB" w:bidi="en-GB"/>
              </w:rPr>
              <w:t>2016</w:t>
            </w:r>
          </w:p>
        </w:tc>
        <w:tc>
          <w:tcPr>
            <w:tcW w:w="787"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8,134,270.53</w:t>
            </w:r>
          </w:p>
        </w:tc>
        <w:tc>
          <w:tcPr>
            <w:tcW w:w="832"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3,457,113.55</w:t>
            </w:r>
          </w:p>
        </w:tc>
        <w:tc>
          <w:tcPr>
            <w:tcW w:w="513"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42.50</w:t>
            </w:r>
          </w:p>
        </w:tc>
        <w:tc>
          <w:tcPr>
            <w:tcW w:w="627"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743,957.36</w:t>
            </w:r>
          </w:p>
        </w:tc>
        <w:tc>
          <w:tcPr>
            <w:tcW w:w="441"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9.15</w:t>
            </w:r>
          </w:p>
        </w:tc>
        <w:tc>
          <w:tcPr>
            <w:tcW w:w="716"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3,286,350.03</w:t>
            </w:r>
          </w:p>
        </w:tc>
        <w:tc>
          <w:tcPr>
            <w:tcW w:w="441"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40.40</w:t>
            </w:r>
          </w:p>
        </w:tc>
      </w:tr>
      <w:tr w:rsidR="00A83EDB" w:rsidRPr="00563CF9" w:rsidTr="00784431">
        <w:trPr>
          <w:trHeight w:val="244"/>
        </w:trPr>
        <w:tc>
          <w:tcPr>
            <w:tcW w:w="31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83EDB" w:rsidRPr="00563CF9" w:rsidRDefault="00A83EDB" w:rsidP="00784431">
            <w:pPr>
              <w:jc w:val="left"/>
              <w:rPr>
                <w:rFonts w:ascii="Calibri" w:hAnsi="Calibri" w:cs="Calibri"/>
                <w:b/>
                <w:bCs/>
                <w:color w:val="000000"/>
                <w:sz w:val="20"/>
                <w:lang w:val="en-GB"/>
              </w:rPr>
            </w:pPr>
            <w:r w:rsidRPr="00563CF9">
              <w:rPr>
                <w:b/>
                <w:sz w:val="20"/>
                <w:lang w:val="en-GB" w:bidi="en-GB"/>
              </w:rPr>
              <w:t>CMH</w:t>
            </w:r>
          </w:p>
        </w:tc>
        <w:tc>
          <w:tcPr>
            <w:tcW w:w="324"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jc w:val="center"/>
              <w:rPr>
                <w:rFonts w:ascii="Calibri" w:hAnsi="Calibri" w:cs="Calibri"/>
                <w:color w:val="000000"/>
                <w:sz w:val="20"/>
                <w:lang w:val="en-GB"/>
              </w:rPr>
            </w:pPr>
            <w:r w:rsidRPr="00563CF9">
              <w:rPr>
                <w:sz w:val="20"/>
                <w:lang w:val="en-GB" w:bidi="en-GB"/>
              </w:rPr>
              <w:t>2014</w:t>
            </w:r>
          </w:p>
        </w:tc>
        <w:tc>
          <w:tcPr>
            <w:tcW w:w="787"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2,211,717.27</w:t>
            </w:r>
          </w:p>
        </w:tc>
        <w:tc>
          <w:tcPr>
            <w:tcW w:w="832"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815,487.74</w:t>
            </w:r>
          </w:p>
        </w:tc>
        <w:tc>
          <w:tcPr>
            <w:tcW w:w="513"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36.87</w:t>
            </w:r>
          </w:p>
        </w:tc>
        <w:tc>
          <w:tcPr>
            <w:tcW w:w="627"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221,462.67</w:t>
            </w:r>
          </w:p>
        </w:tc>
        <w:tc>
          <w:tcPr>
            <w:tcW w:w="441"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10.01</w:t>
            </w:r>
          </w:p>
        </w:tc>
        <w:tc>
          <w:tcPr>
            <w:tcW w:w="716"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1,019,782.73</w:t>
            </w:r>
          </w:p>
        </w:tc>
        <w:tc>
          <w:tcPr>
            <w:tcW w:w="441"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46.11</w:t>
            </w:r>
          </w:p>
        </w:tc>
      </w:tr>
      <w:tr w:rsidR="00A83EDB" w:rsidRPr="00563CF9" w:rsidTr="00784431">
        <w:trPr>
          <w:trHeight w:val="244"/>
        </w:trPr>
        <w:tc>
          <w:tcPr>
            <w:tcW w:w="319" w:type="pct"/>
            <w:vMerge/>
            <w:tcBorders>
              <w:top w:val="nil"/>
              <w:left w:val="single" w:sz="4" w:space="0" w:color="auto"/>
              <w:bottom w:val="single" w:sz="4" w:space="0" w:color="000000"/>
              <w:right w:val="single" w:sz="4" w:space="0" w:color="auto"/>
            </w:tcBorders>
            <w:vAlign w:val="center"/>
            <w:hideMark/>
          </w:tcPr>
          <w:p w:rsidR="00A83EDB" w:rsidRPr="00563CF9" w:rsidRDefault="00A83EDB" w:rsidP="00A62436">
            <w:pPr>
              <w:jc w:val="left"/>
              <w:rPr>
                <w:rFonts w:ascii="Calibri" w:hAnsi="Calibri" w:cs="Calibri"/>
                <w:b/>
                <w:bCs/>
                <w:color w:val="000000"/>
                <w:sz w:val="20"/>
                <w:lang w:val="en-GB"/>
              </w:rPr>
            </w:pPr>
          </w:p>
        </w:tc>
        <w:tc>
          <w:tcPr>
            <w:tcW w:w="324"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jc w:val="center"/>
              <w:rPr>
                <w:rFonts w:ascii="Calibri" w:hAnsi="Calibri" w:cs="Calibri"/>
                <w:color w:val="000000"/>
                <w:sz w:val="20"/>
                <w:lang w:val="en-GB"/>
              </w:rPr>
            </w:pPr>
            <w:r w:rsidRPr="00563CF9">
              <w:rPr>
                <w:sz w:val="20"/>
                <w:lang w:val="en-GB" w:bidi="en-GB"/>
              </w:rPr>
              <w:t>2015</w:t>
            </w:r>
          </w:p>
        </w:tc>
        <w:tc>
          <w:tcPr>
            <w:tcW w:w="787"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2,454,898.59</w:t>
            </w:r>
          </w:p>
        </w:tc>
        <w:tc>
          <w:tcPr>
            <w:tcW w:w="832"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835,091.87</w:t>
            </w:r>
          </w:p>
        </w:tc>
        <w:tc>
          <w:tcPr>
            <w:tcW w:w="513"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34.02</w:t>
            </w:r>
          </w:p>
        </w:tc>
        <w:tc>
          <w:tcPr>
            <w:tcW w:w="627"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282,907.65</w:t>
            </w:r>
          </w:p>
        </w:tc>
        <w:tc>
          <w:tcPr>
            <w:tcW w:w="441"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11.52</w:t>
            </w:r>
          </w:p>
        </w:tc>
        <w:tc>
          <w:tcPr>
            <w:tcW w:w="716"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1,103,809.40</w:t>
            </w:r>
          </w:p>
        </w:tc>
        <w:tc>
          <w:tcPr>
            <w:tcW w:w="441"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44.96</w:t>
            </w:r>
          </w:p>
        </w:tc>
      </w:tr>
      <w:tr w:rsidR="00A83EDB" w:rsidRPr="00563CF9" w:rsidTr="00784431">
        <w:trPr>
          <w:trHeight w:val="244"/>
        </w:trPr>
        <w:tc>
          <w:tcPr>
            <w:tcW w:w="319" w:type="pct"/>
            <w:vMerge/>
            <w:tcBorders>
              <w:top w:val="nil"/>
              <w:left w:val="single" w:sz="4" w:space="0" w:color="auto"/>
              <w:bottom w:val="single" w:sz="4" w:space="0" w:color="000000"/>
              <w:right w:val="single" w:sz="4" w:space="0" w:color="auto"/>
            </w:tcBorders>
            <w:vAlign w:val="center"/>
            <w:hideMark/>
          </w:tcPr>
          <w:p w:rsidR="00A83EDB" w:rsidRPr="00563CF9" w:rsidRDefault="00A83EDB" w:rsidP="00A62436">
            <w:pPr>
              <w:jc w:val="left"/>
              <w:rPr>
                <w:rFonts w:ascii="Calibri" w:hAnsi="Calibri" w:cs="Calibri"/>
                <w:b/>
                <w:bCs/>
                <w:color w:val="000000"/>
                <w:sz w:val="20"/>
                <w:lang w:val="en-GB"/>
              </w:rPr>
            </w:pPr>
          </w:p>
        </w:tc>
        <w:tc>
          <w:tcPr>
            <w:tcW w:w="324"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jc w:val="center"/>
              <w:rPr>
                <w:rFonts w:ascii="Calibri" w:hAnsi="Calibri" w:cs="Calibri"/>
                <w:color w:val="000000"/>
                <w:sz w:val="20"/>
                <w:lang w:val="en-GB"/>
              </w:rPr>
            </w:pPr>
            <w:r w:rsidRPr="00563CF9">
              <w:rPr>
                <w:sz w:val="20"/>
                <w:lang w:val="en-GB" w:bidi="en-GB"/>
              </w:rPr>
              <w:t>2016</w:t>
            </w:r>
          </w:p>
        </w:tc>
        <w:tc>
          <w:tcPr>
            <w:tcW w:w="787"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2,550,626.66</w:t>
            </w:r>
          </w:p>
        </w:tc>
        <w:tc>
          <w:tcPr>
            <w:tcW w:w="832"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836,864.12</w:t>
            </w:r>
          </w:p>
        </w:tc>
        <w:tc>
          <w:tcPr>
            <w:tcW w:w="513"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32.81</w:t>
            </w:r>
          </w:p>
        </w:tc>
        <w:tc>
          <w:tcPr>
            <w:tcW w:w="627"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294,514.42</w:t>
            </w:r>
          </w:p>
        </w:tc>
        <w:tc>
          <w:tcPr>
            <w:tcW w:w="441"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11.55</w:t>
            </w:r>
          </w:p>
        </w:tc>
        <w:tc>
          <w:tcPr>
            <w:tcW w:w="716"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1,204,507.31</w:t>
            </w:r>
          </w:p>
        </w:tc>
        <w:tc>
          <w:tcPr>
            <w:tcW w:w="441"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784431">
            <w:pPr>
              <w:ind w:right="110"/>
              <w:jc w:val="right"/>
              <w:rPr>
                <w:rFonts w:ascii="Calibri" w:hAnsi="Calibri" w:cs="Calibri"/>
                <w:color w:val="000000"/>
                <w:sz w:val="20"/>
                <w:lang w:val="en-GB"/>
              </w:rPr>
            </w:pPr>
            <w:r w:rsidRPr="00563CF9">
              <w:rPr>
                <w:sz w:val="20"/>
                <w:lang w:val="en-GB" w:bidi="en-GB"/>
              </w:rPr>
              <w:t>47.22</w:t>
            </w:r>
          </w:p>
        </w:tc>
      </w:tr>
    </w:tbl>
    <w:p w:rsidR="00A83EDB" w:rsidRPr="00563CF9" w:rsidRDefault="00A83EDB" w:rsidP="0077471E">
      <w:pPr>
        <w:pStyle w:val="Zdroj"/>
        <w:spacing w:before="40"/>
        <w:ind w:left="567" w:hanging="567"/>
        <w:rPr>
          <w:i w:val="0"/>
          <w:noProof/>
          <w:lang w:val="en-GB"/>
        </w:rPr>
      </w:pPr>
      <w:r w:rsidRPr="00563CF9">
        <w:rPr>
          <w:b/>
          <w:i w:val="0"/>
          <w:noProof/>
          <w:lang w:val="en-GB" w:bidi="en-GB"/>
        </w:rPr>
        <w:t xml:space="preserve">Source: </w:t>
      </w:r>
      <w:r w:rsidRPr="00563CF9">
        <w:rPr>
          <w:b/>
          <w:i w:val="0"/>
          <w:noProof/>
          <w:lang w:val="en-GB" w:bidi="en-GB"/>
        </w:rPr>
        <w:tab/>
      </w:r>
      <w:r w:rsidR="00CC64C6" w:rsidRPr="00563CF9">
        <w:rPr>
          <w:i w:val="0"/>
          <w:noProof/>
          <w:lang w:val="en-GB" w:bidi="en-GB"/>
        </w:rPr>
        <w:t>general ledgers and profit and loss statements of the individual university hospitals as of 31 December 2014, 31 December 2015 and 31 December 2016.</w:t>
      </w:r>
    </w:p>
    <w:p w:rsidR="00A83EDB" w:rsidRPr="00563CF9" w:rsidRDefault="00A83EDB" w:rsidP="0077471E">
      <w:pPr>
        <w:pStyle w:val="Zdroj"/>
        <w:ind w:left="567" w:hanging="567"/>
        <w:rPr>
          <w:i w:val="0"/>
          <w:noProof/>
          <w:lang w:val="en-GB"/>
        </w:rPr>
      </w:pPr>
      <w:r w:rsidRPr="00563CF9">
        <w:rPr>
          <w:b/>
          <w:i w:val="0"/>
          <w:noProof/>
          <w:lang w:val="en-GB" w:bidi="en-GB"/>
        </w:rPr>
        <w:t xml:space="preserve">Note: </w:t>
      </w:r>
      <w:r w:rsidRPr="00563CF9">
        <w:rPr>
          <w:i w:val="0"/>
          <w:noProof/>
          <w:lang w:val="en-GB" w:bidi="en-GB"/>
        </w:rPr>
        <w:t xml:space="preserve">Group 50 – </w:t>
      </w:r>
      <w:r w:rsidRPr="00563CF9">
        <w:rPr>
          <w:noProof/>
          <w:lang w:val="en-GB" w:bidi="en-GB"/>
        </w:rPr>
        <w:t>Consumed purchases</w:t>
      </w:r>
      <w:r w:rsidRPr="00563CF9">
        <w:rPr>
          <w:i w:val="0"/>
          <w:noProof/>
          <w:lang w:val="en-GB" w:bidi="en-GB"/>
        </w:rPr>
        <w:t xml:space="preserve"> includes in particular material consumption (pharmaceuticals, medical devices), energy consumption and goods sold; group 51 – </w:t>
      </w:r>
      <w:r w:rsidRPr="00563CF9">
        <w:rPr>
          <w:noProof/>
          <w:lang w:val="en-GB" w:bidi="en-GB"/>
        </w:rPr>
        <w:t>Services</w:t>
      </w:r>
      <w:r w:rsidRPr="00563CF9">
        <w:rPr>
          <w:i w:val="0"/>
          <w:noProof/>
          <w:lang w:val="en-GB" w:bidi="en-GB"/>
        </w:rPr>
        <w:t xml:space="preserve"> includes in particular repair and maintenance costs, travel costs, representation costs, other services; group 52 – </w:t>
      </w:r>
      <w:r w:rsidRPr="00563CF9">
        <w:rPr>
          <w:noProof/>
          <w:lang w:val="en-GB" w:bidi="en-GB"/>
        </w:rPr>
        <w:t>Personnel expenses</w:t>
      </w:r>
      <w:r w:rsidRPr="00563CF9">
        <w:rPr>
          <w:i w:val="0"/>
          <w:noProof/>
          <w:lang w:val="en-GB" w:bidi="en-GB"/>
        </w:rPr>
        <w:t xml:space="preserve"> includes in particular the wage costs and costs of the employer as a result of social insurance and public health insurance.</w:t>
      </w:r>
    </w:p>
    <w:p w:rsidR="00A83EDB" w:rsidRPr="00563CF9" w:rsidRDefault="00A83EDB" w:rsidP="0077471E">
      <w:pPr>
        <w:spacing w:before="120"/>
        <w:rPr>
          <w:rFonts w:cstheme="minorHAnsi"/>
          <w:noProof/>
          <w:color w:val="000000" w:themeColor="text1"/>
          <w:szCs w:val="24"/>
          <w:lang w:val="en-GB"/>
        </w:rPr>
      </w:pPr>
      <w:r w:rsidRPr="00563CF9">
        <w:rPr>
          <w:noProof/>
          <w:lang w:val="en-GB" w:bidi="en-GB"/>
        </w:rPr>
        <w:t>The total costs of the individual university hospitals increased slightly over the period under review. For the BUH, they amounted to approximately CZK 7 billion, for the MUH about CZK 8 billion and for the CMH approximately CZK 2.5 billion, according to the range of health services provided by the university hospital in question. For all the audited university hospitals, the largest portion were consumed purchases (32.81 % to 49.39 % of total costs) and personnel costs (38.94 % to 47.22 %) in terms of the share of individual cost items over the period under review. Personnel costs were not subject to audit. The share of service costs in total costs was about 3.85 % to 11.55 %.</w:t>
      </w:r>
    </w:p>
    <w:p w:rsidR="00A83EDB" w:rsidRPr="00563CF9" w:rsidRDefault="00A83EDB" w:rsidP="004C3B13">
      <w:pPr>
        <w:spacing w:before="240" w:after="120"/>
        <w:rPr>
          <w:rFonts w:cstheme="minorHAnsi"/>
          <w:b/>
          <w:noProof/>
          <w:color w:val="000000" w:themeColor="text1"/>
          <w:szCs w:val="24"/>
          <w:lang w:val="en-GB"/>
        </w:rPr>
      </w:pPr>
      <w:r w:rsidRPr="00563CF9">
        <w:rPr>
          <w:b/>
          <w:noProof/>
          <w:lang w:val="en-GB" w:bidi="en-GB"/>
        </w:rPr>
        <w:t>Cost of pharmaceuticals</w:t>
      </w:r>
    </w:p>
    <w:p w:rsidR="00A83EDB" w:rsidRPr="00563CF9" w:rsidRDefault="00A83EDB" w:rsidP="0077471E">
      <w:pPr>
        <w:spacing w:before="120"/>
        <w:rPr>
          <w:rFonts w:cstheme="minorHAnsi"/>
          <w:noProof/>
          <w:color w:val="000000" w:themeColor="text1"/>
          <w:szCs w:val="24"/>
          <w:lang w:val="en-GB"/>
        </w:rPr>
      </w:pPr>
      <w:r w:rsidRPr="00563CF9">
        <w:rPr>
          <w:noProof/>
          <w:lang w:val="en-GB" w:bidi="en-GB"/>
        </w:rPr>
        <w:t xml:space="preserve">During the period under review, the university hospitals purchased pharmaceuticals; the share of pharmaceutical costs in total costs is shown in the table below: </w:t>
      </w:r>
    </w:p>
    <w:p w:rsidR="00A83EDB" w:rsidRPr="00563CF9" w:rsidRDefault="00A83EDB" w:rsidP="00CC64C6">
      <w:pPr>
        <w:keepNext/>
        <w:spacing w:before="120" w:after="40"/>
        <w:rPr>
          <w:rFonts w:cstheme="minorHAnsi"/>
          <w:b/>
          <w:noProof/>
          <w:color w:val="000000" w:themeColor="text1"/>
          <w:szCs w:val="24"/>
          <w:lang w:val="en-GB"/>
        </w:rPr>
      </w:pPr>
      <w:r w:rsidRPr="00563CF9">
        <w:rPr>
          <w:b/>
          <w:noProof/>
          <w:lang w:val="en-GB" w:bidi="en-GB"/>
        </w:rPr>
        <w:t>Table 5: Cost of pharmaceuticals in relation to total costs</w:t>
      </w:r>
    </w:p>
    <w:tbl>
      <w:tblPr>
        <w:tblW w:w="5000" w:type="pct"/>
        <w:tblCellMar>
          <w:left w:w="70" w:type="dxa"/>
          <w:right w:w="70" w:type="dxa"/>
        </w:tblCellMar>
        <w:tblLook w:val="04A0" w:firstRow="1" w:lastRow="0" w:firstColumn="1" w:lastColumn="0" w:noHBand="0" w:noVBand="1"/>
      </w:tblPr>
      <w:tblGrid>
        <w:gridCol w:w="897"/>
        <w:gridCol w:w="908"/>
        <w:gridCol w:w="3088"/>
        <w:gridCol w:w="3088"/>
        <w:gridCol w:w="1231"/>
      </w:tblGrid>
      <w:tr w:rsidR="00A83EDB" w:rsidRPr="00563CF9" w:rsidTr="00CC64C6">
        <w:trPr>
          <w:trHeight w:val="293"/>
        </w:trPr>
        <w:tc>
          <w:tcPr>
            <w:tcW w:w="980" w:type="pct"/>
            <w:gridSpan w:val="2"/>
            <w:vMerge w:val="restart"/>
            <w:tcBorders>
              <w:top w:val="single" w:sz="4" w:space="0" w:color="auto"/>
              <w:left w:val="single" w:sz="4" w:space="0" w:color="auto"/>
              <w:bottom w:val="single" w:sz="4" w:space="0" w:color="000000"/>
              <w:right w:val="single" w:sz="4" w:space="0" w:color="000000"/>
            </w:tcBorders>
            <w:shd w:val="clear" w:color="000000" w:fill="E5F1FF"/>
            <w:noWrap/>
            <w:vAlign w:val="center"/>
            <w:hideMark/>
          </w:tcPr>
          <w:p w:rsidR="00A83EDB" w:rsidRPr="00563CF9" w:rsidRDefault="00A83EDB" w:rsidP="00CC64C6">
            <w:pPr>
              <w:keepNext/>
              <w:jc w:val="center"/>
              <w:rPr>
                <w:rFonts w:ascii="Calibri" w:hAnsi="Calibri" w:cs="Calibri"/>
                <w:b/>
                <w:bCs/>
                <w:color w:val="000000"/>
                <w:sz w:val="20"/>
                <w:lang w:val="en-GB"/>
              </w:rPr>
            </w:pPr>
          </w:p>
        </w:tc>
        <w:tc>
          <w:tcPr>
            <w:tcW w:w="1676" w:type="pct"/>
            <w:vMerge w:val="restart"/>
            <w:tcBorders>
              <w:top w:val="single" w:sz="4" w:space="0" w:color="auto"/>
              <w:left w:val="single" w:sz="4" w:space="0" w:color="auto"/>
              <w:bottom w:val="single" w:sz="4" w:space="0" w:color="000000"/>
              <w:right w:val="single" w:sz="4" w:space="0" w:color="auto"/>
            </w:tcBorders>
            <w:shd w:val="clear" w:color="000000" w:fill="E5F1FF"/>
            <w:vAlign w:val="center"/>
            <w:hideMark/>
          </w:tcPr>
          <w:p w:rsidR="00A83EDB" w:rsidRPr="00563CF9" w:rsidRDefault="00A83EDB" w:rsidP="00CC64C6">
            <w:pPr>
              <w:keepNext/>
              <w:jc w:val="center"/>
              <w:rPr>
                <w:rFonts w:ascii="Calibri" w:hAnsi="Calibri" w:cs="Calibri"/>
                <w:b/>
                <w:bCs/>
                <w:color w:val="000000"/>
                <w:sz w:val="20"/>
                <w:lang w:val="en-GB"/>
              </w:rPr>
            </w:pPr>
            <w:r w:rsidRPr="00563CF9">
              <w:rPr>
                <w:b/>
                <w:sz w:val="20"/>
                <w:lang w:val="en-GB" w:bidi="en-GB"/>
              </w:rPr>
              <w:t>Total costs (Class 5)</w:t>
            </w:r>
          </w:p>
        </w:tc>
        <w:tc>
          <w:tcPr>
            <w:tcW w:w="2344" w:type="pct"/>
            <w:gridSpan w:val="2"/>
            <w:vMerge w:val="restart"/>
            <w:tcBorders>
              <w:top w:val="single" w:sz="4" w:space="0" w:color="auto"/>
              <w:left w:val="single" w:sz="4" w:space="0" w:color="auto"/>
              <w:bottom w:val="single" w:sz="4" w:space="0" w:color="000000"/>
              <w:right w:val="single" w:sz="4" w:space="0" w:color="000000"/>
            </w:tcBorders>
            <w:shd w:val="clear" w:color="000000" w:fill="E5F1FF"/>
            <w:noWrap/>
            <w:vAlign w:val="center"/>
            <w:hideMark/>
          </w:tcPr>
          <w:p w:rsidR="00A83EDB" w:rsidRPr="00563CF9" w:rsidRDefault="00A83EDB" w:rsidP="00CC64C6">
            <w:pPr>
              <w:keepNext/>
              <w:jc w:val="center"/>
              <w:rPr>
                <w:rFonts w:ascii="Calibri" w:hAnsi="Calibri" w:cs="Calibri"/>
                <w:b/>
                <w:bCs/>
                <w:color w:val="000000"/>
                <w:sz w:val="20"/>
                <w:lang w:val="en-GB"/>
              </w:rPr>
            </w:pPr>
            <w:r w:rsidRPr="00563CF9">
              <w:rPr>
                <w:b/>
                <w:sz w:val="20"/>
                <w:lang w:val="en-GB" w:bidi="en-GB"/>
              </w:rPr>
              <w:t>Cost of pharmaceuticals*</w:t>
            </w:r>
          </w:p>
        </w:tc>
      </w:tr>
      <w:tr w:rsidR="00A83EDB" w:rsidRPr="00563CF9" w:rsidTr="00D435DC">
        <w:trPr>
          <w:trHeight w:val="293"/>
        </w:trPr>
        <w:tc>
          <w:tcPr>
            <w:tcW w:w="980" w:type="pct"/>
            <w:gridSpan w:val="2"/>
            <w:vMerge/>
            <w:tcBorders>
              <w:top w:val="single" w:sz="4" w:space="0" w:color="auto"/>
              <w:left w:val="single" w:sz="4" w:space="0" w:color="auto"/>
              <w:bottom w:val="single" w:sz="4" w:space="0" w:color="000000"/>
              <w:right w:val="single" w:sz="4" w:space="0" w:color="000000"/>
            </w:tcBorders>
            <w:vAlign w:val="center"/>
            <w:hideMark/>
          </w:tcPr>
          <w:p w:rsidR="00A83EDB" w:rsidRPr="00563CF9" w:rsidRDefault="00A83EDB" w:rsidP="00CC64C6">
            <w:pPr>
              <w:keepNext/>
              <w:jc w:val="center"/>
              <w:rPr>
                <w:rFonts w:ascii="Calibri" w:hAnsi="Calibri" w:cs="Calibri"/>
                <w:b/>
                <w:bCs/>
                <w:color w:val="000000"/>
                <w:sz w:val="20"/>
                <w:lang w:val="en-GB"/>
              </w:rPr>
            </w:pPr>
          </w:p>
        </w:tc>
        <w:tc>
          <w:tcPr>
            <w:tcW w:w="1676" w:type="pct"/>
            <w:vMerge/>
            <w:tcBorders>
              <w:top w:val="single" w:sz="4" w:space="0" w:color="auto"/>
              <w:left w:val="single" w:sz="4" w:space="0" w:color="auto"/>
              <w:bottom w:val="single" w:sz="4" w:space="0" w:color="000000"/>
              <w:right w:val="single" w:sz="4" w:space="0" w:color="auto"/>
            </w:tcBorders>
            <w:vAlign w:val="center"/>
            <w:hideMark/>
          </w:tcPr>
          <w:p w:rsidR="00A83EDB" w:rsidRPr="00563CF9" w:rsidRDefault="00A83EDB" w:rsidP="00CC64C6">
            <w:pPr>
              <w:keepNext/>
              <w:jc w:val="center"/>
              <w:rPr>
                <w:rFonts w:ascii="Calibri" w:hAnsi="Calibri" w:cs="Calibri"/>
                <w:b/>
                <w:bCs/>
                <w:color w:val="000000"/>
                <w:sz w:val="20"/>
                <w:lang w:val="en-GB"/>
              </w:rPr>
            </w:pPr>
          </w:p>
        </w:tc>
        <w:tc>
          <w:tcPr>
            <w:tcW w:w="2344" w:type="pct"/>
            <w:gridSpan w:val="2"/>
            <w:vMerge/>
            <w:tcBorders>
              <w:top w:val="single" w:sz="4" w:space="0" w:color="auto"/>
              <w:left w:val="single" w:sz="4" w:space="0" w:color="auto"/>
              <w:bottom w:val="single" w:sz="4" w:space="0" w:color="000000"/>
              <w:right w:val="single" w:sz="4" w:space="0" w:color="000000"/>
            </w:tcBorders>
            <w:vAlign w:val="center"/>
            <w:hideMark/>
          </w:tcPr>
          <w:p w:rsidR="00A83EDB" w:rsidRPr="00563CF9" w:rsidRDefault="00A83EDB" w:rsidP="00CC64C6">
            <w:pPr>
              <w:keepNext/>
              <w:jc w:val="center"/>
              <w:rPr>
                <w:rFonts w:ascii="Calibri" w:hAnsi="Calibri" w:cs="Calibri"/>
                <w:b/>
                <w:bCs/>
                <w:color w:val="000000"/>
                <w:sz w:val="20"/>
                <w:lang w:val="en-GB"/>
              </w:rPr>
            </w:pPr>
          </w:p>
        </w:tc>
      </w:tr>
      <w:tr w:rsidR="00A83EDB" w:rsidRPr="00563CF9" w:rsidTr="00CC64C6">
        <w:trPr>
          <w:trHeight w:val="227"/>
        </w:trPr>
        <w:tc>
          <w:tcPr>
            <w:tcW w:w="980" w:type="pct"/>
            <w:gridSpan w:val="2"/>
            <w:vMerge/>
            <w:tcBorders>
              <w:top w:val="single" w:sz="4" w:space="0" w:color="auto"/>
              <w:left w:val="single" w:sz="4" w:space="0" w:color="auto"/>
              <w:bottom w:val="single" w:sz="4" w:space="0" w:color="000000"/>
              <w:right w:val="single" w:sz="4" w:space="0" w:color="000000"/>
            </w:tcBorders>
            <w:vAlign w:val="center"/>
            <w:hideMark/>
          </w:tcPr>
          <w:p w:rsidR="00A83EDB" w:rsidRPr="00563CF9" w:rsidRDefault="00A83EDB" w:rsidP="00CC64C6">
            <w:pPr>
              <w:keepNext/>
              <w:jc w:val="center"/>
              <w:rPr>
                <w:rFonts w:ascii="Calibri" w:hAnsi="Calibri" w:cs="Calibri"/>
                <w:b/>
                <w:bCs/>
                <w:color w:val="000000"/>
                <w:sz w:val="20"/>
                <w:lang w:val="en-GB"/>
              </w:rPr>
            </w:pPr>
          </w:p>
        </w:tc>
        <w:tc>
          <w:tcPr>
            <w:tcW w:w="1676" w:type="pct"/>
            <w:tcBorders>
              <w:top w:val="nil"/>
              <w:left w:val="nil"/>
              <w:bottom w:val="single" w:sz="4" w:space="0" w:color="auto"/>
              <w:right w:val="single" w:sz="4" w:space="0" w:color="auto"/>
            </w:tcBorders>
            <w:shd w:val="clear" w:color="000000" w:fill="E5F1FF"/>
            <w:noWrap/>
            <w:vAlign w:val="center"/>
            <w:hideMark/>
          </w:tcPr>
          <w:p w:rsidR="00A83EDB" w:rsidRPr="00563CF9" w:rsidRDefault="00A83EDB" w:rsidP="00CC64C6">
            <w:pPr>
              <w:keepNext/>
              <w:jc w:val="center"/>
              <w:rPr>
                <w:rFonts w:ascii="Calibri" w:hAnsi="Calibri" w:cs="Calibri"/>
                <w:b/>
                <w:bCs/>
                <w:color w:val="000000"/>
                <w:sz w:val="20"/>
                <w:lang w:val="en-GB"/>
              </w:rPr>
            </w:pPr>
            <w:r w:rsidRPr="00563CF9">
              <w:rPr>
                <w:b/>
                <w:sz w:val="20"/>
                <w:lang w:val="en-GB" w:bidi="en-GB"/>
              </w:rPr>
              <w:t>CZK</w:t>
            </w:r>
          </w:p>
        </w:tc>
        <w:tc>
          <w:tcPr>
            <w:tcW w:w="1676" w:type="pct"/>
            <w:tcBorders>
              <w:top w:val="nil"/>
              <w:left w:val="nil"/>
              <w:bottom w:val="single" w:sz="4" w:space="0" w:color="auto"/>
              <w:right w:val="single" w:sz="4" w:space="0" w:color="auto"/>
            </w:tcBorders>
            <w:shd w:val="clear" w:color="000000" w:fill="E5F1FF"/>
            <w:noWrap/>
            <w:vAlign w:val="center"/>
            <w:hideMark/>
          </w:tcPr>
          <w:p w:rsidR="00A83EDB" w:rsidRPr="00563CF9" w:rsidRDefault="00A83EDB" w:rsidP="00CC64C6">
            <w:pPr>
              <w:keepNext/>
              <w:jc w:val="center"/>
              <w:rPr>
                <w:rFonts w:ascii="Calibri" w:hAnsi="Calibri" w:cs="Calibri"/>
                <w:b/>
                <w:bCs/>
                <w:color w:val="000000"/>
                <w:sz w:val="20"/>
                <w:lang w:val="en-GB"/>
              </w:rPr>
            </w:pPr>
            <w:r w:rsidRPr="00563CF9">
              <w:rPr>
                <w:b/>
                <w:sz w:val="20"/>
                <w:lang w:val="en-GB" w:bidi="en-GB"/>
              </w:rPr>
              <w:t>CZK</w:t>
            </w:r>
          </w:p>
        </w:tc>
        <w:tc>
          <w:tcPr>
            <w:tcW w:w="668" w:type="pct"/>
            <w:tcBorders>
              <w:top w:val="nil"/>
              <w:left w:val="nil"/>
              <w:bottom w:val="single" w:sz="4" w:space="0" w:color="auto"/>
              <w:right w:val="single" w:sz="4" w:space="0" w:color="auto"/>
            </w:tcBorders>
            <w:shd w:val="clear" w:color="000000" w:fill="E5F1FF"/>
            <w:noWrap/>
            <w:vAlign w:val="center"/>
            <w:hideMark/>
          </w:tcPr>
          <w:p w:rsidR="00A83EDB" w:rsidRPr="00563CF9" w:rsidRDefault="00A83EDB" w:rsidP="00CC64C6">
            <w:pPr>
              <w:keepNext/>
              <w:jc w:val="center"/>
              <w:rPr>
                <w:rFonts w:ascii="Calibri" w:hAnsi="Calibri" w:cs="Calibri"/>
                <w:b/>
                <w:bCs/>
                <w:color w:val="000000"/>
                <w:sz w:val="20"/>
                <w:lang w:val="en-GB"/>
              </w:rPr>
            </w:pPr>
            <w:r w:rsidRPr="00563CF9">
              <w:rPr>
                <w:b/>
                <w:sz w:val="20"/>
                <w:lang w:val="en-GB" w:bidi="en-GB"/>
              </w:rPr>
              <w:t>%</w:t>
            </w:r>
          </w:p>
        </w:tc>
      </w:tr>
      <w:tr w:rsidR="00A83EDB" w:rsidRPr="00563CF9" w:rsidTr="00CC64C6">
        <w:trPr>
          <w:trHeight w:val="227"/>
        </w:trPr>
        <w:tc>
          <w:tcPr>
            <w:tcW w:w="48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83EDB" w:rsidRPr="00563CF9" w:rsidRDefault="00A83EDB" w:rsidP="00CC64C6">
            <w:pPr>
              <w:keepNext/>
              <w:jc w:val="left"/>
              <w:rPr>
                <w:rFonts w:ascii="Calibri" w:hAnsi="Calibri" w:cs="Calibri"/>
                <w:b/>
                <w:bCs/>
                <w:color w:val="000000"/>
                <w:sz w:val="20"/>
                <w:lang w:val="en-GB"/>
              </w:rPr>
            </w:pPr>
            <w:r w:rsidRPr="00563CF9">
              <w:rPr>
                <w:b/>
                <w:sz w:val="20"/>
                <w:lang w:val="en-GB" w:bidi="en-GB"/>
              </w:rPr>
              <w:t>BUH</w:t>
            </w:r>
          </w:p>
        </w:tc>
        <w:tc>
          <w:tcPr>
            <w:tcW w:w="493"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CC64C6">
            <w:pPr>
              <w:keepNext/>
              <w:jc w:val="center"/>
              <w:rPr>
                <w:rFonts w:ascii="Calibri" w:hAnsi="Calibri" w:cs="Calibri"/>
                <w:color w:val="000000"/>
                <w:sz w:val="20"/>
                <w:lang w:val="en-GB"/>
              </w:rPr>
            </w:pPr>
            <w:r w:rsidRPr="00563CF9">
              <w:rPr>
                <w:sz w:val="20"/>
                <w:lang w:val="en-GB" w:bidi="en-GB"/>
              </w:rPr>
              <w:t>2014</w:t>
            </w:r>
          </w:p>
        </w:tc>
        <w:tc>
          <w:tcPr>
            <w:tcW w:w="1676"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CC64C6">
            <w:pPr>
              <w:keepNext/>
              <w:ind w:right="77"/>
              <w:jc w:val="right"/>
              <w:rPr>
                <w:rFonts w:ascii="Calibri" w:hAnsi="Calibri" w:cs="Calibri"/>
                <w:color w:val="000000"/>
                <w:sz w:val="20"/>
                <w:lang w:val="en-GB"/>
              </w:rPr>
            </w:pPr>
            <w:r w:rsidRPr="00563CF9">
              <w:rPr>
                <w:sz w:val="20"/>
                <w:lang w:val="en-GB" w:bidi="en-GB"/>
              </w:rPr>
              <w:t>6,587,570,407.22</w:t>
            </w:r>
          </w:p>
        </w:tc>
        <w:tc>
          <w:tcPr>
            <w:tcW w:w="1676"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D435DC">
            <w:pPr>
              <w:keepNext/>
              <w:ind w:right="274"/>
              <w:jc w:val="right"/>
              <w:rPr>
                <w:rFonts w:ascii="Calibri" w:hAnsi="Calibri" w:cs="Calibri"/>
                <w:color w:val="000000"/>
                <w:sz w:val="20"/>
                <w:lang w:val="en-GB"/>
              </w:rPr>
            </w:pPr>
            <w:r w:rsidRPr="00563CF9">
              <w:rPr>
                <w:sz w:val="20"/>
                <w:lang w:val="en-GB" w:bidi="en-GB"/>
              </w:rPr>
              <w:t>1,655,371,940.00</w:t>
            </w:r>
          </w:p>
        </w:tc>
        <w:tc>
          <w:tcPr>
            <w:tcW w:w="668"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CC64C6">
            <w:pPr>
              <w:keepNext/>
              <w:ind w:right="77"/>
              <w:jc w:val="right"/>
              <w:rPr>
                <w:rFonts w:ascii="Calibri" w:hAnsi="Calibri" w:cs="Calibri"/>
                <w:color w:val="000000"/>
                <w:sz w:val="20"/>
                <w:lang w:val="en-GB"/>
              </w:rPr>
            </w:pPr>
            <w:r w:rsidRPr="00563CF9">
              <w:rPr>
                <w:sz w:val="20"/>
                <w:lang w:val="en-GB" w:bidi="en-GB"/>
              </w:rPr>
              <w:t>25.13</w:t>
            </w:r>
          </w:p>
        </w:tc>
      </w:tr>
      <w:tr w:rsidR="00A83EDB" w:rsidRPr="00563CF9" w:rsidTr="00CC64C6">
        <w:trPr>
          <w:trHeight w:val="227"/>
        </w:trPr>
        <w:tc>
          <w:tcPr>
            <w:tcW w:w="487" w:type="pct"/>
            <w:vMerge/>
            <w:tcBorders>
              <w:top w:val="nil"/>
              <w:left w:val="single" w:sz="4" w:space="0" w:color="auto"/>
              <w:bottom w:val="single" w:sz="4" w:space="0" w:color="000000"/>
              <w:right w:val="single" w:sz="4" w:space="0" w:color="auto"/>
            </w:tcBorders>
            <w:vAlign w:val="center"/>
            <w:hideMark/>
          </w:tcPr>
          <w:p w:rsidR="00A83EDB" w:rsidRPr="00563CF9" w:rsidRDefault="00A83EDB" w:rsidP="00CC64C6">
            <w:pPr>
              <w:keepNext/>
              <w:jc w:val="left"/>
              <w:rPr>
                <w:rFonts w:ascii="Calibri" w:hAnsi="Calibri" w:cs="Calibri"/>
                <w:b/>
                <w:bCs/>
                <w:color w:val="000000"/>
                <w:sz w:val="20"/>
                <w:lang w:val="en-GB"/>
              </w:rPr>
            </w:pPr>
          </w:p>
        </w:tc>
        <w:tc>
          <w:tcPr>
            <w:tcW w:w="493"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CC64C6">
            <w:pPr>
              <w:keepNext/>
              <w:jc w:val="center"/>
              <w:rPr>
                <w:rFonts w:ascii="Calibri" w:hAnsi="Calibri" w:cs="Calibri"/>
                <w:color w:val="000000"/>
                <w:sz w:val="20"/>
                <w:lang w:val="en-GB"/>
              </w:rPr>
            </w:pPr>
            <w:r w:rsidRPr="00563CF9">
              <w:rPr>
                <w:sz w:val="20"/>
                <w:lang w:val="en-GB" w:bidi="en-GB"/>
              </w:rPr>
              <w:t>2015</w:t>
            </w:r>
          </w:p>
        </w:tc>
        <w:tc>
          <w:tcPr>
            <w:tcW w:w="1676"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CC64C6">
            <w:pPr>
              <w:keepNext/>
              <w:ind w:right="77"/>
              <w:jc w:val="right"/>
              <w:rPr>
                <w:rFonts w:ascii="Calibri" w:hAnsi="Calibri" w:cs="Calibri"/>
                <w:color w:val="000000"/>
                <w:sz w:val="20"/>
                <w:lang w:val="en-GB"/>
              </w:rPr>
            </w:pPr>
            <w:r w:rsidRPr="00563CF9">
              <w:rPr>
                <w:sz w:val="20"/>
                <w:lang w:val="en-GB" w:bidi="en-GB"/>
              </w:rPr>
              <w:t>6,873,887,657.55</w:t>
            </w:r>
          </w:p>
        </w:tc>
        <w:tc>
          <w:tcPr>
            <w:tcW w:w="1676"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D435DC">
            <w:pPr>
              <w:keepNext/>
              <w:ind w:right="274"/>
              <w:jc w:val="right"/>
              <w:rPr>
                <w:rFonts w:ascii="Calibri" w:hAnsi="Calibri" w:cs="Calibri"/>
                <w:color w:val="000000"/>
                <w:sz w:val="20"/>
                <w:lang w:val="en-GB"/>
              </w:rPr>
            </w:pPr>
            <w:r w:rsidRPr="00563CF9">
              <w:rPr>
                <w:sz w:val="20"/>
                <w:lang w:val="en-GB" w:bidi="en-GB"/>
              </w:rPr>
              <w:t>1,806,487,170.00</w:t>
            </w:r>
          </w:p>
        </w:tc>
        <w:tc>
          <w:tcPr>
            <w:tcW w:w="668"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CC64C6">
            <w:pPr>
              <w:keepNext/>
              <w:ind w:right="77"/>
              <w:jc w:val="right"/>
              <w:rPr>
                <w:rFonts w:ascii="Calibri" w:hAnsi="Calibri" w:cs="Calibri"/>
                <w:color w:val="000000"/>
                <w:sz w:val="20"/>
                <w:lang w:val="en-GB"/>
              </w:rPr>
            </w:pPr>
            <w:r w:rsidRPr="00563CF9">
              <w:rPr>
                <w:sz w:val="20"/>
                <w:lang w:val="en-GB" w:bidi="en-GB"/>
              </w:rPr>
              <w:t>26.28</w:t>
            </w:r>
          </w:p>
        </w:tc>
      </w:tr>
      <w:tr w:rsidR="00A83EDB" w:rsidRPr="00563CF9" w:rsidTr="00CC64C6">
        <w:trPr>
          <w:trHeight w:val="227"/>
        </w:trPr>
        <w:tc>
          <w:tcPr>
            <w:tcW w:w="487" w:type="pct"/>
            <w:vMerge/>
            <w:tcBorders>
              <w:top w:val="nil"/>
              <w:left w:val="single" w:sz="4" w:space="0" w:color="auto"/>
              <w:bottom w:val="single" w:sz="4" w:space="0" w:color="000000"/>
              <w:right w:val="single" w:sz="4" w:space="0" w:color="auto"/>
            </w:tcBorders>
            <w:vAlign w:val="center"/>
            <w:hideMark/>
          </w:tcPr>
          <w:p w:rsidR="00A83EDB" w:rsidRPr="00563CF9" w:rsidRDefault="00A83EDB" w:rsidP="00CC64C6">
            <w:pPr>
              <w:keepNext/>
              <w:jc w:val="left"/>
              <w:rPr>
                <w:rFonts w:ascii="Calibri" w:hAnsi="Calibri" w:cs="Calibri"/>
                <w:b/>
                <w:bCs/>
                <w:color w:val="000000"/>
                <w:sz w:val="20"/>
                <w:lang w:val="en-GB"/>
              </w:rPr>
            </w:pPr>
          </w:p>
        </w:tc>
        <w:tc>
          <w:tcPr>
            <w:tcW w:w="493"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CC64C6">
            <w:pPr>
              <w:keepNext/>
              <w:jc w:val="center"/>
              <w:rPr>
                <w:rFonts w:ascii="Calibri" w:hAnsi="Calibri" w:cs="Calibri"/>
                <w:color w:val="000000"/>
                <w:sz w:val="20"/>
                <w:lang w:val="en-GB"/>
              </w:rPr>
            </w:pPr>
            <w:r w:rsidRPr="00563CF9">
              <w:rPr>
                <w:sz w:val="20"/>
                <w:lang w:val="en-GB" w:bidi="en-GB"/>
              </w:rPr>
              <w:t>2016</w:t>
            </w:r>
          </w:p>
        </w:tc>
        <w:tc>
          <w:tcPr>
            <w:tcW w:w="1676"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CC64C6">
            <w:pPr>
              <w:keepNext/>
              <w:ind w:right="77"/>
              <w:jc w:val="right"/>
              <w:rPr>
                <w:rFonts w:ascii="Calibri" w:hAnsi="Calibri" w:cs="Calibri"/>
                <w:color w:val="000000"/>
                <w:sz w:val="20"/>
                <w:lang w:val="en-GB"/>
              </w:rPr>
            </w:pPr>
            <w:r w:rsidRPr="00563CF9">
              <w:rPr>
                <w:sz w:val="20"/>
                <w:lang w:val="en-GB" w:bidi="en-GB"/>
              </w:rPr>
              <w:t>7,658,859,583.03</w:t>
            </w:r>
          </w:p>
        </w:tc>
        <w:tc>
          <w:tcPr>
            <w:tcW w:w="1676"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D435DC">
            <w:pPr>
              <w:keepNext/>
              <w:ind w:right="274"/>
              <w:jc w:val="right"/>
              <w:rPr>
                <w:rFonts w:ascii="Calibri" w:hAnsi="Calibri" w:cs="Calibri"/>
                <w:color w:val="000000"/>
                <w:sz w:val="20"/>
                <w:lang w:val="en-GB"/>
              </w:rPr>
            </w:pPr>
            <w:r w:rsidRPr="00563CF9">
              <w:rPr>
                <w:sz w:val="20"/>
                <w:lang w:val="en-GB" w:bidi="en-GB"/>
              </w:rPr>
              <w:t>2,085,461,230.00</w:t>
            </w:r>
          </w:p>
        </w:tc>
        <w:tc>
          <w:tcPr>
            <w:tcW w:w="668"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CC64C6">
            <w:pPr>
              <w:keepNext/>
              <w:ind w:right="77"/>
              <w:jc w:val="right"/>
              <w:rPr>
                <w:rFonts w:ascii="Calibri" w:hAnsi="Calibri" w:cs="Calibri"/>
                <w:color w:val="000000"/>
                <w:sz w:val="20"/>
                <w:lang w:val="en-GB"/>
              </w:rPr>
            </w:pPr>
            <w:r w:rsidRPr="00563CF9">
              <w:rPr>
                <w:sz w:val="20"/>
                <w:lang w:val="en-GB" w:bidi="en-GB"/>
              </w:rPr>
              <w:t>27.23</w:t>
            </w:r>
          </w:p>
        </w:tc>
      </w:tr>
      <w:tr w:rsidR="00A83EDB" w:rsidRPr="00563CF9" w:rsidTr="00CC64C6">
        <w:trPr>
          <w:trHeight w:val="227"/>
        </w:trPr>
        <w:tc>
          <w:tcPr>
            <w:tcW w:w="48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83EDB" w:rsidRPr="00563CF9" w:rsidRDefault="00A83EDB" w:rsidP="00CC64C6">
            <w:pPr>
              <w:keepNext/>
              <w:jc w:val="left"/>
              <w:rPr>
                <w:rFonts w:ascii="Calibri" w:hAnsi="Calibri" w:cs="Calibri"/>
                <w:b/>
                <w:bCs/>
                <w:color w:val="000000"/>
                <w:sz w:val="20"/>
                <w:lang w:val="en-GB"/>
              </w:rPr>
            </w:pPr>
            <w:r w:rsidRPr="00563CF9">
              <w:rPr>
                <w:b/>
                <w:sz w:val="20"/>
                <w:lang w:val="en-GB" w:bidi="en-GB"/>
              </w:rPr>
              <w:t>MUH</w:t>
            </w:r>
          </w:p>
        </w:tc>
        <w:tc>
          <w:tcPr>
            <w:tcW w:w="493"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CC64C6">
            <w:pPr>
              <w:keepNext/>
              <w:jc w:val="center"/>
              <w:rPr>
                <w:rFonts w:ascii="Calibri" w:hAnsi="Calibri" w:cs="Calibri"/>
                <w:color w:val="000000"/>
                <w:sz w:val="20"/>
                <w:lang w:val="en-GB"/>
              </w:rPr>
            </w:pPr>
            <w:r w:rsidRPr="00563CF9">
              <w:rPr>
                <w:sz w:val="20"/>
                <w:lang w:val="en-GB" w:bidi="en-GB"/>
              </w:rPr>
              <w:t>2014</w:t>
            </w:r>
          </w:p>
        </w:tc>
        <w:tc>
          <w:tcPr>
            <w:tcW w:w="1676"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CC64C6">
            <w:pPr>
              <w:keepNext/>
              <w:ind w:right="77"/>
              <w:jc w:val="right"/>
              <w:rPr>
                <w:rFonts w:ascii="Calibri" w:hAnsi="Calibri" w:cs="Calibri"/>
                <w:color w:val="000000"/>
                <w:sz w:val="20"/>
                <w:lang w:val="en-GB"/>
              </w:rPr>
            </w:pPr>
            <w:r w:rsidRPr="00563CF9">
              <w:rPr>
                <w:sz w:val="20"/>
                <w:lang w:val="en-GB" w:bidi="en-GB"/>
              </w:rPr>
              <w:t>7,486,988,592.69</w:t>
            </w:r>
          </w:p>
        </w:tc>
        <w:tc>
          <w:tcPr>
            <w:tcW w:w="1676"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D435DC">
            <w:pPr>
              <w:keepNext/>
              <w:ind w:right="274"/>
              <w:jc w:val="right"/>
              <w:rPr>
                <w:rFonts w:ascii="Calibri" w:hAnsi="Calibri" w:cs="Calibri"/>
                <w:color w:val="000000"/>
                <w:sz w:val="20"/>
                <w:lang w:val="en-GB"/>
              </w:rPr>
            </w:pPr>
            <w:r w:rsidRPr="00563CF9">
              <w:rPr>
                <w:sz w:val="20"/>
                <w:lang w:val="en-GB" w:bidi="en-GB"/>
              </w:rPr>
              <w:t>1,251,483,939.18</w:t>
            </w:r>
          </w:p>
        </w:tc>
        <w:tc>
          <w:tcPr>
            <w:tcW w:w="668"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CC64C6">
            <w:pPr>
              <w:keepNext/>
              <w:ind w:right="77"/>
              <w:jc w:val="right"/>
              <w:rPr>
                <w:rFonts w:ascii="Calibri" w:hAnsi="Calibri" w:cs="Calibri"/>
                <w:color w:val="000000"/>
                <w:sz w:val="20"/>
                <w:lang w:val="en-GB"/>
              </w:rPr>
            </w:pPr>
            <w:r w:rsidRPr="00563CF9">
              <w:rPr>
                <w:sz w:val="20"/>
                <w:lang w:val="en-GB" w:bidi="en-GB"/>
              </w:rPr>
              <w:t>16.72</w:t>
            </w:r>
          </w:p>
        </w:tc>
      </w:tr>
      <w:tr w:rsidR="00A83EDB" w:rsidRPr="00563CF9" w:rsidTr="00CC64C6">
        <w:trPr>
          <w:trHeight w:val="227"/>
        </w:trPr>
        <w:tc>
          <w:tcPr>
            <w:tcW w:w="487" w:type="pct"/>
            <w:vMerge/>
            <w:tcBorders>
              <w:top w:val="nil"/>
              <w:left w:val="single" w:sz="4" w:space="0" w:color="auto"/>
              <w:bottom w:val="single" w:sz="4" w:space="0" w:color="000000"/>
              <w:right w:val="single" w:sz="4" w:space="0" w:color="auto"/>
            </w:tcBorders>
            <w:vAlign w:val="center"/>
            <w:hideMark/>
          </w:tcPr>
          <w:p w:rsidR="00A83EDB" w:rsidRPr="00563CF9" w:rsidRDefault="00A83EDB" w:rsidP="00CC64C6">
            <w:pPr>
              <w:keepNext/>
              <w:jc w:val="left"/>
              <w:rPr>
                <w:rFonts w:ascii="Calibri" w:hAnsi="Calibri" w:cs="Calibri"/>
                <w:b/>
                <w:bCs/>
                <w:color w:val="000000"/>
                <w:sz w:val="20"/>
                <w:lang w:val="en-GB"/>
              </w:rPr>
            </w:pPr>
          </w:p>
        </w:tc>
        <w:tc>
          <w:tcPr>
            <w:tcW w:w="493"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CC64C6">
            <w:pPr>
              <w:keepNext/>
              <w:jc w:val="center"/>
              <w:rPr>
                <w:rFonts w:ascii="Calibri" w:hAnsi="Calibri" w:cs="Calibri"/>
                <w:color w:val="000000"/>
                <w:sz w:val="20"/>
                <w:lang w:val="en-GB"/>
              </w:rPr>
            </w:pPr>
            <w:r w:rsidRPr="00563CF9">
              <w:rPr>
                <w:sz w:val="20"/>
                <w:lang w:val="en-GB" w:bidi="en-GB"/>
              </w:rPr>
              <w:t>2015</w:t>
            </w:r>
          </w:p>
        </w:tc>
        <w:tc>
          <w:tcPr>
            <w:tcW w:w="1676"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CC64C6">
            <w:pPr>
              <w:keepNext/>
              <w:ind w:right="77"/>
              <w:jc w:val="right"/>
              <w:rPr>
                <w:rFonts w:ascii="Calibri" w:hAnsi="Calibri" w:cs="Calibri"/>
                <w:color w:val="000000"/>
                <w:sz w:val="20"/>
                <w:lang w:val="en-GB"/>
              </w:rPr>
            </w:pPr>
            <w:r w:rsidRPr="00563CF9">
              <w:rPr>
                <w:sz w:val="20"/>
                <w:lang w:val="en-GB" w:bidi="en-GB"/>
              </w:rPr>
              <w:t>7,775,201,097.39</w:t>
            </w:r>
          </w:p>
        </w:tc>
        <w:tc>
          <w:tcPr>
            <w:tcW w:w="1676"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D435DC">
            <w:pPr>
              <w:keepNext/>
              <w:ind w:right="274"/>
              <w:jc w:val="right"/>
              <w:rPr>
                <w:rFonts w:ascii="Calibri" w:hAnsi="Calibri" w:cs="Calibri"/>
                <w:color w:val="000000"/>
                <w:sz w:val="20"/>
                <w:lang w:val="en-GB"/>
              </w:rPr>
            </w:pPr>
            <w:r w:rsidRPr="00563CF9">
              <w:rPr>
                <w:sz w:val="20"/>
                <w:lang w:val="en-GB" w:bidi="en-GB"/>
              </w:rPr>
              <w:t>1,333,835,771.82</w:t>
            </w:r>
          </w:p>
        </w:tc>
        <w:tc>
          <w:tcPr>
            <w:tcW w:w="668"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CC64C6">
            <w:pPr>
              <w:keepNext/>
              <w:ind w:right="77"/>
              <w:jc w:val="right"/>
              <w:rPr>
                <w:rFonts w:ascii="Calibri" w:hAnsi="Calibri" w:cs="Calibri"/>
                <w:color w:val="000000"/>
                <w:sz w:val="20"/>
                <w:lang w:val="en-GB"/>
              </w:rPr>
            </w:pPr>
            <w:r w:rsidRPr="00563CF9">
              <w:rPr>
                <w:sz w:val="20"/>
                <w:lang w:val="en-GB" w:bidi="en-GB"/>
              </w:rPr>
              <w:t>17.16</w:t>
            </w:r>
          </w:p>
        </w:tc>
      </w:tr>
      <w:tr w:rsidR="00A83EDB" w:rsidRPr="00563CF9" w:rsidTr="00CC64C6">
        <w:trPr>
          <w:trHeight w:val="227"/>
        </w:trPr>
        <w:tc>
          <w:tcPr>
            <w:tcW w:w="487" w:type="pct"/>
            <w:vMerge/>
            <w:tcBorders>
              <w:top w:val="nil"/>
              <w:left w:val="single" w:sz="4" w:space="0" w:color="auto"/>
              <w:bottom w:val="single" w:sz="4" w:space="0" w:color="000000"/>
              <w:right w:val="single" w:sz="4" w:space="0" w:color="auto"/>
            </w:tcBorders>
            <w:vAlign w:val="center"/>
            <w:hideMark/>
          </w:tcPr>
          <w:p w:rsidR="00A83EDB" w:rsidRPr="00563CF9" w:rsidRDefault="00A83EDB" w:rsidP="00CC64C6">
            <w:pPr>
              <w:keepNext/>
              <w:jc w:val="left"/>
              <w:rPr>
                <w:rFonts w:ascii="Calibri" w:hAnsi="Calibri" w:cs="Calibri"/>
                <w:b/>
                <w:bCs/>
                <w:color w:val="000000"/>
                <w:sz w:val="20"/>
                <w:lang w:val="en-GB"/>
              </w:rPr>
            </w:pPr>
          </w:p>
        </w:tc>
        <w:tc>
          <w:tcPr>
            <w:tcW w:w="493"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CC64C6">
            <w:pPr>
              <w:keepNext/>
              <w:jc w:val="center"/>
              <w:rPr>
                <w:rFonts w:ascii="Calibri" w:hAnsi="Calibri" w:cs="Calibri"/>
                <w:color w:val="000000"/>
                <w:sz w:val="20"/>
                <w:lang w:val="en-GB"/>
              </w:rPr>
            </w:pPr>
            <w:r w:rsidRPr="00563CF9">
              <w:rPr>
                <w:sz w:val="20"/>
                <w:lang w:val="en-GB" w:bidi="en-GB"/>
              </w:rPr>
              <w:t>2016</w:t>
            </w:r>
          </w:p>
        </w:tc>
        <w:tc>
          <w:tcPr>
            <w:tcW w:w="1676"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CC64C6">
            <w:pPr>
              <w:keepNext/>
              <w:ind w:right="77"/>
              <w:jc w:val="right"/>
              <w:rPr>
                <w:rFonts w:ascii="Calibri" w:hAnsi="Calibri" w:cs="Calibri"/>
                <w:color w:val="000000"/>
                <w:sz w:val="20"/>
                <w:lang w:val="en-GB"/>
              </w:rPr>
            </w:pPr>
            <w:r w:rsidRPr="00563CF9">
              <w:rPr>
                <w:sz w:val="20"/>
                <w:lang w:val="en-GB" w:bidi="en-GB"/>
              </w:rPr>
              <w:t>8,134,270,527.66</w:t>
            </w:r>
          </w:p>
        </w:tc>
        <w:tc>
          <w:tcPr>
            <w:tcW w:w="1676"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D435DC">
            <w:pPr>
              <w:keepNext/>
              <w:ind w:right="274"/>
              <w:jc w:val="right"/>
              <w:rPr>
                <w:rFonts w:ascii="Calibri" w:hAnsi="Calibri" w:cs="Calibri"/>
                <w:color w:val="000000"/>
                <w:sz w:val="20"/>
                <w:lang w:val="en-GB"/>
              </w:rPr>
            </w:pPr>
            <w:r w:rsidRPr="00563CF9">
              <w:rPr>
                <w:sz w:val="20"/>
                <w:lang w:val="en-GB" w:bidi="en-GB"/>
              </w:rPr>
              <w:t>1,477,736,106.26</w:t>
            </w:r>
          </w:p>
        </w:tc>
        <w:tc>
          <w:tcPr>
            <w:tcW w:w="668"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CC64C6">
            <w:pPr>
              <w:keepNext/>
              <w:ind w:right="77"/>
              <w:jc w:val="right"/>
              <w:rPr>
                <w:rFonts w:ascii="Calibri" w:hAnsi="Calibri" w:cs="Calibri"/>
                <w:color w:val="000000"/>
                <w:sz w:val="20"/>
                <w:lang w:val="en-GB"/>
              </w:rPr>
            </w:pPr>
            <w:r w:rsidRPr="00563CF9">
              <w:rPr>
                <w:sz w:val="20"/>
                <w:lang w:val="en-GB" w:bidi="en-GB"/>
              </w:rPr>
              <w:t>18.17</w:t>
            </w:r>
          </w:p>
        </w:tc>
      </w:tr>
      <w:tr w:rsidR="00A83EDB" w:rsidRPr="00563CF9" w:rsidTr="00CC64C6">
        <w:trPr>
          <w:trHeight w:val="227"/>
        </w:trPr>
        <w:tc>
          <w:tcPr>
            <w:tcW w:w="48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83EDB" w:rsidRPr="00563CF9" w:rsidRDefault="00A83EDB" w:rsidP="00CC64C6">
            <w:pPr>
              <w:keepNext/>
              <w:jc w:val="left"/>
              <w:rPr>
                <w:rFonts w:ascii="Calibri" w:hAnsi="Calibri" w:cs="Calibri"/>
                <w:b/>
                <w:bCs/>
                <w:color w:val="000000"/>
                <w:sz w:val="20"/>
                <w:lang w:val="en-GB"/>
              </w:rPr>
            </w:pPr>
            <w:r w:rsidRPr="00563CF9">
              <w:rPr>
                <w:b/>
                <w:sz w:val="20"/>
                <w:lang w:val="en-GB" w:bidi="en-GB"/>
              </w:rPr>
              <w:t>CMH</w:t>
            </w:r>
          </w:p>
        </w:tc>
        <w:tc>
          <w:tcPr>
            <w:tcW w:w="493"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CC64C6">
            <w:pPr>
              <w:keepNext/>
              <w:jc w:val="center"/>
              <w:rPr>
                <w:rFonts w:ascii="Calibri" w:hAnsi="Calibri" w:cs="Calibri"/>
                <w:color w:val="000000"/>
                <w:sz w:val="20"/>
                <w:lang w:val="en-GB"/>
              </w:rPr>
            </w:pPr>
            <w:r w:rsidRPr="00563CF9">
              <w:rPr>
                <w:sz w:val="20"/>
                <w:lang w:val="en-GB" w:bidi="en-GB"/>
              </w:rPr>
              <w:t>2014</w:t>
            </w:r>
          </w:p>
        </w:tc>
        <w:tc>
          <w:tcPr>
            <w:tcW w:w="1676"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CC64C6">
            <w:pPr>
              <w:keepNext/>
              <w:ind w:right="77"/>
              <w:jc w:val="right"/>
              <w:rPr>
                <w:rFonts w:ascii="Calibri" w:hAnsi="Calibri" w:cs="Calibri"/>
                <w:color w:val="000000"/>
                <w:sz w:val="20"/>
                <w:lang w:val="en-GB"/>
              </w:rPr>
            </w:pPr>
            <w:r w:rsidRPr="00563CF9">
              <w:rPr>
                <w:sz w:val="20"/>
                <w:lang w:val="en-GB" w:bidi="en-GB"/>
              </w:rPr>
              <w:t>2,211,717,268.54</w:t>
            </w:r>
          </w:p>
        </w:tc>
        <w:tc>
          <w:tcPr>
            <w:tcW w:w="1676"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D435DC">
            <w:pPr>
              <w:keepNext/>
              <w:ind w:right="274"/>
              <w:jc w:val="right"/>
              <w:rPr>
                <w:rFonts w:ascii="Calibri" w:hAnsi="Calibri" w:cs="Calibri"/>
                <w:color w:val="000000"/>
                <w:sz w:val="20"/>
                <w:lang w:val="en-GB"/>
              </w:rPr>
            </w:pPr>
            <w:r w:rsidRPr="00563CF9">
              <w:rPr>
                <w:sz w:val="20"/>
                <w:lang w:val="en-GB" w:bidi="en-GB"/>
              </w:rPr>
              <w:t>141,119,580.00</w:t>
            </w:r>
          </w:p>
        </w:tc>
        <w:tc>
          <w:tcPr>
            <w:tcW w:w="668"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CC64C6">
            <w:pPr>
              <w:keepNext/>
              <w:ind w:right="77"/>
              <w:jc w:val="right"/>
              <w:rPr>
                <w:rFonts w:ascii="Calibri" w:hAnsi="Calibri" w:cs="Calibri"/>
                <w:color w:val="000000"/>
                <w:sz w:val="20"/>
                <w:lang w:val="en-GB"/>
              </w:rPr>
            </w:pPr>
            <w:r w:rsidRPr="00563CF9">
              <w:rPr>
                <w:sz w:val="20"/>
                <w:lang w:val="en-GB" w:bidi="en-GB"/>
              </w:rPr>
              <w:t>6.38</w:t>
            </w:r>
          </w:p>
        </w:tc>
      </w:tr>
      <w:tr w:rsidR="00A83EDB" w:rsidRPr="00563CF9" w:rsidTr="00CC64C6">
        <w:trPr>
          <w:trHeight w:val="227"/>
        </w:trPr>
        <w:tc>
          <w:tcPr>
            <w:tcW w:w="487" w:type="pct"/>
            <w:vMerge/>
            <w:tcBorders>
              <w:top w:val="nil"/>
              <w:left w:val="single" w:sz="4" w:space="0" w:color="auto"/>
              <w:bottom w:val="single" w:sz="4" w:space="0" w:color="000000"/>
              <w:right w:val="single" w:sz="4" w:space="0" w:color="auto"/>
            </w:tcBorders>
            <w:vAlign w:val="center"/>
            <w:hideMark/>
          </w:tcPr>
          <w:p w:rsidR="00A83EDB" w:rsidRPr="00563CF9" w:rsidRDefault="00A83EDB" w:rsidP="00CC64C6">
            <w:pPr>
              <w:keepNext/>
              <w:jc w:val="left"/>
              <w:rPr>
                <w:rFonts w:ascii="Calibri" w:hAnsi="Calibri" w:cs="Calibri"/>
                <w:b/>
                <w:bCs/>
                <w:color w:val="000000"/>
                <w:sz w:val="20"/>
                <w:lang w:val="en-GB"/>
              </w:rPr>
            </w:pPr>
          </w:p>
        </w:tc>
        <w:tc>
          <w:tcPr>
            <w:tcW w:w="493"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CC64C6">
            <w:pPr>
              <w:keepNext/>
              <w:jc w:val="center"/>
              <w:rPr>
                <w:rFonts w:ascii="Calibri" w:hAnsi="Calibri" w:cs="Calibri"/>
                <w:color w:val="000000"/>
                <w:sz w:val="20"/>
                <w:lang w:val="en-GB"/>
              </w:rPr>
            </w:pPr>
            <w:r w:rsidRPr="00563CF9">
              <w:rPr>
                <w:sz w:val="20"/>
                <w:lang w:val="en-GB" w:bidi="en-GB"/>
              </w:rPr>
              <w:t>2015</w:t>
            </w:r>
          </w:p>
        </w:tc>
        <w:tc>
          <w:tcPr>
            <w:tcW w:w="1676"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CC64C6">
            <w:pPr>
              <w:keepNext/>
              <w:ind w:right="77"/>
              <w:jc w:val="right"/>
              <w:rPr>
                <w:rFonts w:ascii="Calibri" w:hAnsi="Calibri" w:cs="Calibri"/>
                <w:color w:val="000000"/>
                <w:sz w:val="20"/>
                <w:lang w:val="en-GB"/>
              </w:rPr>
            </w:pPr>
            <w:r w:rsidRPr="00563CF9">
              <w:rPr>
                <w:sz w:val="20"/>
                <w:lang w:val="en-GB" w:bidi="en-GB"/>
              </w:rPr>
              <w:t>2,454,898,588.02</w:t>
            </w:r>
          </w:p>
        </w:tc>
        <w:tc>
          <w:tcPr>
            <w:tcW w:w="1676"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D435DC">
            <w:pPr>
              <w:keepNext/>
              <w:ind w:right="274"/>
              <w:jc w:val="right"/>
              <w:rPr>
                <w:rFonts w:ascii="Calibri" w:hAnsi="Calibri" w:cs="Calibri"/>
                <w:color w:val="000000"/>
                <w:sz w:val="20"/>
                <w:lang w:val="en-GB"/>
              </w:rPr>
            </w:pPr>
            <w:r w:rsidRPr="00563CF9">
              <w:rPr>
                <w:sz w:val="20"/>
                <w:lang w:val="en-GB" w:bidi="en-GB"/>
              </w:rPr>
              <w:t>157,737,610.00</w:t>
            </w:r>
          </w:p>
        </w:tc>
        <w:tc>
          <w:tcPr>
            <w:tcW w:w="668"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CC64C6">
            <w:pPr>
              <w:keepNext/>
              <w:ind w:right="77"/>
              <w:jc w:val="right"/>
              <w:rPr>
                <w:rFonts w:ascii="Calibri" w:hAnsi="Calibri" w:cs="Calibri"/>
                <w:color w:val="000000"/>
                <w:sz w:val="20"/>
                <w:lang w:val="en-GB"/>
              </w:rPr>
            </w:pPr>
            <w:r w:rsidRPr="00563CF9">
              <w:rPr>
                <w:sz w:val="20"/>
                <w:lang w:val="en-GB" w:bidi="en-GB"/>
              </w:rPr>
              <w:t>6.43</w:t>
            </w:r>
          </w:p>
        </w:tc>
      </w:tr>
      <w:tr w:rsidR="00A83EDB" w:rsidRPr="00563CF9" w:rsidTr="00CC64C6">
        <w:trPr>
          <w:trHeight w:val="227"/>
        </w:trPr>
        <w:tc>
          <w:tcPr>
            <w:tcW w:w="487" w:type="pct"/>
            <w:vMerge/>
            <w:tcBorders>
              <w:top w:val="nil"/>
              <w:left w:val="single" w:sz="4" w:space="0" w:color="auto"/>
              <w:bottom w:val="single" w:sz="4" w:space="0" w:color="000000"/>
              <w:right w:val="single" w:sz="4" w:space="0" w:color="auto"/>
            </w:tcBorders>
            <w:vAlign w:val="center"/>
            <w:hideMark/>
          </w:tcPr>
          <w:p w:rsidR="00A83EDB" w:rsidRPr="00563CF9" w:rsidRDefault="00A83EDB" w:rsidP="00CC64C6">
            <w:pPr>
              <w:keepNext/>
              <w:jc w:val="left"/>
              <w:rPr>
                <w:rFonts w:ascii="Calibri" w:hAnsi="Calibri" w:cs="Calibri"/>
                <w:b/>
                <w:bCs/>
                <w:color w:val="000000"/>
                <w:sz w:val="20"/>
                <w:lang w:val="en-GB"/>
              </w:rPr>
            </w:pPr>
          </w:p>
        </w:tc>
        <w:tc>
          <w:tcPr>
            <w:tcW w:w="493"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CC64C6">
            <w:pPr>
              <w:keepNext/>
              <w:jc w:val="center"/>
              <w:rPr>
                <w:rFonts w:ascii="Calibri" w:hAnsi="Calibri" w:cs="Calibri"/>
                <w:color w:val="000000"/>
                <w:sz w:val="20"/>
                <w:lang w:val="en-GB"/>
              </w:rPr>
            </w:pPr>
            <w:r w:rsidRPr="00563CF9">
              <w:rPr>
                <w:sz w:val="20"/>
                <w:lang w:val="en-GB" w:bidi="en-GB"/>
              </w:rPr>
              <w:t>2016</w:t>
            </w:r>
          </w:p>
        </w:tc>
        <w:tc>
          <w:tcPr>
            <w:tcW w:w="1676"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CC64C6">
            <w:pPr>
              <w:keepNext/>
              <w:ind w:right="77"/>
              <w:jc w:val="right"/>
              <w:rPr>
                <w:rFonts w:ascii="Calibri" w:hAnsi="Calibri" w:cs="Calibri"/>
                <w:color w:val="000000"/>
                <w:sz w:val="20"/>
                <w:lang w:val="en-GB"/>
              </w:rPr>
            </w:pPr>
            <w:r w:rsidRPr="00563CF9">
              <w:rPr>
                <w:sz w:val="20"/>
                <w:lang w:val="en-GB" w:bidi="en-GB"/>
              </w:rPr>
              <w:t>2,550,626,659.83</w:t>
            </w:r>
          </w:p>
        </w:tc>
        <w:tc>
          <w:tcPr>
            <w:tcW w:w="1676"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CC64C6">
            <w:pPr>
              <w:keepNext/>
              <w:ind w:right="77"/>
              <w:jc w:val="right"/>
              <w:rPr>
                <w:rFonts w:ascii="Calibri" w:hAnsi="Calibri" w:cs="Calibri"/>
                <w:color w:val="000000"/>
                <w:sz w:val="20"/>
                <w:lang w:val="en-GB"/>
              </w:rPr>
            </w:pPr>
            <w:r w:rsidRPr="00563CF9">
              <w:rPr>
                <w:sz w:val="20"/>
                <w:lang w:val="en-GB" w:bidi="en-GB"/>
              </w:rPr>
              <w:t>210,317,440.00**</w:t>
            </w:r>
          </w:p>
        </w:tc>
        <w:tc>
          <w:tcPr>
            <w:tcW w:w="668"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CC64C6">
            <w:pPr>
              <w:keepNext/>
              <w:ind w:right="77"/>
              <w:jc w:val="right"/>
              <w:rPr>
                <w:rFonts w:ascii="Calibri" w:hAnsi="Calibri" w:cs="Calibri"/>
                <w:color w:val="000000"/>
                <w:sz w:val="20"/>
                <w:lang w:val="en-GB"/>
              </w:rPr>
            </w:pPr>
            <w:r w:rsidRPr="00563CF9">
              <w:rPr>
                <w:sz w:val="20"/>
                <w:lang w:val="en-GB" w:bidi="en-GB"/>
              </w:rPr>
              <w:t>8.25</w:t>
            </w:r>
          </w:p>
        </w:tc>
      </w:tr>
    </w:tbl>
    <w:p w:rsidR="00A83EDB" w:rsidRPr="00563CF9" w:rsidRDefault="00A83EDB" w:rsidP="00CC64C6">
      <w:pPr>
        <w:pStyle w:val="Zdroj"/>
        <w:keepNext/>
        <w:spacing w:before="40"/>
        <w:ind w:left="567" w:hanging="567"/>
        <w:rPr>
          <w:i w:val="0"/>
          <w:noProof/>
          <w:lang w:val="en-GB"/>
        </w:rPr>
      </w:pPr>
      <w:r w:rsidRPr="00563CF9">
        <w:rPr>
          <w:b/>
          <w:i w:val="0"/>
          <w:noProof/>
          <w:lang w:val="en-GB" w:bidi="en-GB"/>
        </w:rPr>
        <w:t xml:space="preserve">Source: </w:t>
      </w:r>
      <w:r w:rsidRPr="00563CF9">
        <w:rPr>
          <w:b/>
          <w:i w:val="0"/>
          <w:noProof/>
          <w:lang w:val="en-GB" w:bidi="en-GB"/>
        </w:rPr>
        <w:tab/>
      </w:r>
      <w:r w:rsidR="00D435DC" w:rsidRPr="00563CF9">
        <w:rPr>
          <w:i w:val="0"/>
          <w:noProof/>
          <w:lang w:val="en-GB" w:bidi="en-GB"/>
        </w:rPr>
        <w:t>general ledgers of the individual university hospitals as of 31 December 2014, 31 December 2015 and 31 December 2016 and financial statements as of 31 December 2014, 31 December 2015 and 31 December 2016.</w:t>
      </w:r>
    </w:p>
    <w:p w:rsidR="00A83EDB" w:rsidRPr="00563CF9" w:rsidRDefault="00A83EDB" w:rsidP="008F777B">
      <w:pPr>
        <w:pStyle w:val="Zdroj"/>
        <w:keepNext/>
        <w:ind w:left="284" w:hanging="284"/>
        <w:rPr>
          <w:i w:val="0"/>
          <w:noProof/>
          <w:lang w:val="en-GB"/>
        </w:rPr>
      </w:pPr>
      <w:r w:rsidRPr="00563CF9">
        <w:rPr>
          <w:i w:val="0"/>
          <w:noProof/>
          <w:lang w:val="en-GB" w:bidi="en-GB"/>
        </w:rPr>
        <w:t xml:space="preserve">* </w:t>
      </w:r>
      <w:r w:rsidRPr="00563CF9">
        <w:rPr>
          <w:i w:val="0"/>
          <w:noProof/>
          <w:lang w:val="en-GB" w:bidi="en-GB"/>
        </w:rPr>
        <w:tab/>
        <w:t>Costs of pharmaceuticals are stated without the cost of blood and blood derivatives and medical gases.</w:t>
      </w:r>
    </w:p>
    <w:p w:rsidR="00A83EDB" w:rsidRPr="00563CF9" w:rsidRDefault="00A83EDB" w:rsidP="008F777B">
      <w:pPr>
        <w:pStyle w:val="Zdroj"/>
        <w:ind w:left="284" w:hanging="284"/>
        <w:rPr>
          <w:i w:val="0"/>
          <w:noProof/>
          <w:lang w:val="en-GB"/>
        </w:rPr>
      </w:pPr>
      <w:r w:rsidRPr="00563CF9">
        <w:rPr>
          <w:i w:val="0"/>
          <w:noProof/>
          <w:lang w:val="en-GB" w:bidi="en-GB"/>
        </w:rPr>
        <w:t xml:space="preserve">** </w:t>
      </w:r>
      <w:r w:rsidRPr="00563CF9">
        <w:rPr>
          <w:i w:val="0"/>
          <w:noProof/>
          <w:lang w:val="en-GB" w:bidi="en-GB"/>
        </w:rPr>
        <w:tab/>
        <w:t>The jump in drug costs of the CMH in 2016 was caused by the initiation of hepatitis C treatment.</w:t>
      </w:r>
    </w:p>
    <w:p w:rsidR="00A83EDB" w:rsidRPr="00563CF9" w:rsidRDefault="00A83EDB" w:rsidP="008A1604">
      <w:pPr>
        <w:autoSpaceDE w:val="0"/>
        <w:autoSpaceDN w:val="0"/>
        <w:adjustRightInd w:val="0"/>
        <w:spacing w:before="120"/>
        <w:rPr>
          <w:rFonts w:cs="Arial"/>
          <w:szCs w:val="24"/>
          <w:lang w:val="en-GB"/>
        </w:rPr>
      </w:pPr>
      <w:r w:rsidRPr="00563CF9">
        <w:rPr>
          <w:lang w:val="en-GB" w:bidi="en-GB"/>
        </w:rPr>
        <w:t>The share of costs incurred on pharmaceuticals in the total costs in the period under review at the BUH was about 26 %, at the MUH about 17 % and at the CMH about 7 %.</w:t>
      </w:r>
    </w:p>
    <w:p w:rsidR="00A83EDB" w:rsidRPr="00563CF9" w:rsidRDefault="00A83EDB" w:rsidP="004C3B13">
      <w:pPr>
        <w:spacing w:before="240" w:after="120"/>
        <w:rPr>
          <w:rFonts w:cstheme="minorHAnsi"/>
          <w:b/>
          <w:noProof/>
          <w:color w:val="000000" w:themeColor="text1"/>
          <w:szCs w:val="24"/>
          <w:lang w:val="en-GB"/>
        </w:rPr>
      </w:pPr>
      <w:r w:rsidRPr="00563CF9">
        <w:rPr>
          <w:b/>
          <w:noProof/>
          <w:lang w:val="en-GB" w:bidi="en-GB"/>
        </w:rPr>
        <w:t>Cost of medical devices</w:t>
      </w:r>
    </w:p>
    <w:p w:rsidR="00A83EDB" w:rsidRPr="00563CF9" w:rsidRDefault="00A83EDB" w:rsidP="008A1604">
      <w:pPr>
        <w:spacing w:before="120"/>
        <w:rPr>
          <w:rFonts w:cstheme="minorHAnsi"/>
          <w:noProof/>
          <w:color w:val="000000" w:themeColor="text1"/>
          <w:szCs w:val="24"/>
          <w:lang w:val="en-GB"/>
        </w:rPr>
      </w:pPr>
      <w:r w:rsidRPr="00563CF9">
        <w:rPr>
          <w:noProof/>
          <w:lang w:val="en-GB" w:bidi="en-GB"/>
        </w:rPr>
        <w:t xml:space="preserve">The university hospitals purchased medical devices during the period under review; the share of their acquisition costs in the total costs is shown in the following table: </w:t>
      </w:r>
    </w:p>
    <w:p w:rsidR="00A83EDB" w:rsidRPr="00563CF9" w:rsidRDefault="00A83EDB" w:rsidP="008A1604">
      <w:pPr>
        <w:spacing w:before="120" w:after="40"/>
        <w:rPr>
          <w:rFonts w:cstheme="minorHAnsi"/>
          <w:b/>
          <w:noProof/>
          <w:color w:val="000000" w:themeColor="text1"/>
          <w:szCs w:val="24"/>
          <w:lang w:val="en-GB"/>
        </w:rPr>
      </w:pPr>
      <w:r w:rsidRPr="00563CF9">
        <w:rPr>
          <w:b/>
          <w:noProof/>
          <w:lang w:val="en-GB" w:bidi="en-GB"/>
        </w:rPr>
        <w:t>Table 6: Share of cost of medical devices in total costs</w:t>
      </w:r>
    </w:p>
    <w:tbl>
      <w:tblPr>
        <w:tblW w:w="5000" w:type="pct"/>
        <w:tblCellMar>
          <w:left w:w="70" w:type="dxa"/>
          <w:right w:w="70" w:type="dxa"/>
        </w:tblCellMar>
        <w:tblLook w:val="04A0" w:firstRow="1" w:lastRow="0" w:firstColumn="1" w:lastColumn="0" w:noHBand="0" w:noVBand="1"/>
      </w:tblPr>
      <w:tblGrid>
        <w:gridCol w:w="905"/>
        <w:gridCol w:w="916"/>
        <w:gridCol w:w="3060"/>
        <w:gridCol w:w="3060"/>
        <w:gridCol w:w="1271"/>
      </w:tblGrid>
      <w:tr w:rsidR="00A83EDB" w:rsidRPr="00563CF9" w:rsidTr="00757BF0">
        <w:trPr>
          <w:trHeight w:val="293"/>
        </w:trPr>
        <w:tc>
          <w:tcPr>
            <w:tcW w:w="988" w:type="pct"/>
            <w:gridSpan w:val="2"/>
            <w:vMerge w:val="restart"/>
            <w:tcBorders>
              <w:top w:val="single" w:sz="4" w:space="0" w:color="auto"/>
              <w:left w:val="single" w:sz="4" w:space="0" w:color="auto"/>
              <w:bottom w:val="single" w:sz="4" w:space="0" w:color="000000"/>
              <w:right w:val="single" w:sz="4" w:space="0" w:color="000000"/>
            </w:tcBorders>
            <w:shd w:val="clear" w:color="000000" w:fill="E5F1FF"/>
            <w:noWrap/>
            <w:vAlign w:val="center"/>
            <w:hideMark/>
          </w:tcPr>
          <w:p w:rsidR="00A83EDB" w:rsidRPr="00563CF9" w:rsidRDefault="00A83EDB" w:rsidP="00757BF0">
            <w:pPr>
              <w:jc w:val="center"/>
              <w:rPr>
                <w:rFonts w:ascii="Calibri" w:hAnsi="Calibri" w:cs="Calibri"/>
                <w:b/>
                <w:bCs/>
                <w:color w:val="000000"/>
                <w:sz w:val="20"/>
                <w:lang w:val="en-GB"/>
              </w:rPr>
            </w:pPr>
          </w:p>
        </w:tc>
        <w:tc>
          <w:tcPr>
            <w:tcW w:w="1661" w:type="pct"/>
            <w:vMerge w:val="restart"/>
            <w:tcBorders>
              <w:top w:val="single" w:sz="4" w:space="0" w:color="auto"/>
              <w:left w:val="single" w:sz="4" w:space="0" w:color="auto"/>
              <w:bottom w:val="single" w:sz="4" w:space="0" w:color="000000"/>
              <w:right w:val="single" w:sz="4" w:space="0" w:color="auto"/>
            </w:tcBorders>
            <w:shd w:val="clear" w:color="000000" w:fill="E5F1FF"/>
            <w:vAlign w:val="center"/>
            <w:hideMark/>
          </w:tcPr>
          <w:p w:rsidR="00A83EDB" w:rsidRPr="00563CF9" w:rsidRDefault="00A83EDB" w:rsidP="00757BF0">
            <w:pPr>
              <w:jc w:val="center"/>
              <w:rPr>
                <w:rFonts w:ascii="Calibri" w:hAnsi="Calibri" w:cs="Calibri"/>
                <w:b/>
                <w:bCs/>
                <w:color w:val="000000"/>
                <w:sz w:val="20"/>
                <w:lang w:val="en-GB"/>
              </w:rPr>
            </w:pPr>
            <w:r w:rsidRPr="00563CF9">
              <w:rPr>
                <w:b/>
                <w:sz w:val="20"/>
                <w:lang w:val="en-GB" w:bidi="en-GB"/>
              </w:rPr>
              <w:t>Total costs (Class 5)</w:t>
            </w:r>
          </w:p>
        </w:tc>
        <w:tc>
          <w:tcPr>
            <w:tcW w:w="2352" w:type="pct"/>
            <w:gridSpan w:val="2"/>
            <w:vMerge w:val="restart"/>
            <w:tcBorders>
              <w:top w:val="single" w:sz="4" w:space="0" w:color="auto"/>
              <w:left w:val="single" w:sz="4" w:space="0" w:color="auto"/>
              <w:bottom w:val="single" w:sz="4" w:space="0" w:color="000000"/>
              <w:right w:val="single" w:sz="4" w:space="0" w:color="000000"/>
            </w:tcBorders>
            <w:shd w:val="clear" w:color="000000" w:fill="E5F1FF"/>
            <w:noWrap/>
            <w:vAlign w:val="center"/>
            <w:hideMark/>
          </w:tcPr>
          <w:p w:rsidR="00A83EDB" w:rsidRPr="00563CF9" w:rsidRDefault="00A83EDB" w:rsidP="00757BF0">
            <w:pPr>
              <w:jc w:val="center"/>
              <w:rPr>
                <w:rFonts w:ascii="Calibri" w:hAnsi="Calibri" w:cs="Calibri"/>
                <w:b/>
                <w:bCs/>
                <w:color w:val="000000"/>
                <w:sz w:val="20"/>
                <w:lang w:val="en-GB"/>
              </w:rPr>
            </w:pPr>
            <w:r w:rsidRPr="00563CF9">
              <w:rPr>
                <w:b/>
                <w:sz w:val="20"/>
                <w:lang w:val="en-GB" w:bidi="en-GB"/>
              </w:rPr>
              <w:t>Cost of medical devices</w:t>
            </w:r>
          </w:p>
        </w:tc>
      </w:tr>
      <w:tr w:rsidR="00A83EDB" w:rsidRPr="00563CF9" w:rsidTr="00757BF0">
        <w:trPr>
          <w:trHeight w:val="293"/>
        </w:trPr>
        <w:tc>
          <w:tcPr>
            <w:tcW w:w="988" w:type="pct"/>
            <w:gridSpan w:val="2"/>
            <w:vMerge/>
            <w:tcBorders>
              <w:top w:val="single" w:sz="4" w:space="0" w:color="auto"/>
              <w:left w:val="single" w:sz="4" w:space="0" w:color="auto"/>
              <w:bottom w:val="single" w:sz="4" w:space="0" w:color="000000"/>
              <w:right w:val="single" w:sz="4" w:space="0" w:color="000000"/>
            </w:tcBorders>
            <w:vAlign w:val="center"/>
            <w:hideMark/>
          </w:tcPr>
          <w:p w:rsidR="00A83EDB" w:rsidRPr="00563CF9" w:rsidRDefault="00A83EDB" w:rsidP="00A62436">
            <w:pPr>
              <w:jc w:val="left"/>
              <w:rPr>
                <w:rFonts w:ascii="Calibri" w:hAnsi="Calibri" w:cs="Calibri"/>
                <w:b/>
                <w:bCs/>
                <w:color w:val="000000"/>
                <w:sz w:val="20"/>
                <w:lang w:val="en-GB"/>
              </w:rPr>
            </w:pPr>
          </w:p>
        </w:tc>
        <w:tc>
          <w:tcPr>
            <w:tcW w:w="1661" w:type="pct"/>
            <w:vMerge/>
            <w:tcBorders>
              <w:top w:val="single" w:sz="4" w:space="0" w:color="auto"/>
              <w:left w:val="single" w:sz="4" w:space="0" w:color="auto"/>
              <w:bottom w:val="single" w:sz="4" w:space="0" w:color="000000"/>
              <w:right w:val="single" w:sz="4" w:space="0" w:color="auto"/>
            </w:tcBorders>
            <w:vAlign w:val="center"/>
            <w:hideMark/>
          </w:tcPr>
          <w:p w:rsidR="00A83EDB" w:rsidRPr="00563CF9" w:rsidRDefault="00A83EDB" w:rsidP="005B75CD">
            <w:pPr>
              <w:jc w:val="center"/>
              <w:rPr>
                <w:rFonts w:ascii="Calibri" w:hAnsi="Calibri" w:cs="Calibri"/>
                <w:b/>
                <w:bCs/>
                <w:color w:val="000000"/>
                <w:sz w:val="20"/>
                <w:lang w:val="en-GB"/>
              </w:rPr>
            </w:pPr>
          </w:p>
        </w:tc>
        <w:tc>
          <w:tcPr>
            <w:tcW w:w="2352" w:type="pct"/>
            <w:gridSpan w:val="2"/>
            <w:vMerge/>
            <w:tcBorders>
              <w:top w:val="single" w:sz="4" w:space="0" w:color="auto"/>
              <w:left w:val="single" w:sz="4" w:space="0" w:color="auto"/>
              <w:bottom w:val="single" w:sz="4" w:space="0" w:color="000000"/>
              <w:right w:val="single" w:sz="4" w:space="0" w:color="000000"/>
            </w:tcBorders>
            <w:vAlign w:val="center"/>
            <w:hideMark/>
          </w:tcPr>
          <w:p w:rsidR="00A83EDB" w:rsidRPr="00563CF9" w:rsidRDefault="00A83EDB" w:rsidP="005B75CD">
            <w:pPr>
              <w:jc w:val="center"/>
              <w:rPr>
                <w:rFonts w:ascii="Calibri" w:hAnsi="Calibri" w:cs="Calibri"/>
                <w:b/>
                <w:bCs/>
                <w:color w:val="000000"/>
                <w:sz w:val="20"/>
                <w:lang w:val="en-GB"/>
              </w:rPr>
            </w:pPr>
          </w:p>
        </w:tc>
      </w:tr>
      <w:tr w:rsidR="00A83EDB" w:rsidRPr="00563CF9" w:rsidTr="00757BF0">
        <w:trPr>
          <w:trHeight w:val="227"/>
        </w:trPr>
        <w:tc>
          <w:tcPr>
            <w:tcW w:w="988" w:type="pct"/>
            <w:gridSpan w:val="2"/>
            <w:vMerge/>
            <w:tcBorders>
              <w:top w:val="single" w:sz="4" w:space="0" w:color="auto"/>
              <w:left w:val="single" w:sz="4" w:space="0" w:color="auto"/>
              <w:bottom w:val="single" w:sz="4" w:space="0" w:color="000000"/>
              <w:right w:val="single" w:sz="4" w:space="0" w:color="000000"/>
            </w:tcBorders>
            <w:vAlign w:val="center"/>
            <w:hideMark/>
          </w:tcPr>
          <w:p w:rsidR="00A83EDB" w:rsidRPr="00563CF9" w:rsidRDefault="00A83EDB" w:rsidP="00A62436">
            <w:pPr>
              <w:jc w:val="left"/>
              <w:rPr>
                <w:rFonts w:ascii="Calibri" w:hAnsi="Calibri" w:cs="Calibri"/>
                <w:b/>
                <w:bCs/>
                <w:color w:val="000000"/>
                <w:sz w:val="20"/>
                <w:lang w:val="en-GB"/>
              </w:rPr>
            </w:pPr>
          </w:p>
        </w:tc>
        <w:tc>
          <w:tcPr>
            <w:tcW w:w="1661" w:type="pct"/>
            <w:tcBorders>
              <w:top w:val="nil"/>
              <w:left w:val="nil"/>
              <w:bottom w:val="single" w:sz="4" w:space="0" w:color="auto"/>
              <w:right w:val="single" w:sz="4" w:space="0" w:color="auto"/>
            </w:tcBorders>
            <w:shd w:val="clear" w:color="000000" w:fill="E5F1FF"/>
            <w:noWrap/>
            <w:vAlign w:val="center"/>
            <w:hideMark/>
          </w:tcPr>
          <w:p w:rsidR="00A83EDB" w:rsidRPr="00563CF9" w:rsidRDefault="00A83EDB" w:rsidP="005B75CD">
            <w:pPr>
              <w:jc w:val="center"/>
              <w:rPr>
                <w:rFonts w:ascii="Calibri" w:hAnsi="Calibri" w:cs="Calibri"/>
                <w:b/>
                <w:bCs/>
                <w:color w:val="000000"/>
                <w:sz w:val="20"/>
                <w:lang w:val="en-GB"/>
              </w:rPr>
            </w:pPr>
            <w:r w:rsidRPr="00563CF9">
              <w:rPr>
                <w:b/>
                <w:sz w:val="20"/>
                <w:lang w:val="en-GB" w:bidi="en-GB"/>
              </w:rPr>
              <w:t>CZK</w:t>
            </w:r>
          </w:p>
        </w:tc>
        <w:tc>
          <w:tcPr>
            <w:tcW w:w="1661" w:type="pct"/>
            <w:tcBorders>
              <w:top w:val="nil"/>
              <w:left w:val="nil"/>
              <w:bottom w:val="single" w:sz="4" w:space="0" w:color="auto"/>
              <w:right w:val="single" w:sz="4" w:space="0" w:color="auto"/>
            </w:tcBorders>
            <w:shd w:val="clear" w:color="000000" w:fill="E5F1FF"/>
            <w:noWrap/>
            <w:vAlign w:val="center"/>
            <w:hideMark/>
          </w:tcPr>
          <w:p w:rsidR="00A83EDB" w:rsidRPr="00563CF9" w:rsidRDefault="00A83EDB" w:rsidP="005B75CD">
            <w:pPr>
              <w:jc w:val="center"/>
              <w:rPr>
                <w:rFonts w:ascii="Calibri" w:hAnsi="Calibri" w:cs="Calibri"/>
                <w:b/>
                <w:bCs/>
                <w:color w:val="000000"/>
                <w:sz w:val="20"/>
                <w:lang w:val="en-GB"/>
              </w:rPr>
            </w:pPr>
            <w:r w:rsidRPr="00563CF9">
              <w:rPr>
                <w:b/>
                <w:sz w:val="20"/>
                <w:lang w:val="en-GB" w:bidi="en-GB"/>
              </w:rPr>
              <w:t>CZK</w:t>
            </w:r>
          </w:p>
        </w:tc>
        <w:tc>
          <w:tcPr>
            <w:tcW w:w="691" w:type="pct"/>
            <w:tcBorders>
              <w:top w:val="nil"/>
              <w:left w:val="nil"/>
              <w:bottom w:val="single" w:sz="4" w:space="0" w:color="auto"/>
              <w:right w:val="single" w:sz="4" w:space="0" w:color="auto"/>
            </w:tcBorders>
            <w:shd w:val="clear" w:color="000000" w:fill="E5F1FF"/>
            <w:noWrap/>
            <w:vAlign w:val="center"/>
            <w:hideMark/>
          </w:tcPr>
          <w:p w:rsidR="00A83EDB" w:rsidRPr="00563CF9" w:rsidRDefault="00A83EDB" w:rsidP="005B75CD">
            <w:pPr>
              <w:jc w:val="center"/>
              <w:rPr>
                <w:rFonts w:ascii="Calibri" w:hAnsi="Calibri" w:cs="Calibri"/>
                <w:b/>
                <w:bCs/>
                <w:color w:val="000000"/>
                <w:sz w:val="20"/>
                <w:lang w:val="en-GB"/>
              </w:rPr>
            </w:pPr>
            <w:r w:rsidRPr="00563CF9">
              <w:rPr>
                <w:b/>
                <w:sz w:val="20"/>
                <w:lang w:val="en-GB" w:bidi="en-GB"/>
              </w:rPr>
              <w:t>%</w:t>
            </w:r>
          </w:p>
        </w:tc>
      </w:tr>
      <w:tr w:rsidR="00A83EDB" w:rsidRPr="00563CF9" w:rsidTr="00757BF0">
        <w:trPr>
          <w:trHeight w:val="227"/>
        </w:trPr>
        <w:tc>
          <w:tcPr>
            <w:tcW w:w="49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83EDB" w:rsidRPr="00563CF9" w:rsidRDefault="00A83EDB" w:rsidP="005B75CD">
            <w:pPr>
              <w:jc w:val="left"/>
              <w:rPr>
                <w:rFonts w:ascii="Calibri" w:hAnsi="Calibri" w:cs="Calibri"/>
                <w:b/>
                <w:bCs/>
                <w:color w:val="000000"/>
                <w:sz w:val="20"/>
                <w:lang w:val="en-GB"/>
              </w:rPr>
            </w:pPr>
            <w:r w:rsidRPr="00563CF9">
              <w:rPr>
                <w:b/>
                <w:sz w:val="20"/>
                <w:lang w:val="en-GB" w:bidi="en-GB"/>
              </w:rPr>
              <w:t>BUH</w:t>
            </w:r>
          </w:p>
        </w:tc>
        <w:tc>
          <w:tcPr>
            <w:tcW w:w="497"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A62436">
            <w:pPr>
              <w:jc w:val="center"/>
              <w:rPr>
                <w:rFonts w:ascii="Calibri" w:hAnsi="Calibri" w:cs="Calibri"/>
                <w:color w:val="000000"/>
                <w:sz w:val="20"/>
                <w:lang w:val="en-GB"/>
              </w:rPr>
            </w:pPr>
            <w:r w:rsidRPr="00563CF9">
              <w:rPr>
                <w:sz w:val="20"/>
                <w:lang w:val="en-GB" w:bidi="en-GB"/>
              </w:rPr>
              <w:t>2014</w:t>
            </w:r>
          </w:p>
        </w:tc>
        <w:tc>
          <w:tcPr>
            <w:tcW w:w="1661"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5B75CD">
            <w:pPr>
              <w:ind w:right="204"/>
              <w:jc w:val="right"/>
              <w:rPr>
                <w:rFonts w:ascii="Calibri" w:hAnsi="Calibri" w:cs="Calibri"/>
                <w:color w:val="000000"/>
                <w:sz w:val="20"/>
                <w:lang w:val="en-GB"/>
              </w:rPr>
            </w:pPr>
            <w:r w:rsidRPr="00563CF9">
              <w:rPr>
                <w:sz w:val="20"/>
                <w:lang w:val="en-GB" w:bidi="en-GB"/>
              </w:rPr>
              <w:t>6,587,570,407.22</w:t>
            </w:r>
          </w:p>
        </w:tc>
        <w:tc>
          <w:tcPr>
            <w:tcW w:w="1661"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5B75CD">
            <w:pPr>
              <w:ind w:right="204"/>
              <w:jc w:val="right"/>
              <w:rPr>
                <w:rFonts w:ascii="Calibri" w:hAnsi="Calibri" w:cs="Calibri"/>
                <w:color w:val="000000"/>
                <w:sz w:val="20"/>
                <w:lang w:val="en-GB"/>
              </w:rPr>
            </w:pPr>
            <w:r w:rsidRPr="00563CF9">
              <w:rPr>
                <w:sz w:val="20"/>
                <w:lang w:val="en-GB" w:bidi="en-GB"/>
              </w:rPr>
              <w:t>708,273,046.45</w:t>
            </w:r>
          </w:p>
        </w:tc>
        <w:tc>
          <w:tcPr>
            <w:tcW w:w="691"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5B75CD">
            <w:pPr>
              <w:ind w:right="204"/>
              <w:jc w:val="right"/>
              <w:rPr>
                <w:rFonts w:ascii="Calibri" w:hAnsi="Calibri" w:cs="Calibri"/>
                <w:color w:val="000000"/>
                <w:sz w:val="20"/>
                <w:lang w:val="en-GB"/>
              </w:rPr>
            </w:pPr>
            <w:r w:rsidRPr="00563CF9">
              <w:rPr>
                <w:sz w:val="20"/>
                <w:lang w:val="en-GB" w:bidi="en-GB"/>
              </w:rPr>
              <w:t>10.75</w:t>
            </w:r>
          </w:p>
        </w:tc>
      </w:tr>
      <w:tr w:rsidR="00A83EDB" w:rsidRPr="00563CF9" w:rsidTr="00757BF0">
        <w:trPr>
          <w:trHeight w:val="227"/>
        </w:trPr>
        <w:tc>
          <w:tcPr>
            <w:tcW w:w="491" w:type="pct"/>
            <w:vMerge/>
            <w:tcBorders>
              <w:top w:val="nil"/>
              <w:left w:val="single" w:sz="4" w:space="0" w:color="auto"/>
              <w:bottom w:val="single" w:sz="4" w:space="0" w:color="000000"/>
              <w:right w:val="single" w:sz="4" w:space="0" w:color="auto"/>
            </w:tcBorders>
            <w:vAlign w:val="center"/>
            <w:hideMark/>
          </w:tcPr>
          <w:p w:rsidR="00A83EDB" w:rsidRPr="00563CF9" w:rsidRDefault="00A83EDB" w:rsidP="005B75CD">
            <w:pPr>
              <w:jc w:val="left"/>
              <w:rPr>
                <w:rFonts w:ascii="Calibri" w:hAnsi="Calibri" w:cs="Calibri"/>
                <w:b/>
                <w:bCs/>
                <w:color w:val="000000"/>
                <w:sz w:val="20"/>
                <w:lang w:val="en-GB"/>
              </w:rPr>
            </w:pPr>
          </w:p>
        </w:tc>
        <w:tc>
          <w:tcPr>
            <w:tcW w:w="497"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A62436">
            <w:pPr>
              <w:jc w:val="center"/>
              <w:rPr>
                <w:rFonts w:ascii="Calibri" w:hAnsi="Calibri" w:cs="Calibri"/>
                <w:color w:val="000000"/>
                <w:sz w:val="20"/>
                <w:lang w:val="en-GB"/>
              </w:rPr>
            </w:pPr>
            <w:r w:rsidRPr="00563CF9">
              <w:rPr>
                <w:sz w:val="20"/>
                <w:lang w:val="en-GB" w:bidi="en-GB"/>
              </w:rPr>
              <w:t>2015</w:t>
            </w:r>
          </w:p>
        </w:tc>
        <w:tc>
          <w:tcPr>
            <w:tcW w:w="1661"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5B75CD">
            <w:pPr>
              <w:ind w:right="204"/>
              <w:jc w:val="right"/>
              <w:rPr>
                <w:rFonts w:ascii="Calibri" w:hAnsi="Calibri" w:cs="Calibri"/>
                <w:color w:val="000000"/>
                <w:sz w:val="20"/>
                <w:lang w:val="en-GB"/>
              </w:rPr>
            </w:pPr>
            <w:r w:rsidRPr="00563CF9">
              <w:rPr>
                <w:sz w:val="20"/>
                <w:lang w:val="en-GB" w:bidi="en-GB"/>
              </w:rPr>
              <w:t>6,873,887,657.55</w:t>
            </w:r>
          </w:p>
        </w:tc>
        <w:tc>
          <w:tcPr>
            <w:tcW w:w="1661"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5B75CD">
            <w:pPr>
              <w:ind w:right="204"/>
              <w:jc w:val="right"/>
              <w:rPr>
                <w:rFonts w:ascii="Calibri" w:hAnsi="Calibri" w:cs="Calibri"/>
                <w:color w:val="000000"/>
                <w:sz w:val="20"/>
                <w:lang w:val="en-GB"/>
              </w:rPr>
            </w:pPr>
            <w:r w:rsidRPr="00563CF9">
              <w:rPr>
                <w:sz w:val="20"/>
                <w:lang w:val="en-GB" w:bidi="en-GB"/>
              </w:rPr>
              <w:t>703,494,775.10</w:t>
            </w:r>
          </w:p>
        </w:tc>
        <w:tc>
          <w:tcPr>
            <w:tcW w:w="691"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5B75CD">
            <w:pPr>
              <w:ind w:right="204"/>
              <w:jc w:val="right"/>
              <w:rPr>
                <w:rFonts w:ascii="Calibri" w:hAnsi="Calibri" w:cs="Calibri"/>
                <w:color w:val="000000"/>
                <w:sz w:val="20"/>
                <w:lang w:val="en-GB"/>
              </w:rPr>
            </w:pPr>
            <w:r w:rsidRPr="00563CF9">
              <w:rPr>
                <w:sz w:val="20"/>
                <w:lang w:val="en-GB" w:bidi="en-GB"/>
              </w:rPr>
              <w:t>10.23</w:t>
            </w:r>
          </w:p>
        </w:tc>
      </w:tr>
      <w:tr w:rsidR="00A83EDB" w:rsidRPr="00563CF9" w:rsidTr="00757BF0">
        <w:trPr>
          <w:trHeight w:val="227"/>
        </w:trPr>
        <w:tc>
          <w:tcPr>
            <w:tcW w:w="491" w:type="pct"/>
            <w:vMerge/>
            <w:tcBorders>
              <w:top w:val="nil"/>
              <w:left w:val="single" w:sz="4" w:space="0" w:color="auto"/>
              <w:bottom w:val="single" w:sz="4" w:space="0" w:color="000000"/>
              <w:right w:val="single" w:sz="4" w:space="0" w:color="auto"/>
            </w:tcBorders>
            <w:vAlign w:val="center"/>
            <w:hideMark/>
          </w:tcPr>
          <w:p w:rsidR="00A83EDB" w:rsidRPr="00563CF9" w:rsidRDefault="00A83EDB" w:rsidP="005B75CD">
            <w:pPr>
              <w:jc w:val="left"/>
              <w:rPr>
                <w:rFonts w:ascii="Calibri" w:hAnsi="Calibri" w:cs="Calibri"/>
                <w:b/>
                <w:bCs/>
                <w:color w:val="000000"/>
                <w:sz w:val="20"/>
                <w:lang w:val="en-GB"/>
              </w:rPr>
            </w:pPr>
          </w:p>
        </w:tc>
        <w:tc>
          <w:tcPr>
            <w:tcW w:w="497"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A62436">
            <w:pPr>
              <w:jc w:val="center"/>
              <w:rPr>
                <w:rFonts w:ascii="Calibri" w:hAnsi="Calibri" w:cs="Calibri"/>
                <w:color w:val="000000"/>
                <w:sz w:val="20"/>
                <w:lang w:val="en-GB"/>
              </w:rPr>
            </w:pPr>
            <w:r w:rsidRPr="00563CF9">
              <w:rPr>
                <w:sz w:val="20"/>
                <w:lang w:val="en-GB" w:bidi="en-GB"/>
              </w:rPr>
              <w:t>2016</w:t>
            </w:r>
          </w:p>
        </w:tc>
        <w:tc>
          <w:tcPr>
            <w:tcW w:w="1661"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5B75CD">
            <w:pPr>
              <w:ind w:right="204"/>
              <w:jc w:val="right"/>
              <w:rPr>
                <w:rFonts w:ascii="Calibri" w:hAnsi="Calibri" w:cs="Calibri"/>
                <w:color w:val="000000"/>
                <w:sz w:val="20"/>
                <w:lang w:val="en-GB"/>
              </w:rPr>
            </w:pPr>
            <w:r w:rsidRPr="00563CF9">
              <w:rPr>
                <w:sz w:val="20"/>
                <w:lang w:val="en-GB" w:bidi="en-GB"/>
              </w:rPr>
              <w:t>7,658,859,583.03</w:t>
            </w:r>
          </w:p>
        </w:tc>
        <w:tc>
          <w:tcPr>
            <w:tcW w:w="1661"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5B75CD">
            <w:pPr>
              <w:ind w:right="204"/>
              <w:jc w:val="right"/>
              <w:rPr>
                <w:rFonts w:ascii="Calibri" w:hAnsi="Calibri" w:cs="Calibri"/>
                <w:color w:val="000000"/>
                <w:sz w:val="20"/>
                <w:lang w:val="en-GB"/>
              </w:rPr>
            </w:pPr>
            <w:r w:rsidRPr="00563CF9">
              <w:rPr>
                <w:sz w:val="20"/>
                <w:lang w:val="en-GB" w:bidi="en-GB"/>
              </w:rPr>
              <w:t>730,820,716.63</w:t>
            </w:r>
          </w:p>
        </w:tc>
        <w:tc>
          <w:tcPr>
            <w:tcW w:w="691"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5B75CD">
            <w:pPr>
              <w:ind w:right="204"/>
              <w:jc w:val="right"/>
              <w:rPr>
                <w:rFonts w:ascii="Calibri" w:hAnsi="Calibri" w:cs="Calibri"/>
                <w:color w:val="000000"/>
                <w:sz w:val="20"/>
                <w:lang w:val="en-GB"/>
              </w:rPr>
            </w:pPr>
            <w:r w:rsidRPr="00563CF9">
              <w:rPr>
                <w:sz w:val="20"/>
                <w:lang w:val="en-GB" w:bidi="en-GB"/>
              </w:rPr>
              <w:t>9.54</w:t>
            </w:r>
          </w:p>
        </w:tc>
      </w:tr>
      <w:tr w:rsidR="00A83EDB" w:rsidRPr="00563CF9" w:rsidTr="00757BF0">
        <w:trPr>
          <w:trHeight w:val="227"/>
        </w:trPr>
        <w:tc>
          <w:tcPr>
            <w:tcW w:w="49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83EDB" w:rsidRPr="00563CF9" w:rsidRDefault="00A83EDB" w:rsidP="005B75CD">
            <w:pPr>
              <w:jc w:val="left"/>
              <w:rPr>
                <w:rFonts w:ascii="Calibri" w:hAnsi="Calibri" w:cs="Calibri"/>
                <w:b/>
                <w:bCs/>
                <w:color w:val="000000"/>
                <w:sz w:val="20"/>
                <w:lang w:val="en-GB"/>
              </w:rPr>
            </w:pPr>
            <w:r w:rsidRPr="00563CF9">
              <w:rPr>
                <w:b/>
                <w:sz w:val="20"/>
                <w:lang w:val="en-GB" w:bidi="en-GB"/>
              </w:rPr>
              <w:t>MUH</w:t>
            </w:r>
          </w:p>
        </w:tc>
        <w:tc>
          <w:tcPr>
            <w:tcW w:w="497"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A62436">
            <w:pPr>
              <w:jc w:val="center"/>
              <w:rPr>
                <w:rFonts w:ascii="Calibri" w:hAnsi="Calibri" w:cs="Calibri"/>
                <w:color w:val="000000"/>
                <w:sz w:val="20"/>
                <w:lang w:val="en-GB"/>
              </w:rPr>
            </w:pPr>
            <w:r w:rsidRPr="00563CF9">
              <w:rPr>
                <w:sz w:val="20"/>
                <w:lang w:val="en-GB" w:bidi="en-GB"/>
              </w:rPr>
              <w:t>2014</w:t>
            </w:r>
          </w:p>
        </w:tc>
        <w:tc>
          <w:tcPr>
            <w:tcW w:w="1661"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5B75CD">
            <w:pPr>
              <w:ind w:right="204"/>
              <w:jc w:val="right"/>
              <w:rPr>
                <w:rFonts w:ascii="Calibri" w:hAnsi="Calibri" w:cs="Calibri"/>
                <w:color w:val="000000"/>
                <w:sz w:val="20"/>
                <w:lang w:val="en-GB"/>
              </w:rPr>
            </w:pPr>
            <w:r w:rsidRPr="00563CF9">
              <w:rPr>
                <w:sz w:val="20"/>
                <w:lang w:val="en-GB" w:bidi="en-GB"/>
              </w:rPr>
              <w:t>7,486,988,592.69</w:t>
            </w:r>
          </w:p>
        </w:tc>
        <w:tc>
          <w:tcPr>
            <w:tcW w:w="1661"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5B75CD">
            <w:pPr>
              <w:ind w:right="204"/>
              <w:jc w:val="right"/>
              <w:rPr>
                <w:rFonts w:ascii="Calibri" w:hAnsi="Calibri" w:cs="Calibri"/>
                <w:color w:val="000000"/>
                <w:sz w:val="20"/>
                <w:lang w:val="en-GB"/>
              </w:rPr>
            </w:pPr>
            <w:r w:rsidRPr="00563CF9">
              <w:rPr>
                <w:sz w:val="20"/>
                <w:lang w:val="en-GB" w:bidi="en-GB"/>
              </w:rPr>
              <w:t>808,992,739.12</w:t>
            </w:r>
          </w:p>
        </w:tc>
        <w:tc>
          <w:tcPr>
            <w:tcW w:w="691"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5B75CD">
            <w:pPr>
              <w:ind w:right="204"/>
              <w:jc w:val="right"/>
              <w:rPr>
                <w:rFonts w:ascii="Calibri" w:hAnsi="Calibri" w:cs="Calibri"/>
                <w:color w:val="000000"/>
                <w:sz w:val="20"/>
                <w:lang w:val="en-GB"/>
              </w:rPr>
            </w:pPr>
            <w:r w:rsidRPr="00563CF9">
              <w:rPr>
                <w:sz w:val="20"/>
                <w:lang w:val="en-GB" w:bidi="en-GB"/>
              </w:rPr>
              <w:t>10.81</w:t>
            </w:r>
          </w:p>
        </w:tc>
      </w:tr>
      <w:tr w:rsidR="00A83EDB" w:rsidRPr="00563CF9" w:rsidTr="00757BF0">
        <w:trPr>
          <w:trHeight w:val="227"/>
        </w:trPr>
        <w:tc>
          <w:tcPr>
            <w:tcW w:w="491" w:type="pct"/>
            <w:vMerge/>
            <w:tcBorders>
              <w:top w:val="nil"/>
              <w:left w:val="single" w:sz="4" w:space="0" w:color="auto"/>
              <w:bottom w:val="single" w:sz="4" w:space="0" w:color="000000"/>
              <w:right w:val="single" w:sz="4" w:space="0" w:color="auto"/>
            </w:tcBorders>
            <w:vAlign w:val="center"/>
            <w:hideMark/>
          </w:tcPr>
          <w:p w:rsidR="00A83EDB" w:rsidRPr="00563CF9" w:rsidRDefault="00A83EDB" w:rsidP="005B75CD">
            <w:pPr>
              <w:jc w:val="left"/>
              <w:rPr>
                <w:rFonts w:ascii="Calibri" w:hAnsi="Calibri" w:cs="Calibri"/>
                <w:b/>
                <w:bCs/>
                <w:color w:val="000000"/>
                <w:sz w:val="20"/>
                <w:lang w:val="en-GB"/>
              </w:rPr>
            </w:pPr>
          </w:p>
        </w:tc>
        <w:tc>
          <w:tcPr>
            <w:tcW w:w="497"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A62436">
            <w:pPr>
              <w:jc w:val="center"/>
              <w:rPr>
                <w:rFonts w:ascii="Calibri" w:hAnsi="Calibri" w:cs="Calibri"/>
                <w:color w:val="000000"/>
                <w:sz w:val="20"/>
                <w:lang w:val="en-GB"/>
              </w:rPr>
            </w:pPr>
            <w:r w:rsidRPr="00563CF9">
              <w:rPr>
                <w:sz w:val="20"/>
                <w:lang w:val="en-GB" w:bidi="en-GB"/>
              </w:rPr>
              <w:t>2015</w:t>
            </w:r>
          </w:p>
        </w:tc>
        <w:tc>
          <w:tcPr>
            <w:tcW w:w="1661"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5B75CD">
            <w:pPr>
              <w:ind w:right="204"/>
              <w:jc w:val="right"/>
              <w:rPr>
                <w:rFonts w:ascii="Calibri" w:hAnsi="Calibri" w:cs="Calibri"/>
                <w:color w:val="000000"/>
                <w:sz w:val="20"/>
                <w:lang w:val="en-GB"/>
              </w:rPr>
            </w:pPr>
            <w:r w:rsidRPr="00563CF9">
              <w:rPr>
                <w:sz w:val="20"/>
                <w:lang w:val="en-GB" w:bidi="en-GB"/>
              </w:rPr>
              <w:t>7,775,201,097.39</w:t>
            </w:r>
          </w:p>
        </w:tc>
        <w:tc>
          <w:tcPr>
            <w:tcW w:w="1661"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5B75CD">
            <w:pPr>
              <w:ind w:right="204"/>
              <w:jc w:val="right"/>
              <w:rPr>
                <w:rFonts w:ascii="Calibri" w:hAnsi="Calibri" w:cs="Calibri"/>
                <w:color w:val="000000"/>
                <w:sz w:val="20"/>
                <w:lang w:val="en-GB"/>
              </w:rPr>
            </w:pPr>
            <w:r w:rsidRPr="00563CF9">
              <w:rPr>
                <w:sz w:val="20"/>
                <w:lang w:val="en-GB" w:bidi="en-GB"/>
              </w:rPr>
              <w:t>829,716,836.53</w:t>
            </w:r>
          </w:p>
        </w:tc>
        <w:tc>
          <w:tcPr>
            <w:tcW w:w="691"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5B75CD">
            <w:pPr>
              <w:ind w:right="204"/>
              <w:jc w:val="right"/>
              <w:rPr>
                <w:rFonts w:ascii="Calibri" w:hAnsi="Calibri" w:cs="Calibri"/>
                <w:color w:val="000000"/>
                <w:sz w:val="20"/>
                <w:lang w:val="en-GB"/>
              </w:rPr>
            </w:pPr>
            <w:r w:rsidRPr="00563CF9">
              <w:rPr>
                <w:sz w:val="20"/>
                <w:lang w:val="en-GB" w:bidi="en-GB"/>
              </w:rPr>
              <w:t>10.67</w:t>
            </w:r>
          </w:p>
        </w:tc>
      </w:tr>
      <w:tr w:rsidR="00A83EDB" w:rsidRPr="00563CF9" w:rsidTr="00757BF0">
        <w:trPr>
          <w:trHeight w:val="227"/>
        </w:trPr>
        <w:tc>
          <w:tcPr>
            <w:tcW w:w="491" w:type="pct"/>
            <w:vMerge/>
            <w:tcBorders>
              <w:top w:val="nil"/>
              <w:left w:val="single" w:sz="4" w:space="0" w:color="auto"/>
              <w:bottom w:val="single" w:sz="4" w:space="0" w:color="000000"/>
              <w:right w:val="single" w:sz="4" w:space="0" w:color="auto"/>
            </w:tcBorders>
            <w:vAlign w:val="center"/>
            <w:hideMark/>
          </w:tcPr>
          <w:p w:rsidR="00A83EDB" w:rsidRPr="00563CF9" w:rsidRDefault="00A83EDB" w:rsidP="005B75CD">
            <w:pPr>
              <w:jc w:val="left"/>
              <w:rPr>
                <w:rFonts w:ascii="Calibri" w:hAnsi="Calibri" w:cs="Calibri"/>
                <w:b/>
                <w:bCs/>
                <w:color w:val="000000"/>
                <w:sz w:val="20"/>
                <w:lang w:val="en-GB"/>
              </w:rPr>
            </w:pPr>
          </w:p>
        </w:tc>
        <w:tc>
          <w:tcPr>
            <w:tcW w:w="497"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A62436">
            <w:pPr>
              <w:jc w:val="center"/>
              <w:rPr>
                <w:rFonts w:ascii="Calibri" w:hAnsi="Calibri" w:cs="Calibri"/>
                <w:color w:val="000000"/>
                <w:sz w:val="20"/>
                <w:lang w:val="en-GB"/>
              </w:rPr>
            </w:pPr>
            <w:r w:rsidRPr="00563CF9">
              <w:rPr>
                <w:sz w:val="20"/>
                <w:lang w:val="en-GB" w:bidi="en-GB"/>
              </w:rPr>
              <w:t>2016</w:t>
            </w:r>
          </w:p>
        </w:tc>
        <w:tc>
          <w:tcPr>
            <w:tcW w:w="1661"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5B75CD">
            <w:pPr>
              <w:ind w:right="204"/>
              <w:jc w:val="right"/>
              <w:rPr>
                <w:rFonts w:ascii="Calibri" w:hAnsi="Calibri" w:cs="Calibri"/>
                <w:color w:val="000000"/>
                <w:sz w:val="20"/>
                <w:lang w:val="en-GB"/>
              </w:rPr>
            </w:pPr>
            <w:r w:rsidRPr="00563CF9">
              <w:rPr>
                <w:sz w:val="20"/>
                <w:lang w:val="en-GB" w:bidi="en-GB"/>
              </w:rPr>
              <w:t>8,134,270,527.66</w:t>
            </w:r>
          </w:p>
        </w:tc>
        <w:tc>
          <w:tcPr>
            <w:tcW w:w="1661"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5B75CD">
            <w:pPr>
              <w:ind w:right="204"/>
              <w:jc w:val="right"/>
              <w:rPr>
                <w:rFonts w:ascii="Calibri" w:hAnsi="Calibri" w:cs="Calibri"/>
                <w:color w:val="000000"/>
                <w:sz w:val="20"/>
                <w:lang w:val="en-GB"/>
              </w:rPr>
            </w:pPr>
            <w:r w:rsidRPr="00563CF9">
              <w:rPr>
                <w:sz w:val="20"/>
                <w:lang w:val="en-GB" w:bidi="en-GB"/>
              </w:rPr>
              <w:t>894,714,299.45</w:t>
            </w:r>
          </w:p>
        </w:tc>
        <w:tc>
          <w:tcPr>
            <w:tcW w:w="691"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5B75CD">
            <w:pPr>
              <w:ind w:right="204"/>
              <w:jc w:val="right"/>
              <w:rPr>
                <w:rFonts w:ascii="Calibri" w:hAnsi="Calibri" w:cs="Calibri"/>
                <w:color w:val="000000"/>
                <w:sz w:val="20"/>
                <w:lang w:val="en-GB"/>
              </w:rPr>
            </w:pPr>
            <w:r w:rsidRPr="00563CF9">
              <w:rPr>
                <w:sz w:val="20"/>
                <w:lang w:val="en-GB" w:bidi="en-GB"/>
              </w:rPr>
              <w:t>11.00</w:t>
            </w:r>
          </w:p>
        </w:tc>
      </w:tr>
      <w:tr w:rsidR="00A83EDB" w:rsidRPr="00563CF9" w:rsidTr="00757BF0">
        <w:trPr>
          <w:trHeight w:val="227"/>
        </w:trPr>
        <w:tc>
          <w:tcPr>
            <w:tcW w:w="49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83EDB" w:rsidRPr="00563CF9" w:rsidRDefault="00A83EDB" w:rsidP="005B75CD">
            <w:pPr>
              <w:jc w:val="left"/>
              <w:rPr>
                <w:rFonts w:ascii="Calibri" w:hAnsi="Calibri" w:cs="Calibri"/>
                <w:b/>
                <w:bCs/>
                <w:color w:val="000000"/>
                <w:sz w:val="20"/>
                <w:lang w:val="en-GB"/>
              </w:rPr>
            </w:pPr>
            <w:r w:rsidRPr="00563CF9">
              <w:rPr>
                <w:b/>
                <w:sz w:val="20"/>
                <w:lang w:val="en-GB" w:bidi="en-GB"/>
              </w:rPr>
              <w:t>CMH</w:t>
            </w:r>
          </w:p>
        </w:tc>
        <w:tc>
          <w:tcPr>
            <w:tcW w:w="497"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A62436">
            <w:pPr>
              <w:jc w:val="center"/>
              <w:rPr>
                <w:rFonts w:ascii="Calibri" w:hAnsi="Calibri" w:cs="Calibri"/>
                <w:color w:val="000000"/>
                <w:sz w:val="20"/>
                <w:lang w:val="en-GB"/>
              </w:rPr>
            </w:pPr>
            <w:r w:rsidRPr="00563CF9">
              <w:rPr>
                <w:sz w:val="20"/>
                <w:lang w:val="en-GB" w:bidi="en-GB"/>
              </w:rPr>
              <w:t>2014</w:t>
            </w:r>
          </w:p>
        </w:tc>
        <w:tc>
          <w:tcPr>
            <w:tcW w:w="1661"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5B75CD">
            <w:pPr>
              <w:ind w:right="204"/>
              <w:jc w:val="right"/>
              <w:rPr>
                <w:rFonts w:ascii="Calibri" w:hAnsi="Calibri" w:cs="Calibri"/>
                <w:color w:val="000000"/>
                <w:sz w:val="20"/>
                <w:lang w:val="en-GB"/>
              </w:rPr>
            </w:pPr>
            <w:r w:rsidRPr="00563CF9">
              <w:rPr>
                <w:sz w:val="20"/>
                <w:lang w:val="en-GB" w:bidi="en-GB"/>
              </w:rPr>
              <w:t>2,211,717,268.54</w:t>
            </w:r>
          </w:p>
        </w:tc>
        <w:tc>
          <w:tcPr>
            <w:tcW w:w="1661"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5B75CD">
            <w:pPr>
              <w:ind w:right="204"/>
              <w:jc w:val="right"/>
              <w:rPr>
                <w:rFonts w:ascii="Calibri" w:hAnsi="Calibri" w:cs="Calibri"/>
                <w:color w:val="000000"/>
                <w:sz w:val="20"/>
                <w:lang w:val="en-GB"/>
              </w:rPr>
            </w:pPr>
            <w:r w:rsidRPr="00563CF9">
              <w:rPr>
                <w:sz w:val="20"/>
                <w:lang w:val="en-GB" w:bidi="en-GB"/>
              </w:rPr>
              <w:t>349,256,990.00</w:t>
            </w:r>
          </w:p>
        </w:tc>
        <w:tc>
          <w:tcPr>
            <w:tcW w:w="691"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5B75CD">
            <w:pPr>
              <w:ind w:right="204"/>
              <w:jc w:val="right"/>
              <w:rPr>
                <w:rFonts w:ascii="Calibri" w:hAnsi="Calibri" w:cs="Calibri"/>
                <w:color w:val="000000"/>
                <w:sz w:val="20"/>
                <w:lang w:val="en-GB"/>
              </w:rPr>
            </w:pPr>
            <w:r w:rsidRPr="00563CF9">
              <w:rPr>
                <w:sz w:val="20"/>
                <w:lang w:val="en-GB" w:bidi="en-GB"/>
              </w:rPr>
              <w:t>15.79</w:t>
            </w:r>
          </w:p>
        </w:tc>
      </w:tr>
      <w:tr w:rsidR="00A83EDB" w:rsidRPr="00563CF9" w:rsidTr="00757BF0">
        <w:trPr>
          <w:trHeight w:val="227"/>
        </w:trPr>
        <w:tc>
          <w:tcPr>
            <w:tcW w:w="491" w:type="pct"/>
            <w:vMerge/>
            <w:tcBorders>
              <w:top w:val="nil"/>
              <w:left w:val="single" w:sz="4" w:space="0" w:color="auto"/>
              <w:bottom w:val="single" w:sz="4" w:space="0" w:color="000000"/>
              <w:right w:val="single" w:sz="4" w:space="0" w:color="auto"/>
            </w:tcBorders>
            <w:vAlign w:val="center"/>
            <w:hideMark/>
          </w:tcPr>
          <w:p w:rsidR="00A83EDB" w:rsidRPr="00563CF9" w:rsidRDefault="00A83EDB" w:rsidP="00A62436">
            <w:pPr>
              <w:jc w:val="left"/>
              <w:rPr>
                <w:rFonts w:ascii="Calibri" w:hAnsi="Calibri" w:cs="Calibri"/>
                <w:b/>
                <w:bCs/>
                <w:color w:val="000000"/>
                <w:sz w:val="20"/>
                <w:lang w:val="en-GB"/>
              </w:rPr>
            </w:pPr>
          </w:p>
        </w:tc>
        <w:tc>
          <w:tcPr>
            <w:tcW w:w="497"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A62436">
            <w:pPr>
              <w:jc w:val="center"/>
              <w:rPr>
                <w:rFonts w:ascii="Calibri" w:hAnsi="Calibri" w:cs="Calibri"/>
                <w:color w:val="000000"/>
                <w:sz w:val="20"/>
                <w:lang w:val="en-GB"/>
              </w:rPr>
            </w:pPr>
            <w:r w:rsidRPr="00563CF9">
              <w:rPr>
                <w:sz w:val="20"/>
                <w:lang w:val="en-GB" w:bidi="en-GB"/>
              </w:rPr>
              <w:t>2015</w:t>
            </w:r>
          </w:p>
        </w:tc>
        <w:tc>
          <w:tcPr>
            <w:tcW w:w="1661"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5B75CD">
            <w:pPr>
              <w:ind w:right="204"/>
              <w:jc w:val="right"/>
              <w:rPr>
                <w:rFonts w:ascii="Calibri" w:hAnsi="Calibri" w:cs="Calibri"/>
                <w:color w:val="000000"/>
                <w:sz w:val="20"/>
                <w:lang w:val="en-GB"/>
              </w:rPr>
            </w:pPr>
            <w:r w:rsidRPr="00563CF9">
              <w:rPr>
                <w:sz w:val="20"/>
                <w:lang w:val="en-GB" w:bidi="en-GB"/>
              </w:rPr>
              <w:t>2,454,898,588.02</w:t>
            </w:r>
          </w:p>
        </w:tc>
        <w:tc>
          <w:tcPr>
            <w:tcW w:w="1661"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5B75CD">
            <w:pPr>
              <w:ind w:right="204"/>
              <w:jc w:val="right"/>
              <w:rPr>
                <w:rFonts w:ascii="Calibri" w:hAnsi="Calibri" w:cs="Calibri"/>
                <w:color w:val="000000"/>
                <w:sz w:val="20"/>
                <w:lang w:val="en-GB"/>
              </w:rPr>
            </w:pPr>
            <w:r w:rsidRPr="00563CF9">
              <w:rPr>
                <w:sz w:val="20"/>
                <w:lang w:val="en-GB" w:bidi="en-GB"/>
              </w:rPr>
              <w:t>365,104,470.00</w:t>
            </w:r>
          </w:p>
        </w:tc>
        <w:tc>
          <w:tcPr>
            <w:tcW w:w="691"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5B75CD">
            <w:pPr>
              <w:ind w:right="204"/>
              <w:jc w:val="right"/>
              <w:rPr>
                <w:rFonts w:ascii="Calibri" w:hAnsi="Calibri" w:cs="Calibri"/>
                <w:color w:val="000000"/>
                <w:sz w:val="20"/>
                <w:lang w:val="en-GB"/>
              </w:rPr>
            </w:pPr>
            <w:r w:rsidRPr="00563CF9">
              <w:rPr>
                <w:sz w:val="20"/>
                <w:lang w:val="en-GB" w:bidi="en-GB"/>
              </w:rPr>
              <w:t>14.87</w:t>
            </w:r>
          </w:p>
        </w:tc>
      </w:tr>
      <w:tr w:rsidR="00A83EDB" w:rsidRPr="00563CF9" w:rsidTr="00757BF0">
        <w:trPr>
          <w:trHeight w:val="227"/>
        </w:trPr>
        <w:tc>
          <w:tcPr>
            <w:tcW w:w="491" w:type="pct"/>
            <w:vMerge/>
            <w:tcBorders>
              <w:top w:val="nil"/>
              <w:left w:val="single" w:sz="4" w:space="0" w:color="auto"/>
              <w:bottom w:val="single" w:sz="4" w:space="0" w:color="000000"/>
              <w:right w:val="single" w:sz="4" w:space="0" w:color="auto"/>
            </w:tcBorders>
            <w:vAlign w:val="center"/>
            <w:hideMark/>
          </w:tcPr>
          <w:p w:rsidR="00A83EDB" w:rsidRPr="00563CF9" w:rsidRDefault="00A83EDB" w:rsidP="00A62436">
            <w:pPr>
              <w:jc w:val="left"/>
              <w:rPr>
                <w:rFonts w:ascii="Calibri" w:hAnsi="Calibri" w:cs="Calibri"/>
                <w:b/>
                <w:bCs/>
                <w:color w:val="000000"/>
                <w:sz w:val="20"/>
                <w:lang w:val="en-GB"/>
              </w:rPr>
            </w:pPr>
          </w:p>
        </w:tc>
        <w:tc>
          <w:tcPr>
            <w:tcW w:w="497"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A62436">
            <w:pPr>
              <w:jc w:val="center"/>
              <w:rPr>
                <w:rFonts w:ascii="Calibri" w:hAnsi="Calibri" w:cs="Calibri"/>
                <w:color w:val="000000"/>
                <w:sz w:val="20"/>
                <w:lang w:val="en-GB"/>
              </w:rPr>
            </w:pPr>
            <w:r w:rsidRPr="00563CF9">
              <w:rPr>
                <w:sz w:val="20"/>
                <w:lang w:val="en-GB" w:bidi="en-GB"/>
              </w:rPr>
              <w:t>2016</w:t>
            </w:r>
          </w:p>
        </w:tc>
        <w:tc>
          <w:tcPr>
            <w:tcW w:w="1661"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5B75CD">
            <w:pPr>
              <w:ind w:right="204"/>
              <w:jc w:val="right"/>
              <w:rPr>
                <w:rFonts w:ascii="Calibri" w:hAnsi="Calibri" w:cs="Calibri"/>
                <w:color w:val="000000"/>
                <w:sz w:val="20"/>
                <w:lang w:val="en-GB"/>
              </w:rPr>
            </w:pPr>
            <w:r w:rsidRPr="00563CF9">
              <w:rPr>
                <w:sz w:val="20"/>
                <w:lang w:val="en-GB" w:bidi="en-GB"/>
              </w:rPr>
              <w:t>2,550,626,659.83</w:t>
            </w:r>
          </w:p>
        </w:tc>
        <w:tc>
          <w:tcPr>
            <w:tcW w:w="1661"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5B75CD">
            <w:pPr>
              <w:ind w:right="204"/>
              <w:jc w:val="right"/>
              <w:rPr>
                <w:rFonts w:ascii="Calibri" w:hAnsi="Calibri" w:cs="Calibri"/>
                <w:color w:val="000000"/>
                <w:sz w:val="20"/>
                <w:lang w:val="en-GB"/>
              </w:rPr>
            </w:pPr>
            <w:r w:rsidRPr="00563CF9">
              <w:rPr>
                <w:sz w:val="20"/>
                <w:lang w:val="en-GB" w:bidi="en-GB"/>
              </w:rPr>
              <w:t>370,461,960.00</w:t>
            </w:r>
          </w:p>
        </w:tc>
        <w:tc>
          <w:tcPr>
            <w:tcW w:w="691" w:type="pct"/>
            <w:tcBorders>
              <w:top w:val="nil"/>
              <w:left w:val="nil"/>
              <w:bottom w:val="single" w:sz="4" w:space="0" w:color="auto"/>
              <w:right w:val="single" w:sz="4" w:space="0" w:color="auto"/>
            </w:tcBorders>
            <w:shd w:val="clear" w:color="auto" w:fill="auto"/>
            <w:noWrap/>
            <w:vAlign w:val="center"/>
            <w:hideMark/>
          </w:tcPr>
          <w:p w:rsidR="00A83EDB" w:rsidRPr="00563CF9" w:rsidRDefault="00A83EDB" w:rsidP="005B75CD">
            <w:pPr>
              <w:ind w:right="204"/>
              <w:jc w:val="right"/>
              <w:rPr>
                <w:rFonts w:ascii="Calibri" w:hAnsi="Calibri" w:cs="Calibri"/>
                <w:color w:val="000000"/>
                <w:sz w:val="20"/>
                <w:lang w:val="en-GB"/>
              </w:rPr>
            </w:pPr>
            <w:r w:rsidRPr="00563CF9">
              <w:rPr>
                <w:sz w:val="20"/>
                <w:lang w:val="en-GB" w:bidi="en-GB"/>
              </w:rPr>
              <w:t>14.52</w:t>
            </w:r>
          </w:p>
        </w:tc>
      </w:tr>
    </w:tbl>
    <w:p w:rsidR="00A83EDB" w:rsidRPr="00563CF9" w:rsidRDefault="00A83EDB" w:rsidP="008A1604">
      <w:pPr>
        <w:pStyle w:val="Zdroj"/>
        <w:ind w:left="567" w:hanging="567"/>
        <w:rPr>
          <w:i w:val="0"/>
          <w:noProof/>
          <w:lang w:val="en-GB"/>
        </w:rPr>
      </w:pPr>
      <w:r w:rsidRPr="00563CF9">
        <w:rPr>
          <w:b/>
          <w:i w:val="0"/>
          <w:noProof/>
          <w:lang w:val="en-GB" w:bidi="en-GB"/>
        </w:rPr>
        <w:t xml:space="preserve">Source: </w:t>
      </w:r>
      <w:r w:rsidRPr="00563CF9">
        <w:rPr>
          <w:b/>
          <w:i w:val="0"/>
          <w:noProof/>
          <w:lang w:val="en-GB" w:bidi="en-GB"/>
        </w:rPr>
        <w:tab/>
      </w:r>
      <w:r w:rsidR="00D435DC" w:rsidRPr="00563CF9">
        <w:rPr>
          <w:i w:val="0"/>
          <w:noProof/>
          <w:lang w:val="en-GB" w:bidi="en-GB"/>
        </w:rPr>
        <w:t>general ledgers of the individual university hospitals as of 31 December 2014, 31 December 2015 and 31 December 2016 and financial statements as of 31 December 2014, 31 December 2015 and 31 December 2016.</w:t>
      </w:r>
    </w:p>
    <w:p w:rsidR="00A83EDB" w:rsidRPr="00563CF9" w:rsidRDefault="00A83EDB" w:rsidP="008A1604">
      <w:pPr>
        <w:autoSpaceDE w:val="0"/>
        <w:autoSpaceDN w:val="0"/>
        <w:adjustRightInd w:val="0"/>
        <w:spacing w:before="120"/>
        <w:rPr>
          <w:rFonts w:cs="Arial"/>
          <w:szCs w:val="24"/>
          <w:lang w:val="en-GB"/>
        </w:rPr>
      </w:pPr>
      <w:r w:rsidRPr="00563CF9">
        <w:rPr>
          <w:lang w:val="en-GB" w:bidi="en-GB"/>
        </w:rPr>
        <w:t>The share of costs incurred on medical devices in the total costs in the period under review at the BUH and the MUH was about 10 %, at the CMH about 15 %.</w:t>
      </w:r>
    </w:p>
    <w:p w:rsidR="00625117" w:rsidRPr="00563CF9" w:rsidRDefault="00625117" w:rsidP="004C3B13">
      <w:pPr>
        <w:keepNext/>
        <w:spacing w:before="240" w:after="120"/>
        <w:rPr>
          <w:rFonts w:cstheme="minorHAnsi"/>
          <w:b/>
          <w:noProof/>
          <w:color w:val="000000" w:themeColor="text1"/>
          <w:szCs w:val="24"/>
          <w:lang w:val="en-GB"/>
        </w:rPr>
      </w:pPr>
      <w:r w:rsidRPr="00563CF9">
        <w:rPr>
          <w:b/>
          <w:noProof/>
          <w:lang w:val="en-GB" w:bidi="en-GB"/>
        </w:rPr>
        <w:t>Other selected costs</w:t>
      </w:r>
    </w:p>
    <w:p w:rsidR="00625117" w:rsidRPr="00563CF9" w:rsidRDefault="00625117" w:rsidP="008A1604">
      <w:pPr>
        <w:spacing w:before="120"/>
        <w:rPr>
          <w:rFonts w:cstheme="minorHAnsi"/>
          <w:noProof/>
          <w:color w:val="000000" w:themeColor="text1"/>
          <w:szCs w:val="24"/>
          <w:lang w:val="en-GB"/>
        </w:rPr>
      </w:pPr>
      <w:r w:rsidRPr="00563CF9">
        <w:rPr>
          <w:noProof/>
          <w:lang w:val="en-GB" w:bidi="en-GB"/>
        </w:rPr>
        <w:t>The SAO selected for the audit the costs of cleaning, legal and advisory services, and repairs and maintenance of medical technology, on the basis of a financial significance and risk assessment. The following table lists the total amounts of the accounts to which the university hospitals posted these selected services.</w:t>
      </w:r>
    </w:p>
    <w:p w:rsidR="00625117" w:rsidRPr="00563CF9" w:rsidRDefault="00C465C8" w:rsidP="00D435DC">
      <w:pPr>
        <w:keepNext/>
        <w:spacing w:before="120" w:after="40"/>
        <w:rPr>
          <w:rFonts w:cstheme="minorHAnsi"/>
          <w:b/>
          <w:noProof/>
          <w:color w:val="000000" w:themeColor="text1"/>
          <w:szCs w:val="28"/>
          <w:lang w:val="en-GB"/>
        </w:rPr>
      </w:pPr>
      <w:r w:rsidRPr="00563CF9">
        <w:rPr>
          <w:b/>
          <w:noProof/>
          <w:lang w:val="en-GB" w:bidi="en-GB"/>
        </w:rPr>
        <w:t>Table 7: Selected costs of university hospitals for the period 2014-2016</w:t>
      </w:r>
    </w:p>
    <w:tbl>
      <w:tblPr>
        <w:tblW w:w="5000" w:type="pct"/>
        <w:tblLayout w:type="fixed"/>
        <w:tblCellMar>
          <w:left w:w="70" w:type="dxa"/>
          <w:right w:w="70" w:type="dxa"/>
        </w:tblCellMar>
        <w:tblLook w:val="04A0" w:firstRow="1" w:lastRow="0" w:firstColumn="1" w:lastColumn="0" w:noHBand="0" w:noVBand="1"/>
      </w:tblPr>
      <w:tblGrid>
        <w:gridCol w:w="673"/>
        <w:gridCol w:w="621"/>
        <w:gridCol w:w="1584"/>
        <w:gridCol w:w="1153"/>
        <w:gridCol w:w="864"/>
        <w:gridCol w:w="1297"/>
        <w:gridCol w:w="864"/>
        <w:gridCol w:w="1297"/>
        <w:gridCol w:w="859"/>
      </w:tblGrid>
      <w:tr w:rsidR="00625117" w:rsidRPr="00563CF9" w:rsidTr="00757BF0">
        <w:trPr>
          <w:trHeight w:val="227"/>
        </w:trPr>
        <w:tc>
          <w:tcPr>
            <w:tcW w:w="701" w:type="pct"/>
            <w:gridSpan w:val="2"/>
            <w:vMerge w:val="restart"/>
            <w:tcBorders>
              <w:top w:val="single" w:sz="4" w:space="0" w:color="auto"/>
              <w:left w:val="single" w:sz="4" w:space="0" w:color="auto"/>
              <w:bottom w:val="single" w:sz="4" w:space="0" w:color="000000"/>
              <w:right w:val="single" w:sz="4" w:space="0" w:color="000000"/>
            </w:tcBorders>
            <w:shd w:val="clear" w:color="000000" w:fill="E5F1FF"/>
            <w:noWrap/>
            <w:vAlign w:val="bottom"/>
            <w:hideMark/>
          </w:tcPr>
          <w:p w:rsidR="00625117" w:rsidRPr="00563CF9" w:rsidRDefault="00625117" w:rsidP="00D435DC">
            <w:pPr>
              <w:keepNext/>
              <w:jc w:val="center"/>
              <w:rPr>
                <w:rFonts w:ascii="Calibri" w:hAnsi="Calibri" w:cs="Calibri"/>
                <w:b/>
                <w:bCs/>
                <w:color w:val="000000"/>
                <w:sz w:val="20"/>
                <w:lang w:val="en-GB"/>
              </w:rPr>
            </w:pPr>
            <w:r w:rsidRPr="00563CF9">
              <w:rPr>
                <w:sz w:val="20"/>
                <w:lang w:val="en-GB" w:bidi="en-GB"/>
              </w:rPr>
              <w:t> </w:t>
            </w:r>
          </w:p>
        </w:tc>
        <w:tc>
          <w:tcPr>
            <w:tcW w:w="860" w:type="pct"/>
            <w:tcBorders>
              <w:top w:val="single" w:sz="4" w:space="0" w:color="auto"/>
              <w:left w:val="nil"/>
              <w:bottom w:val="single" w:sz="4" w:space="0" w:color="auto"/>
              <w:right w:val="single" w:sz="4" w:space="0" w:color="auto"/>
            </w:tcBorders>
            <w:shd w:val="clear" w:color="000000" w:fill="E5F1FF"/>
            <w:vAlign w:val="center"/>
            <w:hideMark/>
          </w:tcPr>
          <w:p w:rsidR="00625117" w:rsidRPr="00563CF9" w:rsidRDefault="00625117" w:rsidP="00D435DC">
            <w:pPr>
              <w:keepNext/>
              <w:jc w:val="center"/>
              <w:rPr>
                <w:rFonts w:ascii="Calibri" w:hAnsi="Calibri" w:cs="Calibri"/>
                <w:b/>
                <w:bCs/>
                <w:color w:val="000000"/>
                <w:sz w:val="20"/>
                <w:lang w:val="en-GB"/>
              </w:rPr>
            </w:pPr>
            <w:r w:rsidRPr="00563CF9">
              <w:rPr>
                <w:b/>
                <w:sz w:val="20"/>
                <w:lang w:val="en-GB" w:bidi="en-GB"/>
              </w:rPr>
              <w:t xml:space="preserve">Total costs </w:t>
            </w:r>
            <w:r w:rsidRPr="00563CF9">
              <w:rPr>
                <w:b/>
                <w:sz w:val="20"/>
                <w:lang w:val="en-GB" w:bidi="en-GB"/>
              </w:rPr>
              <w:br/>
              <w:t>(Class 5)</w:t>
            </w:r>
          </w:p>
        </w:tc>
        <w:tc>
          <w:tcPr>
            <w:tcW w:w="1095" w:type="pct"/>
            <w:gridSpan w:val="2"/>
            <w:tcBorders>
              <w:top w:val="single" w:sz="4" w:space="0" w:color="auto"/>
              <w:left w:val="nil"/>
              <w:bottom w:val="single" w:sz="4" w:space="0" w:color="auto"/>
              <w:right w:val="single" w:sz="4" w:space="0" w:color="000000"/>
            </w:tcBorders>
            <w:shd w:val="clear" w:color="000000" w:fill="E5F1FF"/>
            <w:noWrap/>
            <w:vAlign w:val="center"/>
            <w:hideMark/>
          </w:tcPr>
          <w:p w:rsidR="00625117" w:rsidRPr="00563CF9" w:rsidRDefault="00625117" w:rsidP="00D435DC">
            <w:pPr>
              <w:keepNext/>
              <w:jc w:val="center"/>
              <w:rPr>
                <w:rFonts w:ascii="Calibri" w:hAnsi="Calibri" w:cs="Calibri"/>
                <w:b/>
                <w:bCs/>
                <w:color w:val="000000"/>
                <w:sz w:val="20"/>
                <w:lang w:val="en-GB"/>
              </w:rPr>
            </w:pPr>
            <w:r w:rsidRPr="00563CF9">
              <w:rPr>
                <w:b/>
                <w:sz w:val="20"/>
                <w:lang w:val="en-GB" w:bidi="en-GB"/>
              </w:rPr>
              <w:t>511 – Repairs and maintenance</w:t>
            </w:r>
          </w:p>
        </w:tc>
        <w:tc>
          <w:tcPr>
            <w:tcW w:w="1173" w:type="pct"/>
            <w:gridSpan w:val="2"/>
            <w:tcBorders>
              <w:top w:val="single" w:sz="4" w:space="0" w:color="auto"/>
              <w:left w:val="nil"/>
              <w:bottom w:val="single" w:sz="4" w:space="0" w:color="auto"/>
              <w:right w:val="single" w:sz="4" w:space="0" w:color="000000"/>
            </w:tcBorders>
            <w:shd w:val="clear" w:color="000000" w:fill="E5F1FF"/>
            <w:noWrap/>
            <w:vAlign w:val="center"/>
            <w:hideMark/>
          </w:tcPr>
          <w:p w:rsidR="00625117" w:rsidRPr="00563CF9" w:rsidRDefault="00625117" w:rsidP="00D435DC">
            <w:pPr>
              <w:keepNext/>
              <w:jc w:val="center"/>
              <w:rPr>
                <w:rFonts w:ascii="Calibri" w:hAnsi="Calibri" w:cs="Calibri"/>
                <w:b/>
                <w:bCs/>
                <w:color w:val="000000"/>
                <w:sz w:val="20"/>
                <w:lang w:val="en-GB"/>
              </w:rPr>
            </w:pPr>
            <w:r w:rsidRPr="00563CF9">
              <w:rPr>
                <w:b/>
                <w:sz w:val="20"/>
                <w:lang w:val="en-GB" w:bidi="en-GB"/>
              </w:rPr>
              <w:t>518 – Other services</w:t>
            </w:r>
          </w:p>
        </w:tc>
        <w:tc>
          <w:tcPr>
            <w:tcW w:w="1170" w:type="pct"/>
            <w:gridSpan w:val="2"/>
            <w:tcBorders>
              <w:top w:val="single" w:sz="4" w:space="0" w:color="auto"/>
              <w:left w:val="nil"/>
              <w:bottom w:val="single" w:sz="4" w:space="0" w:color="auto"/>
              <w:right w:val="single" w:sz="4" w:space="0" w:color="000000"/>
            </w:tcBorders>
            <w:shd w:val="clear" w:color="000000" w:fill="E5F1FF"/>
            <w:noWrap/>
            <w:vAlign w:val="center"/>
            <w:hideMark/>
          </w:tcPr>
          <w:p w:rsidR="00625117" w:rsidRPr="00563CF9" w:rsidRDefault="00625117" w:rsidP="00D435DC">
            <w:pPr>
              <w:keepNext/>
              <w:jc w:val="center"/>
              <w:rPr>
                <w:rFonts w:ascii="Calibri" w:hAnsi="Calibri" w:cs="Calibri"/>
                <w:b/>
                <w:bCs/>
                <w:color w:val="000000"/>
                <w:sz w:val="20"/>
                <w:lang w:val="en-GB"/>
              </w:rPr>
            </w:pPr>
            <w:r w:rsidRPr="00563CF9">
              <w:rPr>
                <w:b/>
                <w:sz w:val="20"/>
                <w:lang w:val="en-GB" w:bidi="en-GB"/>
              </w:rPr>
              <w:t>549 – Other operating expenses</w:t>
            </w:r>
          </w:p>
        </w:tc>
      </w:tr>
      <w:tr w:rsidR="00CE292C" w:rsidRPr="00563CF9" w:rsidTr="00757BF0">
        <w:trPr>
          <w:trHeight w:val="227"/>
        </w:trPr>
        <w:tc>
          <w:tcPr>
            <w:tcW w:w="701" w:type="pct"/>
            <w:gridSpan w:val="2"/>
            <w:vMerge/>
            <w:tcBorders>
              <w:top w:val="single" w:sz="4" w:space="0" w:color="auto"/>
              <w:left w:val="single" w:sz="4" w:space="0" w:color="auto"/>
              <w:bottom w:val="single" w:sz="4" w:space="0" w:color="000000"/>
              <w:right w:val="single" w:sz="4" w:space="0" w:color="000000"/>
            </w:tcBorders>
            <w:vAlign w:val="center"/>
            <w:hideMark/>
          </w:tcPr>
          <w:p w:rsidR="00625117" w:rsidRPr="00563CF9" w:rsidRDefault="00625117" w:rsidP="00D435DC">
            <w:pPr>
              <w:keepNext/>
              <w:jc w:val="left"/>
              <w:rPr>
                <w:rFonts w:ascii="Calibri" w:hAnsi="Calibri" w:cs="Calibri"/>
                <w:b/>
                <w:bCs/>
                <w:color w:val="000000"/>
                <w:sz w:val="20"/>
                <w:lang w:val="en-GB"/>
              </w:rPr>
            </w:pPr>
          </w:p>
        </w:tc>
        <w:tc>
          <w:tcPr>
            <w:tcW w:w="860" w:type="pct"/>
            <w:tcBorders>
              <w:top w:val="nil"/>
              <w:left w:val="nil"/>
              <w:bottom w:val="single" w:sz="4" w:space="0" w:color="auto"/>
              <w:right w:val="single" w:sz="4" w:space="0" w:color="auto"/>
            </w:tcBorders>
            <w:shd w:val="clear" w:color="000000" w:fill="E5F1FF"/>
            <w:noWrap/>
            <w:vAlign w:val="center"/>
            <w:hideMark/>
          </w:tcPr>
          <w:p w:rsidR="00625117" w:rsidRPr="00563CF9" w:rsidRDefault="00625117" w:rsidP="00D435DC">
            <w:pPr>
              <w:keepNext/>
              <w:jc w:val="center"/>
              <w:rPr>
                <w:rFonts w:ascii="Calibri" w:hAnsi="Calibri" w:cs="Calibri"/>
                <w:b/>
                <w:bCs/>
                <w:color w:val="000000"/>
                <w:sz w:val="20"/>
                <w:lang w:val="en-GB"/>
              </w:rPr>
            </w:pPr>
            <w:r w:rsidRPr="00563CF9">
              <w:rPr>
                <w:b/>
                <w:sz w:val="20"/>
                <w:lang w:val="en-GB" w:bidi="en-GB"/>
              </w:rPr>
              <w:t>CZK thousands</w:t>
            </w:r>
          </w:p>
        </w:tc>
        <w:tc>
          <w:tcPr>
            <w:tcW w:w="626" w:type="pct"/>
            <w:tcBorders>
              <w:top w:val="nil"/>
              <w:left w:val="nil"/>
              <w:bottom w:val="single" w:sz="4" w:space="0" w:color="auto"/>
              <w:right w:val="single" w:sz="4" w:space="0" w:color="auto"/>
            </w:tcBorders>
            <w:shd w:val="clear" w:color="000000" w:fill="E5F1FF"/>
            <w:noWrap/>
            <w:vAlign w:val="center"/>
            <w:hideMark/>
          </w:tcPr>
          <w:p w:rsidR="00625117" w:rsidRPr="00563CF9" w:rsidRDefault="00625117" w:rsidP="00D435DC">
            <w:pPr>
              <w:keepNext/>
              <w:jc w:val="center"/>
              <w:rPr>
                <w:rFonts w:ascii="Calibri" w:hAnsi="Calibri" w:cs="Calibri"/>
                <w:b/>
                <w:bCs/>
                <w:color w:val="000000"/>
                <w:sz w:val="20"/>
                <w:lang w:val="en-GB"/>
              </w:rPr>
            </w:pPr>
            <w:r w:rsidRPr="00563CF9">
              <w:rPr>
                <w:b/>
                <w:sz w:val="20"/>
                <w:lang w:val="en-GB" w:bidi="en-GB"/>
              </w:rPr>
              <w:t>CZK thousands</w:t>
            </w:r>
          </w:p>
        </w:tc>
        <w:tc>
          <w:tcPr>
            <w:tcW w:w="469" w:type="pct"/>
            <w:tcBorders>
              <w:top w:val="nil"/>
              <w:left w:val="nil"/>
              <w:bottom w:val="single" w:sz="4" w:space="0" w:color="auto"/>
              <w:right w:val="single" w:sz="4" w:space="0" w:color="auto"/>
            </w:tcBorders>
            <w:shd w:val="clear" w:color="000000" w:fill="E5F1FF"/>
            <w:noWrap/>
            <w:vAlign w:val="center"/>
            <w:hideMark/>
          </w:tcPr>
          <w:p w:rsidR="00625117" w:rsidRPr="00563CF9" w:rsidRDefault="00625117" w:rsidP="00D435DC">
            <w:pPr>
              <w:keepNext/>
              <w:jc w:val="center"/>
              <w:rPr>
                <w:rFonts w:ascii="Calibri" w:hAnsi="Calibri" w:cs="Calibri"/>
                <w:b/>
                <w:bCs/>
                <w:color w:val="000000"/>
                <w:sz w:val="20"/>
                <w:lang w:val="en-GB"/>
              </w:rPr>
            </w:pPr>
            <w:r w:rsidRPr="00563CF9">
              <w:rPr>
                <w:b/>
                <w:sz w:val="20"/>
                <w:lang w:val="en-GB" w:bidi="en-GB"/>
              </w:rPr>
              <w:t>%</w:t>
            </w:r>
          </w:p>
        </w:tc>
        <w:tc>
          <w:tcPr>
            <w:tcW w:w="704" w:type="pct"/>
            <w:tcBorders>
              <w:top w:val="nil"/>
              <w:left w:val="nil"/>
              <w:bottom w:val="single" w:sz="4" w:space="0" w:color="auto"/>
              <w:right w:val="single" w:sz="4" w:space="0" w:color="auto"/>
            </w:tcBorders>
            <w:shd w:val="clear" w:color="000000" w:fill="E5F1FF"/>
            <w:noWrap/>
            <w:vAlign w:val="center"/>
            <w:hideMark/>
          </w:tcPr>
          <w:p w:rsidR="00625117" w:rsidRPr="00563CF9" w:rsidRDefault="00625117" w:rsidP="00D435DC">
            <w:pPr>
              <w:keepNext/>
              <w:jc w:val="center"/>
              <w:rPr>
                <w:rFonts w:ascii="Calibri" w:hAnsi="Calibri" w:cs="Calibri"/>
                <w:b/>
                <w:bCs/>
                <w:color w:val="000000"/>
                <w:sz w:val="20"/>
                <w:lang w:val="en-GB"/>
              </w:rPr>
            </w:pPr>
            <w:r w:rsidRPr="00563CF9">
              <w:rPr>
                <w:b/>
                <w:sz w:val="20"/>
                <w:lang w:val="en-GB" w:bidi="en-GB"/>
              </w:rPr>
              <w:t>CZK thousands</w:t>
            </w:r>
          </w:p>
        </w:tc>
        <w:tc>
          <w:tcPr>
            <w:tcW w:w="469" w:type="pct"/>
            <w:tcBorders>
              <w:top w:val="nil"/>
              <w:left w:val="nil"/>
              <w:bottom w:val="single" w:sz="4" w:space="0" w:color="auto"/>
              <w:right w:val="single" w:sz="4" w:space="0" w:color="auto"/>
            </w:tcBorders>
            <w:shd w:val="clear" w:color="000000" w:fill="E5F1FF"/>
            <w:noWrap/>
            <w:vAlign w:val="center"/>
            <w:hideMark/>
          </w:tcPr>
          <w:p w:rsidR="00625117" w:rsidRPr="00563CF9" w:rsidRDefault="00625117" w:rsidP="00D435DC">
            <w:pPr>
              <w:keepNext/>
              <w:jc w:val="center"/>
              <w:rPr>
                <w:rFonts w:ascii="Calibri" w:hAnsi="Calibri" w:cs="Calibri"/>
                <w:b/>
                <w:bCs/>
                <w:color w:val="000000"/>
                <w:sz w:val="20"/>
                <w:lang w:val="en-GB"/>
              </w:rPr>
            </w:pPr>
            <w:r w:rsidRPr="00563CF9">
              <w:rPr>
                <w:b/>
                <w:sz w:val="20"/>
                <w:lang w:val="en-GB" w:bidi="en-GB"/>
              </w:rPr>
              <w:t>%</w:t>
            </w:r>
          </w:p>
        </w:tc>
        <w:tc>
          <w:tcPr>
            <w:tcW w:w="704" w:type="pct"/>
            <w:tcBorders>
              <w:top w:val="nil"/>
              <w:left w:val="nil"/>
              <w:bottom w:val="single" w:sz="4" w:space="0" w:color="auto"/>
              <w:right w:val="single" w:sz="4" w:space="0" w:color="auto"/>
            </w:tcBorders>
            <w:shd w:val="clear" w:color="000000" w:fill="E5F1FF"/>
            <w:noWrap/>
            <w:vAlign w:val="center"/>
            <w:hideMark/>
          </w:tcPr>
          <w:p w:rsidR="00625117" w:rsidRPr="00563CF9" w:rsidRDefault="00625117" w:rsidP="00D435DC">
            <w:pPr>
              <w:keepNext/>
              <w:jc w:val="center"/>
              <w:rPr>
                <w:rFonts w:ascii="Calibri" w:hAnsi="Calibri" w:cs="Calibri"/>
                <w:b/>
                <w:bCs/>
                <w:color w:val="000000"/>
                <w:sz w:val="20"/>
                <w:lang w:val="en-GB"/>
              </w:rPr>
            </w:pPr>
            <w:r w:rsidRPr="00563CF9">
              <w:rPr>
                <w:b/>
                <w:sz w:val="20"/>
                <w:lang w:val="en-GB" w:bidi="en-GB"/>
              </w:rPr>
              <w:t>CZK thousands</w:t>
            </w:r>
          </w:p>
        </w:tc>
        <w:tc>
          <w:tcPr>
            <w:tcW w:w="466" w:type="pct"/>
            <w:tcBorders>
              <w:top w:val="nil"/>
              <w:left w:val="nil"/>
              <w:bottom w:val="single" w:sz="4" w:space="0" w:color="auto"/>
              <w:right w:val="single" w:sz="4" w:space="0" w:color="auto"/>
            </w:tcBorders>
            <w:shd w:val="clear" w:color="000000" w:fill="E5F1FF"/>
            <w:noWrap/>
            <w:vAlign w:val="center"/>
            <w:hideMark/>
          </w:tcPr>
          <w:p w:rsidR="00625117" w:rsidRPr="00563CF9" w:rsidRDefault="00625117" w:rsidP="00D435DC">
            <w:pPr>
              <w:keepNext/>
              <w:jc w:val="center"/>
              <w:rPr>
                <w:rFonts w:ascii="Calibri" w:hAnsi="Calibri" w:cs="Calibri"/>
                <w:b/>
                <w:bCs/>
                <w:color w:val="000000"/>
                <w:sz w:val="20"/>
                <w:lang w:val="en-GB"/>
              </w:rPr>
            </w:pPr>
            <w:r w:rsidRPr="00563CF9">
              <w:rPr>
                <w:b/>
                <w:sz w:val="20"/>
                <w:lang w:val="en-GB" w:bidi="en-GB"/>
              </w:rPr>
              <w:t>%</w:t>
            </w:r>
          </w:p>
        </w:tc>
      </w:tr>
      <w:tr w:rsidR="00CE292C" w:rsidRPr="00563CF9" w:rsidTr="00757BF0">
        <w:trPr>
          <w:trHeight w:val="227"/>
        </w:trPr>
        <w:tc>
          <w:tcPr>
            <w:tcW w:w="36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25117" w:rsidRPr="00563CF9" w:rsidRDefault="00625117" w:rsidP="00D435DC">
            <w:pPr>
              <w:keepNext/>
              <w:jc w:val="left"/>
              <w:rPr>
                <w:rFonts w:ascii="Calibri" w:hAnsi="Calibri" w:cs="Calibri"/>
                <w:b/>
                <w:bCs/>
                <w:color w:val="000000"/>
                <w:sz w:val="20"/>
                <w:lang w:val="en-GB"/>
              </w:rPr>
            </w:pPr>
            <w:r w:rsidRPr="00563CF9">
              <w:rPr>
                <w:b/>
                <w:sz w:val="20"/>
                <w:lang w:val="en-GB" w:bidi="en-GB"/>
              </w:rPr>
              <w:t>BUH</w:t>
            </w:r>
          </w:p>
        </w:tc>
        <w:tc>
          <w:tcPr>
            <w:tcW w:w="337"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jc w:val="center"/>
              <w:rPr>
                <w:rFonts w:ascii="Calibri" w:hAnsi="Calibri" w:cs="Calibri"/>
                <w:bCs/>
                <w:color w:val="000000"/>
                <w:sz w:val="20"/>
                <w:lang w:val="en-GB"/>
              </w:rPr>
            </w:pPr>
            <w:r w:rsidRPr="00563CF9">
              <w:rPr>
                <w:sz w:val="20"/>
                <w:lang w:val="en-GB" w:bidi="en-GB"/>
              </w:rPr>
              <w:t>2014</w:t>
            </w:r>
          </w:p>
        </w:tc>
        <w:tc>
          <w:tcPr>
            <w:tcW w:w="860"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6,587,570.41</w:t>
            </w:r>
          </w:p>
        </w:tc>
        <w:tc>
          <w:tcPr>
            <w:tcW w:w="626" w:type="pct"/>
            <w:tcBorders>
              <w:top w:val="nil"/>
              <w:left w:val="nil"/>
              <w:bottom w:val="single" w:sz="4" w:space="0" w:color="auto"/>
              <w:right w:val="single" w:sz="4" w:space="0" w:color="auto"/>
            </w:tcBorders>
            <w:shd w:val="clear" w:color="auto" w:fill="auto"/>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98,646.05</w:t>
            </w:r>
          </w:p>
        </w:tc>
        <w:tc>
          <w:tcPr>
            <w:tcW w:w="469"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1.50</w:t>
            </w:r>
          </w:p>
        </w:tc>
        <w:tc>
          <w:tcPr>
            <w:tcW w:w="704" w:type="pct"/>
            <w:tcBorders>
              <w:top w:val="nil"/>
              <w:left w:val="nil"/>
              <w:bottom w:val="single" w:sz="4" w:space="0" w:color="auto"/>
              <w:right w:val="single" w:sz="4" w:space="0" w:color="auto"/>
            </w:tcBorders>
            <w:shd w:val="clear" w:color="auto" w:fill="auto"/>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157,706.26</w:t>
            </w:r>
          </w:p>
        </w:tc>
        <w:tc>
          <w:tcPr>
            <w:tcW w:w="469"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2.39</w:t>
            </w:r>
          </w:p>
        </w:tc>
        <w:tc>
          <w:tcPr>
            <w:tcW w:w="704"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0.00</w:t>
            </w:r>
          </w:p>
        </w:tc>
        <w:tc>
          <w:tcPr>
            <w:tcW w:w="466"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0.00</w:t>
            </w:r>
          </w:p>
        </w:tc>
      </w:tr>
      <w:tr w:rsidR="00CE292C" w:rsidRPr="00563CF9" w:rsidTr="00757BF0">
        <w:trPr>
          <w:trHeight w:val="227"/>
        </w:trPr>
        <w:tc>
          <w:tcPr>
            <w:tcW w:w="365" w:type="pct"/>
            <w:vMerge/>
            <w:tcBorders>
              <w:top w:val="nil"/>
              <w:left w:val="single" w:sz="4" w:space="0" w:color="auto"/>
              <w:bottom w:val="single" w:sz="4" w:space="0" w:color="000000"/>
              <w:right w:val="single" w:sz="4" w:space="0" w:color="auto"/>
            </w:tcBorders>
            <w:vAlign w:val="center"/>
            <w:hideMark/>
          </w:tcPr>
          <w:p w:rsidR="00625117" w:rsidRPr="00563CF9" w:rsidRDefault="00625117" w:rsidP="00D435DC">
            <w:pPr>
              <w:keepNext/>
              <w:jc w:val="left"/>
              <w:rPr>
                <w:rFonts w:ascii="Calibri" w:hAnsi="Calibri" w:cs="Calibri"/>
                <w:b/>
                <w:bCs/>
                <w:color w:val="000000"/>
                <w:sz w:val="20"/>
                <w:lang w:val="en-GB"/>
              </w:rPr>
            </w:pPr>
          </w:p>
        </w:tc>
        <w:tc>
          <w:tcPr>
            <w:tcW w:w="337"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jc w:val="center"/>
              <w:rPr>
                <w:rFonts w:ascii="Calibri" w:hAnsi="Calibri" w:cs="Calibri"/>
                <w:bCs/>
                <w:color w:val="000000"/>
                <w:sz w:val="20"/>
                <w:lang w:val="en-GB"/>
              </w:rPr>
            </w:pPr>
            <w:r w:rsidRPr="00563CF9">
              <w:rPr>
                <w:sz w:val="20"/>
                <w:lang w:val="en-GB" w:bidi="en-GB"/>
              </w:rPr>
              <w:t>2015</w:t>
            </w:r>
          </w:p>
        </w:tc>
        <w:tc>
          <w:tcPr>
            <w:tcW w:w="860"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6,873,887.66</w:t>
            </w:r>
          </w:p>
        </w:tc>
        <w:tc>
          <w:tcPr>
            <w:tcW w:w="626" w:type="pct"/>
            <w:tcBorders>
              <w:top w:val="nil"/>
              <w:left w:val="nil"/>
              <w:bottom w:val="single" w:sz="4" w:space="0" w:color="auto"/>
              <w:right w:val="single" w:sz="4" w:space="0" w:color="auto"/>
            </w:tcBorders>
            <w:shd w:val="clear" w:color="auto" w:fill="auto"/>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109,603.19</w:t>
            </w:r>
          </w:p>
        </w:tc>
        <w:tc>
          <w:tcPr>
            <w:tcW w:w="469"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1.59</w:t>
            </w:r>
          </w:p>
        </w:tc>
        <w:tc>
          <w:tcPr>
            <w:tcW w:w="704" w:type="pct"/>
            <w:tcBorders>
              <w:top w:val="nil"/>
              <w:left w:val="nil"/>
              <w:bottom w:val="single" w:sz="4" w:space="0" w:color="auto"/>
              <w:right w:val="single" w:sz="4" w:space="0" w:color="auto"/>
            </w:tcBorders>
            <w:shd w:val="clear" w:color="auto" w:fill="auto"/>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171,548.09</w:t>
            </w:r>
          </w:p>
        </w:tc>
        <w:tc>
          <w:tcPr>
            <w:tcW w:w="469"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2.50</w:t>
            </w:r>
          </w:p>
        </w:tc>
        <w:tc>
          <w:tcPr>
            <w:tcW w:w="704" w:type="pct"/>
            <w:tcBorders>
              <w:top w:val="nil"/>
              <w:left w:val="nil"/>
              <w:bottom w:val="single" w:sz="4" w:space="0" w:color="auto"/>
              <w:right w:val="single" w:sz="4" w:space="0" w:color="auto"/>
            </w:tcBorders>
            <w:shd w:val="clear" w:color="auto" w:fill="auto"/>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0.00</w:t>
            </w:r>
          </w:p>
        </w:tc>
        <w:tc>
          <w:tcPr>
            <w:tcW w:w="466"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0.00</w:t>
            </w:r>
          </w:p>
        </w:tc>
      </w:tr>
      <w:tr w:rsidR="00CE292C" w:rsidRPr="00563CF9" w:rsidTr="00757BF0">
        <w:trPr>
          <w:trHeight w:val="227"/>
        </w:trPr>
        <w:tc>
          <w:tcPr>
            <w:tcW w:w="365" w:type="pct"/>
            <w:vMerge/>
            <w:tcBorders>
              <w:top w:val="nil"/>
              <w:left w:val="single" w:sz="4" w:space="0" w:color="auto"/>
              <w:bottom w:val="single" w:sz="4" w:space="0" w:color="000000"/>
              <w:right w:val="single" w:sz="4" w:space="0" w:color="auto"/>
            </w:tcBorders>
            <w:vAlign w:val="center"/>
            <w:hideMark/>
          </w:tcPr>
          <w:p w:rsidR="00625117" w:rsidRPr="00563CF9" w:rsidRDefault="00625117" w:rsidP="00D435DC">
            <w:pPr>
              <w:keepNext/>
              <w:jc w:val="left"/>
              <w:rPr>
                <w:rFonts w:ascii="Calibri" w:hAnsi="Calibri" w:cs="Calibri"/>
                <w:b/>
                <w:bCs/>
                <w:color w:val="000000"/>
                <w:sz w:val="20"/>
                <w:lang w:val="en-GB"/>
              </w:rPr>
            </w:pPr>
          </w:p>
        </w:tc>
        <w:tc>
          <w:tcPr>
            <w:tcW w:w="337"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jc w:val="center"/>
              <w:rPr>
                <w:rFonts w:ascii="Calibri" w:hAnsi="Calibri" w:cs="Calibri"/>
                <w:bCs/>
                <w:color w:val="000000"/>
                <w:sz w:val="20"/>
                <w:lang w:val="en-GB"/>
              </w:rPr>
            </w:pPr>
            <w:r w:rsidRPr="00563CF9">
              <w:rPr>
                <w:sz w:val="20"/>
                <w:lang w:val="en-GB" w:bidi="en-GB"/>
              </w:rPr>
              <w:t>2016</w:t>
            </w:r>
          </w:p>
        </w:tc>
        <w:tc>
          <w:tcPr>
            <w:tcW w:w="860"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7,658,859.58</w:t>
            </w:r>
          </w:p>
        </w:tc>
        <w:tc>
          <w:tcPr>
            <w:tcW w:w="626" w:type="pct"/>
            <w:tcBorders>
              <w:top w:val="nil"/>
              <w:left w:val="nil"/>
              <w:bottom w:val="single" w:sz="4" w:space="0" w:color="auto"/>
              <w:right w:val="single" w:sz="4" w:space="0" w:color="auto"/>
            </w:tcBorders>
            <w:shd w:val="clear" w:color="auto" w:fill="auto"/>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116,182.14</w:t>
            </w:r>
          </w:p>
        </w:tc>
        <w:tc>
          <w:tcPr>
            <w:tcW w:w="469"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1.52</w:t>
            </w:r>
          </w:p>
        </w:tc>
        <w:tc>
          <w:tcPr>
            <w:tcW w:w="704" w:type="pct"/>
            <w:tcBorders>
              <w:top w:val="nil"/>
              <w:left w:val="nil"/>
              <w:bottom w:val="single" w:sz="4" w:space="0" w:color="auto"/>
              <w:right w:val="single" w:sz="4" w:space="0" w:color="auto"/>
            </w:tcBorders>
            <w:shd w:val="clear" w:color="auto" w:fill="auto"/>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172,606.17</w:t>
            </w:r>
          </w:p>
        </w:tc>
        <w:tc>
          <w:tcPr>
            <w:tcW w:w="469"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2.25</w:t>
            </w:r>
          </w:p>
        </w:tc>
        <w:tc>
          <w:tcPr>
            <w:tcW w:w="704"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0.00</w:t>
            </w:r>
          </w:p>
        </w:tc>
        <w:tc>
          <w:tcPr>
            <w:tcW w:w="466"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0.00</w:t>
            </w:r>
          </w:p>
        </w:tc>
      </w:tr>
      <w:tr w:rsidR="00CE292C" w:rsidRPr="00563CF9" w:rsidTr="00757BF0">
        <w:trPr>
          <w:trHeight w:val="227"/>
        </w:trPr>
        <w:tc>
          <w:tcPr>
            <w:tcW w:w="36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25117" w:rsidRPr="00563CF9" w:rsidRDefault="00625117" w:rsidP="00D435DC">
            <w:pPr>
              <w:keepNext/>
              <w:jc w:val="left"/>
              <w:rPr>
                <w:rFonts w:ascii="Calibri" w:hAnsi="Calibri" w:cs="Calibri"/>
                <w:b/>
                <w:bCs/>
                <w:color w:val="000000"/>
                <w:sz w:val="20"/>
                <w:lang w:val="en-GB"/>
              </w:rPr>
            </w:pPr>
            <w:r w:rsidRPr="00563CF9">
              <w:rPr>
                <w:b/>
                <w:sz w:val="20"/>
                <w:lang w:val="en-GB" w:bidi="en-GB"/>
              </w:rPr>
              <w:t>MUH</w:t>
            </w:r>
          </w:p>
        </w:tc>
        <w:tc>
          <w:tcPr>
            <w:tcW w:w="337"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jc w:val="center"/>
              <w:rPr>
                <w:rFonts w:ascii="Calibri" w:hAnsi="Calibri" w:cs="Calibri"/>
                <w:bCs/>
                <w:color w:val="000000"/>
                <w:sz w:val="20"/>
                <w:lang w:val="en-GB"/>
              </w:rPr>
            </w:pPr>
            <w:r w:rsidRPr="00563CF9">
              <w:rPr>
                <w:sz w:val="20"/>
                <w:lang w:val="en-GB" w:bidi="en-GB"/>
              </w:rPr>
              <w:t>2014</w:t>
            </w:r>
          </w:p>
        </w:tc>
        <w:tc>
          <w:tcPr>
            <w:tcW w:w="860"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7,486,988.59</w:t>
            </w:r>
          </w:p>
        </w:tc>
        <w:tc>
          <w:tcPr>
            <w:tcW w:w="626"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321,987.36</w:t>
            </w:r>
          </w:p>
        </w:tc>
        <w:tc>
          <w:tcPr>
            <w:tcW w:w="469"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4.30</w:t>
            </w:r>
          </w:p>
        </w:tc>
        <w:tc>
          <w:tcPr>
            <w:tcW w:w="704" w:type="pct"/>
            <w:tcBorders>
              <w:top w:val="nil"/>
              <w:left w:val="nil"/>
              <w:bottom w:val="single" w:sz="4" w:space="0" w:color="auto"/>
              <w:right w:val="single" w:sz="4" w:space="0" w:color="auto"/>
            </w:tcBorders>
            <w:shd w:val="clear" w:color="auto" w:fill="auto"/>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344,307.64</w:t>
            </w:r>
          </w:p>
        </w:tc>
        <w:tc>
          <w:tcPr>
            <w:tcW w:w="469"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4.60</w:t>
            </w:r>
          </w:p>
        </w:tc>
        <w:tc>
          <w:tcPr>
            <w:tcW w:w="704"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145,223.46</w:t>
            </w:r>
          </w:p>
        </w:tc>
        <w:tc>
          <w:tcPr>
            <w:tcW w:w="466"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1.94</w:t>
            </w:r>
          </w:p>
        </w:tc>
      </w:tr>
      <w:tr w:rsidR="00CE292C" w:rsidRPr="00563CF9" w:rsidTr="00757BF0">
        <w:trPr>
          <w:trHeight w:val="227"/>
        </w:trPr>
        <w:tc>
          <w:tcPr>
            <w:tcW w:w="365" w:type="pct"/>
            <w:vMerge/>
            <w:tcBorders>
              <w:top w:val="nil"/>
              <w:left w:val="single" w:sz="4" w:space="0" w:color="auto"/>
              <w:bottom w:val="single" w:sz="4" w:space="0" w:color="000000"/>
              <w:right w:val="single" w:sz="4" w:space="0" w:color="auto"/>
            </w:tcBorders>
            <w:vAlign w:val="center"/>
            <w:hideMark/>
          </w:tcPr>
          <w:p w:rsidR="00625117" w:rsidRPr="00563CF9" w:rsidRDefault="00625117" w:rsidP="00D435DC">
            <w:pPr>
              <w:keepNext/>
              <w:jc w:val="left"/>
              <w:rPr>
                <w:rFonts w:ascii="Calibri" w:hAnsi="Calibri" w:cs="Calibri"/>
                <w:b/>
                <w:bCs/>
                <w:color w:val="000000"/>
                <w:sz w:val="20"/>
                <w:lang w:val="en-GB"/>
              </w:rPr>
            </w:pPr>
          </w:p>
        </w:tc>
        <w:tc>
          <w:tcPr>
            <w:tcW w:w="337"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jc w:val="center"/>
              <w:rPr>
                <w:rFonts w:ascii="Calibri" w:hAnsi="Calibri" w:cs="Calibri"/>
                <w:bCs/>
                <w:color w:val="000000"/>
                <w:sz w:val="20"/>
                <w:lang w:val="en-GB"/>
              </w:rPr>
            </w:pPr>
            <w:r w:rsidRPr="00563CF9">
              <w:rPr>
                <w:sz w:val="20"/>
                <w:lang w:val="en-GB" w:bidi="en-GB"/>
              </w:rPr>
              <w:t>2015</w:t>
            </w:r>
          </w:p>
        </w:tc>
        <w:tc>
          <w:tcPr>
            <w:tcW w:w="860"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7,775,201.10</w:t>
            </w:r>
          </w:p>
        </w:tc>
        <w:tc>
          <w:tcPr>
            <w:tcW w:w="626"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323,650.41</w:t>
            </w:r>
          </w:p>
        </w:tc>
        <w:tc>
          <w:tcPr>
            <w:tcW w:w="469"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4.16</w:t>
            </w:r>
          </w:p>
        </w:tc>
        <w:tc>
          <w:tcPr>
            <w:tcW w:w="704" w:type="pct"/>
            <w:tcBorders>
              <w:top w:val="nil"/>
              <w:left w:val="nil"/>
              <w:bottom w:val="single" w:sz="4" w:space="0" w:color="auto"/>
              <w:right w:val="single" w:sz="4" w:space="0" w:color="auto"/>
            </w:tcBorders>
            <w:shd w:val="clear" w:color="auto" w:fill="auto"/>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343,582.40</w:t>
            </w:r>
          </w:p>
        </w:tc>
        <w:tc>
          <w:tcPr>
            <w:tcW w:w="469"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4.42</w:t>
            </w:r>
          </w:p>
        </w:tc>
        <w:tc>
          <w:tcPr>
            <w:tcW w:w="704"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172,643.22</w:t>
            </w:r>
          </w:p>
        </w:tc>
        <w:tc>
          <w:tcPr>
            <w:tcW w:w="466"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2.22</w:t>
            </w:r>
          </w:p>
        </w:tc>
      </w:tr>
      <w:tr w:rsidR="00CE292C" w:rsidRPr="00563CF9" w:rsidTr="00757BF0">
        <w:trPr>
          <w:trHeight w:val="227"/>
        </w:trPr>
        <w:tc>
          <w:tcPr>
            <w:tcW w:w="365" w:type="pct"/>
            <w:vMerge/>
            <w:tcBorders>
              <w:top w:val="nil"/>
              <w:left w:val="single" w:sz="4" w:space="0" w:color="auto"/>
              <w:bottom w:val="single" w:sz="4" w:space="0" w:color="000000"/>
              <w:right w:val="single" w:sz="4" w:space="0" w:color="auto"/>
            </w:tcBorders>
            <w:vAlign w:val="center"/>
            <w:hideMark/>
          </w:tcPr>
          <w:p w:rsidR="00625117" w:rsidRPr="00563CF9" w:rsidRDefault="00625117" w:rsidP="00D435DC">
            <w:pPr>
              <w:keepNext/>
              <w:jc w:val="left"/>
              <w:rPr>
                <w:rFonts w:ascii="Calibri" w:hAnsi="Calibri" w:cs="Calibri"/>
                <w:b/>
                <w:bCs/>
                <w:color w:val="000000"/>
                <w:sz w:val="20"/>
                <w:lang w:val="en-GB"/>
              </w:rPr>
            </w:pPr>
          </w:p>
        </w:tc>
        <w:tc>
          <w:tcPr>
            <w:tcW w:w="337"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jc w:val="center"/>
              <w:rPr>
                <w:rFonts w:ascii="Calibri" w:hAnsi="Calibri" w:cs="Calibri"/>
                <w:bCs/>
                <w:color w:val="000000"/>
                <w:sz w:val="20"/>
                <w:lang w:val="en-GB"/>
              </w:rPr>
            </w:pPr>
            <w:r w:rsidRPr="00563CF9">
              <w:rPr>
                <w:sz w:val="20"/>
                <w:lang w:val="en-GB" w:bidi="en-GB"/>
              </w:rPr>
              <w:t>2016</w:t>
            </w:r>
          </w:p>
        </w:tc>
        <w:tc>
          <w:tcPr>
            <w:tcW w:w="860"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8,134,270.53</w:t>
            </w:r>
          </w:p>
        </w:tc>
        <w:tc>
          <w:tcPr>
            <w:tcW w:w="626"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360,481.61</w:t>
            </w:r>
          </w:p>
        </w:tc>
        <w:tc>
          <w:tcPr>
            <w:tcW w:w="469"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4.43</w:t>
            </w:r>
          </w:p>
        </w:tc>
        <w:tc>
          <w:tcPr>
            <w:tcW w:w="704" w:type="pct"/>
            <w:tcBorders>
              <w:top w:val="nil"/>
              <w:left w:val="nil"/>
              <w:bottom w:val="single" w:sz="4" w:space="0" w:color="auto"/>
              <w:right w:val="single" w:sz="4" w:space="0" w:color="auto"/>
            </w:tcBorders>
            <w:shd w:val="clear" w:color="auto" w:fill="auto"/>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366,216.41</w:t>
            </w:r>
          </w:p>
        </w:tc>
        <w:tc>
          <w:tcPr>
            <w:tcW w:w="469"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4.50</w:t>
            </w:r>
          </w:p>
        </w:tc>
        <w:tc>
          <w:tcPr>
            <w:tcW w:w="704"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61,206.22</w:t>
            </w:r>
          </w:p>
        </w:tc>
        <w:tc>
          <w:tcPr>
            <w:tcW w:w="466"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0.75</w:t>
            </w:r>
          </w:p>
        </w:tc>
      </w:tr>
      <w:tr w:rsidR="00CE292C" w:rsidRPr="00563CF9" w:rsidTr="00757BF0">
        <w:trPr>
          <w:trHeight w:val="227"/>
        </w:trPr>
        <w:tc>
          <w:tcPr>
            <w:tcW w:w="36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25117" w:rsidRPr="00563CF9" w:rsidRDefault="00625117" w:rsidP="00D435DC">
            <w:pPr>
              <w:keepNext/>
              <w:jc w:val="left"/>
              <w:rPr>
                <w:rFonts w:ascii="Calibri" w:hAnsi="Calibri" w:cs="Calibri"/>
                <w:b/>
                <w:bCs/>
                <w:color w:val="000000"/>
                <w:sz w:val="20"/>
                <w:lang w:val="en-GB"/>
              </w:rPr>
            </w:pPr>
            <w:r w:rsidRPr="00563CF9">
              <w:rPr>
                <w:b/>
                <w:sz w:val="20"/>
                <w:lang w:val="en-GB" w:bidi="en-GB"/>
              </w:rPr>
              <w:t>CMH</w:t>
            </w:r>
          </w:p>
        </w:tc>
        <w:tc>
          <w:tcPr>
            <w:tcW w:w="337"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jc w:val="center"/>
              <w:rPr>
                <w:rFonts w:ascii="Calibri" w:hAnsi="Calibri" w:cs="Calibri"/>
                <w:bCs/>
                <w:color w:val="000000"/>
                <w:sz w:val="20"/>
                <w:lang w:val="en-GB"/>
              </w:rPr>
            </w:pPr>
            <w:r w:rsidRPr="00563CF9">
              <w:rPr>
                <w:sz w:val="20"/>
                <w:lang w:val="en-GB" w:bidi="en-GB"/>
              </w:rPr>
              <w:t>2014</w:t>
            </w:r>
          </w:p>
        </w:tc>
        <w:tc>
          <w:tcPr>
            <w:tcW w:w="860"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2,211,717.27</w:t>
            </w:r>
          </w:p>
        </w:tc>
        <w:tc>
          <w:tcPr>
            <w:tcW w:w="626" w:type="pct"/>
            <w:tcBorders>
              <w:top w:val="nil"/>
              <w:left w:val="nil"/>
              <w:bottom w:val="single" w:sz="4" w:space="0" w:color="auto"/>
              <w:right w:val="single" w:sz="4" w:space="0" w:color="auto"/>
            </w:tcBorders>
            <w:shd w:val="clear" w:color="auto" w:fill="auto"/>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92,448.78</w:t>
            </w:r>
          </w:p>
        </w:tc>
        <w:tc>
          <w:tcPr>
            <w:tcW w:w="469"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4.18</w:t>
            </w:r>
          </w:p>
        </w:tc>
        <w:tc>
          <w:tcPr>
            <w:tcW w:w="704" w:type="pct"/>
            <w:tcBorders>
              <w:top w:val="nil"/>
              <w:left w:val="nil"/>
              <w:bottom w:val="single" w:sz="4" w:space="0" w:color="auto"/>
              <w:right w:val="single" w:sz="4" w:space="0" w:color="auto"/>
            </w:tcBorders>
            <w:shd w:val="clear" w:color="auto" w:fill="auto"/>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125,654.42</w:t>
            </w:r>
          </w:p>
        </w:tc>
        <w:tc>
          <w:tcPr>
            <w:tcW w:w="469"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5.68</w:t>
            </w:r>
          </w:p>
        </w:tc>
        <w:tc>
          <w:tcPr>
            <w:tcW w:w="704" w:type="pct"/>
            <w:tcBorders>
              <w:top w:val="nil"/>
              <w:left w:val="nil"/>
              <w:bottom w:val="single" w:sz="4" w:space="0" w:color="auto"/>
              <w:right w:val="single" w:sz="4" w:space="0" w:color="auto"/>
            </w:tcBorders>
            <w:shd w:val="clear" w:color="auto" w:fill="auto"/>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10,159.77</w:t>
            </w:r>
          </w:p>
        </w:tc>
        <w:tc>
          <w:tcPr>
            <w:tcW w:w="466"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0.46</w:t>
            </w:r>
          </w:p>
        </w:tc>
      </w:tr>
      <w:tr w:rsidR="00CE292C" w:rsidRPr="00563CF9" w:rsidTr="00757BF0">
        <w:trPr>
          <w:trHeight w:val="227"/>
        </w:trPr>
        <w:tc>
          <w:tcPr>
            <w:tcW w:w="365" w:type="pct"/>
            <w:vMerge/>
            <w:tcBorders>
              <w:top w:val="nil"/>
              <w:left w:val="single" w:sz="4" w:space="0" w:color="auto"/>
              <w:bottom w:val="single" w:sz="4" w:space="0" w:color="000000"/>
              <w:right w:val="single" w:sz="4" w:space="0" w:color="auto"/>
            </w:tcBorders>
            <w:vAlign w:val="center"/>
            <w:hideMark/>
          </w:tcPr>
          <w:p w:rsidR="00625117" w:rsidRPr="00563CF9" w:rsidRDefault="00625117" w:rsidP="00D435DC">
            <w:pPr>
              <w:keepNext/>
              <w:jc w:val="left"/>
              <w:rPr>
                <w:rFonts w:ascii="Calibri" w:hAnsi="Calibri" w:cs="Calibri"/>
                <w:b/>
                <w:bCs/>
                <w:color w:val="000000"/>
                <w:sz w:val="20"/>
                <w:lang w:val="en-GB"/>
              </w:rPr>
            </w:pPr>
          </w:p>
        </w:tc>
        <w:tc>
          <w:tcPr>
            <w:tcW w:w="337"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jc w:val="center"/>
              <w:rPr>
                <w:rFonts w:ascii="Calibri" w:hAnsi="Calibri" w:cs="Calibri"/>
                <w:bCs/>
                <w:color w:val="000000"/>
                <w:sz w:val="20"/>
                <w:lang w:val="en-GB"/>
              </w:rPr>
            </w:pPr>
            <w:r w:rsidRPr="00563CF9">
              <w:rPr>
                <w:sz w:val="20"/>
                <w:lang w:val="en-GB" w:bidi="en-GB"/>
              </w:rPr>
              <w:t>2015</w:t>
            </w:r>
          </w:p>
        </w:tc>
        <w:tc>
          <w:tcPr>
            <w:tcW w:w="860"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2,454,898.59</w:t>
            </w:r>
          </w:p>
        </w:tc>
        <w:tc>
          <w:tcPr>
            <w:tcW w:w="626" w:type="pct"/>
            <w:tcBorders>
              <w:top w:val="nil"/>
              <w:left w:val="nil"/>
              <w:bottom w:val="single" w:sz="4" w:space="0" w:color="auto"/>
              <w:right w:val="single" w:sz="4" w:space="0" w:color="auto"/>
            </w:tcBorders>
            <w:shd w:val="clear" w:color="auto" w:fill="auto"/>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118,276.76</w:t>
            </w:r>
          </w:p>
        </w:tc>
        <w:tc>
          <w:tcPr>
            <w:tcW w:w="469"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4.82</w:t>
            </w:r>
          </w:p>
        </w:tc>
        <w:tc>
          <w:tcPr>
            <w:tcW w:w="704" w:type="pct"/>
            <w:tcBorders>
              <w:top w:val="nil"/>
              <w:left w:val="nil"/>
              <w:bottom w:val="single" w:sz="4" w:space="0" w:color="auto"/>
              <w:right w:val="single" w:sz="4" w:space="0" w:color="auto"/>
            </w:tcBorders>
            <w:shd w:val="clear" w:color="auto" w:fill="auto"/>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159,831.36</w:t>
            </w:r>
          </w:p>
        </w:tc>
        <w:tc>
          <w:tcPr>
            <w:tcW w:w="469"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6.51</w:t>
            </w:r>
          </w:p>
        </w:tc>
        <w:tc>
          <w:tcPr>
            <w:tcW w:w="704" w:type="pct"/>
            <w:tcBorders>
              <w:top w:val="nil"/>
              <w:left w:val="nil"/>
              <w:bottom w:val="single" w:sz="4" w:space="0" w:color="auto"/>
              <w:right w:val="single" w:sz="4" w:space="0" w:color="auto"/>
            </w:tcBorders>
            <w:shd w:val="clear" w:color="auto" w:fill="auto"/>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15,499.97</w:t>
            </w:r>
          </w:p>
        </w:tc>
        <w:tc>
          <w:tcPr>
            <w:tcW w:w="466"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0.63</w:t>
            </w:r>
          </w:p>
        </w:tc>
      </w:tr>
      <w:tr w:rsidR="00CE292C" w:rsidRPr="00563CF9" w:rsidTr="00757BF0">
        <w:trPr>
          <w:trHeight w:val="227"/>
        </w:trPr>
        <w:tc>
          <w:tcPr>
            <w:tcW w:w="365" w:type="pct"/>
            <w:vMerge/>
            <w:tcBorders>
              <w:top w:val="nil"/>
              <w:left w:val="single" w:sz="4" w:space="0" w:color="auto"/>
              <w:bottom w:val="single" w:sz="4" w:space="0" w:color="000000"/>
              <w:right w:val="single" w:sz="4" w:space="0" w:color="auto"/>
            </w:tcBorders>
            <w:vAlign w:val="center"/>
            <w:hideMark/>
          </w:tcPr>
          <w:p w:rsidR="00625117" w:rsidRPr="00563CF9" w:rsidRDefault="00625117" w:rsidP="00D435DC">
            <w:pPr>
              <w:keepNext/>
              <w:jc w:val="left"/>
              <w:rPr>
                <w:rFonts w:ascii="Calibri" w:hAnsi="Calibri" w:cs="Calibri"/>
                <w:b/>
                <w:bCs/>
                <w:color w:val="000000"/>
                <w:sz w:val="20"/>
                <w:lang w:val="en-GB"/>
              </w:rPr>
            </w:pPr>
          </w:p>
        </w:tc>
        <w:tc>
          <w:tcPr>
            <w:tcW w:w="337"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jc w:val="center"/>
              <w:rPr>
                <w:rFonts w:ascii="Calibri" w:hAnsi="Calibri" w:cs="Calibri"/>
                <w:bCs/>
                <w:color w:val="000000"/>
                <w:sz w:val="20"/>
                <w:lang w:val="en-GB"/>
              </w:rPr>
            </w:pPr>
            <w:r w:rsidRPr="00563CF9">
              <w:rPr>
                <w:sz w:val="20"/>
                <w:lang w:val="en-GB" w:bidi="en-GB"/>
              </w:rPr>
              <w:t>2016</w:t>
            </w:r>
          </w:p>
        </w:tc>
        <w:tc>
          <w:tcPr>
            <w:tcW w:w="860"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2,550,626.66</w:t>
            </w:r>
          </w:p>
        </w:tc>
        <w:tc>
          <w:tcPr>
            <w:tcW w:w="626" w:type="pct"/>
            <w:tcBorders>
              <w:top w:val="nil"/>
              <w:left w:val="nil"/>
              <w:bottom w:val="single" w:sz="4" w:space="0" w:color="auto"/>
              <w:right w:val="single" w:sz="4" w:space="0" w:color="auto"/>
            </w:tcBorders>
            <w:shd w:val="clear" w:color="auto" w:fill="auto"/>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102,543.91</w:t>
            </w:r>
          </w:p>
        </w:tc>
        <w:tc>
          <w:tcPr>
            <w:tcW w:w="469"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4.02</w:t>
            </w:r>
          </w:p>
        </w:tc>
        <w:tc>
          <w:tcPr>
            <w:tcW w:w="704" w:type="pct"/>
            <w:tcBorders>
              <w:top w:val="nil"/>
              <w:left w:val="nil"/>
              <w:bottom w:val="single" w:sz="4" w:space="0" w:color="auto"/>
              <w:right w:val="single" w:sz="4" w:space="0" w:color="auto"/>
            </w:tcBorders>
            <w:shd w:val="clear" w:color="auto" w:fill="auto"/>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187,138.98</w:t>
            </w:r>
          </w:p>
        </w:tc>
        <w:tc>
          <w:tcPr>
            <w:tcW w:w="469"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7.34</w:t>
            </w:r>
          </w:p>
        </w:tc>
        <w:tc>
          <w:tcPr>
            <w:tcW w:w="704" w:type="pct"/>
            <w:tcBorders>
              <w:top w:val="nil"/>
              <w:left w:val="nil"/>
              <w:bottom w:val="single" w:sz="4" w:space="0" w:color="auto"/>
              <w:right w:val="single" w:sz="4" w:space="0" w:color="auto"/>
            </w:tcBorders>
            <w:shd w:val="clear" w:color="auto" w:fill="auto"/>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22,222.78</w:t>
            </w:r>
          </w:p>
        </w:tc>
        <w:tc>
          <w:tcPr>
            <w:tcW w:w="466" w:type="pct"/>
            <w:tcBorders>
              <w:top w:val="nil"/>
              <w:left w:val="nil"/>
              <w:bottom w:val="single" w:sz="4" w:space="0" w:color="auto"/>
              <w:right w:val="single" w:sz="4" w:space="0" w:color="auto"/>
            </w:tcBorders>
            <w:shd w:val="clear" w:color="auto" w:fill="auto"/>
            <w:noWrap/>
            <w:vAlign w:val="center"/>
            <w:hideMark/>
          </w:tcPr>
          <w:p w:rsidR="00625117" w:rsidRPr="00563CF9" w:rsidRDefault="00625117" w:rsidP="00D435DC">
            <w:pPr>
              <w:keepNext/>
              <w:ind w:right="66"/>
              <w:jc w:val="right"/>
              <w:rPr>
                <w:rFonts w:ascii="Calibri" w:hAnsi="Calibri" w:cs="Calibri"/>
                <w:color w:val="000000"/>
                <w:sz w:val="20"/>
                <w:lang w:val="en-GB"/>
              </w:rPr>
            </w:pPr>
            <w:r w:rsidRPr="00563CF9">
              <w:rPr>
                <w:sz w:val="20"/>
                <w:lang w:val="en-GB" w:bidi="en-GB"/>
              </w:rPr>
              <w:t>0.87</w:t>
            </w:r>
          </w:p>
        </w:tc>
      </w:tr>
    </w:tbl>
    <w:p w:rsidR="00625117" w:rsidRPr="00563CF9" w:rsidRDefault="00625117" w:rsidP="008A1604">
      <w:pPr>
        <w:pStyle w:val="Zdroj"/>
        <w:spacing w:before="40"/>
        <w:ind w:left="567" w:hanging="567"/>
        <w:rPr>
          <w:i w:val="0"/>
          <w:noProof/>
          <w:lang w:val="en-GB"/>
        </w:rPr>
      </w:pPr>
      <w:r w:rsidRPr="00563CF9">
        <w:rPr>
          <w:b/>
          <w:i w:val="0"/>
          <w:noProof/>
          <w:lang w:val="en-GB" w:bidi="en-GB"/>
        </w:rPr>
        <w:t xml:space="preserve">Source: </w:t>
      </w:r>
      <w:r w:rsidRPr="00563CF9">
        <w:rPr>
          <w:b/>
          <w:i w:val="0"/>
          <w:noProof/>
          <w:lang w:val="en-GB" w:bidi="en-GB"/>
        </w:rPr>
        <w:tab/>
      </w:r>
      <w:r w:rsidR="00D435DC" w:rsidRPr="00563CF9">
        <w:rPr>
          <w:i w:val="0"/>
          <w:noProof/>
          <w:lang w:val="en-GB" w:bidi="en-GB"/>
        </w:rPr>
        <w:t>general ledgers of the individual university hospitals as of 31 December 2014, 31 December 2015 and 31 December 2016 and financial statements as of 31 December 2014, 31 December 2015 and 31 December 2016.</w:t>
      </w:r>
    </w:p>
    <w:p w:rsidR="00625117" w:rsidRPr="00563CF9" w:rsidRDefault="00625117" w:rsidP="008A1604">
      <w:pPr>
        <w:autoSpaceDE w:val="0"/>
        <w:autoSpaceDN w:val="0"/>
        <w:adjustRightInd w:val="0"/>
        <w:spacing w:before="120"/>
        <w:rPr>
          <w:rFonts w:cs="Arial"/>
          <w:lang w:val="en-GB"/>
        </w:rPr>
      </w:pPr>
      <w:r w:rsidRPr="00563CF9">
        <w:rPr>
          <w:lang w:val="en-GB" w:bidi="en-GB"/>
        </w:rPr>
        <w:t>The employees of the audited hospitals partially provided the servicing of medical equipment and legal services, in the case of the MUH also cleaning. The university hospitals procured advisory services externally.</w:t>
      </w:r>
    </w:p>
    <w:p w:rsidR="008A1604" w:rsidRPr="00563CF9" w:rsidRDefault="008A1604" w:rsidP="008A1604">
      <w:pPr>
        <w:rPr>
          <w:rFonts w:cstheme="minorHAnsi"/>
          <w:color w:val="000000" w:themeColor="text1"/>
          <w:lang w:val="en-GB"/>
        </w:rPr>
      </w:pPr>
    </w:p>
    <w:p w:rsidR="008A1604" w:rsidRPr="00563CF9" w:rsidRDefault="008A1604" w:rsidP="008A1604">
      <w:pPr>
        <w:rPr>
          <w:rFonts w:cstheme="minorHAnsi"/>
          <w:color w:val="000000" w:themeColor="text1"/>
          <w:lang w:val="en-GB"/>
        </w:rPr>
      </w:pPr>
    </w:p>
    <w:p w:rsidR="004F30C6" w:rsidRPr="00563CF9" w:rsidRDefault="008A1604" w:rsidP="00757BF0">
      <w:pPr>
        <w:pStyle w:val="Nadpis1"/>
        <w:spacing w:after="120"/>
        <w:jc w:val="center"/>
        <w:rPr>
          <w:u w:val="none"/>
          <w:lang w:val="en-GB"/>
        </w:rPr>
      </w:pPr>
      <w:r w:rsidRPr="00563CF9">
        <w:rPr>
          <w:u w:val="none"/>
          <w:lang w:val="en-GB" w:bidi="en-GB"/>
        </w:rPr>
        <w:t>III. Scope of audit</w:t>
      </w:r>
    </w:p>
    <w:p w:rsidR="004F30C6" w:rsidRPr="00563CF9" w:rsidRDefault="005215B9" w:rsidP="008A1604">
      <w:pPr>
        <w:spacing w:before="120"/>
        <w:rPr>
          <w:rFonts w:eastAsia="Calibri"/>
          <w:lang w:val="en-GB"/>
        </w:rPr>
      </w:pPr>
      <w:r w:rsidRPr="00563CF9">
        <w:rPr>
          <w:lang w:val="en-GB" w:bidi="en-GB"/>
        </w:rPr>
        <w:t>The purpose of the audit was to verify whether the procurement of material, goods and services by university hospitals (in particular pharmaceuticals and medical devices) was in line with legal regulations and whether it was practical and cost-effective. Further, the objective was to examine whether the Ministry of Health and the Ministry of Defence fulfilled the role of the founders of the university hospitals.</w:t>
      </w:r>
    </w:p>
    <w:p w:rsidR="00930B50" w:rsidRPr="00563CF9" w:rsidRDefault="00930B50" w:rsidP="008A1604">
      <w:pPr>
        <w:spacing w:before="120"/>
        <w:rPr>
          <w:rFonts w:cstheme="minorHAnsi"/>
          <w:lang w:val="en-GB"/>
        </w:rPr>
      </w:pPr>
      <w:r w:rsidRPr="00563CF9">
        <w:rPr>
          <w:b/>
          <w:lang w:val="en-GB" w:bidi="en-GB"/>
        </w:rPr>
        <w:t>At the audited university hospital</w:t>
      </w:r>
      <w:r w:rsidR="00DF2638">
        <w:rPr>
          <w:b/>
          <w:lang w:val="en-GB" w:bidi="en-GB"/>
        </w:rPr>
        <w:t>s</w:t>
      </w:r>
      <w:r w:rsidRPr="00563CF9">
        <w:rPr>
          <w:lang w:val="en-GB" w:bidi="en-GB"/>
        </w:rPr>
        <w:t xml:space="preserve"> the audit was focused on comparing selected indicators; the way of securing selected services and choosing their suppliers; purchase of pharmaceuticals and medical devices, including comparison of their unit purchase prices and related bonuses; registration and disposal of pharmaceuticals due to inapplicability. For selected inspected devices, the audit was focused not only on the costs related to their repairs and maintenance, but also on the records of these assets.</w:t>
      </w:r>
    </w:p>
    <w:p w:rsidR="004906BB" w:rsidRPr="00563CF9" w:rsidRDefault="004906BB" w:rsidP="008A1604">
      <w:pPr>
        <w:spacing w:before="120"/>
        <w:rPr>
          <w:rFonts w:cstheme="minorHAnsi"/>
          <w:lang w:val="en-GB"/>
        </w:rPr>
      </w:pPr>
      <w:r w:rsidRPr="00563CF9">
        <w:rPr>
          <w:b/>
          <w:lang w:val="en-GB" w:bidi="en-GB"/>
        </w:rPr>
        <w:t xml:space="preserve">At the ministries </w:t>
      </w:r>
      <w:r w:rsidRPr="00563CF9">
        <w:rPr>
          <w:lang w:val="en-GB" w:bidi="en-GB"/>
        </w:rPr>
        <w:t>the audit was focused on the performance of the founding functions of the MoH/MoD in relation to the university hospitals; financial relations established by the founder; audit performed by the founder at the university hospitals.</w:t>
      </w:r>
    </w:p>
    <w:p w:rsidR="004F30C6" w:rsidRPr="00563CF9" w:rsidRDefault="002C38A0" w:rsidP="008A1604">
      <w:pPr>
        <w:spacing w:before="120"/>
        <w:rPr>
          <w:rFonts w:cstheme="minorHAnsi"/>
          <w:bCs/>
          <w:spacing w:val="-4"/>
          <w:lang w:val="en-GB"/>
        </w:rPr>
      </w:pPr>
      <w:r w:rsidRPr="00563CF9">
        <w:rPr>
          <w:spacing w:val="-4"/>
          <w:lang w:val="en-GB" w:bidi="en-GB"/>
        </w:rPr>
        <w:t>The period under review was 2014-2016.</w:t>
      </w:r>
    </w:p>
    <w:p w:rsidR="008E32CA" w:rsidRPr="00563CF9" w:rsidRDefault="002752C1" w:rsidP="008A1604">
      <w:pPr>
        <w:spacing w:before="120"/>
        <w:rPr>
          <w:rFonts w:cstheme="minorHAnsi"/>
          <w:szCs w:val="22"/>
          <w:lang w:val="en-GB"/>
        </w:rPr>
      </w:pPr>
      <w:r w:rsidRPr="00563CF9">
        <w:rPr>
          <w:lang w:val="en-GB" w:bidi="en-GB"/>
        </w:rPr>
        <w:t>The audited volume amounted to CZK 2,275,631,308.58, of which:</w:t>
      </w:r>
    </w:p>
    <w:p w:rsidR="008E32CA" w:rsidRPr="00563CF9" w:rsidRDefault="00F2433A" w:rsidP="008E32CA">
      <w:pPr>
        <w:pStyle w:val="Odstavecseseznamem"/>
        <w:numPr>
          <w:ilvl w:val="0"/>
          <w:numId w:val="41"/>
        </w:numPr>
        <w:rPr>
          <w:rFonts w:cstheme="minorHAnsi"/>
          <w:szCs w:val="22"/>
          <w:lang w:val="en-GB"/>
        </w:rPr>
      </w:pPr>
      <w:r w:rsidRPr="00563CF9">
        <w:rPr>
          <w:lang w:val="en-GB" w:bidi="en-GB"/>
        </w:rPr>
        <w:t xml:space="preserve">the volume of assets amounted to CZK 402,562,688.86, </w:t>
      </w:r>
    </w:p>
    <w:p w:rsidR="008E32CA" w:rsidRPr="00563CF9" w:rsidRDefault="00F2433A" w:rsidP="008E32CA">
      <w:pPr>
        <w:pStyle w:val="Odstavecseseznamem"/>
        <w:numPr>
          <w:ilvl w:val="0"/>
          <w:numId w:val="41"/>
        </w:numPr>
        <w:rPr>
          <w:lang w:val="en-GB"/>
        </w:rPr>
      </w:pPr>
      <w:r w:rsidRPr="00563CF9">
        <w:rPr>
          <w:lang w:val="en-GB" w:bidi="en-GB"/>
        </w:rPr>
        <w:t xml:space="preserve">the volume of funds amounted to CZK 808,302,270.01, </w:t>
      </w:r>
    </w:p>
    <w:p w:rsidR="008A1604" w:rsidRPr="00563CF9" w:rsidRDefault="00F2433A" w:rsidP="00BA09ED">
      <w:pPr>
        <w:pStyle w:val="Odstavecseseznamem"/>
        <w:numPr>
          <w:ilvl w:val="0"/>
          <w:numId w:val="41"/>
        </w:numPr>
        <w:rPr>
          <w:rFonts w:cstheme="minorHAnsi"/>
          <w:color w:val="000000" w:themeColor="text1"/>
          <w:lang w:val="en-GB"/>
        </w:rPr>
      </w:pPr>
      <w:r w:rsidRPr="00563CF9">
        <w:rPr>
          <w:lang w:val="en-GB" w:bidi="en-GB"/>
        </w:rPr>
        <w:t>the volume of public contracts amounted to CZK 1,064,766,349.71.</w:t>
      </w:r>
      <w:r w:rsidR="00F948F9" w:rsidRPr="00563CF9">
        <w:rPr>
          <w:rStyle w:val="Znakapoznpodarou"/>
          <w:lang w:val="en-GB" w:bidi="en-GB"/>
        </w:rPr>
        <w:footnoteReference w:id="29"/>
      </w:r>
    </w:p>
    <w:p w:rsidR="002C3E65" w:rsidRPr="00563CF9" w:rsidRDefault="002C3E65" w:rsidP="002C3E65">
      <w:pPr>
        <w:pStyle w:val="Odstavecseseznamem"/>
        <w:ind w:left="720"/>
        <w:rPr>
          <w:rFonts w:cstheme="minorHAnsi"/>
          <w:color w:val="000000" w:themeColor="text1"/>
          <w:lang w:val="en-GB"/>
        </w:rPr>
      </w:pPr>
    </w:p>
    <w:p w:rsidR="002C3E65" w:rsidRPr="00563CF9" w:rsidRDefault="002C3E65" w:rsidP="002C3E65">
      <w:pPr>
        <w:pStyle w:val="Odstavecseseznamem"/>
        <w:ind w:left="720"/>
        <w:rPr>
          <w:rFonts w:cstheme="minorHAnsi"/>
          <w:color w:val="000000" w:themeColor="text1"/>
          <w:lang w:val="en-GB"/>
        </w:rPr>
      </w:pPr>
    </w:p>
    <w:p w:rsidR="00C3302D" w:rsidRPr="00563CF9" w:rsidRDefault="008A1604" w:rsidP="00D435DC">
      <w:pPr>
        <w:pStyle w:val="Nadpis1"/>
        <w:jc w:val="center"/>
        <w:rPr>
          <w:u w:val="none"/>
          <w:lang w:val="en-GB"/>
        </w:rPr>
      </w:pPr>
      <w:r w:rsidRPr="00563CF9">
        <w:rPr>
          <w:u w:val="none"/>
          <w:lang w:val="en-GB" w:bidi="en-GB"/>
        </w:rPr>
        <w:t>IV. Detailed facts ascertained by the audit</w:t>
      </w:r>
    </w:p>
    <w:p w:rsidR="002F187E" w:rsidRPr="00563CF9" w:rsidRDefault="008A1604" w:rsidP="00D435DC">
      <w:pPr>
        <w:keepNext/>
        <w:spacing w:before="240" w:after="120"/>
        <w:rPr>
          <w:rFonts w:cstheme="minorHAnsi"/>
          <w:b/>
          <w:noProof/>
          <w:color w:val="000000" w:themeColor="text1"/>
          <w:szCs w:val="28"/>
          <w:lang w:val="en-GB"/>
        </w:rPr>
      </w:pPr>
      <w:r w:rsidRPr="00563CF9">
        <w:rPr>
          <w:b/>
          <w:noProof/>
          <w:lang w:val="en-GB" w:bidi="en-GB"/>
        </w:rPr>
        <w:t>1. University hospitals</w:t>
      </w:r>
    </w:p>
    <w:p w:rsidR="00CF25F1" w:rsidRPr="00563CF9" w:rsidRDefault="008A1604" w:rsidP="00D435DC">
      <w:pPr>
        <w:keepNext/>
        <w:spacing w:before="240" w:after="120"/>
        <w:rPr>
          <w:rFonts w:cstheme="minorHAnsi"/>
          <w:b/>
          <w:noProof/>
          <w:color w:val="000000" w:themeColor="text1"/>
          <w:szCs w:val="26"/>
          <w:lang w:val="en-GB"/>
        </w:rPr>
      </w:pPr>
      <w:r w:rsidRPr="00563CF9">
        <w:rPr>
          <w:b/>
          <w:noProof/>
          <w:lang w:val="en-GB" w:bidi="en-GB"/>
        </w:rPr>
        <w:t>1.1 Public contracts for the purchase of pharmaceuticals</w:t>
      </w:r>
    </w:p>
    <w:p w:rsidR="009F69E7" w:rsidRPr="00563CF9" w:rsidRDefault="009F69E7" w:rsidP="008A1604">
      <w:pPr>
        <w:shd w:val="clear" w:color="auto" w:fill="FFFFFF"/>
        <w:spacing w:before="120" w:line="293" w:lineRule="exact"/>
        <w:rPr>
          <w:szCs w:val="22"/>
          <w:lang w:val="en-GB"/>
        </w:rPr>
      </w:pPr>
      <w:r w:rsidRPr="00563CF9">
        <w:rPr>
          <w:b/>
          <w:lang w:val="en-GB" w:bidi="en-GB"/>
        </w:rPr>
        <w:t>According to the individual university hospitals, out of the total volume of all purchases of pharmaceuticals made between 2014 and 2016, purchases made on the basis of a tender procedure pursuant to the Public Contract Act amounted to 9.94 % in the case of the BUH and 20.61 % in the case of the MUH. The CMH did not monitor the data as this obligation is not provided for by law.</w:t>
      </w:r>
    </w:p>
    <w:p w:rsidR="009103CF" w:rsidRPr="00563CF9" w:rsidRDefault="00CF25F1" w:rsidP="008A1604">
      <w:pPr>
        <w:shd w:val="clear" w:color="auto" w:fill="FFFFFF"/>
        <w:spacing w:before="120" w:line="293" w:lineRule="exact"/>
        <w:rPr>
          <w:rFonts w:cstheme="minorHAnsi"/>
          <w:lang w:val="en-GB"/>
        </w:rPr>
      </w:pPr>
      <w:r w:rsidRPr="00563CF9">
        <w:rPr>
          <w:lang w:val="en-GB" w:bidi="en-GB"/>
        </w:rPr>
        <w:t>The SAO, on a selected audit sample of identical pharmaceuticals used by the university hospitals totalling CZK 107,255,260.90 including VAT for the years 2014 to 2016, verified the way they were procured. The audit sample of selected 16 types of centric drugs was in the total value of CZK 94,180,832.88 including VAT. The audit sample of 19 types of selected drugs from the ATC – J group was in the total value of CZK 13,074,428.02 including VAT. The method of their procurement is given in the following table:</w:t>
      </w:r>
    </w:p>
    <w:p w:rsidR="00CF25F1" w:rsidRPr="00563CF9" w:rsidRDefault="00C465C8" w:rsidP="008A1604">
      <w:pPr>
        <w:shd w:val="clear" w:color="auto" w:fill="FFFFFF"/>
        <w:spacing w:before="120" w:after="40"/>
        <w:rPr>
          <w:rFonts w:cstheme="minorHAnsi"/>
          <w:b/>
          <w:lang w:val="en-GB"/>
        </w:rPr>
      </w:pPr>
      <w:r w:rsidRPr="00563CF9">
        <w:rPr>
          <w:b/>
          <w:lang w:val="en-GB" w:bidi="en-GB"/>
        </w:rPr>
        <w:t>Table 8: Public contracts for pharmaceuticals on the same audit sample</w:t>
      </w:r>
    </w:p>
    <w:tbl>
      <w:tblPr>
        <w:tblW w:w="5000" w:type="pct"/>
        <w:tblCellMar>
          <w:left w:w="0" w:type="dxa"/>
          <w:right w:w="0" w:type="dxa"/>
        </w:tblCellMar>
        <w:tblLook w:val="04A0" w:firstRow="1" w:lastRow="0" w:firstColumn="1" w:lastColumn="0" w:noHBand="0" w:noVBand="1"/>
      </w:tblPr>
      <w:tblGrid>
        <w:gridCol w:w="1610"/>
        <w:gridCol w:w="1945"/>
        <w:gridCol w:w="2278"/>
        <w:gridCol w:w="2421"/>
        <w:gridCol w:w="848"/>
      </w:tblGrid>
      <w:tr w:rsidR="00CF25F1" w:rsidRPr="00563CF9" w:rsidTr="00CE292C">
        <w:trPr>
          <w:trHeight w:val="283"/>
        </w:trPr>
        <w:tc>
          <w:tcPr>
            <w:tcW w:w="884" w:type="pct"/>
            <w:tcBorders>
              <w:top w:val="single" w:sz="4" w:space="0" w:color="auto"/>
              <w:left w:val="single" w:sz="4" w:space="0" w:color="auto"/>
              <w:bottom w:val="single" w:sz="4" w:space="0" w:color="auto"/>
              <w:right w:val="single" w:sz="4" w:space="0" w:color="auto"/>
            </w:tcBorders>
            <w:shd w:val="clear" w:color="auto" w:fill="E5F1FF"/>
            <w:noWrap/>
            <w:tcMar>
              <w:top w:w="15" w:type="dxa"/>
              <w:left w:w="15" w:type="dxa"/>
              <w:bottom w:w="0" w:type="dxa"/>
              <w:right w:w="15" w:type="dxa"/>
            </w:tcMar>
            <w:vAlign w:val="center"/>
            <w:hideMark/>
          </w:tcPr>
          <w:p w:rsidR="00CF25F1" w:rsidRPr="00563CF9" w:rsidRDefault="00CF25F1" w:rsidP="00CE292C">
            <w:pPr>
              <w:jc w:val="center"/>
              <w:rPr>
                <w:rFonts w:ascii="Calibri" w:hAnsi="Calibri" w:cs="Calibri"/>
                <w:b/>
                <w:bCs/>
                <w:color w:val="000000"/>
                <w:sz w:val="20"/>
                <w:lang w:val="en-GB"/>
              </w:rPr>
            </w:pPr>
            <w:r w:rsidRPr="00563CF9">
              <w:rPr>
                <w:b/>
                <w:sz w:val="20"/>
                <w:lang w:val="en-GB" w:bidi="en-GB"/>
              </w:rPr>
              <w:t>Name of hospital</w:t>
            </w:r>
          </w:p>
        </w:tc>
        <w:tc>
          <w:tcPr>
            <w:tcW w:w="1068" w:type="pct"/>
            <w:tcBorders>
              <w:top w:val="single" w:sz="4" w:space="0" w:color="auto"/>
              <w:left w:val="nil"/>
              <w:bottom w:val="single" w:sz="4" w:space="0" w:color="auto"/>
              <w:right w:val="single" w:sz="4" w:space="0" w:color="auto"/>
            </w:tcBorders>
            <w:shd w:val="clear" w:color="auto" w:fill="E5F1FF"/>
            <w:noWrap/>
            <w:tcMar>
              <w:top w:w="15" w:type="dxa"/>
              <w:left w:w="15" w:type="dxa"/>
              <w:bottom w:w="0" w:type="dxa"/>
              <w:right w:w="15" w:type="dxa"/>
            </w:tcMar>
            <w:vAlign w:val="center"/>
            <w:hideMark/>
          </w:tcPr>
          <w:p w:rsidR="00CF25F1" w:rsidRPr="00563CF9" w:rsidRDefault="00CF25F1" w:rsidP="00CE292C">
            <w:pPr>
              <w:jc w:val="center"/>
              <w:rPr>
                <w:rFonts w:ascii="Calibri" w:hAnsi="Calibri" w:cs="Calibri"/>
                <w:b/>
                <w:bCs/>
                <w:color w:val="000000"/>
                <w:sz w:val="20"/>
                <w:lang w:val="en-GB"/>
              </w:rPr>
            </w:pPr>
            <w:r w:rsidRPr="00563CF9">
              <w:rPr>
                <w:b/>
                <w:sz w:val="20"/>
                <w:lang w:val="en-GB" w:bidi="en-GB"/>
              </w:rPr>
              <w:t>Audited items</w:t>
            </w:r>
          </w:p>
        </w:tc>
        <w:tc>
          <w:tcPr>
            <w:tcW w:w="1251" w:type="pct"/>
            <w:tcBorders>
              <w:top w:val="single" w:sz="4" w:space="0" w:color="auto"/>
              <w:left w:val="nil"/>
              <w:bottom w:val="single" w:sz="4" w:space="0" w:color="auto"/>
              <w:right w:val="single" w:sz="4" w:space="0" w:color="auto"/>
            </w:tcBorders>
            <w:shd w:val="clear" w:color="auto" w:fill="E5F1FF"/>
            <w:noWrap/>
            <w:tcMar>
              <w:top w:w="15" w:type="dxa"/>
              <w:left w:w="15" w:type="dxa"/>
              <w:bottom w:w="0" w:type="dxa"/>
              <w:right w:w="15" w:type="dxa"/>
            </w:tcMar>
            <w:vAlign w:val="center"/>
            <w:hideMark/>
          </w:tcPr>
          <w:p w:rsidR="00CF25F1" w:rsidRPr="00563CF9" w:rsidRDefault="00CF25F1" w:rsidP="00CE292C">
            <w:pPr>
              <w:jc w:val="center"/>
              <w:rPr>
                <w:rFonts w:ascii="Calibri" w:hAnsi="Calibri" w:cs="Calibri"/>
                <w:b/>
                <w:bCs/>
                <w:color w:val="000000"/>
                <w:sz w:val="20"/>
                <w:lang w:val="en-GB"/>
              </w:rPr>
            </w:pPr>
            <w:r w:rsidRPr="00563CF9">
              <w:rPr>
                <w:b/>
                <w:sz w:val="20"/>
                <w:lang w:val="en-GB" w:bidi="en-GB"/>
              </w:rPr>
              <w:t>Audited volume (in CZK)</w:t>
            </w:r>
          </w:p>
        </w:tc>
        <w:tc>
          <w:tcPr>
            <w:tcW w:w="1330" w:type="pct"/>
            <w:tcBorders>
              <w:top w:val="single" w:sz="4" w:space="0" w:color="auto"/>
              <w:left w:val="nil"/>
              <w:bottom w:val="single" w:sz="4" w:space="0" w:color="auto"/>
              <w:right w:val="single" w:sz="4" w:space="0" w:color="auto"/>
            </w:tcBorders>
            <w:shd w:val="clear" w:color="auto" w:fill="E5F1FF"/>
            <w:noWrap/>
            <w:tcMar>
              <w:top w:w="15" w:type="dxa"/>
              <w:left w:w="15" w:type="dxa"/>
              <w:bottom w:w="0" w:type="dxa"/>
              <w:right w:w="15" w:type="dxa"/>
            </w:tcMar>
            <w:vAlign w:val="center"/>
            <w:hideMark/>
          </w:tcPr>
          <w:p w:rsidR="00CF25F1" w:rsidRPr="00563CF9" w:rsidRDefault="00CF25F1" w:rsidP="00CE292C">
            <w:pPr>
              <w:jc w:val="center"/>
              <w:rPr>
                <w:rFonts w:ascii="Calibri" w:hAnsi="Calibri" w:cs="Calibri"/>
                <w:b/>
                <w:bCs/>
                <w:color w:val="000000"/>
                <w:sz w:val="20"/>
                <w:lang w:val="en-GB"/>
              </w:rPr>
            </w:pPr>
            <w:r w:rsidRPr="00563CF9">
              <w:rPr>
                <w:b/>
                <w:sz w:val="20"/>
                <w:lang w:val="en-GB" w:bidi="en-GB"/>
              </w:rPr>
              <w:t>Supplier selection method</w:t>
            </w:r>
          </w:p>
        </w:tc>
        <w:tc>
          <w:tcPr>
            <w:tcW w:w="466" w:type="pct"/>
            <w:tcBorders>
              <w:top w:val="single" w:sz="4" w:space="0" w:color="auto"/>
              <w:left w:val="nil"/>
              <w:bottom w:val="single" w:sz="4" w:space="0" w:color="auto"/>
              <w:right w:val="single" w:sz="4" w:space="0" w:color="auto"/>
            </w:tcBorders>
            <w:shd w:val="clear" w:color="auto" w:fill="E5F1FF"/>
            <w:noWrap/>
            <w:tcMar>
              <w:top w:w="15" w:type="dxa"/>
              <w:left w:w="15" w:type="dxa"/>
              <w:bottom w:w="0" w:type="dxa"/>
              <w:right w:w="15" w:type="dxa"/>
            </w:tcMar>
            <w:vAlign w:val="center"/>
            <w:hideMark/>
          </w:tcPr>
          <w:p w:rsidR="00CF25F1" w:rsidRPr="00563CF9" w:rsidRDefault="00CF25F1" w:rsidP="00CE292C">
            <w:pPr>
              <w:jc w:val="center"/>
              <w:rPr>
                <w:rFonts w:ascii="Calibri" w:hAnsi="Calibri" w:cs="Calibri"/>
                <w:b/>
                <w:bCs/>
                <w:color w:val="000000"/>
                <w:sz w:val="20"/>
                <w:lang w:val="en-GB"/>
              </w:rPr>
            </w:pPr>
            <w:r w:rsidRPr="00563CF9">
              <w:rPr>
                <w:b/>
                <w:sz w:val="20"/>
                <w:lang w:val="en-GB" w:bidi="en-GB"/>
              </w:rPr>
              <w:t>%</w:t>
            </w:r>
          </w:p>
        </w:tc>
      </w:tr>
      <w:tr w:rsidR="00CF25F1" w:rsidRPr="00563CF9" w:rsidTr="00CE292C">
        <w:trPr>
          <w:trHeight w:val="244"/>
        </w:trPr>
        <w:tc>
          <w:tcPr>
            <w:tcW w:w="884" w:type="pct"/>
            <w:vMerge w:val="restart"/>
            <w:tcBorders>
              <w:top w:val="nil"/>
              <w:left w:val="single" w:sz="4" w:space="0" w:color="auto"/>
              <w:bottom w:val="single" w:sz="4" w:space="0" w:color="000000"/>
              <w:right w:val="single" w:sz="4" w:space="0" w:color="auto"/>
            </w:tcBorders>
            <w:vAlign w:val="center"/>
            <w:hideMark/>
          </w:tcPr>
          <w:p w:rsidR="00CF25F1" w:rsidRPr="00563CF9" w:rsidRDefault="003648F0" w:rsidP="00CE292C">
            <w:pPr>
              <w:jc w:val="left"/>
              <w:rPr>
                <w:rFonts w:ascii="Calibri" w:hAnsi="Calibri" w:cs="Calibri"/>
                <w:color w:val="000000"/>
                <w:sz w:val="20"/>
                <w:lang w:val="en-GB"/>
              </w:rPr>
            </w:pPr>
            <w:r w:rsidRPr="00563CF9">
              <w:rPr>
                <w:sz w:val="20"/>
                <w:lang w:val="en-GB" w:bidi="en-GB"/>
              </w:rPr>
              <w:t>BUH*</w:t>
            </w:r>
          </w:p>
        </w:tc>
        <w:tc>
          <w:tcPr>
            <w:tcW w:w="1068"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CF25F1" w:rsidRPr="00563CF9" w:rsidRDefault="00CF25F1" w:rsidP="001C4A50">
            <w:pPr>
              <w:jc w:val="center"/>
              <w:rPr>
                <w:rFonts w:ascii="Calibri" w:hAnsi="Calibri" w:cs="Calibri"/>
                <w:color w:val="000000"/>
                <w:sz w:val="20"/>
                <w:lang w:val="en-GB"/>
              </w:rPr>
            </w:pPr>
            <w:r w:rsidRPr="00563CF9">
              <w:rPr>
                <w:sz w:val="20"/>
                <w:lang w:val="en-GB" w:bidi="en-GB"/>
              </w:rPr>
              <w:t>Centric drugs</w:t>
            </w:r>
          </w:p>
        </w:tc>
        <w:tc>
          <w:tcPr>
            <w:tcW w:w="1251"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CF25F1" w:rsidRPr="00563CF9" w:rsidRDefault="008B7145" w:rsidP="00CE292C">
            <w:pPr>
              <w:ind w:right="613"/>
              <w:jc w:val="right"/>
              <w:rPr>
                <w:rFonts w:ascii="Calibri" w:hAnsi="Calibri" w:cs="Calibri"/>
                <w:color w:val="000000"/>
                <w:sz w:val="20"/>
                <w:highlight w:val="yellow"/>
                <w:lang w:val="en-GB"/>
              </w:rPr>
            </w:pPr>
            <w:r w:rsidRPr="00563CF9">
              <w:rPr>
                <w:sz w:val="20"/>
                <w:lang w:val="en-GB" w:bidi="en-GB"/>
              </w:rPr>
              <w:t>32,999,431.70</w:t>
            </w:r>
          </w:p>
        </w:tc>
        <w:tc>
          <w:tcPr>
            <w:tcW w:w="13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F25F1" w:rsidRPr="00563CF9" w:rsidRDefault="00CF25F1" w:rsidP="00CE292C">
            <w:pPr>
              <w:jc w:val="left"/>
              <w:rPr>
                <w:rFonts w:ascii="Calibri" w:hAnsi="Calibri" w:cs="Calibri"/>
                <w:color w:val="000000"/>
                <w:sz w:val="20"/>
                <w:lang w:val="en-GB"/>
              </w:rPr>
            </w:pPr>
            <w:r w:rsidRPr="00563CF9">
              <w:rPr>
                <w:sz w:val="20"/>
                <w:lang w:val="en-GB" w:bidi="en-GB"/>
              </w:rPr>
              <w:t>Tender procedure</w:t>
            </w:r>
          </w:p>
        </w:tc>
        <w:tc>
          <w:tcPr>
            <w:tcW w:w="4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F25F1" w:rsidRPr="00563CF9" w:rsidRDefault="00CF25F1" w:rsidP="00CE292C">
            <w:pPr>
              <w:ind w:right="57"/>
              <w:jc w:val="right"/>
              <w:rPr>
                <w:rFonts w:ascii="Calibri" w:hAnsi="Calibri" w:cs="Calibri"/>
                <w:color w:val="000000"/>
                <w:sz w:val="20"/>
                <w:lang w:val="en-GB"/>
              </w:rPr>
            </w:pPr>
            <w:r w:rsidRPr="00563CF9">
              <w:rPr>
                <w:sz w:val="20"/>
                <w:lang w:val="en-GB" w:bidi="en-GB"/>
              </w:rPr>
              <w:t>0.00</w:t>
            </w:r>
          </w:p>
        </w:tc>
      </w:tr>
      <w:tr w:rsidR="00CF25F1" w:rsidRPr="00563CF9" w:rsidTr="00CE292C">
        <w:trPr>
          <w:trHeight w:val="244"/>
        </w:trPr>
        <w:tc>
          <w:tcPr>
            <w:tcW w:w="884" w:type="pct"/>
            <w:vMerge/>
            <w:tcBorders>
              <w:top w:val="nil"/>
              <w:left w:val="single" w:sz="4" w:space="0" w:color="auto"/>
              <w:bottom w:val="single" w:sz="4" w:space="0" w:color="000000"/>
              <w:right w:val="single" w:sz="4" w:space="0" w:color="auto"/>
            </w:tcBorders>
            <w:vAlign w:val="center"/>
            <w:hideMark/>
          </w:tcPr>
          <w:p w:rsidR="00CF25F1" w:rsidRPr="00563CF9" w:rsidRDefault="00CF25F1" w:rsidP="00CE292C">
            <w:pPr>
              <w:jc w:val="left"/>
              <w:rPr>
                <w:rFonts w:ascii="Calibri" w:hAnsi="Calibri" w:cs="Calibri"/>
                <w:color w:val="000000"/>
                <w:sz w:val="20"/>
                <w:lang w:val="en-GB"/>
              </w:rPr>
            </w:pPr>
          </w:p>
        </w:tc>
        <w:tc>
          <w:tcPr>
            <w:tcW w:w="1068" w:type="pct"/>
            <w:vMerge/>
            <w:tcBorders>
              <w:top w:val="nil"/>
              <w:left w:val="single" w:sz="4" w:space="0" w:color="auto"/>
              <w:bottom w:val="single" w:sz="4" w:space="0" w:color="000000"/>
              <w:right w:val="single" w:sz="4" w:space="0" w:color="auto"/>
            </w:tcBorders>
            <w:vAlign w:val="center"/>
            <w:hideMark/>
          </w:tcPr>
          <w:p w:rsidR="00CF25F1" w:rsidRPr="00563CF9" w:rsidRDefault="00CF25F1" w:rsidP="001C4A50">
            <w:pPr>
              <w:jc w:val="center"/>
              <w:rPr>
                <w:rFonts w:ascii="Calibri" w:hAnsi="Calibri" w:cs="Calibri"/>
                <w:color w:val="000000"/>
                <w:sz w:val="20"/>
                <w:lang w:val="en-GB"/>
              </w:rPr>
            </w:pPr>
          </w:p>
        </w:tc>
        <w:tc>
          <w:tcPr>
            <w:tcW w:w="1251" w:type="pct"/>
            <w:vMerge/>
            <w:tcBorders>
              <w:top w:val="nil"/>
              <w:left w:val="single" w:sz="4" w:space="0" w:color="auto"/>
              <w:bottom w:val="single" w:sz="4" w:space="0" w:color="000000"/>
              <w:right w:val="single" w:sz="4" w:space="0" w:color="auto"/>
            </w:tcBorders>
            <w:vAlign w:val="center"/>
            <w:hideMark/>
          </w:tcPr>
          <w:p w:rsidR="00CF25F1" w:rsidRPr="00563CF9" w:rsidRDefault="00CF25F1" w:rsidP="00CE292C">
            <w:pPr>
              <w:ind w:right="613"/>
              <w:jc w:val="right"/>
              <w:rPr>
                <w:rFonts w:ascii="Calibri" w:hAnsi="Calibri" w:cs="Calibri"/>
                <w:color w:val="000000"/>
                <w:sz w:val="20"/>
                <w:lang w:val="en-GB"/>
              </w:rPr>
            </w:pPr>
          </w:p>
        </w:tc>
        <w:tc>
          <w:tcPr>
            <w:tcW w:w="13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F25F1" w:rsidRPr="00563CF9" w:rsidRDefault="00CF25F1" w:rsidP="00CE292C">
            <w:pPr>
              <w:jc w:val="left"/>
              <w:rPr>
                <w:rFonts w:ascii="Calibri" w:hAnsi="Calibri" w:cs="Calibri"/>
                <w:color w:val="000000"/>
                <w:sz w:val="20"/>
                <w:lang w:val="en-GB"/>
              </w:rPr>
            </w:pPr>
            <w:r w:rsidRPr="00563CF9">
              <w:rPr>
                <w:sz w:val="20"/>
                <w:lang w:val="en-GB" w:bidi="en-GB"/>
              </w:rPr>
              <w:t>Other</w:t>
            </w:r>
          </w:p>
        </w:tc>
        <w:tc>
          <w:tcPr>
            <w:tcW w:w="4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F25F1" w:rsidRPr="00563CF9" w:rsidRDefault="00CF25F1" w:rsidP="00CE292C">
            <w:pPr>
              <w:ind w:right="57"/>
              <w:jc w:val="right"/>
              <w:rPr>
                <w:rFonts w:ascii="Calibri" w:hAnsi="Calibri" w:cs="Calibri"/>
                <w:color w:val="000000"/>
                <w:sz w:val="20"/>
                <w:lang w:val="en-GB"/>
              </w:rPr>
            </w:pPr>
            <w:r w:rsidRPr="00563CF9">
              <w:rPr>
                <w:sz w:val="20"/>
                <w:lang w:val="en-GB" w:bidi="en-GB"/>
              </w:rPr>
              <w:t>100.00</w:t>
            </w:r>
          </w:p>
        </w:tc>
      </w:tr>
      <w:tr w:rsidR="00CF25F1" w:rsidRPr="00563CF9" w:rsidTr="00CE292C">
        <w:trPr>
          <w:trHeight w:val="244"/>
        </w:trPr>
        <w:tc>
          <w:tcPr>
            <w:tcW w:w="884" w:type="pct"/>
            <w:vMerge/>
            <w:tcBorders>
              <w:top w:val="nil"/>
              <w:left w:val="single" w:sz="4" w:space="0" w:color="auto"/>
              <w:bottom w:val="single" w:sz="4" w:space="0" w:color="000000"/>
              <w:right w:val="single" w:sz="4" w:space="0" w:color="auto"/>
            </w:tcBorders>
            <w:vAlign w:val="center"/>
            <w:hideMark/>
          </w:tcPr>
          <w:p w:rsidR="00CF25F1" w:rsidRPr="00563CF9" w:rsidRDefault="00CF25F1" w:rsidP="00CE292C">
            <w:pPr>
              <w:jc w:val="left"/>
              <w:rPr>
                <w:rFonts w:ascii="Calibri" w:hAnsi="Calibri" w:cs="Calibri"/>
                <w:color w:val="000000"/>
                <w:sz w:val="20"/>
                <w:lang w:val="en-GB"/>
              </w:rPr>
            </w:pPr>
          </w:p>
        </w:tc>
        <w:tc>
          <w:tcPr>
            <w:tcW w:w="1068"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CF25F1" w:rsidRPr="00563CF9" w:rsidRDefault="00CF25F1" w:rsidP="00481090">
            <w:pPr>
              <w:jc w:val="center"/>
              <w:rPr>
                <w:rFonts w:ascii="Calibri" w:hAnsi="Calibri" w:cs="Calibri"/>
                <w:color w:val="000000"/>
                <w:sz w:val="20"/>
                <w:lang w:val="en-GB"/>
              </w:rPr>
            </w:pPr>
            <w:r w:rsidRPr="00563CF9">
              <w:rPr>
                <w:sz w:val="20"/>
                <w:lang w:val="en-GB" w:bidi="en-GB"/>
              </w:rPr>
              <w:t>ATC – J</w:t>
            </w:r>
          </w:p>
        </w:tc>
        <w:tc>
          <w:tcPr>
            <w:tcW w:w="1251"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CF25F1" w:rsidRPr="00563CF9" w:rsidRDefault="00AD468F" w:rsidP="00CE292C">
            <w:pPr>
              <w:ind w:right="613"/>
              <w:jc w:val="right"/>
              <w:rPr>
                <w:rFonts w:ascii="Calibri" w:hAnsi="Calibri" w:cs="Calibri"/>
                <w:color w:val="000000"/>
                <w:sz w:val="20"/>
                <w:lang w:val="en-GB"/>
              </w:rPr>
            </w:pPr>
            <w:r w:rsidRPr="00563CF9">
              <w:rPr>
                <w:sz w:val="20"/>
                <w:lang w:val="en-GB" w:bidi="en-GB"/>
              </w:rPr>
              <w:t>4,913,723.92</w:t>
            </w:r>
          </w:p>
        </w:tc>
        <w:tc>
          <w:tcPr>
            <w:tcW w:w="13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F25F1" w:rsidRPr="00563CF9" w:rsidRDefault="00CF25F1" w:rsidP="00CE292C">
            <w:pPr>
              <w:jc w:val="left"/>
              <w:rPr>
                <w:rFonts w:ascii="Calibri" w:hAnsi="Calibri" w:cs="Calibri"/>
                <w:color w:val="000000"/>
                <w:sz w:val="20"/>
                <w:lang w:val="en-GB"/>
              </w:rPr>
            </w:pPr>
            <w:r w:rsidRPr="00563CF9">
              <w:rPr>
                <w:sz w:val="20"/>
                <w:lang w:val="en-GB" w:bidi="en-GB"/>
              </w:rPr>
              <w:t>Tender procedure</w:t>
            </w:r>
          </w:p>
        </w:tc>
        <w:tc>
          <w:tcPr>
            <w:tcW w:w="4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F25F1" w:rsidRPr="00563CF9" w:rsidRDefault="003D2CB1" w:rsidP="00CE292C">
            <w:pPr>
              <w:ind w:right="57"/>
              <w:jc w:val="right"/>
              <w:rPr>
                <w:rFonts w:ascii="Calibri" w:hAnsi="Calibri" w:cs="Calibri"/>
                <w:color w:val="000000"/>
                <w:sz w:val="20"/>
                <w:lang w:val="en-GB"/>
              </w:rPr>
            </w:pPr>
            <w:r w:rsidRPr="00563CF9">
              <w:rPr>
                <w:sz w:val="20"/>
                <w:lang w:val="en-GB" w:bidi="en-GB"/>
              </w:rPr>
              <w:t>14.94</w:t>
            </w:r>
          </w:p>
        </w:tc>
      </w:tr>
      <w:tr w:rsidR="00CF25F1" w:rsidRPr="00563CF9" w:rsidTr="00CE292C">
        <w:trPr>
          <w:trHeight w:val="244"/>
        </w:trPr>
        <w:tc>
          <w:tcPr>
            <w:tcW w:w="884" w:type="pct"/>
            <w:vMerge/>
            <w:tcBorders>
              <w:top w:val="nil"/>
              <w:left w:val="single" w:sz="4" w:space="0" w:color="auto"/>
              <w:bottom w:val="single" w:sz="4" w:space="0" w:color="000000"/>
              <w:right w:val="single" w:sz="4" w:space="0" w:color="auto"/>
            </w:tcBorders>
            <w:vAlign w:val="center"/>
            <w:hideMark/>
          </w:tcPr>
          <w:p w:rsidR="00CF25F1" w:rsidRPr="00563CF9" w:rsidRDefault="00CF25F1" w:rsidP="00CE292C">
            <w:pPr>
              <w:jc w:val="left"/>
              <w:rPr>
                <w:rFonts w:ascii="Calibri" w:hAnsi="Calibri" w:cs="Calibri"/>
                <w:color w:val="000000"/>
                <w:sz w:val="20"/>
                <w:lang w:val="en-GB"/>
              </w:rPr>
            </w:pPr>
          </w:p>
        </w:tc>
        <w:tc>
          <w:tcPr>
            <w:tcW w:w="1068" w:type="pct"/>
            <w:vMerge/>
            <w:tcBorders>
              <w:top w:val="nil"/>
              <w:left w:val="single" w:sz="4" w:space="0" w:color="auto"/>
              <w:bottom w:val="single" w:sz="4" w:space="0" w:color="000000"/>
              <w:right w:val="single" w:sz="4" w:space="0" w:color="auto"/>
            </w:tcBorders>
            <w:vAlign w:val="center"/>
            <w:hideMark/>
          </w:tcPr>
          <w:p w:rsidR="00CF25F1" w:rsidRPr="00563CF9" w:rsidRDefault="00CF25F1" w:rsidP="001C4A50">
            <w:pPr>
              <w:jc w:val="center"/>
              <w:rPr>
                <w:rFonts w:ascii="Calibri" w:hAnsi="Calibri" w:cs="Calibri"/>
                <w:color w:val="000000"/>
                <w:sz w:val="20"/>
                <w:lang w:val="en-GB"/>
              </w:rPr>
            </w:pPr>
          </w:p>
        </w:tc>
        <w:tc>
          <w:tcPr>
            <w:tcW w:w="1251" w:type="pct"/>
            <w:vMerge/>
            <w:tcBorders>
              <w:top w:val="nil"/>
              <w:left w:val="single" w:sz="4" w:space="0" w:color="auto"/>
              <w:bottom w:val="single" w:sz="4" w:space="0" w:color="000000"/>
              <w:right w:val="single" w:sz="4" w:space="0" w:color="auto"/>
            </w:tcBorders>
            <w:vAlign w:val="center"/>
            <w:hideMark/>
          </w:tcPr>
          <w:p w:rsidR="00CF25F1" w:rsidRPr="00563CF9" w:rsidRDefault="00CF25F1" w:rsidP="00CE292C">
            <w:pPr>
              <w:ind w:right="613"/>
              <w:jc w:val="right"/>
              <w:rPr>
                <w:rFonts w:ascii="Calibri" w:hAnsi="Calibri" w:cs="Calibri"/>
                <w:color w:val="000000"/>
                <w:sz w:val="20"/>
                <w:lang w:val="en-GB"/>
              </w:rPr>
            </w:pPr>
          </w:p>
        </w:tc>
        <w:tc>
          <w:tcPr>
            <w:tcW w:w="13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F25F1" w:rsidRPr="00563CF9" w:rsidRDefault="00E8617B" w:rsidP="00CE292C">
            <w:pPr>
              <w:jc w:val="left"/>
              <w:rPr>
                <w:rFonts w:ascii="Calibri" w:hAnsi="Calibri" w:cs="Calibri"/>
                <w:color w:val="000000"/>
                <w:sz w:val="20"/>
                <w:lang w:val="en-GB"/>
              </w:rPr>
            </w:pPr>
            <w:r w:rsidRPr="00563CF9">
              <w:rPr>
                <w:sz w:val="20"/>
                <w:lang w:val="en-GB" w:bidi="en-GB"/>
              </w:rPr>
              <w:t>Other</w:t>
            </w:r>
          </w:p>
        </w:tc>
        <w:tc>
          <w:tcPr>
            <w:tcW w:w="4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F25F1" w:rsidRPr="00563CF9" w:rsidRDefault="00853899" w:rsidP="00CE292C">
            <w:pPr>
              <w:ind w:right="57"/>
              <w:jc w:val="right"/>
              <w:rPr>
                <w:rFonts w:ascii="Calibri" w:hAnsi="Calibri" w:cs="Calibri"/>
                <w:color w:val="000000"/>
                <w:sz w:val="20"/>
                <w:lang w:val="en-GB"/>
              </w:rPr>
            </w:pPr>
            <w:r w:rsidRPr="00563CF9">
              <w:rPr>
                <w:sz w:val="20"/>
                <w:lang w:val="en-GB" w:bidi="en-GB"/>
              </w:rPr>
              <w:t>85.06</w:t>
            </w:r>
          </w:p>
        </w:tc>
      </w:tr>
      <w:tr w:rsidR="00CF25F1" w:rsidRPr="00563CF9" w:rsidTr="00CE292C">
        <w:trPr>
          <w:trHeight w:val="244"/>
        </w:trPr>
        <w:tc>
          <w:tcPr>
            <w:tcW w:w="884" w:type="pct"/>
            <w:vMerge w:val="restart"/>
            <w:tcBorders>
              <w:top w:val="nil"/>
              <w:left w:val="single" w:sz="4" w:space="0" w:color="auto"/>
              <w:bottom w:val="single" w:sz="4" w:space="0" w:color="000000"/>
              <w:right w:val="single" w:sz="4" w:space="0" w:color="auto"/>
            </w:tcBorders>
            <w:vAlign w:val="center"/>
            <w:hideMark/>
          </w:tcPr>
          <w:p w:rsidR="00CF25F1" w:rsidRPr="00563CF9" w:rsidRDefault="003648F0" w:rsidP="00CE292C">
            <w:pPr>
              <w:jc w:val="left"/>
              <w:rPr>
                <w:rFonts w:ascii="Calibri" w:hAnsi="Calibri" w:cs="Calibri"/>
                <w:color w:val="000000"/>
                <w:sz w:val="20"/>
                <w:lang w:val="en-GB"/>
              </w:rPr>
            </w:pPr>
            <w:r w:rsidRPr="00563CF9">
              <w:rPr>
                <w:sz w:val="20"/>
                <w:lang w:val="en-GB" w:bidi="en-GB"/>
              </w:rPr>
              <w:t>MUH</w:t>
            </w:r>
          </w:p>
        </w:tc>
        <w:tc>
          <w:tcPr>
            <w:tcW w:w="1068"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CF25F1" w:rsidRPr="00563CF9" w:rsidRDefault="00CF25F1" w:rsidP="001C4A50">
            <w:pPr>
              <w:jc w:val="center"/>
              <w:rPr>
                <w:rFonts w:ascii="Calibri" w:hAnsi="Calibri" w:cs="Calibri"/>
                <w:color w:val="000000"/>
                <w:sz w:val="20"/>
                <w:lang w:val="en-GB"/>
              </w:rPr>
            </w:pPr>
            <w:r w:rsidRPr="00563CF9">
              <w:rPr>
                <w:sz w:val="20"/>
                <w:lang w:val="en-GB" w:bidi="en-GB"/>
              </w:rPr>
              <w:t>Centric drugs</w:t>
            </w:r>
          </w:p>
        </w:tc>
        <w:tc>
          <w:tcPr>
            <w:tcW w:w="1251"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CF25F1" w:rsidRPr="00563CF9" w:rsidRDefault="00CF25F1" w:rsidP="00CE292C">
            <w:pPr>
              <w:ind w:right="613"/>
              <w:jc w:val="right"/>
              <w:rPr>
                <w:rFonts w:ascii="Calibri" w:hAnsi="Calibri" w:cs="Calibri"/>
                <w:color w:val="000000"/>
                <w:sz w:val="20"/>
                <w:lang w:val="en-GB"/>
              </w:rPr>
            </w:pPr>
            <w:r w:rsidRPr="00563CF9">
              <w:rPr>
                <w:sz w:val="20"/>
                <w:lang w:val="en-GB" w:bidi="en-GB"/>
              </w:rPr>
              <w:t>34,370,902.07</w:t>
            </w:r>
          </w:p>
        </w:tc>
        <w:tc>
          <w:tcPr>
            <w:tcW w:w="13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F25F1" w:rsidRPr="00563CF9" w:rsidRDefault="00CF25F1" w:rsidP="00CE292C">
            <w:pPr>
              <w:jc w:val="left"/>
              <w:rPr>
                <w:rFonts w:ascii="Calibri" w:hAnsi="Calibri" w:cs="Calibri"/>
                <w:color w:val="000000"/>
                <w:sz w:val="20"/>
                <w:lang w:val="en-GB"/>
              </w:rPr>
            </w:pPr>
            <w:r w:rsidRPr="00563CF9">
              <w:rPr>
                <w:sz w:val="20"/>
                <w:lang w:val="en-GB" w:bidi="en-GB"/>
              </w:rPr>
              <w:t>Tender procedure</w:t>
            </w:r>
          </w:p>
        </w:tc>
        <w:tc>
          <w:tcPr>
            <w:tcW w:w="4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F25F1" w:rsidRPr="00563CF9" w:rsidRDefault="00CF25F1" w:rsidP="00CE292C">
            <w:pPr>
              <w:ind w:right="57"/>
              <w:jc w:val="right"/>
              <w:rPr>
                <w:rFonts w:ascii="Calibri" w:hAnsi="Calibri" w:cs="Calibri"/>
                <w:color w:val="000000"/>
                <w:sz w:val="20"/>
                <w:lang w:val="en-GB"/>
              </w:rPr>
            </w:pPr>
            <w:r w:rsidRPr="00563CF9">
              <w:rPr>
                <w:sz w:val="20"/>
                <w:lang w:val="en-GB" w:bidi="en-GB"/>
              </w:rPr>
              <w:t>19.27</w:t>
            </w:r>
          </w:p>
        </w:tc>
      </w:tr>
      <w:tr w:rsidR="00CF25F1" w:rsidRPr="00563CF9" w:rsidTr="00CE292C">
        <w:trPr>
          <w:trHeight w:val="244"/>
        </w:trPr>
        <w:tc>
          <w:tcPr>
            <w:tcW w:w="884" w:type="pct"/>
            <w:vMerge/>
            <w:tcBorders>
              <w:top w:val="nil"/>
              <w:left w:val="single" w:sz="4" w:space="0" w:color="auto"/>
              <w:bottom w:val="single" w:sz="4" w:space="0" w:color="000000"/>
              <w:right w:val="single" w:sz="4" w:space="0" w:color="auto"/>
            </w:tcBorders>
            <w:vAlign w:val="center"/>
            <w:hideMark/>
          </w:tcPr>
          <w:p w:rsidR="00CF25F1" w:rsidRPr="00563CF9" w:rsidRDefault="00CF25F1" w:rsidP="00CE292C">
            <w:pPr>
              <w:jc w:val="left"/>
              <w:rPr>
                <w:rFonts w:ascii="Calibri" w:hAnsi="Calibri" w:cs="Calibri"/>
                <w:color w:val="000000"/>
                <w:sz w:val="20"/>
                <w:lang w:val="en-GB"/>
              </w:rPr>
            </w:pPr>
          </w:p>
        </w:tc>
        <w:tc>
          <w:tcPr>
            <w:tcW w:w="1068" w:type="pct"/>
            <w:vMerge/>
            <w:tcBorders>
              <w:top w:val="nil"/>
              <w:left w:val="single" w:sz="4" w:space="0" w:color="auto"/>
              <w:bottom w:val="single" w:sz="4" w:space="0" w:color="000000"/>
              <w:right w:val="single" w:sz="4" w:space="0" w:color="auto"/>
            </w:tcBorders>
            <w:vAlign w:val="center"/>
            <w:hideMark/>
          </w:tcPr>
          <w:p w:rsidR="00CF25F1" w:rsidRPr="00563CF9" w:rsidRDefault="00CF25F1" w:rsidP="001C4A50">
            <w:pPr>
              <w:jc w:val="center"/>
              <w:rPr>
                <w:rFonts w:ascii="Calibri" w:hAnsi="Calibri" w:cs="Calibri"/>
                <w:color w:val="000000"/>
                <w:sz w:val="20"/>
                <w:lang w:val="en-GB"/>
              </w:rPr>
            </w:pPr>
          </w:p>
        </w:tc>
        <w:tc>
          <w:tcPr>
            <w:tcW w:w="1251" w:type="pct"/>
            <w:vMerge/>
            <w:tcBorders>
              <w:top w:val="nil"/>
              <w:left w:val="single" w:sz="4" w:space="0" w:color="auto"/>
              <w:bottom w:val="single" w:sz="4" w:space="0" w:color="000000"/>
              <w:right w:val="single" w:sz="4" w:space="0" w:color="auto"/>
            </w:tcBorders>
            <w:vAlign w:val="center"/>
            <w:hideMark/>
          </w:tcPr>
          <w:p w:rsidR="00CF25F1" w:rsidRPr="00563CF9" w:rsidRDefault="00CF25F1" w:rsidP="00CE292C">
            <w:pPr>
              <w:ind w:right="613"/>
              <w:jc w:val="right"/>
              <w:rPr>
                <w:rFonts w:ascii="Calibri" w:hAnsi="Calibri" w:cs="Calibri"/>
                <w:color w:val="000000"/>
                <w:sz w:val="20"/>
                <w:lang w:val="en-GB"/>
              </w:rPr>
            </w:pPr>
          </w:p>
        </w:tc>
        <w:tc>
          <w:tcPr>
            <w:tcW w:w="13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F25F1" w:rsidRPr="00563CF9" w:rsidRDefault="00E8617B" w:rsidP="00CE292C">
            <w:pPr>
              <w:jc w:val="left"/>
              <w:rPr>
                <w:rFonts w:ascii="Calibri" w:hAnsi="Calibri" w:cs="Calibri"/>
                <w:color w:val="000000"/>
                <w:sz w:val="20"/>
                <w:lang w:val="en-GB"/>
              </w:rPr>
            </w:pPr>
            <w:r w:rsidRPr="00563CF9">
              <w:rPr>
                <w:sz w:val="20"/>
                <w:lang w:val="en-GB" w:bidi="en-GB"/>
              </w:rPr>
              <w:t>Other</w:t>
            </w:r>
          </w:p>
        </w:tc>
        <w:tc>
          <w:tcPr>
            <w:tcW w:w="4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F25F1" w:rsidRPr="00563CF9" w:rsidRDefault="00CF25F1" w:rsidP="00CE292C">
            <w:pPr>
              <w:ind w:right="57"/>
              <w:jc w:val="right"/>
              <w:rPr>
                <w:rFonts w:ascii="Calibri" w:hAnsi="Calibri" w:cs="Calibri"/>
                <w:color w:val="000000"/>
                <w:sz w:val="20"/>
                <w:lang w:val="en-GB"/>
              </w:rPr>
            </w:pPr>
            <w:r w:rsidRPr="00563CF9">
              <w:rPr>
                <w:sz w:val="20"/>
                <w:lang w:val="en-GB" w:bidi="en-GB"/>
              </w:rPr>
              <w:t>80.73</w:t>
            </w:r>
          </w:p>
        </w:tc>
      </w:tr>
      <w:tr w:rsidR="00CF25F1" w:rsidRPr="00563CF9" w:rsidTr="00CE292C">
        <w:trPr>
          <w:trHeight w:val="244"/>
        </w:trPr>
        <w:tc>
          <w:tcPr>
            <w:tcW w:w="884" w:type="pct"/>
            <w:vMerge/>
            <w:tcBorders>
              <w:top w:val="nil"/>
              <w:left w:val="single" w:sz="4" w:space="0" w:color="auto"/>
              <w:bottom w:val="single" w:sz="4" w:space="0" w:color="000000"/>
              <w:right w:val="single" w:sz="4" w:space="0" w:color="auto"/>
            </w:tcBorders>
            <w:vAlign w:val="center"/>
            <w:hideMark/>
          </w:tcPr>
          <w:p w:rsidR="00CF25F1" w:rsidRPr="00563CF9" w:rsidRDefault="00CF25F1" w:rsidP="00CE292C">
            <w:pPr>
              <w:jc w:val="left"/>
              <w:rPr>
                <w:rFonts w:ascii="Calibri" w:hAnsi="Calibri" w:cs="Calibri"/>
                <w:color w:val="000000"/>
                <w:sz w:val="20"/>
                <w:lang w:val="en-GB"/>
              </w:rPr>
            </w:pPr>
          </w:p>
        </w:tc>
        <w:tc>
          <w:tcPr>
            <w:tcW w:w="1068"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CF25F1" w:rsidRPr="00563CF9" w:rsidRDefault="00CF25F1" w:rsidP="00481090">
            <w:pPr>
              <w:jc w:val="center"/>
              <w:rPr>
                <w:rFonts w:ascii="Calibri" w:hAnsi="Calibri" w:cs="Calibri"/>
                <w:color w:val="000000"/>
                <w:sz w:val="20"/>
                <w:lang w:val="en-GB"/>
              </w:rPr>
            </w:pPr>
            <w:r w:rsidRPr="00563CF9">
              <w:rPr>
                <w:sz w:val="20"/>
                <w:lang w:val="en-GB" w:bidi="en-GB"/>
              </w:rPr>
              <w:t>ATC – J</w:t>
            </w:r>
          </w:p>
        </w:tc>
        <w:tc>
          <w:tcPr>
            <w:tcW w:w="1251"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CF25F1" w:rsidRPr="00563CF9" w:rsidRDefault="00CF25F1" w:rsidP="00CE292C">
            <w:pPr>
              <w:ind w:right="613"/>
              <w:jc w:val="right"/>
              <w:rPr>
                <w:rFonts w:ascii="Calibri" w:hAnsi="Calibri" w:cs="Calibri"/>
                <w:color w:val="000000"/>
                <w:sz w:val="20"/>
                <w:lang w:val="en-GB"/>
              </w:rPr>
            </w:pPr>
            <w:r w:rsidRPr="00563CF9">
              <w:rPr>
                <w:sz w:val="20"/>
                <w:lang w:val="en-GB" w:bidi="en-GB"/>
              </w:rPr>
              <w:t>6,609,346.30</w:t>
            </w:r>
          </w:p>
        </w:tc>
        <w:tc>
          <w:tcPr>
            <w:tcW w:w="13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F25F1" w:rsidRPr="00563CF9" w:rsidRDefault="00CF25F1" w:rsidP="00CE292C">
            <w:pPr>
              <w:jc w:val="left"/>
              <w:rPr>
                <w:rFonts w:ascii="Calibri" w:hAnsi="Calibri" w:cs="Calibri"/>
                <w:color w:val="000000"/>
                <w:sz w:val="20"/>
                <w:lang w:val="en-GB"/>
              </w:rPr>
            </w:pPr>
            <w:r w:rsidRPr="00563CF9">
              <w:rPr>
                <w:sz w:val="20"/>
                <w:lang w:val="en-GB" w:bidi="en-GB"/>
              </w:rPr>
              <w:t>Tender procedure</w:t>
            </w:r>
          </w:p>
        </w:tc>
        <w:tc>
          <w:tcPr>
            <w:tcW w:w="4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F25F1" w:rsidRPr="00563CF9" w:rsidRDefault="00CF25F1" w:rsidP="00CE292C">
            <w:pPr>
              <w:ind w:right="57"/>
              <w:jc w:val="right"/>
              <w:rPr>
                <w:rFonts w:ascii="Calibri" w:hAnsi="Calibri" w:cs="Calibri"/>
                <w:color w:val="000000"/>
                <w:sz w:val="20"/>
                <w:lang w:val="en-GB"/>
              </w:rPr>
            </w:pPr>
            <w:r w:rsidRPr="00563CF9">
              <w:rPr>
                <w:sz w:val="20"/>
                <w:lang w:val="en-GB" w:bidi="en-GB"/>
              </w:rPr>
              <w:t>4.96</w:t>
            </w:r>
          </w:p>
        </w:tc>
      </w:tr>
      <w:tr w:rsidR="00CF25F1" w:rsidRPr="00563CF9" w:rsidTr="00CE292C">
        <w:trPr>
          <w:trHeight w:val="244"/>
        </w:trPr>
        <w:tc>
          <w:tcPr>
            <w:tcW w:w="884" w:type="pct"/>
            <w:vMerge/>
            <w:tcBorders>
              <w:top w:val="nil"/>
              <w:left w:val="single" w:sz="4" w:space="0" w:color="auto"/>
              <w:bottom w:val="single" w:sz="4" w:space="0" w:color="000000"/>
              <w:right w:val="single" w:sz="4" w:space="0" w:color="auto"/>
            </w:tcBorders>
            <w:vAlign w:val="center"/>
            <w:hideMark/>
          </w:tcPr>
          <w:p w:rsidR="00CF25F1" w:rsidRPr="00563CF9" w:rsidRDefault="00CF25F1" w:rsidP="00CE292C">
            <w:pPr>
              <w:jc w:val="left"/>
              <w:rPr>
                <w:rFonts w:ascii="Calibri" w:hAnsi="Calibri" w:cs="Calibri"/>
                <w:color w:val="000000"/>
                <w:sz w:val="20"/>
                <w:lang w:val="en-GB"/>
              </w:rPr>
            </w:pPr>
          </w:p>
        </w:tc>
        <w:tc>
          <w:tcPr>
            <w:tcW w:w="1068" w:type="pct"/>
            <w:vMerge/>
            <w:tcBorders>
              <w:top w:val="nil"/>
              <w:left w:val="single" w:sz="4" w:space="0" w:color="auto"/>
              <w:bottom w:val="single" w:sz="4" w:space="0" w:color="000000"/>
              <w:right w:val="single" w:sz="4" w:space="0" w:color="auto"/>
            </w:tcBorders>
            <w:vAlign w:val="center"/>
            <w:hideMark/>
          </w:tcPr>
          <w:p w:rsidR="00CF25F1" w:rsidRPr="00563CF9" w:rsidRDefault="00CF25F1" w:rsidP="001C4A50">
            <w:pPr>
              <w:jc w:val="center"/>
              <w:rPr>
                <w:rFonts w:ascii="Calibri" w:hAnsi="Calibri" w:cs="Calibri"/>
                <w:color w:val="000000"/>
                <w:sz w:val="20"/>
                <w:lang w:val="en-GB"/>
              </w:rPr>
            </w:pPr>
          </w:p>
        </w:tc>
        <w:tc>
          <w:tcPr>
            <w:tcW w:w="1251" w:type="pct"/>
            <w:vMerge/>
            <w:tcBorders>
              <w:top w:val="nil"/>
              <w:left w:val="single" w:sz="4" w:space="0" w:color="auto"/>
              <w:bottom w:val="single" w:sz="4" w:space="0" w:color="000000"/>
              <w:right w:val="single" w:sz="4" w:space="0" w:color="auto"/>
            </w:tcBorders>
            <w:vAlign w:val="center"/>
            <w:hideMark/>
          </w:tcPr>
          <w:p w:rsidR="00CF25F1" w:rsidRPr="00563CF9" w:rsidRDefault="00CF25F1" w:rsidP="00CE292C">
            <w:pPr>
              <w:ind w:right="613"/>
              <w:jc w:val="right"/>
              <w:rPr>
                <w:rFonts w:ascii="Calibri" w:hAnsi="Calibri" w:cs="Calibri"/>
                <w:color w:val="000000"/>
                <w:sz w:val="20"/>
                <w:lang w:val="en-GB"/>
              </w:rPr>
            </w:pPr>
          </w:p>
        </w:tc>
        <w:tc>
          <w:tcPr>
            <w:tcW w:w="13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F25F1" w:rsidRPr="00563CF9" w:rsidRDefault="00E8617B" w:rsidP="00CE292C">
            <w:pPr>
              <w:jc w:val="left"/>
              <w:rPr>
                <w:rFonts w:ascii="Calibri" w:hAnsi="Calibri" w:cs="Calibri"/>
                <w:color w:val="000000"/>
                <w:sz w:val="20"/>
                <w:lang w:val="en-GB"/>
              </w:rPr>
            </w:pPr>
            <w:r w:rsidRPr="00563CF9">
              <w:rPr>
                <w:sz w:val="20"/>
                <w:lang w:val="en-GB" w:bidi="en-GB"/>
              </w:rPr>
              <w:t>Other</w:t>
            </w:r>
          </w:p>
        </w:tc>
        <w:tc>
          <w:tcPr>
            <w:tcW w:w="4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F25F1" w:rsidRPr="00563CF9" w:rsidRDefault="00CF25F1" w:rsidP="00CE292C">
            <w:pPr>
              <w:ind w:right="57"/>
              <w:jc w:val="right"/>
              <w:rPr>
                <w:rFonts w:ascii="Calibri" w:hAnsi="Calibri" w:cs="Calibri"/>
                <w:color w:val="000000"/>
                <w:sz w:val="20"/>
                <w:lang w:val="en-GB"/>
              </w:rPr>
            </w:pPr>
            <w:r w:rsidRPr="00563CF9">
              <w:rPr>
                <w:sz w:val="20"/>
                <w:lang w:val="en-GB" w:bidi="en-GB"/>
              </w:rPr>
              <w:t>95.04</w:t>
            </w:r>
          </w:p>
        </w:tc>
      </w:tr>
      <w:tr w:rsidR="00CF25F1" w:rsidRPr="00563CF9" w:rsidTr="00CE292C">
        <w:trPr>
          <w:trHeight w:val="244"/>
        </w:trPr>
        <w:tc>
          <w:tcPr>
            <w:tcW w:w="884" w:type="pct"/>
            <w:vMerge w:val="restart"/>
            <w:tcBorders>
              <w:top w:val="nil"/>
              <w:left w:val="single" w:sz="4" w:space="0" w:color="auto"/>
              <w:bottom w:val="single" w:sz="4" w:space="0" w:color="000000"/>
              <w:right w:val="single" w:sz="4" w:space="0" w:color="auto"/>
            </w:tcBorders>
            <w:vAlign w:val="center"/>
            <w:hideMark/>
          </w:tcPr>
          <w:p w:rsidR="00CF25F1" w:rsidRPr="00563CF9" w:rsidRDefault="003648F0" w:rsidP="00CE292C">
            <w:pPr>
              <w:jc w:val="left"/>
              <w:rPr>
                <w:rFonts w:ascii="Calibri" w:hAnsi="Calibri" w:cs="Calibri"/>
                <w:color w:val="000000"/>
                <w:sz w:val="20"/>
                <w:lang w:val="en-GB"/>
              </w:rPr>
            </w:pPr>
            <w:r w:rsidRPr="00563CF9">
              <w:rPr>
                <w:sz w:val="20"/>
                <w:lang w:val="en-GB" w:bidi="en-GB"/>
              </w:rPr>
              <w:t>CMH</w:t>
            </w:r>
          </w:p>
        </w:tc>
        <w:tc>
          <w:tcPr>
            <w:tcW w:w="1068"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CF25F1" w:rsidRPr="00563CF9" w:rsidRDefault="00CF25F1" w:rsidP="001C4A50">
            <w:pPr>
              <w:jc w:val="center"/>
              <w:rPr>
                <w:rFonts w:ascii="Calibri" w:hAnsi="Calibri" w:cs="Calibri"/>
                <w:color w:val="000000"/>
                <w:sz w:val="20"/>
                <w:lang w:val="en-GB"/>
              </w:rPr>
            </w:pPr>
            <w:r w:rsidRPr="00563CF9">
              <w:rPr>
                <w:sz w:val="20"/>
                <w:lang w:val="en-GB" w:bidi="en-GB"/>
              </w:rPr>
              <w:t>Centric drugs</w:t>
            </w:r>
          </w:p>
        </w:tc>
        <w:tc>
          <w:tcPr>
            <w:tcW w:w="1251"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CF25F1" w:rsidRPr="00563CF9" w:rsidRDefault="00CF25F1" w:rsidP="00CE292C">
            <w:pPr>
              <w:ind w:right="613"/>
              <w:jc w:val="right"/>
              <w:rPr>
                <w:rFonts w:ascii="Calibri" w:hAnsi="Calibri" w:cs="Calibri"/>
                <w:color w:val="000000"/>
                <w:sz w:val="20"/>
                <w:lang w:val="en-GB"/>
              </w:rPr>
            </w:pPr>
            <w:r w:rsidRPr="00563CF9">
              <w:rPr>
                <w:sz w:val="20"/>
                <w:lang w:val="en-GB" w:bidi="en-GB"/>
              </w:rPr>
              <w:t>26,810,499.11</w:t>
            </w:r>
          </w:p>
        </w:tc>
        <w:tc>
          <w:tcPr>
            <w:tcW w:w="13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F25F1" w:rsidRPr="00563CF9" w:rsidRDefault="00CF25F1" w:rsidP="00CE292C">
            <w:pPr>
              <w:jc w:val="left"/>
              <w:rPr>
                <w:rFonts w:ascii="Calibri" w:hAnsi="Calibri" w:cs="Calibri"/>
                <w:color w:val="000000"/>
                <w:sz w:val="20"/>
                <w:lang w:val="en-GB"/>
              </w:rPr>
            </w:pPr>
            <w:r w:rsidRPr="00563CF9">
              <w:rPr>
                <w:sz w:val="20"/>
                <w:lang w:val="en-GB" w:bidi="en-GB"/>
              </w:rPr>
              <w:t>Tender procedure</w:t>
            </w:r>
          </w:p>
        </w:tc>
        <w:tc>
          <w:tcPr>
            <w:tcW w:w="4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F25F1" w:rsidRPr="00563CF9" w:rsidRDefault="00CF25F1" w:rsidP="00CE292C">
            <w:pPr>
              <w:ind w:right="57"/>
              <w:jc w:val="right"/>
              <w:rPr>
                <w:rFonts w:ascii="Calibri" w:hAnsi="Calibri" w:cs="Calibri"/>
                <w:color w:val="000000"/>
                <w:sz w:val="20"/>
                <w:lang w:val="en-GB"/>
              </w:rPr>
            </w:pPr>
            <w:r w:rsidRPr="00563CF9">
              <w:rPr>
                <w:sz w:val="20"/>
                <w:lang w:val="en-GB" w:bidi="en-GB"/>
              </w:rPr>
              <w:t>23.86</w:t>
            </w:r>
          </w:p>
        </w:tc>
      </w:tr>
      <w:tr w:rsidR="00CF25F1" w:rsidRPr="00563CF9" w:rsidTr="00CE292C">
        <w:trPr>
          <w:trHeight w:val="244"/>
        </w:trPr>
        <w:tc>
          <w:tcPr>
            <w:tcW w:w="884" w:type="pct"/>
            <w:vMerge/>
            <w:tcBorders>
              <w:top w:val="nil"/>
              <w:left w:val="single" w:sz="4" w:space="0" w:color="auto"/>
              <w:bottom w:val="single" w:sz="4" w:space="0" w:color="000000"/>
              <w:right w:val="single" w:sz="4" w:space="0" w:color="auto"/>
            </w:tcBorders>
            <w:vAlign w:val="center"/>
            <w:hideMark/>
          </w:tcPr>
          <w:p w:rsidR="00CF25F1" w:rsidRPr="00563CF9" w:rsidRDefault="00CF25F1" w:rsidP="001C4A50">
            <w:pPr>
              <w:rPr>
                <w:rFonts w:ascii="Calibri" w:hAnsi="Calibri" w:cs="Calibri"/>
                <w:color w:val="000000"/>
                <w:sz w:val="20"/>
                <w:lang w:val="en-GB"/>
              </w:rPr>
            </w:pPr>
          </w:p>
        </w:tc>
        <w:tc>
          <w:tcPr>
            <w:tcW w:w="1068" w:type="pct"/>
            <w:vMerge/>
            <w:tcBorders>
              <w:top w:val="nil"/>
              <w:left w:val="single" w:sz="4" w:space="0" w:color="auto"/>
              <w:bottom w:val="single" w:sz="4" w:space="0" w:color="000000"/>
              <w:right w:val="single" w:sz="4" w:space="0" w:color="auto"/>
            </w:tcBorders>
            <w:vAlign w:val="center"/>
            <w:hideMark/>
          </w:tcPr>
          <w:p w:rsidR="00CF25F1" w:rsidRPr="00563CF9" w:rsidRDefault="00CF25F1" w:rsidP="001C4A50">
            <w:pPr>
              <w:jc w:val="center"/>
              <w:rPr>
                <w:rFonts w:ascii="Calibri" w:hAnsi="Calibri" w:cs="Calibri"/>
                <w:color w:val="000000"/>
                <w:sz w:val="20"/>
                <w:lang w:val="en-GB"/>
              </w:rPr>
            </w:pPr>
          </w:p>
        </w:tc>
        <w:tc>
          <w:tcPr>
            <w:tcW w:w="1251" w:type="pct"/>
            <w:vMerge/>
            <w:tcBorders>
              <w:top w:val="nil"/>
              <w:left w:val="single" w:sz="4" w:space="0" w:color="auto"/>
              <w:bottom w:val="single" w:sz="4" w:space="0" w:color="000000"/>
              <w:right w:val="single" w:sz="4" w:space="0" w:color="auto"/>
            </w:tcBorders>
            <w:vAlign w:val="center"/>
            <w:hideMark/>
          </w:tcPr>
          <w:p w:rsidR="00CF25F1" w:rsidRPr="00563CF9" w:rsidRDefault="00CF25F1" w:rsidP="00CE292C">
            <w:pPr>
              <w:ind w:right="613"/>
              <w:jc w:val="right"/>
              <w:rPr>
                <w:rFonts w:ascii="Calibri" w:hAnsi="Calibri" w:cs="Calibri"/>
                <w:color w:val="000000"/>
                <w:sz w:val="20"/>
                <w:lang w:val="en-GB"/>
              </w:rPr>
            </w:pPr>
          </w:p>
        </w:tc>
        <w:tc>
          <w:tcPr>
            <w:tcW w:w="13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F25F1" w:rsidRPr="00563CF9" w:rsidRDefault="00E8617B" w:rsidP="00CE292C">
            <w:pPr>
              <w:jc w:val="left"/>
              <w:rPr>
                <w:rFonts w:ascii="Calibri" w:hAnsi="Calibri" w:cs="Calibri"/>
                <w:color w:val="000000"/>
                <w:sz w:val="20"/>
                <w:lang w:val="en-GB"/>
              </w:rPr>
            </w:pPr>
            <w:r w:rsidRPr="00563CF9">
              <w:rPr>
                <w:sz w:val="20"/>
                <w:lang w:val="en-GB" w:bidi="en-GB"/>
              </w:rPr>
              <w:t>Other</w:t>
            </w:r>
          </w:p>
        </w:tc>
        <w:tc>
          <w:tcPr>
            <w:tcW w:w="4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F25F1" w:rsidRPr="00563CF9" w:rsidRDefault="00CF25F1" w:rsidP="00CE292C">
            <w:pPr>
              <w:ind w:right="57"/>
              <w:jc w:val="right"/>
              <w:rPr>
                <w:rFonts w:ascii="Calibri" w:hAnsi="Calibri" w:cs="Calibri"/>
                <w:color w:val="000000"/>
                <w:sz w:val="20"/>
                <w:lang w:val="en-GB"/>
              </w:rPr>
            </w:pPr>
            <w:r w:rsidRPr="00563CF9">
              <w:rPr>
                <w:sz w:val="20"/>
                <w:lang w:val="en-GB" w:bidi="en-GB"/>
              </w:rPr>
              <w:t>76.14</w:t>
            </w:r>
          </w:p>
        </w:tc>
      </w:tr>
      <w:tr w:rsidR="00CF25F1" w:rsidRPr="00563CF9" w:rsidTr="00CE292C">
        <w:trPr>
          <w:trHeight w:val="244"/>
        </w:trPr>
        <w:tc>
          <w:tcPr>
            <w:tcW w:w="884" w:type="pct"/>
            <w:vMerge/>
            <w:tcBorders>
              <w:top w:val="nil"/>
              <w:left w:val="single" w:sz="4" w:space="0" w:color="auto"/>
              <w:bottom w:val="single" w:sz="4" w:space="0" w:color="000000"/>
              <w:right w:val="single" w:sz="4" w:space="0" w:color="auto"/>
            </w:tcBorders>
            <w:vAlign w:val="center"/>
            <w:hideMark/>
          </w:tcPr>
          <w:p w:rsidR="00CF25F1" w:rsidRPr="00563CF9" w:rsidRDefault="00CF25F1" w:rsidP="001C4A50">
            <w:pPr>
              <w:rPr>
                <w:rFonts w:ascii="Calibri" w:hAnsi="Calibri" w:cs="Calibri"/>
                <w:color w:val="000000"/>
                <w:sz w:val="20"/>
                <w:lang w:val="en-GB"/>
              </w:rPr>
            </w:pPr>
          </w:p>
        </w:tc>
        <w:tc>
          <w:tcPr>
            <w:tcW w:w="1068"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CF25F1" w:rsidRPr="00563CF9" w:rsidRDefault="00CF25F1" w:rsidP="00481090">
            <w:pPr>
              <w:jc w:val="center"/>
              <w:rPr>
                <w:rFonts w:ascii="Calibri" w:hAnsi="Calibri" w:cs="Calibri"/>
                <w:color w:val="000000"/>
                <w:sz w:val="20"/>
                <w:lang w:val="en-GB"/>
              </w:rPr>
            </w:pPr>
            <w:r w:rsidRPr="00563CF9">
              <w:rPr>
                <w:sz w:val="20"/>
                <w:lang w:val="en-GB" w:bidi="en-GB"/>
              </w:rPr>
              <w:t>ATC – J</w:t>
            </w:r>
          </w:p>
        </w:tc>
        <w:tc>
          <w:tcPr>
            <w:tcW w:w="1251"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CF25F1" w:rsidRPr="00563CF9" w:rsidRDefault="00CF25F1" w:rsidP="00CE292C">
            <w:pPr>
              <w:ind w:right="613"/>
              <w:jc w:val="right"/>
              <w:rPr>
                <w:rFonts w:ascii="Calibri" w:hAnsi="Calibri" w:cs="Calibri"/>
                <w:color w:val="000000"/>
                <w:sz w:val="20"/>
                <w:lang w:val="en-GB"/>
              </w:rPr>
            </w:pPr>
            <w:r w:rsidRPr="00563CF9">
              <w:rPr>
                <w:sz w:val="20"/>
                <w:lang w:val="en-GB" w:bidi="en-GB"/>
              </w:rPr>
              <w:t>1,551,357.80</w:t>
            </w:r>
          </w:p>
        </w:tc>
        <w:tc>
          <w:tcPr>
            <w:tcW w:w="13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F25F1" w:rsidRPr="00563CF9" w:rsidRDefault="00CF25F1" w:rsidP="00CE292C">
            <w:pPr>
              <w:jc w:val="left"/>
              <w:rPr>
                <w:rFonts w:ascii="Calibri" w:hAnsi="Calibri" w:cs="Calibri"/>
                <w:color w:val="000000"/>
                <w:sz w:val="20"/>
                <w:lang w:val="en-GB"/>
              </w:rPr>
            </w:pPr>
            <w:r w:rsidRPr="00563CF9">
              <w:rPr>
                <w:sz w:val="20"/>
                <w:lang w:val="en-GB" w:bidi="en-GB"/>
              </w:rPr>
              <w:t>Tender procedure</w:t>
            </w:r>
          </w:p>
        </w:tc>
        <w:tc>
          <w:tcPr>
            <w:tcW w:w="4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F25F1" w:rsidRPr="00563CF9" w:rsidRDefault="00CF25F1" w:rsidP="00CE292C">
            <w:pPr>
              <w:ind w:right="57"/>
              <w:jc w:val="right"/>
              <w:rPr>
                <w:rFonts w:ascii="Calibri" w:hAnsi="Calibri" w:cs="Calibri"/>
                <w:color w:val="000000"/>
                <w:sz w:val="20"/>
                <w:lang w:val="en-GB"/>
              </w:rPr>
            </w:pPr>
            <w:r w:rsidRPr="00563CF9">
              <w:rPr>
                <w:sz w:val="20"/>
                <w:lang w:val="en-GB" w:bidi="en-GB"/>
              </w:rPr>
              <w:t>29.31</w:t>
            </w:r>
          </w:p>
        </w:tc>
      </w:tr>
      <w:tr w:rsidR="00CF25F1" w:rsidRPr="00563CF9" w:rsidTr="00757BF0">
        <w:trPr>
          <w:trHeight w:val="244"/>
        </w:trPr>
        <w:tc>
          <w:tcPr>
            <w:tcW w:w="884" w:type="pct"/>
            <w:vMerge/>
            <w:tcBorders>
              <w:top w:val="nil"/>
              <w:left w:val="single" w:sz="4" w:space="0" w:color="auto"/>
              <w:bottom w:val="single" w:sz="4" w:space="0" w:color="auto"/>
              <w:right w:val="single" w:sz="4" w:space="0" w:color="auto"/>
            </w:tcBorders>
            <w:vAlign w:val="center"/>
            <w:hideMark/>
          </w:tcPr>
          <w:p w:rsidR="00CF25F1" w:rsidRPr="00563CF9" w:rsidRDefault="00CF25F1" w:rsidP="001C4A50">
            <w:pPr>
              <w:rPr>
                <w:rFonts w:ascii="Calibri" w:hAnsi="Calibri" w:cs="Calibri"/>
                <w:color w:val="000000"/>
                <w:sz w:val="20"/>
                <w:lang w:val="en-GB"/>
              </w:rPr>
            </w:pPr>
          </w:p>
        </w:tc>
        <w:tc>
          <w:tcPr>
            <w:tcW w:w="1068" w:type="pct"/>
            <w:vMerge/>
            <w:tcBorders>
              <w:top w:val="nil"/>
              <w:left w:val="single" w:sz="4" w:space="0" w:color="auto"/>
              <w:bottom w:val="single" w:sz="4" w:space="0" w:color="auto"/>
              <w:right w:val="single" w:sz="4" w:space="0" w:color="auto"/>
            </w:tcBorders>
            <w:vAlign w:val="center"/>
            <w:hideMark/>
          </w:tcPr>
          <w:p w:rsidR="00CF25F1" w:rsidRPr="00563CF9" w:rsidRDefault="00CF25F1" w:rsidP="001C4A50">
            <w:pPr>
              <w:rPr>
                <w:rFonts w:ascii="Calibri" w:hAnsi="Calibri" w:cs="Calibri"/>
                <w:color w:val="000000"/>
                <w:sz w:val="20"/>
                <w:lang w:val="en-GB"/>
              </w:rPr>
            </w:pPr>
          </w:p>
        </w:tc>
        <w:tc>
          <w:tcPr>
            <w:tcW w:w="1251" w:type="pct"/>
            <w:vMerge/>
            <w:tcBorders>
              <w:top w:val="nil"/>
              <w:left w:val="single" w:sz="4" w:space="0" w:color="auto"/>
              <w:bottom w:val="single" w:sz="4" w:space="0" w:color="auto"/>
              <w:right w:val="single" w:sz="4" w:space="0" w:color="auto"/>
            </w:tcBorders>
            <w:vAlign w:val="center"/>
            <w:hideMark/>
          </w:tcPr>
          <w:p w:rsidR="00CF25F1" w:rsidRPr="00563CF9" w:rsidRDefault="00CF25F1" w:rsidP="001C4A50">
            <w:pPr>
              <w:rPr>
                <w:rFonts w:ascii="Calibri" w:hAnsi="Calibri" w:cs="Calibri"/>
                <w:color w:val="000000"/>
                <w:sz w:val="20"/>
                <w:lang w:val="en-GB"/>
              </w:rPr>
            </w:pPr>
          </w:p>
        </w:tc>
        <w:tc>
          <w:tcPr>
            <w:tcW w:w="13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F25F1" w:rsidRPr="00563CF9" w:rsidRDefault="00E8617B" w:rsidP="00CE292C">
            <w:pPr>
              <w:jc w:val="left"/>
              <w:rPr>
                <w:rFonts w:ascii="Calibri" w:hAnsi="Calibri" w:cs="Calibri"/>
                <w:color w:val="000000"/>
                <w:sz w:val="20"/>
                <w:lang w:val="en-GB"/>
              </w:rPr>
            </w:pPr>
            <w:r w:rsidRPr="00563CF9">
              <w:rPr>
                <w:sz w:val="20"/>
                <w:lang w:val="en-GB" w:bidi="en-GB"/>
              </w:rPr>
              <w:t>Other</w:t>
            </w:r>
          </w:p>
        </w:tc>
        <w:tc>
          <w:tcPr>
            <w:tcW w:w="4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F25F1" w:rsidRPr="00563CF9" w:rsidRDefault="00CF25F1" w:rsidP="00CE292C">
            <w:pPr>
              <w:ind w:right="57"/>
              <w:jc w:val="right"/>
              <w:rPr>
                <w:rFonts w:ascii="Calibri" w:hAnsi="Calibri" w:cs="Calibri"/>
                <w:color w:val="000000"/>
                <w:sz w:val="20"/>
                <w:lang w:val="en-GB"/>
              </w:rPr>
            </w:pPr>
            <w:r w:rsidRPr="00563CF9">
              <w:rPr>
                <w:sz w:val="20"/>
                <w:lang w:val="en-GB" w:bidi="en-GB"/>
              </w:rPr>
              <w:t>70.69</w:t>
            </w:r>
          </w:p>
        </w:tc>
      </w:tr>
    </w:tbl>
    <w:p w:rsidR="00CF25F1" w:rsidRPr="00563CF9" w:rsidRDefault="00CF25F1" w:rsidP="00B05C2B">
      <w:pPr>
        <w:pStyle w:val="Zdroj"/>
        <w:spacing w:before="40"/>
        <w:ind w:left="567" w:hanging="567"/>
        <w:rPr>
          <w:i w:val="0"/>
          <w:lang w:val="en-GB"/>
        </w:rPr>
      </w:pPr>
      <w:r w:rsidRPr="00563CF9">
        <w:rPr>
          <w:b/>
          <w:i w:val="0"/>
          <w:lang w:val="en-GB" w:bidi="en-GB"/>
        </w:rPr>
        <w:t xml:space="preserve">Source: </w:t>
      </w:r>
      <w:r w:rsidRPr="00563CF9">
        <w:rPr>
          <w:b/>
          <w:i w:val="0"/>
          <w:lang w:val="en-GB" w:bidi="en-GB"/>
        </w:rPr>
        <w:tab/>
      </w:r>
      <w:r w:rsidR="00F2433A" w:rsidRPr="00563CF9">
        <w:rPr>
          <w:i w:val="0"/>
          <w:lang w:val="en-GB" w:bidi="en-GB"/>
        </w:rPr>
        <w:t>annexes to the individual audit protocols of the university hospitals; communications by the audited university hospitals.</w:t>
      </w:r>
    </w:p>
    <w:p w:rsidR="00F66A27" w:rsidRPr="00563CF9" w:rsidRDefault="005457D9" w:rsidP="00BC20B3">
      <w:pPr>
        <w:pStyle w:val="Zdroj"/>
        <w:ind w:left="284" w:hanging="284"/>
        <w:rPr>
          <w:i w:val="0"/>
          <w:lang w:val="en-GB"/>
        </w:rPr>
      </w:pPr>
      <w:r w:rsidRPr="00563CF9">
        <w:rPr>
          <w:i w:val="0"/>
          <w:lang w:val="en-GB" w:bidi="en-GB"/>
        </w:rPr>
        <w:t xml:space="preserve">* </w:t>
      </w:r>
      <w:r w:rsidRPr="00563CF9">
        <w:rPr>
          <w:i w:val="0"/>
          <w:lang w:val="en-GB" w:bidi="en-GB"/>
        </w:rPr>
        <w:tab/>
        <w:t>The audit sample does not include those pharmaceuticals supplied by the transfusion department and the blood bank.</w:t>
      </w:r>
    </w:p>
    <w:p w:rsidR="00CF25F1" w:rsidRPr="00563CF9" w:rsidRDefault="00CF25F1" w:rsidP="00B05C2B">
      <w:pPr>
        <w:shd w:val="clear" w:color="auto" w:fill="FFFFFF"/>
        <w:spacing w:before="120"/>
        <w:rPr>
          <w:rFonts w:cstheme="minorHAnsi"/>
          <w:lang w:val="en-GB"/>
        </w:rPr>
      </w:pPr>
      <w:r w:rsidRPr="00563CF9">
        <w:rPr>
          <w:lang w:val="en-GB" w:bidi="en-GB"/>
        </w:rPr>
        <w:t>From the audit sample for the period 2014 to 2016, it was found that:</w:t>
      </w:r>
    </w:p>
    <w:p w:rsidR="00CF25F1" w:rsidRPr="00563CF9" w:rsidRDefault="00CF25F1" w:rsidP="00B05C2B">
      <w:pPr>
        <w:pStyle w:val="Odstavecseseznamem"/>
        <w:numPr>
          <w:ilvl w:val="0"/>
          <w:numId w:val="4"/>
        </w:numPr>
        <w:shd w:val="clear" w:color="auto" w:fill="FFFFFF"/>
        <w:ind w:left="284" w:hanging="284"/>
        <w:rPr>
          <w:rFonts w:cstheme="minorHAnsi"/>
          <w:lang w:val="en-GB"/>
        </w:rPr>
      </w:pPr>
      <w:r w:rsidRPr="00563CF9">
        <w:rPr>
          <w:b/>
          <w:lang w:val="en-GB" w:bidi="en-GB"/>
        </w:rPr>
        <w:t>centric drugs</w:t>
      </w:r>
      <w:r w:rsidRPr="00563CF9">
        <w:rPr>
          <w:lang w:val="en-GB" w:bidi="en-GB"/>
        </w:rPr>
        <w:t xml:space="preserve"> were purchased by the university hospitals on the basis of a tender procedure ranging from 0 % to 23.86 %;</w:t>
      </w:r>
    </w:p>
    <w:p w:rsidR="00CF25F1" w:rsidRPr="00563CF9" w:rsidRDefault="00CF25F1" w:rsidP="00B05C2B">
      <w:pPr>
        <w:pStyle w:val="Odstavecseseznamem"/>
        <w:numPr>
          <w:ilvl w:val="0"/>
          <w:numId w:val="4"/>
        </w:numPr>
        <w:shd w:val="clear" w:color="auto" w:fill="FFFFFF"/>
        <w:ind w:left="284" w:hanging="284"/>
        <w:rPr>
          <w:rFonts w:cstheme="minorHAnsi"/>
          <w:lang w:val="en-GB"/>
        </w:rPr>
      </w:pPr>
      <w:r w:rsidRPr="00563CF9">
        <w:rPr>
          <w:b/>
          <w:lang w:val="en-GB" w:bidi="en-GB"/>
        </w:rPr>
        <w:t>pharmaceuticals of the ATC – J group</w:t>
      </w:r>
      <w:r w:rsidRPr="00563CF9">
        <w:rPr>
          <w:lang w:val="en-GB" w:bidi="en-GB"/>
        </w:rPr>
        <w:t xml:space="preserve"> were purchased by the university hospitals in the range from 4.96 % to 29.31 %.</w:t>
      </w:r>
    </w:p>
    <w:p w:rsidR="00E45A33" w:rsidRPr="00563CF9" w:rsidRDefault="00F52614" w:rsidP="00B05C2B">
      <w:pPr>
        <w:shd w:val="clear" w:color="auto" w:fill="FFFFFF"/>
        <w:spacing w:before="120"/>
        <w:rPr>
          <w:rFonts w:cstheme="minorHAnsi"/>
          <w:lang w:val="en-GB"/>
        </w:rPr>
      </w:pPr>
      <w:r w:rsidRPr="00563CF9">
        <w:rPr>
          <w:lang w:val="en-GB" w:bidi="en-GB"/>
        </w:rPr>
        <w:t>The following is a list of other ways to select suppliers when purchasing a test sample of pharmaceuticals.</w:t>
      </w:r>
    </w:p>
    <w:p w:rsidR="00CF25F1" w:rsidRPr="00563CF9" w:rsidRDefault="00CF25F1" w:rsidP="00B05C2B">
      <w:pPr>
        <w:shd w:val="clear" w:color="auto" w:fill="FFFFFF"/>
        <w:spacing w:before="120"/>
        <w:rPr>
          <w:rFonts w:cstheme="minorHAnsi"/>
          <w:lang w:val="en-GB"/>
        </w:rPr>
      </w:pPr>
      <w:r w:rsidRPr="00563CF9">
        <w:rPr>
          <w:lang w:val="en-GB" w:bidi="en-GB"/>
        </w:rPr>
        <w:t>The BUH purchased all the centric drugs from the audit sample without any tender procedure. The BUH bought centric drugs for direct distribution through DTP distribution channels</w:t>
      </w:r>
      <w:r w:rsidR="005C3EB5" w:rsidRPr="00563CF9">
        <w:rPr>
          <w:rStyle w:val="Znakapoznpodarou"/>
          <w:lang w:val="en-GB" w:bidi="en-GB"/>
        </w:rPr>
        <w:footnoteReference w:id="30"/>
      </w:r>
      <w:r w:rsidRPr="00563CF9">
        <w:rPr>
          <w:lang w:val="en-GB" w:bidi="en-GB"/>
        </w:rPr>
        <w:t>, representing 15.93 % of the audit sample value. In addition, the BUH purchased the supplies of centric drugs as aids in relation to goods under expiration in the amount of 0.79 % of the value of the audit sample. The BUH purchased, without any tender procedure as a direct delivery from the manufacturer, 37.2 % of the value of the audit sample on the grounds that there was no generic product in the market or the BUH purchased the pharmaceuticals without a tender procedure from an exclusive supplier under the exceptional import regime under Section 16 of Act No. 48/1997 Coll.</w:t>
      </w:r>
      <w:r w:rsidRPr="00563CF9">
        <w:rPr>
          <w:rStyle w:val="Znakapoznpodarou"/>
          <w:lang w:val="en-GB" w:bidi="en-GB"/>
        </w:rPr>
        <w:footnoteReference w:id="31"/>
      </w:r>
      <w:r w:rsidRPr="00563CF9">
        <w:rPr>
          <w:lang w:val="en-GB" w:bidi="en-GB"/>
        </w:rPr>
        <w:t xml:space="preserve"> The BUH purchased pharmaceuticals without a tender procedure according to the current market price and the current stock in distribution at 46.08 % of the audit sample value due to BUH dissatisfaction with supplies from the current contractor, due to re-export of the pharmaceuticals abroad or due to a shortage of the product range in the Czech market. </w:t>
      </w:r>
    </w:p>
    <w:p w:rsidR="00CF25F1" w:rsidRPr="00563CF9" w:rsidRDefault="00CF25F1" w:rsidP="00B05C2B">
      <w:pPr>
        <w:shd w:val="clear" w:color="auto" w:fill="FFFFFF"/>
        <w:spacing w:before="120"/>
        <w:rPr>
          <w:rFonts w:cstheme="minorHAnsi"/>
          <w:lang w:val="en-GB"/>
        </w:rPr>
      </w:pPr>
      <w:r w:rsidRPr="00563CF9">
        <w:rPr>
          <w:lang w:val="en-GB" w:bidi="en-GB"/>
        </w:rPr>
        <w:t>The MUH purchased centric drugs via DTP channels in the amount of 21.15 % of the audit sample value. Based on a tender procedure, it purchased centric drugs in the amount of 47.69 %. The remaining part, i.e. 11.89 %, constitutes direct supplies from the manufacturer.</w:t>
      </w:r>
    </w:p>
    <w:p w:rsidR="00CF25F1" w:rsidRPr="00563CF9" w:rsidRDefault="00CF25F1" w:rsidP="00B05C2B">
      <w:pPr>
        <w:spacing w:before="120"/>
        <w:rPr>
          <w:color w:val="000000"/>
          <w:spacing w:val="-2"/>
          <w:lang w:val="en-GB"/>
        </w:rPr>
      </w:pPr>
      <w:r w:rsidRPr="00563CF9">
        <w:rPr>
          <w:spacing w:val="-2"/>
          <w:lang w:val="en-GB" w:bidi="en-GB"/>
        </w:rPr>
        <w:t>The CMH purchased centric drugs without a tender procedure and without a contract due to direct distribution by the manufacturer to the pharmacy in the amount of 51.08 % of the value of the audit sample. The CMH purchased centric drugs without a tender procedure and without a contract on the grounds that it was a period between the termination of the contract and the conclusion of a new contract, with a single manufacturer, purchases based on current availability and the most advantageous mark-up of 23.24 %. The remaining portion of 1.82 % is due to the acquisition outside a valid contract by a procurement procedure where the reason was an acute requirement and the supplier did not have the pharmaceuticals in stock or the supplier only supplied a new pharmaceutical form.</w:t>
      </w:r>
    </w:p>
    <w:p w:rsidR="00853899" w:rsidRPr="00563CF9" w:rsidRDefault="00CF25F1" w:rsidP="00B05C2B">
      <w:pPr>
        <w:shd w:val="clear" w:color="auto" w:fill="FFFFFF"/>
        <w:spacing w:before="120"/>
        <w:rPr>
          <w:rFonts w:cstheme="minorHAnsi"/>
          <w:lang w:val="en-GB"/>
        </w:rPr>
      </w:pPr>
      <w:r w:rsidRPr="00563CF9">
        <w:rPr>
          <w:lang w:val="en-GB" w:bidi="en-GB"/>
        </w:rPr>
        <w:t xml:space="preserve">The BUH purchased ATC – J pharmaceuticals without a procurement procedure based on direct deliveries from the manufacturer in the amount of 1.90 % of the audit sample due to the absence of a generic in the market in the Czech Republic. The BUH purchased pharmaceuticals without a tender procedure as a one-off delivery according to the current availability and the lowest market price in the amount of 16.91 % of the audit sample value. Additionally, 1.21 % of the audit sample falls on deliveries of the pharmaceuticals as an aid in relation to expiring goods. The BUH purchased pharmaceuticals without a tender procedure according to the current market price, distribution margin and the current stock in distribution or product shortages, or due to BUH dissatisfaction with supplies from the current contractor selected in a proper tender, at 65.04 % of the audit sample value. </w:t>
      </w:r>
    </w:p>
    <w:p w:rsidR="00CF25F1" w:rsidRPr="00563CF9" w:rsidRDefault="00CF25F1" w:rsidP="00B05C2B">
      <w:pPr>
        <w:shd w:val="clear" w:color="auto" w:fill="FFFFFF"/>
        <w:spacing w:before="120"/>
        <w:rPr>
          <w:rFonts w:cstheme="minorHAnsi"/>
          <w:lang w:val="en-GB"/>
        </w:rPr>
      </w:pPr>
      <w:r w:rsidRPr="00563CF9">
        <w:rPr>
          <w:lang w:val="en-GB" w:bidi="en-GB"/>
        </w:rPr>
        <w:t>The MUH purchased ATC – J group pharmaceuticals via DTP channels in the amount of 10.10 % of the audit sample value. Based on a tender procedure, 81 % of the audit sample value was acquired. Deliveries from a substitute vendor accounted for 1.56 % of the audit sample. The remaining part, i.e. 2.38 %, constitutes direct supplies from the manufacturer.</w:t>
      </w:r>
    </w:p>
    <w:p w:rsidR="00CF25F1" w:rsidRPr="00563CF9" w:rsidRDefault="00CF25F1" w:rsidP="00B05C2B">
      <w:pPr>
        <w:spacing w:before="120"/>
        <w:rPr>
          <w:color w:val="000000"/>
          <w:spacing w:val="-2"/>
          <w:lang w:val="en-GB"/>
        </w:rPr>
      </w:pPr>
      <w:r w:rsidRPr="00563CF9">
        <w:rPr>
          <w:spacing w:val="-2"/>
          <w:lang w:val="en-GB" w:bidi="en-GB"/>
        </w:rPr>
        <w:t xml:space="preserve">The CMH purchased ATC – J pharmaceuticals without a tender procedure and without a contract in the amount of 46.19 % of the value of the audit sample on the grounds that it was a period between two contracts, due to an unsuccessful tender, direct purchase from the manufacturer or according to the current availability. The CMH purchased ATC – J pharmaceuticals in the amount of 21 % of the value of the audit sample outside the valid contract due to a drug shortage on the part of the contractual supplier. The acquisition through marketing research of the market amounts to 0.64 %. The remaining portion of 2.86 % is for purchases under the contract. </w:t>
      </w:r>
    </w:p>
    <w:p w:rsidR="002F713B" w:rsidRPr="00563CF9" w:rsidRDefault="00920186" w:rsidP="00B05C2B">
      <w:pPr>
        <w:autoSpaceDE w:val="0"/>
        <w:autoSpaceDN w:val="0"/>
        <w:adjustRightInd w:val="0"/>
        <w:spacing w:before="120"/>
        <w:rPr>
          <w:rFonts w:cs="Arial"/>
          <w:b/>
          <w:lang w:val="en-GB"/>
        </w:rPr>
      </w:pPr>
      <w:r w:rsidRPr="00563CF9">
        <w:rPr>
          <w:b/>
          <w:lang w:val="en-GB" w:bidi="en-GB"/>
        </w:rPr>
        <w:t>On the audit sample, the SAO found that the share of the supplies of centric drugs and ATC – J pharmaceuticals outside any tender procedure was considerable. In the low percentage of tender procedures for centric drugs and pharmaceuticals of the ATC – J group, the SAO sees room for cost reductions. The SAO has assessed this condition as undesirable. The university hospitals as contracting authorities are obliged to comply consistently with the Public Contract Act.</w:t>
      </w:r>
    </w:p>
    <w:p w:rsidR="00CF25F1" w:rsidRPr="00563CF9" w:rsidRDefault="00DD7BD5" w:rsidP="00B05C2B">
      <w:pPr>
        <w:autoSpaceDE w:val="0"/>
        <w:autoSpaceDN w:val="0"/>
        <w:adjustRightInd w:val="0"/>
        <w:spacing w:before="120"/>
        <w:rPr>
          <w:rFonts w:cs="Arial"/>
          <w:b/>
          <w:color w:val="000000" w:themeColor="text1"/>
          <w:lang w:val="en-GB"/>
        </w:rPr>
      </w:pPr>
      <w:r w:rsidRPr="00563CF9">
        <w:rPr>
          <w:b/>
          <w:lang w:val="en-GB" w:bidi="en-GB"/>
        </w:rPr>
        <w:t>On the audit sample, the SAO found that the university hospitals had not proceeded equally when setting criteria for drug purchasing in tender procedures. According to Act No. 137/2006 Coll., the contracting authority was not required to set the lowest price, including bonuses, as the evaluation criterion, but was required to determine the criterion of the evaluation of tenders in light of the nature and complexity of the subject-matter of the public contract so as to express the relationship of usable value and price. The BUH did not use tender procedures for the purchases of centric drugs at all, and the MUH did not set the price and the bonus at the same time as the evaluation criterion so that the final price was the lowest. The tender procedure where the evaluation criterion was not only the bid price but also the bonus can be considered transparent. The CMH did not receive bonuses for pharmaceuticals in 2014 and 2015 and rarely received them at negligible levels in 2016.</w:t>
      </w:r>
    </w:p>
    <w:p w:rsidR="00FF0072" w:rsidRPr="00563CF9" w:rsidRDefault="00B05C2B" w:rsidP="00757BF0">
      <w:pPr>
        <w:spacing w:before="240" w:after="120"/>
        <w:rPr>
          <w:rFonts w:cstheme="minorHAnsi"/>
          <w:b/>
          <w:noProof/>
          <w:color w:val="000000" w:themeColor="text1"/>
          <w:szCs w:val="26"/>
          <w:lang w:val="en-GB"/>
        </w:rPr>
      </w:pPr>
      <w:r w:rsidRPr="00563CF9">
        <w:rPr>
          <w:b/>
          <w:noProof/>
          <w:lang w:val="en-GB" w:bidi="en-GB"/>
        </w:rPr>
        <w:t>1.2 Price differences for pharmaceuticals</w:t>
      </w:r>
    </w:p>
    <w:p w:rsidR="00925367" w:rsidRPr="00563CF9" w:rsidRDefault="00CE4F3A" w:rsidP="00757BF0">
      <w:pPr>
        <w:spacing w:before="240" w:after="120"/>
        <w:rPr>
          <w:rFonts w:cstheme="minorHAnsi"/>
          <w:b/>
          <w:noProof/>
          <w:color w:val="000000" w:themeColor="text1"/>
          <w:szCs w:val="24"/>
          <w:lang w:val="en-GB"/>
        </w:rPr>
      </w:pPr>
      <w:r w:rsidRPr="00563CF9">
        <w:rPr>
          <w:b/>
          <w:noProof/>
          <w:lang w:val="en-GB" w:bidi="en-GB"/>
        </w:rPr>
        <w:t>Price differences of centric drugs</w:t>
      </w:r>
    </w:p>
    <w:p w:rsidR="00925367" w:rsidRPr="00563CF9" w:rsidRDefault="00925367" w:rsidP="00B05C2B">
      <w:pPr>
        <w:spacing w:before="120"/>
        <w:rPr>
          <w:rFonts w:cstheme="minorHAnsi"/>
          <w:noProof/>
          <w:color w:val="000000" w:themeColor="text1"/>
          <w:szCs w:val="28"/>
          <w:lang w:val="en-GB"/>
        </w:rPr>
      </w:pPr>
      <w:r w:rsidRPr="00563CF9">
        <w:rPr>
          <w:noProof/>
          <w:lang w:val="en-GB" w:bidi="en-GB"/>
        </w:rPr>
        <w:t xml:space="preserve">On an audit sample of 16 centric drugs that all the university hospitals purchased between 2014 and 2016, the SAO found differences in unit prices for one package in the individual years, which varied from 0 % to 39.14 % in percentage terms and ranged from CZK 0 to CZK 95,210.72 in absolute terms. The observed differences do not take into account the purchases of individual drugs and the amount of quantitative bonuses received from suppliers. All the observed differences are set out in Annex 1 to this Audit Conclusion. </w:t>
      </w:r>
    </w:p>
    <w:p w:rsidR="00925367" w:rsidRPr="00563CF9" w:rsidRDefault="00925367" w:rsidP="00B05C2B">
      <w:pPr>
        <w:spacing w:before="120"/>
        <w:rPr>
          <w:rFonts w:cstheme="minorHAnsi"/>
          <w:noProof/>
          <w:color w:val="000000" w:themeColor="text1"/>
          <w:szCs w:val="28"/>
          <w:lang w:val="en-GB"/>
        </w:rPr>
      </w:pPr>
      <w:r w:rsidRPr="00563CF9">
        <w:rPr>
          <w:noProof/>
          <w:lang w:val="en-GB" w:bidi="en-GB"/>
        </w:rPr>
        <w:t xml:space="preserve">The largest difference in the absolute value or percentage was found for pharmaceuticals under the SÚKL codes: </w:t>
      </w:r>
    </w:p>
    <w:p w:rsidR="00925367" w:rsidRPr="00563CF9" w:rsidRDefault="0073188E" w:rsidP="00B05C2B">
      <w:pPr>
        <w:pStyle w:val="Odstavecseseznamem"/>
        <w:numPr>
          <w:ilvl w:val="0"/>
          <w:numId w:val="32"/>
        </w:numPr>
        <w:ind w:left="284" w:hanging="284"/>
        <w:rPr>
          <w:rFonts w:cstheme="minorHAnsi"/>
          <w:noProof/>
          <w:color w:val="000000" w:themeColor="text1"/>
          <w:szCs w:val="28"/>
          <w:lang w:val="en-GB"/>
        </w:rPr>
      </w:pPr>
      <w:r w:rsidRPr="00563CF9">
        <w:rPr>
          <w:noProof/>
          <w:lang w:val="en-GB" w:bidi="en-GB"/>
        </w:rPr>
        <w:t>0210201 (HARVONI) was CZK 95,210.72 (i.e. 25 %) in 2015, when the BUH purchased one package for CZK 380,842.88 and the CMH for CZK 476,053.60. This drug was supplied by the exclusive supplier/manufacturer and could not be ordered elsewhere. The reason for the difference was that the CMH had purchased this drug rarely and the BUH had received a direct discount from the supplier.</w:t>
      </w:r>
    </w:p>
    <w:p w:rsidR="00925367" w:rsidRPr="00563CF9" w:rsidRDefault="00304B23" w:rsidP="00B05C2B">
      <w:pPr>
        <w:pStyle w:val="Odstavecseseznamem"/>
        <w:numPr>
          <w:ilvl w:val="0"/>
          <w:numId w:val="32"/>
        </w:numPr>
        <w:ind w:left="284" w:hanging="284"/>
        <w:rPr>
          <w:rFonts w:cstheme="minorHAnsi"/>
          <w:noProof/>
          <w:color w:val="000000" w:themeColor="text1"/>
          <w:szCs w:val="28"/>
          <w:lang w:val="en-GB"/>
        </w:rPr>
      </w:pPr>
      <w:r w:rsidRPr="00563CF9">
        <w:rPr>
          <w:noProof/>
          <w:lang w:val="en-GB" w:bidi="en-GB"/>
        </w:rPr>
        <w:t>0210118 (DAKLINZA) was CZK 25,336.29 (i.e. 25 %) in 2016, when the MUH purchased one package for CZK 101,338.91 and the BUH for CZK 126,675.20. The drug was only available from 2015 from the exclusive supplier. The drug was first purchased under the exceptional import regime</w:t>
      </w:r>
      <w:r w:rsidR="00925367" w:rsidRPr="00563CF9">
        <w:rPr>
          <w:rStyle w:val="Znakapoznpodarou"/>
          <w:noProof/>
          <w:lang w:val="en-GB" w:bidi="en-GB"/>
        </w:rPr>
        <w:footnoteReference w:id="32"/>
      </w:r>
      <w:r w:rsidRPr="00563CF9">
        <w:rPr>
          <w:noProof/>
          <w:lang w:val="en-GB" w:bidi="en-GB"/>
        </w:rPr>
        <w:t xml:space="preserve"> and after setting the maximum price (SÚKL price regulation) it was purchased at a price reduced by the difference found.</w:t>
      </w:r>
    </w:p>
    <w:p w:rsidR="00925367" w:rsidRPr="00563CF9" w:rsidRDefault="00304B23" w:rsidP="00B05C2B">
      <w:pPr>
        <w:pStyle w:val="Odstavecseseznamem"/>
        <w:numPr>
          <w:ilvl w:val="0"/>
          <w:numId w:val="32"/>
        </w:numPr>
        <w:ind w:left="284" w:hanging="284"/>
        <w:rPr>
          <w:rFonts w:cstheme="minorHAnsi"/>
          <w:noProof/>
          <w:color w:val="000000" w:themeColor="text1"/>
          <w:szCs w:val="28"/>
          <w:lang w:val="en-GB"/>
        </w:rPr>
      </w:pPr>
      <w:r w:rsidRPr="00563CF9">
        <w:rPr>
          <w:noProof/>
          <w:lang w:val="en-GB" w:bidi="en-GB"/>
        </w:rPr>
        <w:t>0194770 (SOVALDI) was CZK 84,250.76 (i.e. 25 %) in 2015, when the BUH and the MUH purchased one package for CZK 337,003.04 and the CMH for CZK 421,253.80. In 2016, the difference was CZK 69,029.15 (20.48 %), when the CMH purchased one package for CZK 337,003.04 and the MUH and the CMH for CZK 406,032.19. This drug was supplied by the single exclusive supplier/manufacturer and could not be ordered elsewhere. There was no competition in the market, prices were set by the supplier.</w:t>
      </w:r>
    </w:p>
    <w:p w:rsidR="00925367" w:rsidRPr="00563CF9" w:rsidRDefault="00304B23" w:rsidP="00B05C2B">
      <w:pPr>
        <w:pStyle w:val="Odstavecseseznamem"/>
        <w:numPr>
          <w:ilvl w:val="0"/>
          <w:numId w:val="32"/>
        </w:numPr>
        <w:ind w:left="284" w:hanging="284"/>
        <w:rPr>
          <w:rFonts w:cstheme="minorHAnsi"/>
          <w:noProof/>
          <w:color w:val="000000" w:themeColor="text1"/>
          <w:szCs w:val="28"/>
          <w:lang w:val="en-GB"/>
        </w:rPr>
      </w:pPr>
      <w:r w:rsidRPr="00563CF9">
        <w:rPr>
          <w:noProof/>
          <w:lang w:val="en-GB" w:bidi="en-GB"/>
        </w:rPr>
        <w:t>0025566 (HUMIRA) was CZK 5,984.43 (i.e. 39.14 %) in 2015, when the BUH purchased one package for CZK 15,290 and the MUH for CZK 21,274.43. The reason was that the BUH bought this drug at a discount due to its imminent expiration.</w:t>
      </w:r>
    </w:p>
    <w:p w:rsidR="00925367" w:rsidRPr="00563CF9" w:rsidRDefault="001A57E4" w:rsidP="00B05C2B">
      <w:pPr>
        <w:pStyle w:val="Odstavecseseznamem"/>
        <w:numPr>
          <w:ilvl w:val="0"/>
          <w:numId w:val="33"/>
        </w:numPr>
        <w:ind w:left="284" w:hanging="284"/>
        <w:rPr>
          <w:rFonts w:cstheme="minorHAnsi"/>
          <w:noProof/>
          <w:color w:val="000000" w:themeColor="text1"/>
          <w:szCs w:val="28"/>
          <w:lang w:val="en-GB"/>
        </w:rPr>
      </w:pPr>
      <w:r w:rsidRPr="00563CF9">
        <w:rPr>
          <w:noProof/>
          <w:lang w:val="en-GB" w:bidi="en-GB"/>
        </w:rPr>
        <w:t>027283 (REMICADE) was CZK 2,261 (i.e. 24.33 %) in 2015, when the MUH purchased one package for CZK 9,294.76 and the BUH for CZK 11,555.76. This was due, among other things, to the fact that there were regular supply shortages in the market, so the BUH was buying according to the current stock in distribution, usually on the basis of one-time offers without a public contract.</w:t>
      </w:r>
    </w:p>
    <w:p w:rsidR="00BC20B3" w:rsidRPr="00563CF9" w:rsidRDefault="00BC20B3" w:rsidP="00BC20B3">
      <w:pPr>
        <w:rPr>
          <w:rFonts w:cstheme="minorHAnsi"/>
          <w:noProof/>
          <w:color w:val="000000" w:themeColor="text1"/>
          <w:szCs w:val="28"/>
          <w:lang w:val="en-GB"/>
        </w:rPr>
      </w:pPr>
    </w:p>
    <w:p w:rsidR="00925367" w:rsidRPr="00563CF9" w:rsidRDefault="00CE4F3A" w:rsidP="00757BF0">
      <w:pPr>
        <w:keepNext/>
        <w:spacing w:before="240" w:after="120"/>
        <w:rPr>
          <w:rFonts w:cstheme="minorHAnsi"/>
          <w:b/>
          <w:noProof/>
          <w:color w:val="000000" w:themeColor="text1"/>
          <w:szCs w:val="24"/>
          <w:lang w:val="en-GB"/>
        </w:rPr>
      </w:pPr>
      <w:r w:rsidRPr="00563CF9">
        <w:rPr>
          <w:b/>
          <w:noProof/>
          <w:lang w:val="en-GB" w:bidi="en-GB"/>
        </w:rPr>
        <w:t>Price differences of ATC – J pharmaceuticals</w:t>
      </w:r>
    </w:p>
    <w:p w:rsidR="00925367" w:rsidRPr="00563CF9" w:rsidRDefault="00925367" w:rsidP="00B05C2B">
      <w:pPr>
        <w:spacing w:before="120"/>
        <w:rPr>
          <w:rFonts w:cstheme="minorHAnsi"/>
          <w:noProof/>
          <w:color w:val="000000" w:themeColor="text1"/>
          <w:szCs w:val="28"/>
          <w:lang w:val="en-GB"/>
        </w:rPr>
      </w:pPr>
      <w:r w:rsidRPr="00563CF9">
        <w:rPr>
          <w:noProof/>
          <w:lang w:val="en-GB" w:bidi="en-GB"/>
        </w:rPr>
        <w:t xml:space="preserve">On an audit sample of 19 ATC – J pharmaceuticals that all the university hospitals purchased between 2014 and 2016, the SAO found differences in unit prices for one package in the individual years, which varied from 0 % to 448.93 % in percentage terms and ranged from CZK 0 to CZK 9,496.28 in absolute terms. The observed differences do not take into account the purchases of individual drugs and the amount of quantitative bonuses received from suppliers. All the observed differences are set out in Annex 2 to this Audit Conclusion. </w:t>
      </w:r>
    </w:p>
    <w:p w:rsidR="00925367" w:rsidRPr="00563CF9" w:rsidRDefault="00925367" w:rsidP="00B05C2B">
      <w:pPr>
        <w:spacing w:before="120"/>
        <w:rPr>
          <w:rFonts w:cstheme="minorHAnsi"/>
          <w:noProof/>
          <w:color w:val="000000" w:themeColor="text1"/>
          <w:szCs w:val="28"/>
          <w:lang w:val="en-GB"/>
        </w:rPr>
      </w:pPr>
      <w:r w:rsidRPr="00563CF9">
        <w:rPr>
          <w:noProof/>
          <w:lang w:val="en-GB" w:bidi="en-GB"/>
        </w:rPr>
        <w:t>The largest difference in the absolute value or percentage was found for pharmaceuticals under the SÚKL codes:</w:t>
      </w:r>
    </w:p>
    <w:p w:rsidR="00925367" w:rsidRPr="00563CF9" w:rsidRDefault="00262D89" w:rsidP="00B05C2B">
      <w:pPr>
        <w:pStyle w:val="Odstavecseseznamem"/>
        <w:numPr>
          <w:ilvl w:val="0"/>
          <w:numId w:val="34"/>
        </w:numPr>
        <w:ind w:left="284" w:hanging="284"/>
        <w:rPr>
          <w:rFonts w:cstheme="minorHAnsi"/>
          <w:noProof/>
          <w:color w:val="000000" w:themeColor="text1"/>
          <w:szCs w:val="28"/>
          <w:lang w:val="en-GB"/>
        </w:rPr>
      </w:pPr>
      <w:r w:rsidRPr="00563CF9">
        <w:rPr>
          <w:noProof/>
          <w:lang w:val="en-GB" w:bidi="en-GB"/>
        </w:rPr>
        <w:t>0003708 (ZYVOXID) was CZK 9,496.28 (i.e. 448.93 %) in 2015, when the MUH purchased one package for CZK 2,115.30 and the BUH for CZK 11,611.58. In 2016 was CZK 4,982.70 (i.e. 235.56 %), when the MUH purchased one package for CZK 2,115.30 and the CMH for CZK 7,098.00. The CMH purchased this drug in negligible quantities. The drop in prices from 2015 was due to the end of the patent protection of the original product and the entry of generics into the market.</w:t>
      </w:r>
    </w:p>
    <w:p w:rsidR="00925367" w:rsidRPr="00563CF9" w:rsidRDefault="00262D89" w:rsidP="00B05C2B">
      <w:pPr>
        <w:pStyle w:val="Odstavecseseznamem"/>
        <w:numPr>
          <w:ilvl w:val="0"/>
          <w:numId w:val="34"/>
        </w:numPr>
        <w:ind w:left="284" w:hanging="284"/>
        <w:rPr>
          <w:rFonts w:cstheme="minorHAnsi"/>
          <w:noProof/>
          <w:color w:val="000000" w:themeColor="text1"/>
          <w:szCs w:val="28"/>
          <w:lang w:val="en-GB"/>
        </w:rPr>
      </w:pPr>
      <w:r w:rsidRPr="00563CF9">
        <w:rPr>
          <w:noProof/>
          <w:lang w:val="en-GB" w:bidi="en-GB"/>
        </w:rPr>
        <w:t xml:space="preserve">0026889 (VFEND) was CZK 6,223.42 (i.e. 83.67 %) in 2016, when the MUH purchased one package for CZK 7,438.43 and the CMH for CZK 13,661.85. The reason for the price cut was the launch of the generic in the second half of 2016. </w:t>
      </w:r>
    </w:p>
    <w:p w:rsidR="00925367" w:rsidRPr="00563CF9" w:rsidRDefault="00262D89" w:rsidP="00B05C2B">
      <w:pPr>
        <w:pStyle w:val="Odstavecseseznamem"/>
        <w:numPr>
          <w:ilvl w:val="0"/>
          <w:numId w:val="34"/>
        </w:numPr>
        <w:ind w:left="284" w:hanging="284"/>
        <w:rPr>
          <w:rFonts w:cstheme="minorHAnsi"/>
          <w:noProof/>
          <w:color w:val="000000" w:themeColor="text1"/>
          <w:szCs w:val="28"/>
          <w:lang w:val="en-GB"/>
        </w:rPr>
      </w:pPr>
      <w:r w:rsidRPr="00563CF9">
        <w:rPr>
          <w:noProof/>
          <w:lang w:val="en-GB" w:bidi="en-GB"/>
        </w:rPr>
        <w:t>0198417 (ABELCET) was CZK 4,357.99 (i.e. 19.74 %) in 2015, when the CMH purchased one package for CZK 22,074.45 and the BUH for CZK 26,432.44. The reason for the difference was that the BUH purchased this drug without a tender procedure, unlike the CMH.</w:t>
      </w:r>
    </w:p>
    <w:p w:rsidR="00925367" w:rsidRPr="00563CF9" w:rsidRDefault="00262D89" w:rsidP="00B05C2B">
      <w:pPr>
        <w:pStyle w:val="Odstavecseseznamem"/>
        <w:numPr>
          <w:ilvl w:val="0"/>
          <w:numId w:val="34"/>
        </w:numPr>
        <w:ind w:left="284" w:hanging="284"/>
        <w:rPr>
          <w:rFonts w:cstheme="minorHAnsi"/>
          <w:noProof/>
          <w:color w:val="000000" w:themeColor="text1"/>
          <w:szCs w:val="28"/>
          <w:lang w:val="en-GB"/>
        </w:rPr>
      </w:pPr>
      <w:r w:rsidRPr="00563CF9">
        <w:rPr>
          <w:noProof/>
          <w:lang w:val="en-GB" w:bidi="en-GB"/>
        </w:rPr>
        <w:t>0113453 (PIPERACILIN/TAZOBACTAM) was CZK 1,717.50 (i.e. 446.10 %) in 2015, when the MUH purchased one package for CZK 385.00 and the CMH for CZK 2,102.50. These were purchases from the same supplier within two months without a tender procedure. The CMH purchased from 8 July 2015 on the basis of a tender procedure for CZK 1,154.89 including VAT.</w:t>
      </w:r>
    </w:p>
    <w:p w:rsidR="00925367" w:rsidRPr="00563CF9" w:rsidRDefault="00262D89" w:rsidP="00B05C2B">
      <w:pPr>
        <w:pStyle w:val="Odstavecseseznamem"/>
        <w:numPr>
          <w:ilvl w:val="0"/>
          <w:numId w:val="34"/>
        </w:numPr>
        <w:ind w:left="284" w:hanging="284"/>
        <w:rPr>
          <w:rFonts w:cstheme="minorHAnsi"/>
          <w:noProof/>
          <w:color w:val="000000" w:themeColor="text1"/>
          <w:szCs w:val="28"/>
          <w:lang w:val="en-GB"/>
        </w:rPr>
      </w:pPr>
      <w:r w:rsidRPr="00563CF9">
        <w:rPr>
          <w:noProof/>
          <w:lang w:val="en-GB" w:bidi="en-GB"/>
        </w:rPr>
        <w:t>0156835 (MEROPENEM KABI) was CZK 2,344.10 (i.e. 245.22 %) in 2015, when the CMH purchased one package for CZK 955.90 and the BUH for CZK 3,300.00. The BUH purchased the drug on an order basis without a tender procedure, unlike the CMH.</w:t>
      </w:r>
    </w:p>
    <w:p w:rsidR="00BF5D38" w:rsidRPr="00563CF9" w:rsidRDefault="0008554B" w:rsidP="00B05C2B">
      <w:pPr>
        <w:spacing w:before="120"/>
        <w:rPr>
          <w:rFonts w:cstheme="minorHAnsi"/>
          <w:i/>
          <w:lang w:val="en-GB"/>
        </w:rPr>
      </w:pPr>
      <w:r w:rsidRPr="00563CF9">
        <w:rPr>
          <w:b/>
          <w:lang w:val="en-GB" w:bidi="en-GB"/>
        </w:rPr>
        <w:t>Among the university hospitals, in the unit purchase prices of a selected sample of pharmaceuticals, there were significant price differences, often even in purchases from the same suppliers. The different unit prices of the selected sample of pharmaceuticals were influenced, in particular, by extraordinary discounts from suppliers in the distribution, suppliers’ margins, the continuous change in supplier price lists, the existence of a single manufacturer, the contractor’s shortage, procurement without a tender procedure, direct distribution by a single supplier and the introduction of a generic product into the market. In the considerable price differences of pharmaceuticals, the SAO sees room for cost reductions, as it was found, for example, when comparing prices for pharmaceuticals of SÚKL code 0198417 (ABELCET) and SÚKL code 0156835 (MEROPENEM KABI), where they had been cheaper when purchased under a tender procedure.</w:t>
      </w:r>
    </w:p>
    <w:p w:rsidR="00CF25F1" w:rsidRPr="00563CF9" w:rsidRDefault="00B05C2B" w:rsidP="00757BF0">
      <w:pPr>
        <w:spacing w:before="240" w:after="120"/>
        <w:rPr>
          <w:rFonts w:cstheme="minorHAnsi"/>
          <w:b/>
          <w:noProof/>
          <w:color w:val="000000" w:themeColor="text1"/>
          <w:szCs w:val="26"/>
          <w:lang w:val="en-GB"/>
        </w:rPr>
      </w:pPr>
      <w:r w:rsidRPr="00563CF9">
        <w:rPr>
          <w:b/>
          <w:lang w:val="en-GB" w:bidi="en-GB"/>
        </w:rPr>
        <w:t>1.3 Bonuses for pharmaceuticals</w:t>
      </w:r>
    </w:p>
    <w:p w:rsidR="00CF25F1" w:rsidRPr="00563CF9" w:rsidRDefault="00CF25F1" w:rsidP="00B05C2B">
      <w:pPr>
        <w:autoSpaceDE w:val="0"/>
        <w:autoSpaceDN w:val="0"/>
        <w:adjustRightInd w:val="0"/>
        <w:spacing w:before="120"/>
        <w:rPr>
          <w:rFonts w:cs="Arial"/>
          <w:color w:val="000000" w:themeColor="text1"/>
          <w:lang w:val="en-GB"/>
        </w:rPr>
      </w:pPr>
      <w:r w:rsidRPr="00563CF9">
        <w:rPr>
          <w:lang w:val="en-GB" w:bidi="en-GB"/>
        </w:rPr>
        <w:t xml:space="preserve">The following table shows the received bonuses related to drug purchases of the individual university hospitals in the period 2014-2016. </w:t>
      </w:r>
    </w:p>
    <w:p w:rsidR="0021797B" w:rsidRPr="00563CF9" w:rsidRDefault="000C4D53" w:rsidP="00162A64">
      <w:pPr>
        <w:keepNext/>
        <w:tabs>
          <w:tab w:val="right" w:pos="9072"/>
        </w:tabs>
        <w:autoSpaceDE w:val="0"/>
        <w:autoSpaceDN w:val="0"/>
        <w:adjustRightInd w:val="0"/>
        <w:spacing w:before="120" w:after="40"/>
        <w:rPr>
          <w:rFonts w:cs="Arial"/>
          <w:b/>
          <w:color w:val="000000" w:themeColor="text1"/>
          <w:lang w:val="en-GB"/>
        </w:rPr>
      </w:pPr>
      <w:r w:rsidRPr="00563CF9">
        <w:rPr>
          <w:b/>
          <w:lang w:val="en-GB" w:bidi="en-GB"/>
        </w:rPr>
        <w:t xml:space="preserve">Table 9: Share of bonuses in the cost of pharmaceuticals in 2014-2016 </w:t>
      </w:r>
      <w:r w:rsidRPr="00563CF9">
        <w:rPr>
          <w:b/>
          <w:lang w:val="en-GB" w:bidi="en-GB"/>
        </w:rPr>
        <w:tab/>
        <w:t>(in CZK thousands)</w:t>
      </w:r>
    </w:p>
    <w:tbl>
      <w:tblPr>
        <w:tblW w:w="5000" w:type="pct"/>
        <w:tblCellMar>
          <w:left w:w="70" w:type="dxa"/>
          <w:right w:w="70" w:type="dxa"/>
        </w:tblCellMar>
        <w:tblLook w:val="04A0" w:firstRow="1" w:lastRow="0" w:firstColumn="1" w:lastColumn="0" w:noHBand="0" w:noVBand="1"/>
      </w:tblPr>
      <w:tblGrid>
        <w:gridCol w:w="548"/>
        <w:gridCol w:w="1342"/>
        <w:gridCol w:w="960"/>
        <w:gridCol w:w="503"/>
        <w:gridCol w:w="1341"/>
        <w:gridCol w:w="960"/>
        <w:gridCol w:w="503"/>
        <w:gridCol w:w="1487"/>
        <w:gridCol w:w="1065"/>
        <w:gridCol w:w="503"/>
      </w:tblGrid>
      <w:tr w:rsidR="0021797B" w:rsidRPr="00563CF9" w:rsidTr="00757BF0">
        <w:trPr>
          <w:trHeight w:val="227"/>
        </w:trPr>
        <w:tc>
          <w:tcPr>
            <w:tcW w:w="297" w:type="pct"/>
            <w:vMerge w:val="restart"/>
            <w:tcBorders>
              <w:top w:val="single" w:sz="4" w:space="0" w:color="auto"/>
              <w:left w:val="single" w:sz="4" w:space="0" w:color="auto"/>
              <w:bottom w:val="single" w:sz="4" w:space="0" w:color="auto"/>
              <w:right w:val="single" w:sz="4" w:space="0" w:color="auto"/>
            </w:tcBorders>
            <w:shd w:val="clear" w:color="000000" w:fill="E5F1FF"/>
            <w:noWrap/>
            <w:vAlign w:val="center"/>
            <w:hideMark/>
          </w:tcPr>
          <w:p w:rsidR="0021797B" w:rsidRPr="00563CF9" w:rsidRDefault="0021797B" w:rsidP="00162A64">
            <w:pPr>
              <w:keepNext/>
              <w:jc w:val="left"/>
              <w:rPr>
                <w:rFonts w:ascii="Calibri" w:hAnsi="Calibri"/>
                <w:b/>
                <w:bCs/>
                <w:color w:val="000000"/>
                <w:sz w:val="20"/>
                <w:lang w:val="en-GB"/>
              </w:rPr>
            </w:pPr>
            <w:r w:rsidRPr="00563CF9">
              <w:rPr>
                <w:sz w:val="20"/>
                <w:lang w:val="en-GB" w:bidi="en-GB"/>
              </w:rPr>
              <w:t> </w:t>
            </w:r>
          </w:p>
        </w:tc>
        <w:tc>
          <w:tcPr>
            <w:tcW w:w="1522" w:type="pct"/>
            <w:gridSpan w:val="3"/>
            <w:tcBorders>
              <w:top w:val="single" w:sz="4" w:space="0" w:color="auto"/>
              <w:left w:val="nil"/>
              <w:bottom w:val="single" w:sz="4" w:space="0" w:color="auto"/>
              <w:right w:val="single" w:sz="4" w:space="0" w:color="auto"/>
            </w:tcBorders>
            <w:shd w:val="clear" w:color="000000" w:fill="E5F1FF"/>
            <w:noWrap/>
            <w:vAlign w:val="center"/>
            <w:hideMark/>
          </w:tcPr>
          <w:p w:rsidR="0021797B" w:rsidRPr="00563CF9" w:rsidRDefault="0021797B" w:rsidP="00162A64">
            <w:pPr>
              <w:keepNext/>
              <w:jc w:val="center"/>
              <w:rPr>
                <w:rFonts w:ascii="Calibri" w:hAnsi="Calibri"/>
                <w:b/>
                <w:bCs/>
                <w:color w:val="000000"/>
                <w:sz w:val="20"/>
                <w:lang w:val="en-GB"/>
              </w:rPr>
            </w:pPr>
            <w:r w:rsidRPr="00563CF9">
              <w:rPr>
                <w:b/>
                <w:sz w:val="20"/>
                <w:lang w:val="en-GB" w:bidi="en-GB"/>
              </w:rPr>
              <w:t>2014</w:t>
            </w:r>
          </w:p>
        </w:tc>
        <w:tc>
          <w:tcPr>
            <w:tcW w:w="1522" w:type="pct"/>
            <w:gridSpan w:val="3"/>
            <w:tcBorders>
              <w:top w:val="single" w:sz="4" w:space="0" w:color="auto"/>
              <w:left w:val="nil"/>
              <w:bottom w:val="single" w:sz="4" w:space="0" w:color="auto"/>
              <w:right w:val="single" w:sz="4" w:space="0" w:color="auto"/>
            </w:tcBorders>
            <w:shd w:val="clear" w:color="000000" w:fill="E5F1FF"/>
            <w:noWrap/>
            <w:vAlign w:val="center"/>
            <w:hideMark/>
          </w:tcPr>
          <w:p w:rsidR="0021797B" w:rsidRPr="00563CF9" w:rsidRDefault="0021797B" w:rsidP="00162A64">
            <w:pPr>
              <w:keepNext/>
              <w:jc w:val="center"/>
              <w:rPr>
                <w:rFonts w:ascii="Calibri" w:hAnsi="Calibri"/>
                <w:b/>
                <w:bCs/>
                <w:color w:val="000000"/>
                <w:sz w:val="20"/>
                <w:lang w:val="en-GB"/>
              </w:rPr>
            </w:pPr>
            <w:r w:rsidRPr="00563CF9">
              <w:rPr>
                <w:b/>
                <w:sz w:val="20"/>
                <w:lang w:val="en-GB" w:bidi="en-GB"/>
              </w:rPr>
              <w:t>2015</w:t>
            </w:r>
          </w:p>
        </w:tc>
        <w:tc>
          <w:tcPr>
            <w:tcW w:w="1658" w:type="pct"/>
            <w:gridSpan w:val="3"/>
            <w:tcBorders>
              <w:top w:val="single" w:sz="4" w:space="0" w:color="auto"/>
              <w:left w:val="nil"/>
              <w:bottom w:val="single" w:sz="4" w:space="0" w:color="auto"/>
              <w:right w:val="single" w:sz="4" w:space="0" w:color="auto"/>
            </w:tcBorders>
            <w:shd w:val="clear" w:color="000000" w:fill="E5F1FF"/>
            <w:noWrap/>
            <w:vAlign w:val="center"/>
            <w:hideMark/>
          </w:tcPr>
          <w:p w:rsidR="0021797B" w:rsidRPr="00563CF9" w:rsidRDefault="0021797B" w:rsidP="00162A64">
            <w:pPr>
              <w:keepNext/>
              <w:jc w:val="center"/>
              <w:rPr>
                <w:rFonts w:ascii="Calibri" w:hAnsi="Calibri"/>
                <w:b/>
                <w:bCs/>
                <w:color w:val="000000"/>
                <w:sz w:val="20"/>
                <w:lang w:val="en-GB"/>
              </w:rPr>
            </w:pPr>
            <w:r w:rsidRPr="00563CF9">
              <w:rPr>
                <w:b/>
                <w:sz w:val="20"/>
                <w:lang w:val="en-GB" w:bidi="en-GB"/>
              </w:rPr>
              <w:t>2016</w:t>
            </w:r>
          </w:p>
        </w:tc>
      </w:tr>
      <w:tr w:rsidR="0021797B" w:rsidRPr="00563CF9" w:rsidTr="00757BF0">
        <w:trPr>
          <w:trHeight w:val="227"/>
        </w:trPr>
        <w:tc>
          <w:tcPr>
            <w:tcW w:w="297" w:type="pct"/>
            <w:vMerge/>
            <w:tcBorders>
              <w:top w:val="single" w:sz="4" w:space="0" w:color="auto"/>
              <w:left w:val="single" w:sz="4" w:space="0" w:color="auto"/>
              <w:bottom w:val="single" w:sz="4" w:space="0" w:color="auto"/>
              <w:right w:val="single" w:sz="4" w:space="0" w:color="auto"/>
            </w:tcBorders>
            <w:vAlign w:val="center"/>
            <w:hideMark/>
          </w:tcPr>
          <w:p w:rsidR="0021797B" w:rsidRPr="00563CF9" w:rsidRDefault="0021797B" w:rsidP="00162A64">
            <w:pPr>
              <w:keepNext/>
              <w:jc w:val="left"/>
              <w:rPr>
                <w:rFonts w:ascii="Calibri" w:hAnsi="Calibri"/>
                <w:b/>
                <w:bCs/>
                <w:color w:val="000000"/>
                <w:sz w:val="20"/>
                <w:lang w:val="en-GB"/>
              </w:rPr>
            </w:pPr>
          </w:p>
        </w:tc>
        <w:tc>
          <w:tcPr>
            <w:tcW w:w="728" w:type="pct"/>
            <w:tcBorders>
              <w:top w:val="nil"/>
              <w:left w:val="nil"/>
              <w:bottom w:val="single" w:sz="4" w:space="0" w:color="auto"/>
              <w:right w:val="single" w:sz="4" w:space="0" w:color="auto"/>
            </w:tcBorders>
            <w:shd w:val="clear" w:color="000000" w:fill="E5F1FF"/>
            <w:noWrap/>
            <w:vAlign w:val="center"/>
            <w:hideMark/>
          </w:tcPr>
          <w:p w:rsidR="0021797B" w:rsidRPr="00563CF9" w:rsidRDefault="0021797B" w:rsidP="00162A64">
            <w:pPr>
              <w:keepNext/>
              <w:jc w:val="center"/>
              <w:rPr>
                <w:rFonts w:ascii="Calibri" w:hAnsi="Calibri"/>
                <w:b/>
                <w:bCs/>
                <w:color w:val="000000"/>
                <w:sz w:val="20"/>
                <w:lang w:val="en-GB"/>
              </w:rPr>
            </w:pPr>
            <w:r w:rsidRPr="00563CF9">
              <w:rPr>
                <w:b/>
                <w:sz w:val="20"/>
                <w:lang w:val="en-GB" w:bidi="en-GB"/>
              </w:rPr>
              <w:t>Costs</w:t>
            </w:r>
          </w:p>
        </w:tc>
        <w:tc>
          <w:tcPr>
            <w:tcW w:w="521" w:type="pct"/>
            <w:tcBorders>
              <w:top w:val="nil"/>
              <w:left w:val="nil"/>
              <w:bottom w:val="single" w:sz="4" w:space="0" w:color="auto"/>
              <w:right w:val="single" w:sz="4" w:space="0" w:color="auto"/>
            </w:tcBorders>
            <w:shd w:val="clear" w:color="000000" w:fill="E5F1FF"/>
            <w:noWrap/>
            <w:vAlign w:val="center"/>
            <w:hideMark/>
          </w:tcPr>
          <w:p w:rsidR="0021797B" w:rsidRPr="00563CF9" w:rsidRDefault="0021797B" w:rsidP="00162A64">
            <w:pPr>
              <w:keepNext/>
              <w:jc w:val="center"/>
              <w:rPr>
                <w:rFonts w:ascii="Calibri" w:hAnsi="Calibri"/>
                <w:b/>
                <w:bCs/>
                <w:color w:val="000000"/>
                <w:sz w:val="20"/>
                <w:lang w:val="en-GB"/>
              </w:rPr>
            </w:pPr>
            <w:r w:rsidRPr="00563CF9">
              <w:rPr>
                <w:b/>
                <w:sz w:val="20"/>
                <w:lang w:val="en-GB" w:bidi="en-GB"/>
              </w:rPr>
              <w:t>Bonuses</w:t>
            </w:r>
          </w:p>
        </w:tc>
        <w:tc>
          <w:tcPr>
            <w:tcW w:w="273" w:type="pct"/>
            <w:tcBorders>
              <w:top w:val="nil"/>
              <w:left w:val="nil"/>
              <w:bottom w:val="single" w:sz="4" w:space="0" w:color="auto"/>
              <w:right w:val="single" w:sz="4" w:space="0" w:color="auto"/>
            </w:tcBorders>
            <w:shd w:val="clear" w:color="000000" w:fill="E5F1FF"/>
            <w:noWrap/>
            <w:vAlign w:val="center"/>
            <w:hideMark/>
          </w:tcPr>
          <w:p w:rsidR="0021797B" w:rsidRPr="00563CF9" w:rsidRDefault="0021797B" w:rsidP="00162A64">
            <w:pPr>
              <w:keepNext/>
              <w:jc w:val="center"/>
              <w:rPr>
                <w:rFonts w:ascii="Calibri" w:hAnsi="Calibri"/>
                <w:b/>
                <w:bCs/>
                <w:color w:val="000000"/>
                <w:sz w:val="20"/>
                <w:lang w:val="en-GB"/>
              </w:rPr>
            </w:pPr>
            <w:r w:rsidRPr="00563CF9">
              <w:rPr>
                <w:b/>
                <w:sz w:val="20"/>
                <w:lang w:val="en-GB" w:bidi="en-GB"/>
              </w:rPr>
              <w:t>%</w:t>
            </w:r>
          </w:p>
        </w:tc>
        <w:tc>
          <w:tcPr>
            <w:tcW w:w="728" w:type="pct"/>
            <w:tcBorders>
              <w:top w:val="nil"/>
              <w:left w:val="nil"/>
              <w:bottom w:val="single" w:sz="4" w:space="0" w:color="auto"/>
              <w:right w:val="single" w:sz="4" w:space="0" w:color="auto"/>
            </w:tcBorders>
            <w:shd w:val="clear" w:color="000000" w:fill="E5F1FF"/>
            <w:noWrap/>
            <w:vAlign w:val="center"/>
            <w:hideMark/>
          </w:tcPr>
          <w:p w:rsidR="0021797B" w:rsidRPr="00563CF9" w:rsidRDefault="0021797B" w:rsidP="00162A64">
            <w:pPr>
              <w:keepNext/>
              <w:jc w:val="center"/>
              <w:rPr>
                <w:rFonts w:ascii="Calibri" w:hAnsi="Calibri"/>
                <w:b/>
                <w:bCs/>
                <w:color w:val="000000"/>
                <w:sz w:val="20"/>
                <w:lang w:val="en-GB"/>
              </w:rPr>
            </w:pPr>
            <w:r w:rsidRPr="00563CF9">
              <w:rPr>
                <w:b/>
                <w:sz w:val="20"/>
                <w:lang w:val="en-GB" w:bidi="en-GB"/>
              </w:rPr>
              <w:t>Costs</w:t>
            </w:r>
          </w:p>
        </w:tc>
        <w:tc>
          <w:tcPr>
            <w:tcW w:w="521" w:type="pct"/>
            <w:tcBorders>
              <w:top w:val="nil"/>
              <w:left w:val="nil"/>
              <w:bottom w:val="single" w:sz="4" w:space="0" w:color="auto"/>
              <w:right w:val="single" w:sz="4" w:space="0" w:color="auto"/>
            </w:tcBorders>
            <w:shd w:val="clear" w:color="000000" w:fill="E5F1FF"/>
            <w:noWrap/>
            <w:vAlign w:val="center"/>
            <w:hideMark/>
          </w:tcPr>
          <w:p w:rsidR="0021797B" w:rsidRPr="00563CF9" w:rsidRDefault="0021797B" w:rsidP="00162A64">
            <w:pPr>
              <w:keepNext/>
              <w:jc w:val="center"/>
              <w:rPr>
                <w:rFonts w:ascii="Calibri" w:hAnsi="Calibri"/>
                <w:b/>
                <w:bCs/>
                <w:color w:val="000000"/>
                <w:sz w:val="20"/>
                <w:lang w:val="en-GB"/>
              </w:rPr>
            </w:pPr>
            <w:r w:rsidRPr="00563CF9">
              <w:rPr>
                <w:b/>
                <w:sz w:val="20"/>
                <w:lang w:val="en-GB" w:bidi="en-GB"/>
              </w:rPr>
              <w:t>Bonuses</w:t>
            </w:r>
          </w:p>
        </w:tc>
        <w:tc>
          <w:tcPr>
            <w:tcW w:w="273" w:type="pct"/>
            <w:tcBorders>
              <w:top w:val="nil"/>
              <w:left w:val="nil"/>
              <w:bottom w:val="single" w:sz="4" w:space="0" w:color="auto"/>
              <w:right w:val="single" w:sz="4" w:space="0" w:color="auto"/>
            </w:tcBorders>
            <w:shd w:val="clear" w:color="000000" w:fill="E5F1FF"/>
            <w:noWrap/>
            <w:vAlign w:val="center"/>
            <w:hideMark/>
          </w:tcPr>
          <w:p w:rsidR="0021797B" w:rsidRPr="00563CF9" w:rsidRDefault="0021797B" w:rsidP="00162A64">
            <w:pPr>
              <w:keepNext/>
              <w:jc w:val="center"/>
              <w:rPr>
                <w:rFonts w:ascii="Calibri" w:hAnsi="Calibri"/>
                <w:b/>
                <w:bCs/>
                <w:color w:val="000000"/>
                <w:sz w:val="20"/>
                <w:lang w:val="en-GB"/>
              </w:rPr>
            </w:pPr>
            <w:r w:rsidRPr="00563CF9">
              <w:rPr>
                <w:b/>
                <w:sz w:val="20"/>
                <w:lang w:val="en-GB" w:bidi="en-GB"/>
              </w:rPr>
              <w:t>%</w:t>
            </w:r>
          </w:p>
        </w:tc>
        <w:tc>
          <w:tcPr>
            <w:tcW w:w="807" w:type="pct"/>
            <w:tcBorders>
              <w:top w:val="nil"/>
              <w:left w:val="nil"/>
              <w:bottom w:val="single" w:sz="4" w:space="0" w:color="auto"/>
              <w:right w:val="single" w:sz="4" w:space="0" w:color="auto"/>
            </w:tcBorders>
            <w:shd w:val="clear" w:color="000000" w:fill="E5F1FF"/>
            <w:noWrap/>
            <w:vAlign w:val="center"/>
            <w:hideMark/>
          </w:tcPr>
          <w:p w:rsidR="0021797B" w:rsidRPr="00563CF9" w:rsidRDefault="0021797B" w:rsidP="00162A64">
            <w:pPr>
              <w:keepNext/>
              <w:jc w:val="center"/>
              <w:rPr>
                <w:rFonts w:ascii="Calibri" w:hAnsi="Calibri"/>
                <w:b/>
                <w:bCs/>
                <w:color w:val="000000"/>
                <w:sz w:val="20"/>
                <w:lang w:val="en-GB"/>
              </w:rPr>
            </w:pPr>
            <w:r w:rsidRPr="00563CF9">
              <w:rPr>
                <w:b/>
                <w:sz w:val="20"/>
                <w:lang w:val="en-GB" w:bidi="en-GB"/>
              </w:rPr>
              <w:t>Costs</w:t>
            </w:r>
          </w:p>
        </w:tc>
        <w:tc>
          <w:tcPr>
            <w:tcW w:w="578" w:type="pct"/>
            <w:tcBorders>
              <w:top w:val="nil"/>
              <w:left w:val="nil"/>
              <w:bottom w:val="single" w:sz="4" w:space="0" w:color="auto"/>
              <w:right w:val="single" w:sz="4" w:space="0" w:color="auto"/>
            </w:tcBorders>
            <w:shd w:val="clear" w:color="000000" w:fill="E5F1FF"/>
            <w:noWrap/>
            <w:vAlign w:val="center"/>
            <w:hideMark/>
          </w:tcPr>
          <w:p w:rsidR="0021797B" w:rsidRPr="00563CF9" w:rsidRDefault="0021797B" w:rsidP="00162A64">
            <w:pPr>
              <w:keepNext/>
              <w:jc w:val="center"/>
              <w:rPr>
                <w:rFonts w:ascii="Calibri" w:hAnsi="Calibri"/>
                <w:b/>
                <w:bCs/>
                <w:color w:val="000000"/>
                <w:sz w:val="20"/>
                <w:lang w:val="en-GB"/>
              </w:rPr>
            </w:pPr>
            <w:r w:rsidRPr="00563CF9">
              <w:rPr>
                <w:b/>
                <w:sz w:val="20"/>
                <w:lang w:val="en-GB" w:bidi="en-GB"/>
              </w:rPr>
              <w:t>Bonuses</w:t>
            </w:r>
          </w:p>
        </w:tc>
        <w:tc>
          <w:tcPr>
            <w:tcW w:w="273" w:type="pct"/>
            <w:tcBorders>
              <w:top w:val="nil"/>
              <w:left w:val="nil"/>
              <w:bottom w:val="single" w:sz="4" w:space="0" w:color="auto"/>
              <w:right w:val="single" w:sz="4" w:space="0" w:color="auto"/>
            </w:tcBorders>
            <w:shd w:val="clear" w:color="000000" w:fill="E5F1FF"/>
            <w:noWrap/>
            <w:vAlign w:val="center"/>
            <w:hideMark/>
          </w:tcPr>
          <w:p w:rsidR="0021797B" w:rsidRPr="00563CF9" w:rsidRDefault="0021797B" w:rsidP="00162A64">
            <w:pPr>
              <w:keepNext/>
              <w:jc w:val="center"/>
              <w:rPr>
                <w:rFonts w:ascii="Calibri" w:hAnsi="Calibri"/>
                <w:b/>
                <w:bCs/>
                <w:color w:val="000000"/>
                <w:sz w:val="20"/>
                <w:lang w:val="en-GB"/>
              </w:rPr>
            </w:pPr>
            <w:r w:rsidRPr="00563CF9">
              <w:rPr>
                <w:b/>
                <w:sz w:val="20"/>
                <w:lang w:val="en-GB" w:bidi="en-GB"/>
              </w:rPr>
              <w:t>%</w:t>
            </w:r>
          </w:p>
        </w:tc>
      </w:tr>
      <w:tr w:rsidR="0021797B" w:rsidRPr="00563CF9" w:rsidTr="00757BF0">
        <w:trPr>
          <w:trHeight w:val="227"/>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21797B" w:rsidRPr="00563CF9" w:rsidRDefault="0021797B" w:rsidP="00162A64">
            <w:pPr>
              <w:keepNext/>
              <w:ind w:left="-57" w:right="-57"/>
              <w:jc w:val="left"/>
              <w:rPr>
                <w:rFonts w:ascii="Calibri" w:hAnsi="Calibri"/>
                <w:b/>
                <w:bCs/>
                <w:color w:val="000000"/>
                <w:sz w:val="20"/>
                <w:lang w:val="en-GB"/>
              </w:rPr>
            </w:pPr>
            <w:r w:rsidRPr="00563CF9">
              <w:rPr>
                <w:b/>
                <w:sz w:val="20"/>
                <w:lang w:val="en-GB" w:bidi="en-GB"/>
              </w:rPr>
              <w:t>BUH</w:t>
            </w:r>
          </w:p>
        </w:tc>
        <w:tc>
          <w:tcPr>
            <w:tcW w:w="728" w:type="pct"/>
            <w:tcBorders>
              <w:top w:val="nil"/>
              <w:left w:val="nil"/>
              <w:bottom w:val="single" w:sz="4" w:space="0" w:color="auto"/>
              <w:right w:val="single" w:sz="4" w:space="0" w:color="auto"/>
            </w:tcBorders>
            <w:shd w:val="clear" w:color="auto" w:fill="auto"/>
            <w:vAlign w:val="center"/>
            <w:hideMark/>
          </w:tcPr>
          <w:p w:rsidR="0021797B" w:rsidRPr="00563CF9" w:rsidRDefault="0021797B" w:rsidP="00162A64">
            <w:pPr>
              <w:keepNext/>
              <w:ind w:left="-57" w:right="57"/>
              <w:jc w:val="right"/>
              <w:rPr>
                <w:rFonts w:ascii="Calibri" w:hAnsi="Calibri"/>
                <w:color w:val="000000"/>
                <w:sz w:val="20"/>
                <w:lang w:val="en-GB"/>
              </w:rPr>
            </w:pPr>
            <w:r w:rsidRPr="00563CF9">
              <w:rPr>
                <w:sz w:val="20"/>
                <w:lang w:val="en-GB" w:bidi="en-GB"/>
              </w:rPr>
              <w:t>1,934 865.47</w:t>
            </w:r>
          </w:p>
        </w:tc>
        <w:tc>
          <w:tcPr>
            <w:tcW w:w="521" w:type="pct"/>
            <w:tcBorders>
              <w:top w:val="nil"/>
              <w:left w:val="nil"/>
              <w:bottom w:val="single" w:sz="4" w:space="0" w:color="auto"/>
              <w:right w:val="single" w:sz="4" w:space="0" w:color="auto"/>
            </w:tcBorders>
            <w:shd w:val="clear" w:color="auto" w:fill="auto"/>
            <w:noWrap/>
            <w:vAlign w:val="center"/>
            <w:hideMark/>
          </w:tcPr>
          <w:p w:rsidR="0021797B" w:rsidRPr="00563CF9" w:rsidRDefault="0021797B" w:rsidP="00162A64">
            <w:pPr>
              <w:keepNext/>
              <w:ind w:left="-57" w:right="57"/>
              <w:jc w:val="right"/>
              <w:rPr>
                <w:rFonts w:ascii="Calibri" w:hAnsi="Calibri"/>
                <w:color w:val="000000"/>
                <w:sz w:val="20"/>
                <w:lang w:val="en-GB"/>
              </w:rPr>
            </w:pPr>
            <w:r w:rsidRPr="00563CF9">
              <w:rPr>
                <w:sz w:val="20"/>
                <w:lang w:val="en-GB" w:bidi="en-GB"/>
              </w:rPr>
              <w:t>92,212.67</w:t>
            </w:r>
          </w:p>
        </w:tc>
        <w:tc>
          <w:tcPr>
            <w:tcW w:w="273" w:type="pct"/>
            <w:tcBorders>
              <w:top w:val="nil"/>
              <w:left w:val="nil"/>
              <w:bottom w:val="single" w:sz="4" w:space="0" w:color="auto"/>
              <w:right w:val="single" w:sz="4" w:space="0" w:color="auto"/>
            </w:tcBorders>
            <w:shd w:val="clear" w:color="auto" w:fill="auto"/>
            <w:noWrap/>
            <w:vAlign w:val="center"/>
            <w:hideMark/>
          </w:tcPr>
          <w:p w:rsidR="0021797B" w:rsidRPr="00563CF9" w:rsidRDefault="0021797B" w:rsidP="00162A64">
            <w:pPr>
              <w:keepNext/>
              <w:ind w:left="-57" w:right="57"/>
              <w:jc w:val="right"/>
              <w:rPr>
                <w:rFonts w:ascii="Calibri" w:hAnsi="Calibri"/>
                <w:color w:val="000000"/>
                <w:sz w:val="20"/>
                <w:lang w:val="en-GB"/>
              </w:rPr>
            </w:pPr>
            <w:r w:rsidRPr="00563CF9">
              <w:rPr>
                <w:sz w:val="20"/>
                <w:lang w:val="en-GB" w:bidi="en-GB"/>
              </w:rPr>
              <w:t>4.77</w:t>
            </w:r>
          </w:p>
        </w:tc>
        <w:tc>
          <w:tcPr>
            <w:tcW w:w="728" w:type="pct"/>
            <w:tcBorders>
              <w:top w:val="nil"/>
              <w:left w:val="nil"/>
              <w:bottom w:val="single" w:sz="4" w:space="0" w:color="auto"/>
              <w:right w:val="single" w:sz="4" w:space="0" w:color="auto"/>
            </w:tcBorders>
            <w:shd w:val="clear" w:color="auto" w:fill="auto"/>
            <w:vAlign w:val="center"/>
            <w:hideMark/>
          </w:tcPr>
          <w:p w:rsidR="0021797B" w:rsidRPr="00563CF9" w:rsidRDefault="0021797B" w:rsidP="00162A64">
            <w:pPr>
              <w:keepNext/>
              <w:ind w:left="-57" w:right="57"/>
              <w:jc w:val="right"/>
              <w:rPr>
                <w:rFonts w:ascii="Calibri" w:hAnsi="Calibri"/>
                <w:color w:val="000000"/>
                <w:sz w:val="20"/>
                <w:lang w:val="en-GB"/>
              </w:rPr>
            </w:pPr>
            <w:r w:rsidRPr="00563CF9">
              <w:rPr>
                <w:sz w:val="20"/>
                <w:lang w:val="en-GB" w:bidi="en-GB"/>
              </w:rPr>
              <w:t>2,100,988.62</w:t>
            </w:r>
          </w:p>
        </w:tc>
        <w:tc>
          <w:tcPr>
            <w:tcW w:w="521" w:type="pct"/>
            <w:tcBorders>
              <w:top w:val="nil"/>
              <w:left w:val="nil"/>
              <w:bottom w:val="single" w:sz="4" w:space="0" w:color="auto"/>
              <w:right w:val="single" w:sz="4" w:space="0" w:color="auto"/>
            </w:tcBorders>
            <w:shd w:val="clear" w:color="auto" w:fill="auto"/>
            <w:noWrap/>
            <w:vAlign w:val="center"/>
            <w:hideMark/>
          </w:tcPr>
          <w:p w:rsidR="0021797B" w:rsidRPr="00563CF9" w:rsidRDefault="0021797B" w:rsidP="00162A64">
            <w:pPr>
              <w:keepNext/>
              <w:ind w:left="-57" w:right="57"/>
              <w:jc w:val="right"/>
              <w:rPr>
                <w:rFonts w:ascii="Calibri" w:hAnsi="Calibri"/>
                <w:color w:val="000000"/>
                <w:sz w:val="20"/>
                <w:lang w:val="en-GB"/>
              </w:rPr>
            </w:pPr>
            <w:r w:rsidRPr="00563CF9">
              <w:rPr>
                <w:sz w:val="20"/>
                <w:lang w:val="en-GB" w:bidi="en-GB"/>
              </w:rPr>
              <w:t>94,443.70</w:t>
            </w:r>
          </w:p>
        </w:tc>
        <w:tc>
          <w:tcPr>
            <w:tcW w:w="273" w:type="pct"/>
            <w:tcBorders>
              <w:top w:val="nil"/>
              <w:left w:val="nil"/>
              <w:bottom w:val="single" w:sz="4" w:space="0" w:color="auto"/>
              <w:right w:val="single" w:sz="4" w:space="0" w:color="auto"/>
            </w:tcBorders>
            <w:shd w:val="clear" w:color="auto" w:fill="auto"/>
            <w:noWrap/>
            <w:vAlign w:val="center"/>
            <w:hideMark/>
          </w:tcPr>
          <w:p w:rsidR="0021797B" w:rsidRPr="00563CF9" w:rsidRDefault="0021797B" w:rsidP="00162A64">
            <w:pPr>
              <w:keepNext/>
              <w:ind w:left="-57" w:right="57"/>
              <w:jc w:val="right"/>
              <w:rPr>
                <w:rFonts w:ascii="Calibri" w:hAnsi="Calibri"/>
                <w:color w:val="000000"/>
                <w:sz w:val="20"/>
                <w:lang w:val="en-GB"/>
              </w:rPr>
            </w:pPr>
            <w:r w:rsidRPr="00563CF9">
              <w:rPr>
                <w:sz w:val="20"/>
                <w:lang w:val="en-GB" w:bidi="en-GB"/>
              </w:rPr>
              <w:t>4.50</w:t>
            </w:r>
          </w:p>
        </w:tc>
        <w:tc>
          <w:tcPr>
            <w:tcW w:w="807" w:type="pct"/>
            <w:tcBorders>
              <w:top w:val="nil"/>
              <w:left w:val="nil"/>
              <w:bottom w:val="single" w:sz="4" w:space="0" w:color="auto"/>
              <w:right w:val="single" w:sz="4" w:space="0" w:color="auto"/>
            </w:tcBorders>
            <w:shd w:val="clear" w:color="auto" w:fill="auto"/>
            <w:vAlign w:val="center"/>
            <w:hideMark/>
          </w:tcPr>
          <w:p w:rsidR="0021797B" w:rsidRPr="00563CF9" w:rsidRDefault="0021797B" w:rsidP="00162A64">
            <w:pPr>
              <w:keepNext/>
              <w:ind w:left="-57" w:right="57"/>
              <w:jc w:val="right"/>
              <w:rPr>
                <w:rFonts w:ascii="Calibri" w:hAnsi="Calibri"/>
                <w:color w:val="000000"/>
                <w:sz w:val="20"/>
                <w:lang w:val="en-GB"/>
              </w:rPr>
            </w:pPr>
            <w:r w:rsidRPr="00563CF9">
              <w:rPr>
                <w:sz w:val="20"/>
                <w:lang w:val="en-GB" w:bidi="en-GB"/>
              </w:rPr>
              <w:t>2,502,788.40</w:t>
            </w:r>
          </w:p>
        </w:tc>
        <w:tc>
          <w:tcPr>
            <w:tcW w:w="578" w:type="pct"/>
            <w:tcBorders>
              <w:top w:val="nil"/>
              <w:left w:val="nil"/>
              <w:bottom w:val="single" w:sz="4" w:space="0" w:color="auto"/>
              <w:right w:val="single" w:sz="4" w:space="0" w:color="auto"/>
            </w:tcBorders>
            <w:shd w:val="clear" w:color="auto" w:fill="auto"/>
            <w:noWrap/>
            <w:vAlign w:val="center"/>
            <w:hideMark/>
          </w:tcPr>
          <w:p w:rsidR="0021797B" w:rsidRPr="00563CF9" w:rsidRDefault="0021797B" w:rsidP="00162A64">
            <w:pPr>
              <w:keepNext/>
              <w:ind w:left="-57" w:right="57"/>
              <w:jc w:val="right"/>
              <w:rPr>
                <w:rFonts w:ascii="Calibri" w:hAnsi="Calibri"/>
                <w:color w:val="000000"/>
                <w:sz w:val="20"/>
                <w:lang w:val="en-GB"/>
              </w:rPr>
            </w:pPr>
            <w:r w:rsidRPr="00563CF9">
              <w:rPr>
                <w:sz w:val="20"/>
                <w:lang w:val="en-GB" w:bidi="en-GB"/>
              </w:rPr>
              <w:t>112,533.39</w:t>
            </w:r>
          </w:p>
        </w:tc>
        <w:tc>
          <w:tcPr>
            <w:tcW w:w="273" w:type="pct"/>
            <w:tcBorders>
              <w:top w:val="nil"/>
              <w:left w:val="nil"/>
              <w:bottom w:val="single" w:sz="4" w:space="0" w:color="auto"/>
              <w:right w:val="single" w:sz="4" w:space="0" w:color="auto"/>
            </w:tcBorders>
            <w:shd w:val="clear" w:color="auto" w:fill="auto"/>
            <w:noWrap/>
            <w:vAlign w:val="center"/>
            <w:hideMark/>
          </w:tcPr>
          <w:p w:rsidR="0021797B" w:rsidRPr="00563CF9" w:rsidRDefault="0021797B" w:rsidP="00162A64">
            <w:pPr>
              <w:keepNext/>
              <w:ind w:left="-57" w:right="57"/>
              <w:jc w:val="right"/>
              <w:rPr>
                <w:rFonts w:ascii="Calibri" w:hAnsi="Calibri"/>
                <w:color w:val="000000"/>
                <w:sz w:val="20"/>
                <w:lang w:val="en-GB"/>
              </w:rPr>
            </w:pPr>
            <w:r w:rsidRPr="00563CF9">
              <w:rPr>
                <w:sz w:val="20"/>
                <w:lang w:val="en-GB" w:bidi="en-GB"/>
              </w:rPr>
              <w:t>4.50</w:t>
            </w:r>
          </w:p>
        </w:tc>
      </w:tr>
      <w:tr w:rsidR="0021797B" w:rsidRPr="00563CF9" w:rsidTr="00757BF0">
        <w:trPr>
          <w:trHeight w:val="227"/>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21797B" w:rsidRPr="00563CF9" w:rsidRDefault="0021797B" w:rsidP="00162A64">
            <w:pPr>
              <w:keepNext/>
              <w:ind w:left="-57" w:right="-57"/>
              <w:jc w:val="left"/>
              <w:rPr>
                <w:rFonts w:ascii="Calibri" w:hAnsi="Calibri"/>
                <w:b/>
                <w:bCs/>
                <w:color w:val="000000"/>
                <w:sz w:val="20"/>
                <w:lang w:val="en-GB"/>
              </w:rPr>
            </w:pPr>
            <w:r w:rsidRPr="00563CF9">
              <w:rPr>
                <w:b/>
                <w:sz w:val="20"/>
                <w:lang w:val="en-GB" w:bidi="en-GB"/>
              </w:rPr>
              <w:t>MUH</w:t>
            </w:r>
          </w:p>
        </w:tc>
        <w:tc>
          <w:tcPr>
            <w:tcW w:w="728" w:type="pct"/>
            <w:tcBorders>
              <w:top w:val="nil"/>
              <w:left w:val="nil"/>
              <w:bottom w:val="single" w:sz="4" w:space="0" w:color="auto"/>
              <w:right w:val="single" w:sz="4" w:space="0" w:color="auto"/>
            </w:tcBorders>
            <w:shd w:val="clear" w:color="auto" w:fill="auto"/>
            <w:noWrap/>
            <w:vAlign w:val="center"/>
            <w:hideMark/>
          </w:tcPr>
          <w:p w:rsidR="0021797B" w:rsidRPr="00563CF9" w:rsidRDefault="0021797B" w:rsidP="00162A64">
            <w:pPr>
              <w:keepNext/>
              <w:ind w:left="-57" w:right="57"/>
              <w:jc w:val="right"/>
              <w:rPr>
                <w:rFonts w:ascii="Calibri" w:hAnsi="Calibri"/>
                <w:color w:val="000000"/>
                <w:sz w:val="20"/>
                <w:lang w:val="en-GB"/>
              </w:rPr>
            </w:pPr>
            <w:r w:rsidRPr="00563CF9">
              <w:rPr>
                <w:sz w:val="20"/>
                <w:lang w:val="en-GB" w:bidi="en-GB"/>
              </w:rPr>
              <w:t>1,273,104.74</w:t>
            </w:r>
          </w:p>
        </w:tc>
        <w:tc>
          <w:tcPr>
            <w:tcW w:w="521" w:type="pct"/>
            <w:tcBorders>
              <w:top w:val="nil"/>
              <w:left w:val="nil"/>
              <w:bottom w:val="single" w:sz="4" w:space="0" w:color="auto"/>
              <w:right w:val="single" w:sz="4" w:space="0" w:color="auto"/>
            </w:tcBorders>
            <w:shd w:val="clear" w:color="auto" w:fill="auto"/>
            <w:noWrap/>
            <w:vAlign w:val="center"/>
            <w:hideMark/>
          </w:tcPr>
          <w:p w:rsidR="0021797B" w:rsidRPr="00563CF9" w:rsidRDefault="0021797B" w:rsidP="00162A64">
            <w:pPr>
              <w:keepNext/>
              <w:ind w:left="-57" w:right="57"/>
              <w:jc w:val="right"/>
              <w:rPr>
                <w:rFonts w:ascii="Calibri" w:hAnsi="Calibri"/>
                <w:color w:val="000000"/>
                <w:sz w:val="20"/>
                <w:lang w:val="en-GB"/>
              </w:rPr>
            </w:pPr>
            <w:r w:rsidRPr="00563CF9">
              <w:rPr>
                <w:sz w:val="20"/>
                <w:lang w:val="en-GB" w:bidi="en-GB"/>
              </w:rPr>
              <w:t>48,601.50</w:t>
            </w:r>
          </w:p>
        </w:tc>
        <w:tc>
          <w:tcPr>
            <w:tcW w:w="273" w:type="pct"/>
            <w:tcBorders>
              <w:top w:val="nil"/>
              <w:left w:val="nil"/>
              <w:bottom w:val="single" w:sz="4" w:space="0" w:color="auto"/>
              <w:right w:val="single" w:sz="4" w:space="0" w:color="auto"/>
            </w:tcBorders>
            <w:shd w:val="clear" w:color="auto" w:fill="auto"/>
            <w:noWrap/>
            <w:vAlign w:val="center"/>
            <w:hideMark/>
          </w:tcPr>
          <w:p w:rsidR="0021797B" w:rsidRPr="00563CF9" w:rsidRDefault="0021797B" w:rsidP="00162A64">
            <w:pPr>
              <w:keepNext/>
              <w:ind w:left="-57" w:right="57"/>
              <w:jc w:val="right"/>
              <w:rPr>
                <w:rFonts w:ascii="Calibri" w:hAnsi="Calibri"/>
                <w:color w:val="000000"/>
                <w:sz w:val="20"/>
                <w:lang w:val="en-GB"/>
              </w:rPr>
            </w:pPr>
            <w:r w:rsidRPr="00563CF9">
              <w:rPr>
                <w:sz w:val="20"/>
                <w:lang w:val="en-GB" w:bidi="en-GB"/>
              </w:rPr>
              <w:t>3.82</w:t>
            </w:r>
          </w:p>
        </w:tc>
        <w:tc>
          <w:tcPr>
            <w:tcW w:w="728" w:type="pct"/>
            <w:tcBorders>
              <w:top w:val="nil"/>
              <w:left w:val="nil"/>
              <w:bottom w:val="single" w:sz="4" w:space="0" w:color="auto"/>
              <w:right w:val="single" w:sz="4" w:space="0" w:color="auto"/>
            </w:tcBorders>
            <w:shd w:val="clear" w:color="auto" w:fill="auto"/>
            <w:noWrap/>
            <w:vAlign w:val="center"/>
            <w:hideMark/>
          </w:tcPr>
          <w:p w:rsidR="0021797B" w:rsidRPr="00563CF9" w:rsidRDefault="0021797B" w:rsidP="00162A64">
            <w:pPr>
              <w:keepNext/>
              <w:ind w:left="-57" w:right="57"/>
              <w:jc w:val="right"/>
              <w:rPr>
                <w:rFonts w:ascii="Calibri" w:hAnsi="Calibri"/>
                <w:color w:val="000000"/>
                <w:sz w:val="20"/>
                <w:lang w:val="en-GB"/>
              </w:rPr>
            </w:pPr>
            <w:r w:rsidRPr="00563CF9">
              <w:rPr>
                <w:sz w:val="20"/>
                <w:lang w:val="en-GB" w:bidi="en-GB"/>
              </w:rPr>
              <w:t>1,369,906.43</w:t>
            </w:r>
          </w:p>
        </w:tc>
        <w:tc>
          <w:tcPr>
            <w:tcW w:w="521" w:type="pct"/>
            <w:tcBorders>
              <w:top w:val="nil"/>
              <w:left w:val="nil"/>
              <w:bottom w:val="single" w:sz="4" w:space="0" w:color="auto"/>
              <w:right w:val="single" w:sz="4" w:space="0" w:color="auto"/>
            </w:tcBorders>
            <w:shd w:val="clear" w:color="auto" w:fill="auto"/>
            <w:noWrap/>
            <w:vAlign w:val="center"/>
            <w:hideMark/>
          </w:tcPr>
          <w:p w:rsidR="0021797B" w:rsidRPr="00563CF9" w:rsidRDefault="0021797B" w:rsidP="00162A64">
            <w:pPr>
              <w:keepNext/>
              <w:ind w:left="-57" w:right="57"/>
              <w:jc w:val="right"/>
              <w:rPr>
                <w:rFonts w:ascii="Calibri" w:hAnsi="Calibri"/>
                <w:color w:val="000000"/>
                <w:sz w:val="20"/>
                <w:lang w:val="en-GB"/>
              </w:rPr>
            </w:pPr>
            <w:r w:rsidRPr="00563CF9">
              <w:rPr>
                <w:sz w:val="20"/>
                <w:lang w:val="en-GB" w:bidi="en-GB"/>
              </w:rPr>
              <w:t>77,848.92</w:t>
            </w:r>
          </w:p>
        </w:tc>
        <w:tc>
          <w:tcPr>
            <w:tcW w:w="273" w:type="pct"/>
            <w:tcBorders>
              <w:top w:val="nil"/>
              <w:left w:val="nil"/>
              <w:bottom w:val="single" w:sz="4" w:space="0" w:color="auto"/>
              <w:right w:val="single" w:sz="4" w:space="0" w:color="auto"/>
            </w:tcBorders>
            <w:shd w:val="clear" w:color="auto" w:fill="auto"/>
            <w:noWrap/>
            <w:vAlign w:val="center"/>
            <w:hideMark/>
          </w:tcPr>
          <w:p w:rsidR="0021797B" w:rsidRPr="00563CF9" w:rsidRDefault="0021797B" w:rsidP="00162A64">
            <w:pPr>
              <w:keepNext/>
              <w:ind w:left="-57" w:right="57"/>
              <w:jc w:val="right"/>
              <w:rPr>
                <w:rFonts w:ascii="Calibri" w:hAnsi="Calibri"/>
                <w:color w:val="000000"/>
                <w:sz w:val="20"/>
                <w:lang w:val="en-GB"/>
              </w:rPr>
            </w:pPr>
            <w:r w:rsidRPr="00563CF9">
              <w:rPr>
                <w:sz w:val="20"/>
                <w:lang w:val="en-GB" w:bidi="en-GB"/>
              </w:rPr>
              <w:t>5.68</w:t>
            </w:r>
          </w:p>
        </w:tc>
        <w:tc>
          <w:tcPr>
            <w:tcW w:w="807" w:type="pct"/>
            <w:tcBorders>
              <w:top w:val="nil"/>
              <w:left w:val="nil"/>
              <w:bottom w:val="single" w:sz="4" w:space="0" w:color="auto"/>
              <w:right w:val="single" w:sz="4" w:space="0" w:color="auto"/>
            </w:tcBorders>
            <w:shd w:val="clear" w:color="auto" w:fill="auto"/>
            <w:noWrap/>
            <w:vAlign w:val="center"/>
            <w:hideMark/>
          </w:tcPr>
          <w:p w:rsidR="0021797B" w:rsidRPr="00563CF9" w:rsidRDefault="0021797B" w:rsidP="00162A64">
            <w:pPr>
              <w:keepNext/>
              <w:ind w:left="-57" w:right="57"/>
              <w:jc w:val="right"/>
              <w:rPr>
                <w:rFonts w:ascii="Calibri" w:hAnsi="Calibri"/>
                <w:color w:val="000000"/>
                <w:sz w:val="20"/>
                <w:lang w:val="en-GB"/>
              </w:rPr>
            </w:pPr>
            <w:r w:rsidRPr="00563CF9">
              <w:rPr>
                <w:sz w:val="20"/>
                <w:lang w:val="en-GB" w:bidi="en-GB"/>
              </w:rPr>
              <w:t>1,521,071.72</w:t>
            </w:r>
          </w:p>
        </w:tc>
        <w:tc>
          <w:tcPr>
            <w:tcW w:w="578" w:type="pct"/>
            <w:tcBorders>
              <w:top w:val="nil"/>
              <w:left w:val="nil"/>
              <w:bottom w:val="single" w:sz="4" w:space="0" w:color="auto"/>
              <w:right w:val="single" w:sz="4" w:space="0" w:color="auto"/>
            </w:tcBorders>
            <w:shd w:val="clear" w:color="auto" w:fill="auto"/>
            <w:noWrap/>
            <w:vAlign w:val="center"/>
            <w:hideMark/>
          </w:tcPr>
          <w:p w:rsidR="0021797B" w:rsidRPr="00563CF9" w:rsidRDefault="0021797B" w:rsidP="00162A64">
            <w:pPr>
              <w:keepNext/>
              <w:ind w:left="-57" w:right="57"/>
              <w:jc w:val="right"/>
              <w:rPr>
                <w:rFonts w:ascii="Calibri" w:hAnsi="Calibri"/>
                <w:color w:val="000000"/>
                <w:sz w:val="20"/>
                <w:lang w:val="en-GB"/>
              </w:rPr>
            </w:pPr>
            <w:r w:rsidRPr="00563CF9">
              <w:rPr>
                <w:sz w:val="20"/>
                <w:lang w:val="en-GB" w:bidi="en-GB"/>
              </w:rPr>
              <w:t>77,305.07</w:t>
            </w:r>
          </w:p>
        </w:tc>
        <w:tc>
          <w:tcPr>
            <w:tcW w:w="273" w:type="pct"/>
            <w:tcBorders>
              <w:top w:val="nil"/>
              <w:left w:val="nil"/>
              <w:bottom w:val="single" w:sz="4" w:space="0" w:color="auto"/>
              <w:right w:val="single" w:sz="4" w:space="0" w:color="auto"/>
            </w:tcBorders>
            <w:shd w:val="clear" w:color="auto" w:fill="auto"/>
            <w:noWrap/>
            <w:vAlign w:val="center"/>
            <w:hideMark/>
          </w:tcPr>
          <w:p w:rsidR="0021797B" w:rsidRPr="00563CF9" w:rsidRDefault="0021797B" w:rsidP="00162A64">
            <w:pPr>
              <w:keepNext/>
              <w:ind w:left="-57" w:right="57"/>
              <w:jc w:val="right"/>
              <w:rPr>
                <w:rFonts w:ascii="Calibri" w:hAnsi="Calibri"/>
                <w:color w:val="000000"/>
                <w:sz w:val="20"/>
                <w:lang w:val="en-GB"/>
              </w:rPr>
            </w:pPr>
            <w:r w:rsidRPr="00563CF9">
              <w:rPr>
                <w:sz w:val="20"/>
                <w:lang w:val="en-GB" w:bidi="en-GB"/>
              </w:rPr>
              <w:t>5.08</w:t>
            </w:r>
          </w:p>
        </w:tc>
      </w:tr>
      <w:tr w:rsidR="0021797B" w:rsidRPr="00563CF9" w:rsidTr="00757BF0">
        <w:trPr>
          <w:trHeight w:val="227"/>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21797B" w:rsidRPr="00563CF9" w:rsidRDefault="0021797B" w:rsidP="00162A64">
            <w:pPr>
              <w:keepNext/>
              <w:ind w:left="-57" w:right="-57"/>
              <w:jc w:val="left"/>
              <w:rPr>
                <w:rFonts w:ascii="Calibri" w:hAnsi="Calibri"/>
                <w:b/>
                <w:bCs/>
                <w:color w:val="000000"/>
                <w:sz w:val="20"/>
                <w:lang w:val="en-GB"/>
              </w:rPr>
            </w:pPr>
            <w:r w:rsidRPr="00563CF9">
              <w:rPr>
                <w:b/>
                <w:sz w:val="20"/>
                <w:lang w:val="en-GB" w:bidi="en-GB"/>
              </w:rPr>
              <w:t>CMH</w:t>
            </w:r>
          </w:p>
        </w:tc>
        <w:tc>
          <w:tcPr>
            <w:tcW w:w="728" w:type="pct"/>
            <w:tcBorders>
              <w:top w:val="nil"/>
              <w:left w:val="nil"/>
              <w:bottom w:val="single" w:sz="4" w:space="0" w:color="auto"/>
              <w:right w:val="single" w:sz="4" w:space="0" w:color="auto"/>
            </w:tcBorders>
            <w:shd w:val="clear" w:color="auto" w:fill="auto"/>
            <w:noWrap/>
            <w:vAlign w:val="center"/>
            <w:hideMark/>
          </w:tcPr>
          <w:p w:rsidR="0021797B" w:rsidRPr="00563CF9" w:rsidRDefault="0021797B" w:rsidP="00162A64">
            <w:pPr>
              <w:keepNext/>
              <w:ind w:left="-57" w:right="57"/>
              <w:jc w:val="right"/>
              <w:rPr>
                <w:rFonts w:ascii="Calibri" w:hAnsi="Calibri"/>
                <w:color w:val="000000"/>
                <w:sz w:val="20"/>
                <w:lang w:val="en-GB"/>
              </w:rPr>
            </w:pPr>
            <w:r w:rsidRPr="00563CF9">
              <w:rPr>
                <w:sz w:val="20"/>
                <w:lang w:val="en-GB" w:bidi="en-GB"/>
              </w:rPr>
              <w:t>141,119.58</w:t>
            </w:r>
          </w:p>
        </w:tc>
        <w:tc>
          <w:tcPr>
            <w:tcW w:w="521" w:type="pct"/>
            <w:tcBorders>
              <w:top w:val="nil"/>
              <w:left w:val="nil"/>
              <w:bottom w:val="single" w:sz="4" w:space="0" w:color="auto"/>
              <w:right w:val="single" w:sz="4" w:space="0" w:color="auto"/>
            </w:tcBorders>
            <w:shd w:val="clear" w:color="auto" w:fill="auto"/>
            <w:noWrap/>
            <w:vAlign w:val="center"/>
            <w:hideMark/>
          </w:tcPr>
          <w:p w:rsidR="0021797B" w:rsidRPr="00563CF9" w:rsidRDefault="0021797B" w:rsidP="00162A64">
            <w:pPr>
              <w:keepNext/>
              <w:ind w:left="-57" w:right="57"/>
              <w:jc w:val="right"/>
              <w:rPr>
                <w:rFonts w:ascii="Calibri" w:hAnsi="Calibri"/>
                <w:color w:val="000000"/>
                <w:sz w:val="20"/>
                <w:lang w:val="en-GB"/>
              </w:rPr>
            </w:pPr>
            <w:r w:rsidRPr="00563CF9">
              <w:rPr>
                <w:sz w:val="20"/>
                <w:lang w:val="en-GB" w:bidi="en-GB"/>
              </w:rPr>
              <w:t>0.00</w:t>
            </w:r>
          </w:p>
        </w:tc>
        <w:tc>
          <w:tcPr>
            <w:tcW w:w="273" w:type="pct"/>
            <w:tcBorders>
              <w:top w:val="nil"/>
              <w:left w:val="nil"/>
              <w:bottom w:val="single" w:sz="4" w:space="0" w:color="auto"/>
              <w:right w:val="single" w:sz="4" w:space="0" w:color="auto"/>
            </w:tcBorders>
            <w:shd w:val="clear" w:color="auto" w:fill="auto"/>
            <w:noWrap/>
            <w:vAlign w:val="center"/>
            <w:hideMark/>
          </w:tcPr>
          <w:p w:rsidR="0021797B" w:rsidRPr="00563CF9" w:rsidRDefault="0021797B" w:rsidP="00162A64">
            <w:pPr>
              <w:keepNext/>
              <w:ind w:left="-57" w:right="57"/>
              <w:jc w:val="right"/>
              <w:rPr>
                <w:rFonts w:ascii="Calibri" w:hAnsi="Calibri"/>
                <w:color w:val="000000"/>
                <w:sz w:val="20"/>
                <w:lang w:val="en-GB"/>
              </w:rPr>
            </w:pPr>
            <w:r w:rsidRPr="00563CF9">
              <w:rPr>
                <w:sz w:val="20"/>
                <w:lang w:val="en-GB" w:bidi="en-GB"/>
              </w:rPr>
              <w:t>0.00</w:t>
            </w:r>
          </w:p>
        </w:tc>
        <w:tc>
          <w:tcPr>
            <w:tcW w:w="728" w:type="pct"/>
            <w:tcBorders>
              <w:top w:val="nil"/>
              <w:left w:val="nil"/>
              <w:bottom w:val="single" w:sz="4" w:space="0" w:color="auto"/>
              <w:right w:val="single" w:sz="4" w:space="0" w:color="auto"/>
            </w:tcBorders>
            <w:shd w:val="clear" w:color="auto" w:fill="auto"/>
            <w:noWrap/>
            <w:vAlign w:val="center"/>
            <w:hideMark/>
          </w:tcPr>
          <w:p w:rsidR="0021797B" w:rsidRPr="00563CF9" w:rsidRDefault="0021797B" w:rsidP="00162A64">
            <w:pPr>
              <w:keepNext/>
              <w:ind w:left="-57" w:right="57"/>
              <w:jc w:val="right"/>
              <w:rPr>
                <w:rFonts w:ascii="Calibri" w:hAnsi="Calibri"/>
                <w:color w:val="000000"/>
                <w:sz w:val="20"/>
                <w:lang w:val="en-GB"/>
              </w:rPr>
            </w:pPr>
            <w:r w:rsidRPr="00563CF9">
              <w:rPr>
                <w:sz w:val="20"/>
                <w:lang w:val="en-GB" w:bidi="en-GB"/>
              </w:rPr>
              <w:t>157,737.61</w:t>
            </w:r>
          </w:p>
        </w:tc>
        <w:tc>
          <w:tcPr>
            <w:tcW w:w="521" w:type="pct"/>
            <w:tcBorders>
              <w:top w:val="nil"/>
              <w:left w:val="nil"/>
              <w:bottom w:val="single" w:sz="4" w:space="0" w:color="auto"/>
              <w:right w:val="single" w:sz="4" w:space="0" w:color="auto"/>
            </w:tcBorders>
            <w:shd w:val="clear" w:color="auto" w:fill="auto"/>
            <w:noWrap/>
            <w:vAlign w:val="center"/>
            <w:hideMark/>
          </w:tcPr>
          <w:p w:rsidR="0021797B" w:rsidRPr="00563CF9" w:rsidRDefault="0021797B" w:rsidP="00162A64">
            <w:pPr>
              <w:keepNext/>
              <w:ind w:left="-57" w:right="57"/>
              <w:jc w:val="right"/>
              <w:rPr>
                <w:rFonts w:ascii="Calibri" w:hAnsi="Calibri"/>
                <w:color w:val="000000"/>
                <w:sz w:val="20"/>
                <w:lang w:val="en-GB"/>
              </w:rPr>
            </w:pPr>
            <w:r w:rsidRPr="00563CF9">
              <w:rPr>
                <w:sz w:val="20"/>
                <w:lang w:val="en-GB" w:bidi="en-GB"/>
              </w:rPr>
              <w:t>0.00</w:t>
            </w:r>
          </w:p>
        </w:tc>
        <w:tc>
          <w:tcPr>
            <w:tcW w:w="273" w:type="pct"/>
            <w:tcBorders>
              <w:top w:val="nil"/>
              <w:left w:val="nil"/>
              <w:bottom w:val="single" w:sz="4" w:space="0" w:color="auto"/>
              <w:right w:val="single" w:sz="4" w:space="0" w:color="auto"/>
            </w:tcBorders>
            <w:shd w:val="clear" w:color="auto" w:fill="auto"/>
            <w:noWrap/>
            <w:vAlign w:val="center"/>
            <w:hideMark/>
          </w:tcPr>
          <w:p w:rsidR="0021797B" w:rsidRPr="00563CF9" w:rsidRDefault="0021797B" w:rsidP="00162A64">
            <w:pPr>
              <w:keepNext/>
              <w:ind w:left="-57" w:right="57"/>
              <w:jc w:val="right"/>
              <w:rPr>
                <w:rFonts w:ascii="Calibri" w:hAnsi="Calibri"/>
                <w:color w:val="000000"/>
                <w:sz w:val="20"/>
                <w:lang w:val="en-GB"/>
              </w:rPr>
            </w:pPr>
            <w:r w:rsidRPr="00563CF9">
              <w:rPr>
                <w:sz w:val="20"/>
                <w:lang w:val="en-GB" w:bidi="en-GB"/>
              </w:rPr>
              <w:t>0.00</w:t>
            </w:r>
          </w:p>
        </w:tc>
        <w:tc>
          <w:tcPr>
            <w:tcW w:w="807" w:type="pct"/>
            <w:tcBorders>
              <w:top w:val="nil"/>
              <w:left w:val="nil"/>
              <w:bottom w:val="single" w:sz="4" w:space="0" w:color="auto"/>
              <w:right w:val="single" w:sz="4" w:space="0" w:color="auto"/>
            </w:tcBorders>
            <w:shd w:val="clear" w:color="auto" w:fill="auto"/>
            <w:noWrap/>
            <w:vAlign w:val="center"/>
            <w:hideMark/>
          </w:tcPr>
          <w:p w:rsidR="0021797B" w:rsidRPr="00563CF9" w:rsidRDefault="0021797B" w:rsidP="00162A64">
            <w:pPr>
              <w:keepNext/>
              <w:ind w:left="-57" w:right="57"/>
              <w:jc w:val="right"/>
              <w:rPr>
                <w:rFonts w:ascii="Calibri" w:hAnsi="Calibri"/>
                <w:color w:val="000000"/>
                <w:sz w:val="20"/>
                <w:lang w:val="en-GB"/>
              </w:rPr>
            </w:pPr>
            <w:r w:rsidRPr="00563CF9">
              <w:rPr>
                <w:sz w:val="20"/>
                <w:lang w:val="en-GB" w:bidi="en-GB"/>
              </w:rPr>
              <w:t>210,317.45</w:t>
            </w:r>
          </w:p>
        </w:tc>
        <w:tc>
          <w:tcPr>
            <w:tcW w:w="578" w:type="pct"/>
            <w:tcBorders>
              <w:top w:val="nil"/>
              <w:left w:val="nil"/>
              <w:bottom w:val="single" w:sz="4" w:space="0" w:color="auto"/>
              <w:right w:val="single" w:sz="4" w:space="0" w:color="auto"/>
            </w:tcBorders>
            <w:shd w:val="clear" w:color="auto" w:fill="auto"/>
            <w:noWrap/>
            <w:vAlign w:val="center"/>
            <w:hideMark/>
          </w:tcPr>
          <w:p w:rsidR="0021797B" w:rsidRPr="00563CF9" w:rsidRDefault="0021797B" w:rsidP="00162A64">
            <w:pPr>
              <w:keepNext/>
              <w:ind w:left="-57" w:right="57"/>
              <w:jc w:val="right"/>
              <w:rPr>
                <w:rFonts w:ascii="Calibri" w:hAnsi="Calibri"/>
                <w:color w:val="000000"/>
                <w:sz w:val="20"/>
                <w:lang w:val="en-GB"/>
              </w:rPr>
            </w:pPr>
            <w:r w:rsidRPr="00563CF9">
              <w:rPr>
                <w:sz w:val="20"/>
                <w:lang w:val="en-GB" w:bidi="en-GB"/>
              </w:rPr>
              <w:t>142.48</w:t>
            </w:r>
          </w:p>
        </w:tc>
        <w:tc>
          <w:tcPr>
            <w:tcW w:w="273" w:type="pct"/>
            <w:tcBorders>
              <w:top w:val="nil"/>
              <w:left w:val="nil"/>
              <w:bottom w:val="single" w:sz="4" w:space="0" w:color="auto"/>
              <w:right w:val="single" w:sz="4" w:space="0" w:color="auto"/>
            </w:tcBorders>
            <w:shd w:val="clear" w:color="auto" w:fill="auto"/>
            <w:noWrap/>
            <w:vAlign w:val="center"/>
            <w:hideMark/>
          </w:tcPr>
          <w:p w:rsidR="0021797B" w:rsidRPr="00563CF9" w:rsidRDefault="0021797B" w:rsidP="00162A64">
            <w:pPr>
              <w:keepNext/>
              <w:ind w:left="-57" w:right="57"/>
              <w:jc w:val="right"/>
              <w:rPr>
                <w:rFonts w:ascii="Calibri" w:hAnsi="Calibri"/>
                <w:color w:val="000000"/>
                <w:sz w:val="20"/>
                <w:lang w:val="en-GB"/>
              </w:rPr>
            </w:pPr>
            <w:r w:rsidRPr="00563CF9">
              <w:rPr>
                <w:sz w:val="20"/>
                <w:lang w:val="en-GB" w:bidi="en-GB"/>
              </w:rPr>
              <w:t>0.07</w:t>
            </w:r>
          </w:p>
        </w:tc>
      </w:tr>
    </w:tbl>
    <w:p w:rsidR="0021797B" w:rsidRPr="00563CF9" w:rsidRDefault="0021797B" w:rsidP="00162A64">
      <w:pPr>
        <w:pStyle w:val="Zdroj"/>
        <w:keepNext/>
        <w:spacing w:before="40"/>
        <w:ind w:left="567" w:hanging="567"/>
        <w:rPr>
          <w:i w:val="0"/>
          <w:noProof/>
          <w:lang w:val="en-GB"/>
        </w:rPr>
      </w:pPr>
      <w:r w:rsidRPr="00563CF9">
        <w:rPr>
          <w:b/>
          <w:i w:val="0"/>
          <w:noProof/>
          <w:lang w:val="en-GB" w:bidi="en-GB"/>
        </w:rPr>
        <w:t xml:space="preserve">Source: </w:t>
      </w:r>
      <w:r w:rsidRPr="00563CF9">
        <w:rPr>
          <w:b/>
          <w:i w:val="0"/>
          <w:noProof/>
          <w:lang w:val="en-GB" w:bidi="en-GB"/>
        </w:rPr>
        <w:tab/>
      </w:r>
      <w:r w:rsidR="004E0C94" w:rsidRPr="00563CF9">
        <w:rPr>
          <w:i w:val="0"/>
          <w:noProof/>
          <w:lang w:val="en-GB" w:bidi="en-GB"/>
        </w:rPr>
        <w:t>general ledgers of the individual university hospitals as of 31 December 2014, 31 December 2015 and 31 December 2016; reports submitted by the university hospitals at the request of the SAO.</w:t>
      </w:r>
    </w:p>
    <w:p w:rsidR="0021797B" w:rsidRPr="00563CF9" w:rsidRDefault="0021797B" w:rsidP="00B05C2B">
      <w:pPr>
        <w:pStyle w:val="Zdroj"/>
        <w:ind w:left="567" w:hanging="567"/>
        <w:rPr>
          <w:i w:val="0"/>
          <w:noProof/>
          <w:lang w:val="en-GB"/>
        </w:rPr>
      </w:pPr>
      <w:r w:rsidRPr="00563CF9">
        <w:rPr>
          <w:b/>
          <w:i w:val="0"/>
          <w:noProof/>
          <w:lang w:val="en-GB" w:bidi="en-GB"/>
        </w:rPr>
        <w:t xml:space="preserve">Note: </w:t>
      </w:r>
      <w:r w:rsidR="00716A7C" w:rsidRPr="00563CF9">
        <w:rPr>
          <w:i w:val="0"/>
          <w:noProof/>
          <w:lang w:val="en-GB" w:bidi="en-GB"/>
        </w:rPr>
        <w:t>At the MUH and the CMH, the costs of pharmaceuticals are stated without the cost of blood and blood derivatives and medical gases. For the MUH, costs net of bonuses that have been recognised in expenses are stated.</w:t>
      </w:r>
    </w:p>
    <w:p w:rsidR="00CF25F1" w:rsidRPr="00563CF9" w:rsidRDefault="00340C92" w:rsidP="00B05C2B">
      <w:pPr>
        <w:spacing w:before="120"/>
        <w:rPr>
          <w:szCs w:val="24"/>
          <w:lang w:val="en-GB"/>
        </w:rPr>
      </w:pPr>
      <w:r w:rsidRPr="00563CF9">
        <w:rPr>
          <w:lang w:val="en-GB" w:bidi="en-GB"/>
        </w:rPr>
        <w:t>The share of bonuses for pharmaceuticals in the related costs of pharmaceuticals at the university hospitals ranged from 0 % to 5.68 % in the period 2014-2016.</w:t>
      </w:r>
    </w:p>
    <w:p w:rsidR="001C1AB5" w:rsidRPr="00563CF9" w:rsidRDefault="001C1AB5" w:rsidP="00B05C2B">
      <w:pPr>
        <w:spacing w:before="120"/>
        <w:rPr>
          <w:szCs w:val="24"/>
          <w:lang w:val="en-GB"/>
        </w:rPr>
      </w:pPr>
      <w:r w:rsidRPr="00563CF9">
        <w:rPr>
          <w:lang w:val="en-GB" w:bidi="en-GB"/>
        </w:rPr>
        <w:t xml:space="preserve">The total bonuses for pharmaceuticals at the BUH in the period under review amounted to CZK 299,189.76 thousand including VAT, ranging from 4.50 % to 4.77 %. </w:t>
      </w:r>
    </w:p>
    <w:p w:rsidR="00445BEE" w:rsidRPr="00563CF9" w:rsidRDefault="00C93FC7" w:rsidP="00B05C2B">
      <w:pPr>
        <w:spacing w:before="120"/>
        <w:rPr>
          <w:szCs w:val="24"/>
          <w:lang w:val="en-GB"/>
        </w:rPr>
      </w:pPr>
      <w:r w:rsidRPr="00563CF9">
        <w:rPr>
          <w:lang w:val="en-GB" w:bidi="en-GB"/>
        </w:rPr>
        <w:t xml:space="preserve">The total bonuses for pharmaceuticals at the MUH in the period under review amounted to CZK 203,755.49 thousand including VAT, ranging from 3.82 % to 5.68 %. </w:t>
      </w:r>
    </w:p>
    <w:p w:rsidR="00445BEE" w:rsidRPr="00563CF9" w:rsidRDefault="00C93FC7" w:rsidP="00B05C2B">
      <w:pPr>
        <w:spacing w:before="120"/>
        <w:rPr>
          <w:szCs w:val="24"/>
          <w:lang w:val="en-GB"/>
        </w:rPr>
      </w:pPr>
      <w:r w:rsidRPr="00563CF9">
        <w:rPr>
          <w:lang w:val="en-GB" w:bidi="en-GB"/>
        </w:rPr>
        <w:t xml:space="preserve">The total bonuses for pharmaceuticals at the CMH in the period under review amounted to CZK 142.48 thousand including VAT, ranging from 0 % to 0.07 %. </w:t>
      </w:r>
    </w:p>
    <w:p w:rsidR="00686322" w:rsidRPr="00563CF9" w:rsidRDefault="00686322" w:rsidP="00B05C2B">
      <w:pPr>
        <w:spacing w:before="120"/>
        <w:rPr>
          <w:rFonts w:cs="Arial"/>
          <w:color w:val="000000" w:themeColor="text1"/>
          <w:szCs w:val="24"/>
          <w:lang w:val="en-GB"/>
        </w:rPr>
      </w:pPr>
      <w:r w:rsidRPr="00563CF9">
        <w:rPr>
          <w:lang w:val="en-GB" w:bidi="en-GB"/>
        </w:rPr>
        <w:t>The SAO audit revealed that the concept of bonus was not defined by law and was based on the terms of a specific contractual relationship between the university hospital and the supplier. The bonus is usually negotiated between the supplier and the healthcare provider in writing. The university hospitals did not proceed uniformly when negotiating bonuses and using the bonus income. As a rule, the bonus is not linked to the individual items of the deliveries made but, on the contrary, it is linked to the value or quantity of the total purchase.</w:t>
      </w:r>
    </w:p>
    <w:p w:rsidR="0084583B" w:rsidRPr="00563CF9" w:rsidRDefault="00145240" w:rsidP="00B05C2B">
      <w:pPr>
        <w:spacing w:before="120"/>
        <w:rPr>
          <w:b/>
          <w:szCs w:val="24"/>
          <w:lang w:val="en-GB"/>
        </w:rPr>
      </w:pPr>
      <w:r w:rsidRPr="00563CF9">
        <w:rPr>
          <w:lang w:val="en-GB" w:bidi="en-GB"/>
        </w:rPr>
        <w:t xml:space="preserve">The agreement on the manner of reporting separately charged material (“SCM”) and separately charged medicinal products (“SCMP”) is part of the contract between the health insurance company and the healthcare provider. The definition or interpretation of the contractual agreement is a matter for the parties. When paying health care by health insurance companies using one of the forms of flat-rate reimbursement, the reported SCM/SCMP price does not affect its amount. </w:t>
      </w:r>
      <w:r w:rsidRPr="00563CF9">
        <w:rPr>
          <w:b/>
          <w:lang w:val="en-GB" w:bidi="en-GB"/>
        </w:rPr>
        <w:t xml:space="preserve">Receiving, reporting and managing bonuses from healthcare suppliers is not systemic, and their existence is allowed by high-set maximum reimbursements paid by health insurers. The healthcare bonus system did not have clear rules when purchasing pharmaceuticals. </w:t>
      </w:r>
    </w:p>
    <w:p w:rsidR="0084583B" w:rsidRPr="00563CF9" w:rsidRDefault="0084583B" w:rsidP="00B05C2B">
      <w:pPr>
        <w:spacing w:before="120"/>
        <w:rPr>
          <w:szCs w:val="24"/>
          <w:lang w:val="en-GB"/>
        </w:rPr>
      </w:pPr>
      <w:r w:rsidRPr="00563CF9">
        <w:rPr>
          <w:b/>
          <w:lang w:val="en-GB" w:bidi="en-GB"/>
        </w:rPr>
        <w:t>The SAO audit found that the BUH and the MUH had not negotiated all the contracts with the bonus providers in writing, thereby failing to comply with the statutory obligation</w:t>
      </w:r>
      <w:r w:rsidR="00AF20C6" w:rsidRPr="00563CF9">
        <w:rPr>
          <w:rStyle w:val="Znakapoznpodarou"/>
          <w:b/>
          <w:lang w:val="en-GB" w:bidi="en-GB"/>
        </w:rPr>
        <w:footnoteReference w:id="33"/>
      </w:r>
      <w:r w:rsidRPr="00563CF9">
        <w:rPr>
          <w:b/>
          <w:lang w:val="en-GB" w:bidi="en-GB"/>
        </w:rPr>
        <w:t xml:space="preserve"> and with Order of the Minister No. 3/2013. </w:t>
      </w:r>
      <w:r w:rsidRPr="00563CF9">
        <w:rPr>
          <w:lang w:val="en-GB" w:bidi="en-GB"/>
        </w:rPr>
        <w:t xml:space="preserve">The university hospitals generally concluded bonus contracts separately from the main supply relationship. The university hospitals, with reference to trade secrets, did not disclose the bonus contracts in the register of contracts, including the value of the contracted bonuses. </w:t>
      </w:r>
      <w:r w:rsidRPr="00563CF9">
        <w:rPr>
          <w:b/>
          <w:lang w:val="en-GB" w:bidi="en-GB"/>
        </w:rPr>
        <w:t>The process of handling bonuses at the university hospitals therefore has non-transparent characteristics for these reasons.</w:t>
      </w:r>
    </w:p>
    <w:p w:rsidR="00145240" w:rsidRPr="00563CF9" w:rsidRDefault="00CF25F1" w:rsidP="00B05C2B">
      <w:pPr>
        <w:spacing w:before="120"/>
        <w:rPr>
          <w:rFonts w:cs="Arial"/>
          <w:color w:val="000000" w:themeColor="text1"/>
          <w:szCs w:val="24"/>
          <w:lang w:val="en-GB"/>
        </w:rPr>
      </w:pPr>
      <w:r w:rsidRPr="00563CF9">
        <w:rPr>
          <w:lang w:val="en-GB" w:bidi="en-GB"/>
        </w:rPr>
        <w:t xml:space="preserve">The university hospitals posted the bonuses in revenues, the MUH reduced costs by them in some cases. All bonuses were posted by the university hospitals on the basis of corrective tax documents. The received bonuses did not relate to individual items, but the audited university hospitals received them for a predetermined volume of goods purchased. </w:t>
      </w:r>
    </w:p>
    <w:p w:rsidR="0084583B" w:rsidRPr="00563CF9" w:rsidRDefault="0084583B" w:rsidP="00B05C2B">
      <w:pPr>
        <w:spacing w:before="120"/>
        <w:rPr>
          <w:szCs w:val="24"/>
          <w:lang w:val="en-GB"/>
        </w:rPr>
      </w:pPr>
      <w:r w:rsidRPr="00563CF9">
        <w:rPr>
          <w:lang w:val="en-GB" w:bidi="en-GB"/>
        </w:rPr>
        <w:t>Obtaining bonuses did not affect the reporting of healthcare provided to individual health insurers, as the university hospitals had negotiated with health insurers payments mostly in the form of flat rate. E.g. in the case of the MUH, it was found that in the years 2014 and 2015 the flat-rate payments had accounted for approximately 99 % of the reimbursements for health services provided by health insurance companies.</w:t>
      </w:r>
    </w:p>
    <w:p w:rsidR="00A15C84" w:rsidRPr="00563CF9" w:rsidRDefault="00A15C84" w:rsidP="00B05C2B">
      <w:pPr>
        <w:spacing w:before="120"/>
        <w:rPr>
          <w:rFonts w:cs="Arial"/>
          <w:color w:val="000000" w:themeColor="text1"/>
          <w:szCs w:val="24"/>
          <w:lang w:val="en-GB"/>
        </w:rPr>
      </w:pPr>
      <w:r w:rsidRPr="00563CF9">
        <w:rPr>
          <w:lang w:val="en-GB" w:bidi="en-GB"/>
        </w:rPr>
        <w:t xml:space="preserve">The university hospitals did not proceed uniformly in the bonus award procedures so as to ensure a transparent supplier selection. Healthcare providers’ efforts should be to ensure the supply of goods under the most favourable conditions, i.e. in the tender procedure select not only the bid price but also the bonus as the criterion. </w:t>
      </w:r>
    </w:p>
    <w:p w:rsidR="00145240" w:rsidRPr="00563CF9" w:rsidRDefault="00145240" w:rsidP="00B05C2B">
      <w:pPr>
        <w:spacing w:before="120"/>
        <w:rPr>
          <w:szCs w:val="24"/>
          <w:lang w:val="en-GB"/>
        </w:rPr>
      </w:pPr>
      <w:r w:rsidRPr="00563CF9">
        <w:rPr>
          <w:lang w:val="en-GB" w:bidi="en-GB"/>
        </w:rPr>
        <w:t>In response to Audit Conclusion No. 16/28, the Minister of Health issued Order No. 13/2018</w:t>
      </w:r>
      <w:r w:rsidRPr="00563CF9">
        <w:rPr>
          <w:rStyle w:val="Znakapoznpodarou"/>
          <w:lang w:val="en-GB" w:bidi="en-GB"/>
        </w:rPr>
        <w:footnoteReference w:id="34"/>
      </w:r>
      <w:r w:rsidRPr="00563CF9">
        <w:rPr>
          <w:lang w:val="en-GB" w:bidi="en-GB"/>
        </w:rPr>
        <w:t>, which, in Article 2, imposed on the subordinated university hospitals binding conditions and rules for the treatment of bonuses and their reporting to health insurers. Whether the rules are defined unambiguously, sufficiently and effectively can only be verified by an audit at the university hospitals after some time.</w:t>
      </w:r>
    </w:p>
    <w:p w:rsidR="00F24E82" w:rsidRPr="00563CF9" w:rsidRDefault="00B05C2B" w:rsidP="00757BF0">
      <w:pPr>
        <w:spacing w:before="240" w:after="120"/>
        <w:rPr>
          <w:rFonts w:cstheme="minorHAnsi"/>
          <w:b/>
          <w:noProof/>
          <w:color w:val="000000" w:themeColor="text1"/>
          <w:szCs w:val="26"/>
          <w:lang w:val="en-GB"/>
        </w:rPr>
      </w:pPr>
      <w:r w:rsidRPr="00563CF9">
        <w:rPr>
          <w:b/>
          <w:noProof/>
          <w:lang w:val="en-GB" w:bidi="en-GB"/>
        </w:rPr>
        <w:t>1.4 Management of pharmaceuticals and their disposal</w:t>
      </w:r>
    </w:p>
    <w:p w:rsidR="00F24E82" w:rsidRPr="00563CF9" w:rsidRDefault="00F24E82" w:rsidP="00B05C2B">
      <w:pPr>
        <w:spacing w:before="120"/>
        <w:rPr>
          <w:rFonts w:cstheme="minorHAnsi"/>
          <w:noProof/>
          <w:color w:val="000000" w:themeColor="text1"/>
          <w:szCs w:val="28"/>
          <w:lang w:val="en-GB"/>
        </w:rPr>
      </w:pPr>
      <w:r w:rsidRPr="00563CF9">
        <w:rPr>
          <w:noProof/>
          <w:lang w:val="en-GB" w:bidi="en-GB"/>
        </w:rPr>
        <w:t>Pharmaceuticals become unusable</w:t>
      </w:r>
      <w:r w:rsidRPr="00563CF9">
        <w:rPr>
          <w:rStyle w:val="Znakapoznpodarou"/>
          <w:noProof/>
          <w:lang w:val="en-GB" w:bidi="en-GB"/>
        </w:rPr>
        <w:footnoteReference w:id="35"/>
      </w:r>
      <w:r w:rsidRPr="00563CF9">
        <w:rPr>
          <w:noProof/>
          <w:lang w:val="en-GB" w:bidi="en-GB"/>
        </w:rPr>
        <w:t xml:space="preserve"> mainly due to unsatisfactory quality, expired service life, storage or transportation under other than prescribed conditions, obvious damage or non-consumption. Such drugs are intended for disposal.</w:t>
      </w:r>
    </w:p>
    <w:p w:rsidR="00F24E82" w:rsidRPr="00563CF9" w:rsidRDefault="00F24E82" w:rsidP="00B05C2B">
      <w:pPr>
        <w:spacing w:before="120"/>
        <w:rPr>
          <w:rFonts w:cstheme="minorHAnsi"/>
          <w:noProof/>
          <w:color w:val="000000" w:themeColor="text1"/>
          <w:szCs w:val="28"/>
          <w:lang w:val="en-GB"/>
        </w:rPr>
      </w:pPr>
      <w:r w:rsidRPr="00563CF9">
        <w:rPr>
          <w:noProof/>
          <w:lang w:val="en-GB" w:bidi="en-GB"/>
        </w:rPr>
        <w:t>The SAO found that the disposal of pharmaceuticals at the BUH and the CMH had been provided on a contractual basis by contractors and that the disposal of pharmaceuticals had been carried out by companies that had been authorised to do so. The MUH disposed of useless pharmaceuticals in its own incinerator. In the case of inapplicable pharmaceuticals handed over by individuals to the hospital pharmacy, the university hospitals did not keep any records because this obligation is not stipulated by any legal regulation. The audited hospitals in 2014-2016 did not use the option under Act No. 378/2007 Coll.</w:t>
      </w:r>
      <w:r w:rsidRPr="00563CF9">
        <w:rPr>
          <w:rStyle w:val="Znakapoznpodarou"/>
          <w:noProof/>
          <w:lang w:val="en-GB" w:bidi="en-GB"/>
        </w:rPr>
        <w:footnoteReference w:id="36"/>
      </w:r>
      <w:r w:rsidRPr="00563CF9">
        <w:rPr>
          <w:noProof/>
          <w:lang w:val="en-GB" w:bidi="en-GB"/>
        </w:rPr>
        <w:t xml:space="preserve"> to apply with the regional office the costs incurred by the hospital pharmacy in connection with the surrender of unusable drugs by natural persons.</w:t>
      </w:r>
    </w:p>
    <w:p w:rsidR="00F24E82" w:rsidRPr="00563CF9" w:rsidRDefault="00F24E82" w:rsidP="00B05C2B">
      <w:pPr>
        <w:spacing w:before="120"/>
        <w:rPr>
          <w:rFonts w:cstheme="minorHAnsi"/>
          <w:noProof/>
          <w:color w:val="000000" w:themeColor="text1"/>
          <w:szCs w:val="28"/>
          <w:lang w:val="en-GB"/>
        </w:rPr>
      </w:pPr>
      <w:r w:rsidRPr="00563CF9">
        <w:rPr>
          <w:noProof/>
          <w:lang w:val="en-GB" w:bidi="en-GB"/>
        </w:rPr>
        <w:t>The SAO audit found the following:</w:t>
      </w:r>
    </w:p>
    <w:p w:rsidR="00F24E82" w:rsidRPr="00563CF9" w:rsidRDefault="00F24E82" w:rsidP="00B05C2B">
      <w:pPr>
        <w:pStyle w:val="Odstavecseseznamem"/>
        <w:numPr>
          <w:ilvl w:val="0"/>
          <w:numId w:val="35"/>
        </w:numPr>
        <w:ind w:left="284" w:hanging="284"/>
        <w:rPr>
          <w:rFonts w:cstheme="minorHAnsi"/>
          <w:noProof/>
          <w:color w:val="000000" w:themeColor="text1"/>
          <w:szCs w:val="28"/>
          <w:lang w:val="en-GB"/>
        </w:rPr>
      </w:pPr>
      <w:r w:rsidRPr="00563CF9">
        <w:rPr>
          <w:noProof/>
          <w:lang w:val="en-GB" w:bidi="en-GB"/>
        </w:rPr>
        <w:t>The BUH kept records of unusable pharmaceuticals only in weight units;</w:t>
      </w:r>
    </w:p>
    <w:p w:rsidR="00F24E82" w:rsidRPr="00563CF9" w:rsidRDefault="00F24E82" w:rsidP="00B05C2B">
      <w:pPr>
        <w:pStyle w:val="Odstavecseseznamem"/>
        <w:numPr>
          <w:ilvl w:val="0"/>
          <w:numId w:val="35"/>
        </w:numPr>
        <w:ind w:left="284" w:hanging="284"/>
        <w:rPr>
          <w:rFonts w:cstheme="minorHAnsi"/>
          <w:noProof/>
          <w:color w:val="000000" w:themeColor="text1"/>
          <w:szCs w:val="28"/>
          <w:lang w:val="en-GB"/>
        </w:rPr>
      </w:pPr>
      <w:r w:rsidRPr="00563CF9">
        <w:rPr>
          <w:noProof/>
          <w:lang w:val="en-GB" w:bidi="en-GB"/>
        </w:rPr>
        <w:t>The MUH kept records of unusable pharmaceuticals from the hospital pharmacy both in weight units and in crown terms. At the individual departments, the MUH kept these records only in terms of the number of packs, which led to the fact that the MUH did not know their value when disposing of unusable drugs;</w:t>
      </w:r>
    </w:p>
    <w:p w:rsidR="00F24E82" w:rsidRPr="00563CF9" w:rsidRDefault="00FB2BD1" w:rsidP="00B05C2B">
      <w:pPr>
        <w:pStyle w:val="Odstavecseseznamem"/>
        <w:numPr>
          <w:ilvl w:val="0"/>
          <w:numId w:val="35"/>
        </w:numPr>
        <w:ind w:left="284" w:hanging="284"/>
        <w:rPr>
          <w:rFonts w:cstheme="minorHAnsi"/>
          <w:b/>
          <w:noProof/>
          <w:color w:val="000000" w:themeColor="text1"/>
          <w:sz w:val="28"/>
          <w:szCs w:val="28"/>
          <w:lang w:val="en-GB"/>
        </w:rPr>
      </w:pPr>
      <w:r w:rsidRPr="00563CF9">
        <w:rPr>
          <w:noProof/>
          <w:lang w:val="en-GB" w:bidi="en-GB"/>
        </w:rPr>
        <w:t xml:space="preserve">The CMH kept records of unusable pharmaceuticals both in weight units and in crown terms. In the course of 2016, the CMH introduced drug delivery electronisation, with the main contribution being to reduce inventory by about 24 % in specialist departments, minimise drug costs, maximise their usability, and reduce error rates, which can be considered expedient and cost-effective. </w:t>
      </w:r>
      <w:r w:rsidR="00F24E82" w:rsidRPr="00563CF9">
        <w:rPr>
          <w:b/>
          <w:noProof/>
          <w:sz w:val="28"/>
          <w:lang w:val="en-GB" w:bidi="en-GB"/>
        </w:rPr>
        <w:t xml:space="preserve"> </w:t>
      </w:r>
    </w:p>
    <w:p w:rsidR="00F611A5" w:rsidRPr="00563CF9" w:rsidRDefault="00F611A5" w:rsidP="00B05C2B">
      <w:pPr>
        <w:spacing w:before="120"/>
        <w:rPr>
          <w:rFonts w:cstheme="minorHAnsi"/>
          <w:b/>
          <w:strike/>
          <w:lang w:val="en-GB"/>
        </w:rPr>
      </w:pPr>
      <w:r w:rsidRPr="00563CF9">
        <w:rPr>
          <w:b/>
          <w:lang w:val="en-GB" w:bidi="en-GB"/>
        </w:rPr>
        <w:t>For a cost-effective way to handle unusable pharmaceuticals, it is desirable to keep their records primarily in crown terms.</w:t>
      </w:r>
    </w:p>
    <w:p w:rsidR="00911982" w:rsidRPr="00563CF9" w:rsidRDefault="00911982" w:rsidP="00B05C2B">
      <w:pPr>
        <w:pStyle w:val="Odstavecseseznamem"/>
        <w:spacing w:before="120"/>
        <w:ind w:left="0"/>
        <w:rPr>
          <w:rFonts w:cstheme="minorHAnsi"/>
          <w:noProof/>
          <w:color w:val="000000" w:themeColor="text1"/>
          <w:szCs w:val="28"/>
          <w:lang w:val="en-GB"/>
        </w:rPr>
      </w:pPr>
      <w:r w:rsidRPr="00563CF9">
        <w:rPr>
          <w:b/>
          <w:noProof/>
          <w:lang w:val="en-GB" w:bidi="en-GB"/>
        </w:rPr>
        <w:t>The CMH did not proceed with the tender procedure for the collection and disposal of hazardous waste in accordance with Act No. 137/2006 Coll.</w:t>
      </w:r>
      <w:r w:rsidRPr="00563CF9">
        <w:rPr>
          <w:rStyle w:val="Znakapoznpodarou"/>
          <w:b/>
          <w:noProof/>
          <w:lang w:val="en-GB" w:bidi="en-GB"/>
        </w:rPr>
        <w:footnoteReference w:id="37"/>
      </w:r>
      <w:r w:rsidRPr="00563CF9">
        <w:rPr>
          <w:noProof/>
          <w:lang w:val="en-GB" w:bidi="en-GB"/>
        </w:rPr>
        <w:t xml:space="preserve"> by failing to document that it sent a notice of selection of the most suitable bid to the tenderers within five business days following the contracting authority’s decision to select the most suitable bid, by preventing the tenderers concerned from opposing that decision within the statutory time limit, and by subsequently concluding contracts with the successful tenderer, although Act No. 137/2006 Coll. explicitly prohibits the conclusion of a contract with the selected tenderer before the expiry of the opposition period. The CMH did not submit a notice of the result of the tender procedure within 15 days of the conclusion of the contract contrary to Act No. 137/2006 Coll.</w:t>
      </w:r>
      <w:r w:rsidRPr="00563CF9">
        <w:rPr>
          <w:rStyle w:val="Znakapoznpodarou"/>
          <w:noProof/>
          <w:lang w:val="en-GB" w:bidi="en-GB"/>
        </w:rPr>
        <w:footnoteReference w:id="38"/>
      </w:r>
    </w:p>
    <w:p w:rsidR="00CB3FBB" w:rsidRPr="00563CF9" w:rsidRDefault="00CB3FBB" w:rsidP="00B05C2B">
      <w:pPr>
        <w:pStyle w:val="Odstavecseseznamem"/>
        <w:spacing w:before="120"/>
        <w:ind w:left="0"/>
        <w:rPr>
          <w:rFonts w:cstheme="minorHAnsi"/>
          <w:b/>
          <w:noProof/>
          <w:color w:val="000000" w:themeColor="text1"/>
          <w:szCs w:val="28"/>
          <w:lang w:val="en-GB"/>
        </w:rPr>
      </w:pPr>
      <w:r w:rsidRPr="00563CF9">
        <w:rPr>
          <w:b/>
          <w:noProof/>
          <w:lang w:val="en-GB" w:bidi="en-GB"/>
        </w:rPr>
        <w:t>The BUH violated the budgetary discipline</w:t>
      </w:r>
      <w:r w:rsidRPr="00563CF9">
        <w:rPr>
          <w:rStyle w:val="Znakapoznpodarou"/>
          <w:b/>
          <w:noProof/>
          <w:lang w:val="en-GB" w:bidi="en-GB"/>
        </w:rPr>
        <w:footnoteReference w:id="39"/>
      </w:r>
      <w:r w:rsidRPr="00563CF9">
        <w:rPr>
          <w:b/>
          <w:noProof/>
          <w:lang w:val="en-GB" w:bidi="en-GB"/>
        </w:rPr>
        <w:t xml:space="preserve"> by unlawfully using funds of at least CZK 8,214,984 including VAT when, in the framework of a tender procedure for an above-the-threshold public contract for a contractor of waste disposal services (including hazardous waste), it evaluated a bid of the successful tenderer other than communicated when opening the envelopes and listed in the protocol on the envelope opening. The BUH did not disqualify the bid of the winning bidder, which contained two different bid prices, and selected it as the most advantageous. The BUH failed to comply with the principle of transparency and did not comply with the law</w:t>
      </w:r>
      <w:r w:rsidRPr="00563CF9">
        <w:rPr>
          <w:rStyle w:val="Znakapoznpodarou"/>
          <w:b/>
          <w:noProof/>
          <w:lang w:val="en-GB" w:bidi="en-GB"/>
        </w:rPr>
        <w:footnoteReference w:id="40"/>
      </w:r>
      <w:r w:rsidRPr="00563CF9">
        <w:rPr>
          <w:b/>
          <w:noProof/>
          <w:lang w:val="en-GB" w:bidi="en-GB"/>
        </w:rPr>
        <w:t>.</w:t>
      </w:r>
    </w:p>
    <w:p w:rsidR="00CF25F1" w:rsidRPr="00563CF9" w:rsidRDefault="00B05C2B" w:rsidP="00757BF0">
      <w:pPr>
        <w:spacing w:before="240" w:after="120"/>
        <w:rPr>
          <w:rFonts w:cstheme="minorHAnsi"/>
          <w:b/>
          <w:noProof/>
          <w:color w:val="000000" w:themeColor="text1"/>
          <w:szCs w:val="26"/>
          <w:lang w:val="en-GB"/>
        </w:rPr>
      </w:pPr>
      <w:r w:rsidRPr="00563CF9">
        <w:rPr>
          <w:b/>
          <w:noProof/>
          <w:lang w:val="en-GB" w:bidi="en-GB"/>
        </w:rPr>
        <w:t>1.5 Public procurement for the purchase of medical devices</w:t>
      </w:r>
    </w:p>
    <w:p w:rsidR="009F69E7" w:rsidRPr="00563CF9" w:rsidRDefault="009F69E7" w:rsidP="00B05C2B">
      <w:pPr>
        <w:autoSpaceDE w:val="0"/>
        <w:autoSpaceDN w:val="0"/>
        <w:adjustRightInd w:val="0"/>
        <w:spacing w:before="120"/>
        <w:rPr>
          <w:rFonts w:cs="Arial"/>
          <w:b/>
          <w:color w:val="000000" w:themeColor="text1"/>
          <w:lang w:val="en-GB"/>
        </w:rPr>
      </w:pPr>
      <w:r w:rsidRPr="00563CF9">
        <w:rPr>
          <w:b/>
          <w:lang w:val="en-GB" w:bidi="en-GB"/>
        </w:rPr>
        <w:t>According to the individual university hospitals, out of the total volume of all purchases of medical devices made between 2014 and 2016, purchases made on the basis of a tender procedure pursuant to the Public Contract Act amounted to 0.42 % in the case of the BUH and 24.38 % in the case of the MUH. The CMH did not monitor the data as this obligation is not provided for by law.</w:t>
      </w:r>
    </w:p>
    <w:p w:rsidR="002C07EA" w:rsidRPr="00563CF9" w:rsidRDefault="002C07EA" w:rsidP="00B05C2B">
      <w:pPr>
        <w:autoSpaceDE w:val="0"/>
        <w:autoSpaceDN w:val="0"/>
        <w:adjustRightInd w:val="0"/>
        <w:spacing w:before="120"/>
        <w:rPr>
          <w:rFonts w:cs="Arial"/>
          <w:b/>
          <w:color w:val="000000" w:themeColor="text1"/>
          <w:lang w:val="en-GB"/>
        </w:rPr>
      </w:pPr>
      <w:r w:rsidRPr="00563CF9">
        <w:rPr>
          <w:lang w:val="en-GB" w:bidi="en-GB"/>
        </w:rPr>
        <w:t>The SAO found in the audit that the university hospitals had contracted the purchases of medical devices and that the invoiced prices had corresponded to the contractual prices, except for the CMH in the case of 4 suppliers.</w:t>
      </w:r>
    </w:p>
    <w:p w:rsidR="00CF25F1" w:rsidRPr="00563CF9" w:rsidRDefault="00CF25F1" w:rsidP="00B05C2B">
      <w:pPr>
        <w:shd w:val="clear" w:color="auto" w:fill="FFFFFF"/>
        <w:spacing w:before="120"/>
        <w:rPr>
          <w:rFonts w:cstheme="minorHAnsi"/>
          <w:lang w:val="en-GB"/>
        </w:rPr>
      </w:pPr>
      <w:r w:rsidRPr="00563CF9">
        <w:rPr>
          <w:lang w:val="en-GB" w:bidi="en-GB"/>
        </w:rPr>
        <w:t>The SAO, on a selected audit sample of identical medical devices used by the university hospitals in the years 2014 to 2016, verified the way they were procured. The audit sample of medical devices contained separately charged material with an acquisition value exceeding CZK 30 thousand per unit (packaging) in the total value of CZK 16,150,346.96 including VAT. The method of their procurement is given in the following table:</w:t>
      </w:r>
    </w:p>
    <w:p w:rsidR="00CF25F1" w:rsidRPr="00563CF9" w:rsidRDefault="00C465C8" w:rsidP="00B05C2B">
      <w:pPr>
        <w:shd w:val="clear" w:color="auto" w:fill="FFFFFF"/>
        <w:spacing w:before="120" w:after="40"/>
        <w:rPr>
          <w:rFonts w:cstheme="minorHAnsi"/>
          <w:b/>
          <w:lang w:val="en-GB"/>
        </w:rPr>
      </w:pPr>
      <w:r w:rsidRPr="00563CF9">
        <w:rPr>
          <w:b/>
          <w:lang w:val="en-GB" w:bidi="en-GB"/>
        </w:rPr>
        <w:t>Table 10: Public contracts for medical devices on the same audit sample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10"/>
        <w:gridCol w:w="1946"/>
        <w:gridCol w:w="2421"/>
        <w:gridCol w:w="2419"/>
        <w:gridCol w:w="706"/>
      </w:tblGrid>
      <w:tr w:rsidR="00CF25F1" w:rsidRPr="00563CF9" w:rsidTr="00757BF0">
        <w:trPr>
          <w:trHeight w:val="283"/>
        </w:trPr>
        <w:tc>
          <w:tcPr>
            <w:tcW w:w="884" w:type="pct"/>
            <w:shd w:val="clear" w:color="auto" w:fill="E5F1FF"/>
            <w:noWrap/>
            <w:tcMar>
              <w:top w:w="15" w:type="dxa"/>
              <w:left w:w="15" w:type="dxa"/>
              <w:bottom w:w="0" w:type="dxa"/>
              <w:right w:w="15" w:type="dxa"/>
            </w:tcMar>
            <w:vAlign w:val="center"/>
            <w:hideMark/>
          </w:tcPr>
          <w:p w:rsidR="00CF25F1" w:rsidRPr="00563CF9" w:rsidRDefault="00CF25F1" w:rsidP="00162A64">
            <w:pPr>
              <w:jc w:val="center"/>
              <w:rPr>
                <w:rFonts w:ascii="Calibri" w:hAnsi="Calibri" w:cs="Calibri"/>
                <w:b/>
                <w:bCs/>
                <w:color w:val="000000"/>
                <w:sz w:val="20"/>
                <w:lang w:val="en-GB"/>
              </w:rPr>
            </w:pPr>
            <w:r w:rsidRPr="00563CF9">
              <w:rPr>
                <w:b/>
                <w:sz w:val="20"/>
                <w:lang w:val="en-GB" w:bidi="en-GB"/>
              </w:rPr>
              <w:t>Name of hospital</w:t>
            </w:r>
          </w:p>
        </w:tc>
        <w:tc>
          <w:tcPr>
            <w:tcW w:w="1069" w:type="pct"/>
            <w:shd w:val="clear" w:color="auto" w:fill="E5F1FF"/>
            <w:noWrap/>
            <w:tcMar>
              <w:top w:w="15" w:type="dxa"/>
              <w:left w:w="15" w:type="dxa"/>
              <w:bottom w:w="0" w:type="dxa"/>
              <w:right w:w="15" w:type="dxa"/>
            </w:tcMar>
            <w:vAlign w:val="center"/>
            <w:hideMark/>
          </w:tcPr>
          <w:p w:rsidR="00CF25F1" w:rsidRPr="00563CF9" w:rsidRDefault="00CF25F1" w:rsidP="00162A64">
            <w:pPr>
              <w:jc w:val="center"/>
              <w:rPr>
                <w:rFonts w:ascii="Calibri" w:hAnsi="Calibri" w:cs="Calibri"/>
                <w:b/>
                <w:bCs/>
                <w:color w:val="000000"/>
                <w:sz w:val="20"/>
                <w:lang w:val="en-GB"/>
              </w:rPr>
            </w:pPr>
            <w:r w:rsidRPr="00563CF9">
              <w:rPr>
                <w:b/>
                <w:sz w:val="20"/>
                <w:lang w:val="en-GB" w:bidi="en-GB"/>
              </w:rPr>
              <w:t>Audited items</w:t>
            </w:r>
          </w:p>
        </w:tc>
        <w:tc>
          <w:tcPr>
            <w:tcW w:w="1330" w:type="pct"/>
            <w:shd w:val="clear" w:color="auto" w:fill="E5F1FF"/>
            <w:noWrap/>
            <w:tcMar>
              <w:top w:w="15" w:type="dxa"/>
              <w:left w:w="15" w:type="dxa"/>
              <w:bottom w:w="0" w:type="dxa"/>
              <w:right w:w="15" w:type="dxa"/>
            </w:tcMar>
            <w:vAlign w:val="center"/>
            <w:hideMark/>
          </w:tcPr>
          <w:p w:rsidR="00CF25F1" w:rsidRPr="00563CF9" w:rsidRDefault="00CF25F1" w:rsidP="00162A64">
            <w:pPr>
              <w:jc w:val="center"/>
              <w:rPr>
                <w:rFonts w:ascii="Calibri" w:hAnsi="Calibri" w:cs="Calibri"/>
                <w:b/>
                <w:bCs/>
                <w:color w:val="000000"/>
                <w:sz w:val="20"/>
                <w:lang w:val="en-GB"/>
              </w:rPr>
            </w:pPr>
            <w:r w:rsidRPr="00563CF9">
              <w:rPr>
                <w:b/>
                <w:sz w:val="20"/>
                <w:lang w:val="en-GB" w:bidi="en-GB"/>
              </w:rPr>
              <w:t>Audited volume (in CZK)</w:t>
            </w:r>
          </w:p>
        </w:tc>
        <w:tc>
          <w:tcPr>
            <w:tcW w:w="1329" w:type="pct"/>
            <w:shd w:val="clear" w:color="auto" w:fill="E5F1FF"/>
            <w:noWrap/>
            <w:tcMar>
              <w:top w:w="15" w:type="dxa"/>
              <w:left w:w="15" w:type="dxa"/>
              <w:bottom w:w="0" w:type="dxa"/>
              <w:right w:w="15" w:type="dxa"/>
            </w:tcMar>
            <w:vAlign w:val="center"/>
            <w:hideMark/>
          </w:tcPr>
          <w:p w:rsidR="00CF25F1" w:rsidRPr="00563CF9" w:rsidRDefault="00CF25F1" w:rsidP="00162A64">
            <w:pPr>
              <w:jc w:val="center"/>
              <w:rPr>
                <w:rFonts w:ascii="Calibri" w:hAnsi="Calibri" w:cs="Calibri"/>
                <w:b/>
                <w:bCs/>
                <w:color w:val="000000"/>
                <w:sz w:val="20"/>
                <w:lang w:val="en-GB"/>
              </w:rPr>
            </w:pPr>
            <w:r w:rsidRPr="00563CF9">
              <w:rPr>
                <w:b/>
                <w:sz w:val="20"/>
                <w:lang w:val="en-GB" w:bidi="en-GB"/>
              </w:rPr>
              <w:t>Supplier selection method</w:t>
            </w:r>
          </w:p>
        </w:tc>
        <w:tc>
          <w:tcPr>
            <w:tcW w:w="388" w:type="pct"/>
            <w:shd w:val="clear" w:color="auto" w:fill="E5F1FF"/>
            <w:noWrap/>
            <w:tcMar>
              <w:top w:w="15" w:type="dxa"/>
              <w:left w:w="15" w:type="dxa"/>
              <w:bottom w:w="0" w:type="dxa"/>
              <w:right w:w="15" w:type="dxa"/>
            </w:tcMar>
            <w:vAlign w:val="center"/>
            <w:hideMark/>
          </w:tcPr>
          <w:p w:rsidR="00CF25F1" w:rsidRPr="00563CF9" w:rsidRDefault="00CF25F1" w:rsidP="00162A64">
            <w:pPr>
              <w:jc w:val="center"/>
              <w:rPr>
                <w:rFonts w:ascii="Calibri" w:hAnsi="Calibri" w:cs="Calibri"/>
                <w:b/>
                <w:bCs/>
                <w:color w:val="000000"/>
                <w:sz w:val="20"/>
                <w:lang w:val="en-GB"/>
              </w:rPr>
            </w:pPr>
            <w:r w:rsidRPr="00563CF9">
              <w:rPr>
                <w:b/>
                <w:sz w:val="20"/>
                <w:lang w:val="en-GB" w:bidi="en-GB"/>
              </w:rPr>
              <w:t>%</w:t>
            </w:r>
          </w:p>
        </w:tc>
      </w:tr>
      <w:tr w:rsidR="00CF25F1" w:rsidRPr="00563CF9" w:rsidTr="00757BF0">
        <w:trPr>
          <w:trHeight w:val="227"/>
        </w:trPr>
        <w:tc>
          <w:tcPr>
            <w:tcW w:w="884" w:type="pct"/>
            <w:vMerge w:val="restart"/>
            <w:shd w:val="clear" w:color="auto" w:fill="auto"/>
            <w:noWrap/>
            <w:tcMar>
              <w:top w:w="15" w:type="dxa"/>
              <w:left w:w="15" w:type="dxa"/>
              <w:bottom w:w="0" w:type="dxa"/>
              <w:right w:w="15" w:type="dxa"/>
            </w:tcMar>
            <w:vAlign w:val="center"/>
            <w:hideMark/>
          </w:tcPr>
          <w:p w:rsidR="00CF25F1" w:rsidRPr="00563CF9" w:rsidRDefault="00CF25F1" w:rsidP="00162A64">
            <w:pPr>
              <w:jc w:val="left"/>
              <w:rPr>
                <w:rFonts w:ascii="Calibri" w:hAnsi="Calibri" w:cs="Calibri"/>
                <w:color w:val="000000"/>
                <w:sz w:val="20"/>
                <w:lang w:val="en-GB"/>
              </w:rPr>
            </w:pPr>
            <w:r w:rsidRPr="00563CF9">
              <w:rPr>
                <w:sz w:val="20"/>
                <w:lang w:val="en-GB" w:bidi="en-GB"/>
              </w:rPr>
              <w:t>BUH</w:t>
            </w:r>
          </w:p>
        </w:tc>
        <w:tc>
          <w:tcPr>
            <w:tcW w:w="1069" w:type="pct"/>
            <w:vMerge w:val="restart"/>
            <w:shd w:val="clear" w:color="auto" w:fill="auto"/>
            <w:noWrap/>
            <w:tcMar>
              <w:top w:w="15" w:type="dxa"/>
              <w:left w:w="15" w:type="dxa"/>
              <w:bottom w:w="0" w:type="dxa"/>
              <w:right w:w="15" w:type="dxa"/>
            </w:tcMar>
            <w:vAlign w:val="center"/>
            <w:hideMark/>
          </w:tcPr>
          <w:p w:rsidR="00CF25F1" w:rsidRPr="00563CF9" w:rsidRDefault="00CF25F1" w:rsidP="00D45A60">
            <w:pPr>
              <w:jc w:val="center"/>
              <w:rPr>
                <w:rFonts w:ascii="Calibri" w:hAnsi="Calibri" w:cs="Calibri"/>
                <w:color w:val="000000"/>
                <w:sz w:val="20"/>
                <w:lang w:val="en-GB"/>
              </w:rPr>
            </w:pPr>
            <w:r w:rsidRPr="00563CF9">
              <w:rPr>
                <w:sz w:val="20"/>
                <w:lang w:val="en-GB" w:bidi="en-GB"/>
              </w:rPr>
              <w:t>Medical devices</w:t>
            </w:r>
          </w:p>
        </w:tc>
        <w:tc>
          <w:tcPr>
            <w:tcW w:w="1330" w:type="pct"/>
            <w:vMerge w:val="restart"/>
            <w:shd w:val="clear" w:color="auto" w:fill="auto"/>
            <w:noWrap/>
            <w:tcMar>
              <w:top w:w="15" w:type="dxa"/>
              <w:left w:w="15" w:type="dxa"/>
              <w:bottom w:w="0" w:type="dxa"/>
              <w:right w:w="15" w:type="dxa"/>
            </w:tcMar>
            <w:vAlign w:val="center"/>
            <w:hideMark/>
          </w:tcPr>
          <w:p w:rsidR="00CF25F1" w:rsidRPr="00563CF9" w:rsidRDefault="00CF25F1" w:rsidP="00162A64">
            <w:pPr>
              <w:ind w:right="553"/>
              <w:jc w:val="right"/>
              <w:rPr>
                <w:rFonts w:ascii="Calibri" w:hAnsi="Calibri" w:cs="Calibri"/>
                <w:color w:val="000000"/>
                <w:sz w:val="20"/>
                <w:lang w:val="en-GB"/>
              </w:rPr>
            </w:pPr>
            <w:r w:rsidRPr="00563CF9">
              <w:rPr>
                <w:sz w:val="20"/>
                <w:lang w:val="en-GB" w:bidi="en-GB"/>
              </w:rPr>
              <w:t>3,878,919.49</w:t>
            </w:r>
          </w:p>
        </w:tc>
        <w:tc>
          <w:tcPr>
            <w:tcW w:w="1329" w:type="pct"/>
            <w:shd w:val="clear" w:color="auto" w:fill="auto"/>
            <w:noWrap/>
            <w:tcMar>
              <w:top w:w="15" w:type="dxa"/>
              <w:left w:w="15" w:type="dxa"/>
              <w:bottom w:w="0" w:type="dxa"/>
              <w:right w:w="15" w:type="dxa"/>
            </w:tcMar>
            <w:vAlign w:val="center"/>
            <w:hideMark/>
          </w:tcPr>
          <w:p w:rsidR="00CF25F1" w:rsidRPr="00563CF9" w:rsidRDefault="00CF25F1" w:rsidP="00162A64">
            <w:pPr>
              <w:jc w:val="left"/>
              <w:rPr>
                <w:rFonts w:ascii="Calibri" w:hAnsi="Calibri" w:cs="Calibri"/>
                <w:color w:val="000000"/>
                <w:sz w:val="20"/>
                <w:lang w:val="en-GB"/>
              </w:rPr>
            </w:pPr>
            <w:r w:rsidRPr="00563CF9">
              <w:rPr>
                <w:sz w:val="20"/>
                <w:lang w:val="en-GB" w:bidi="en-GB"/>
              </w:rPr>
              <w:t>Tender procedure</w:t>
            </w:r>
          </w:p>
        </w:tc>
        <w:tc>
          <w:tcPr>
            <w:tcW w:w="388" w:type="pct"/>
            <w:shd w:val="clear" w:color="auto" w:fill="auto"/>
            <w:noWrap/>
            <w:tcMar>
              <w:top w:w="15" w:type="dxa"/>
              <w:left w:w="15" w:type="dxa"/>
              <w:bottom w:w="0" w:type="dxa"/>
              <w:right w:w="15" w:type="dxa"/>
            </w:tcMar>
            <w:vAlign w:val="center"/>
            <w:hideMark/>
          </w:tcPr>
          <w:p w:rsidR="00CF25F1" w:rsidRPr="00563CF9" w:rsidRDefault="00CF25F1" w:rsidP="00162A64">
            <w:pPr>
              <w:ind w:right="57"/>
              <w:jc w:val="right"/>
              <w:rPr>
                <w:rFonts w:ascii="Calibri" w:hAnsi="Calibri" w:cs="Calibri"/>
                <w:color w:val="000000"/>
                <w:sz w:val="20"/>
                <w:lang w:val="en-GB"/>
              </w:rPr>
            </w:pPr>
            <w:r w:rsidRPr="00563CF9">
              <w:rPr>
                <w:sz w:val="20"/>
                <w:lang w:val="en-GB" w:bidi="en-GB"/>
              </w:rPr>
              <w:t>0.00</w:t>
            </w:r>
          </w:p>
        </w:tc>
      </w:tr>
      <w:tr w:rsidR="00CF25F1" w:rsidRPr="00563CF9" w:rsidTr="00757BF0">
        <w:trPr>
          <w:trHeight w:val="227"/>
        </w:trPr>
        <w:tc>
          <w:tcPr>
            <w:tcW w:w="884" w:type="pct"/>
            <w:vMerge/>
            <w:vAlign w:val="center"/>
            <w:hideMark/>
          </w:tcPr>
          <w:p w:rsidR="00CF25F1" w:rsidRPr="00563CF9" w:rsidRDefault="00CF25F1" w:rsidP="00162A64">
            <w:pPr>
              <w:jc w:val="left"/>
              <w:rPr>
                <w:rFonts w:ascii="Calibri" w:hAnsi="Calibri" w:cs="Calibri"/>
                <w:color w:val="000000"/>
                <w:sz w:val="20"/>
                <w:lang w:val="en-GB"/>
              </w:rPr>
            </w:pPr>
          </w:p>
        </w:tc>
        <w:tc>
          <w:tcPr>
            <w:tcW w:w="1069" w:type="pct"/>
            <w:vMerge/>
            <w:vAlign w:val="center"/>
            <w:hideMark/>
          </w:tcPr>
          <w:p w:rsidR="00CF25F1" w:rsidRPr="00563CF9" w:rsidRDefault="00CF25F1" w:rsidP="001C4A50">
            <w:pPr>
              <w:jc w:val="center"/>
              <w:rPr>
                <w:rFonts w:ascii="Calibri" w:hAnsi="Calibri" w:cs="Calibri"/>
                <w:color w:val="000000"/>
                <w:sz w:val="20"/>
                <w:lang w:val="en-GB"/>
              </w:rPr>
            </w:pPr>
          </w:p>
        </w:tc>
        <w:tc>
          <w:tcPr>
            <w:tcW w:w="1330" w:type="pct"/>
            <w:vMerge/>
            <w:vAlign w:val="center"/>
            <w:hideMark/>
          </w:tcPr>
          <w:p w:rsidR="00CF25F1" w:rsidRPr="00563CF9" w:rsidRDefault="00CF25F1" w:rsidP="00162A64">
            <w:pPr>
              <w:ind w:right="553"/>
              <w:jc w:val="right"/>
              <w:rPr>
                <w:rFonts w:ascii="Calibri" w:hAnsi="Calibri" w:cs="Calibri"/>
                <w:color w:val="000000"/>
                <w:sz w:val="20"/>
                <w:lang w:val="en-GB"/>
              </w:rPr>
            </w:pPr>
          </w:p>
        </w:tc>
        <w:tc>
          <w:tcPr>
            <w:tcW w:w="1329" w:type="pct"/>
            <w:shd w:val="clear" w:color="auto" w:fill="auto"/>
            <w:noWrap/>
            <w:tcMar>
              <w:top w:w="15" w:type="dxa"/>
              <w:left w:w="15" w:type="dxa"/>
              <w:bottom w:w="0" w:type="dxa"/>
              <w:right w:w="15" w:type="dxa"/>
            </w:tcMar>
            <w:vAlign w:val="center"/>
            <w:hideMark/>
          </w:tcPr>
          <w:p w:rsidR="00CF25F1" w:rsidRPr="00563CF9" w:rsidRDefault="00CF25F1" w:rsidP="00162A64">
            <w:pPr>
              <w:jc w:val="left"/>
              <w:rPr>
                <w:rFonts w:ascii="Calibri" w:hAnsi="Calibri" w:cs="Calibri"/>
                <w:color w:val="000000"/>
                <w:sz w:val="20"/>
                <w:lang w:val="en-GB"/>
              </w:rPr>
            </w:pPr>
            <w:r w:rsidRPr="00563CF9">
              <w:rPr>
                <w:sz w:val="20"/>
                <w:lang w:val="en-GB" w:bidi="en-GB"/>
              </w:rPr>
              <w:t xml:space="preserve">Other </w:t>
            </w:r>
          </w:p>
        </w:tc>
        <w:tc>
          <w:tcPr>
            <w:tcW w:w="388" w:type="pct"/>
            <w:shd w:val="clear" w:color="auto" w:fill="auto"/>
            <w:noWrap/>
            <w:tcMar>
              <w:top w:w="15" w:type="dxa"/>
              <w:left w:w="15" w:type="dxa"/>
              <w:bottom w:w="0" w:type="dxa"/>
              <w:right w:w="15" w:type="dxa"/>
            </w:tcMar>
            <w:vAlign w:val="center"/>
            <w:hideMark/>
          </w:tcPr>
          <w:p w:rsidR="00CF25F1" w:rsidRPr="00563CF9" w:rsidRDefault="00CF25F1" w:rsidP="00162A64">
            <w:pPr>
              <w:ind w:right="57"/>
              <w:jc w:val="right"/>
              <w:rPr>
                <w:rFonts w:ascii="Calibri" w:hAnsi="Calibri" w:cs="Calibri"/>
                <w:color w:val="000000"/>
                <w:sz w:val="20"/>
                <w:lang w:val="en-GB"/>
              </w:rPr>
            </w:pPr>
            <w:r w:rsidRPr="00563CF9">
              <w:rPr>
                <w:sz w:val="20"/>
                <w:lang w:val="en-GB" w:bidi="en-GB"/>
              </w:rPr>
              <w:t>100.00</w:t>
            </w:r>
          </w:p>
        </w:tc>
      </w:tr>
      <w:tr w:rsidR="00CF25F1" w:rsidRPr="00563CF9" w:rsidTr="00757BF0">
        <w:trPr>
          <w:trHeight w:val="227"/>
        </w:trPr>
        <w:tc>
          <w:tcPr>
            <w:tcW w:w="884" w:type="pct"/>
            <w:vMerge w:val="restart"/>
            <w:shd w:val="clear" w:color="auto" w:fill="auto"/>
            <w:noWrap/>
            <w:tcMar>
              <w:top w:w="15" w:type="dxa"/>
              <w:left w:w="15" w:type="dxa"/>
              <w:bottom w:w="0" w:type="dxa"/>
              <w:right w:w="15" w:type="dxa"/>
            </w:tcMar>
            <w:vAlign w:val="center"/>
            <w:hideMark/>
          </w:tcPr>
          <w:p w:rsidR="00CF25F1" w:rsidRPr="00563CF9" w:rsidRDefault="00CF25F1" w:rsidP="00162A64">
            <w:pPr>
              <w:jc w:val="left"/>
              <w:rPr>
                <w:rFonts w:ascii="Calibri" w:hAnsi="Calibri" w:cs="Calibri"/>
                <w:color w:val="000000"/>
                <w:sz w:val="20"/>
                <w:lang w:val="en-GB"/>
              </w:rPr>
            </w:pPr>
            <w:r w:rsidRPr="00563CF9">
              <w:rPr>
                <w:sz w:val="20"/>
                <w:lang w:val="en-GB" w:bidi="en-GB"/>
              </w:rPr>
              <w:t>MUH</w:t>
            </w:r>
          </w:p>
        </w:tc>
        <w:tc>
          <w:tcPr>
            <w:tcW w:w="1069" w:type="pct"/>
            <w:vMerge w:val="restart"/>
            <w:shd w:val="clear" w:color="auto" w:fill="auto"/>
            <w:noWrap/>
            <w:tcMar>
              <w:top w:w="15" w:type="dxa"/>
              <w:left w:w="15" w:type="dxa"/>
              <w:bottom w:w="0" w:type="dxa"/>
              <w:right w:w="15" w:type="dxa"/>
            </w:tcMar>
            <w:vAlign w:val="center"/>
            <w:hideMark/>
          </w:tcPr>
          <w:p w:rsidR="00CF25F1" w:rsidRPr="00563CF9" w:rsidRDefault="00CF25F1" w:rsidP="001C4A50">
            <w:pPr>
              <w:jc w:val="center"/>
              <w:rPr>
                <w:rFonts w:ascii="Calibri" w:hAnsi="Calibri" w:cs="Calibri"/>
                <w:color w:val="000000"/>
                <w:sz w:val="20"/>
                <w:lang w:val="en-GB"/>
              </w:rPr>
            </w:pPr>
            <w:r w:rsidRPr="00563CF9">
              <w:rPr>
                <w:sz w:val="20"/>
                <w:lang w:val="en-GB" w:bidi="en-GB"/>
              </w:rPr>
              <w:t>Medical devices</w:t>
            </w:r>
          </w:p>
        </w:tc>
        <w:tc>
          <w:tcPr>
            <w:tcW w:w="1330" w:type="pct"/>
            <w:vMerge w:val="restart"/>
            <w:shd w:val="clear" w:color="auto" w:fill="auto"/>
            <w:noWrap/>
            <w:tcMar>
              <w:top w:w="15" w:type="dxa"/>
              <w:left w:w="15" w:type="dxa"/>
              <w:bottom w:w="0" w:type="dxa"/>
              <w:right w:w="15" w:type="dxa"/>
            </w:tcMar>
            <w:vAlign w:val="center"/>
            <w:hideMark/>
          </w:tcPr>
          <w:p w:rsidR="00CF25F1" w:rsidRPr="00563CF9" w:rsidRDefault="00CF25F1" w:rsidP="00162A64">
            <w:pPr>
              <w:ind w:right="553"/>
              <w:jc w:val="right"/>
              <w:rPr>
                <w:rFonts w:ascii="Calibri" w:hAnsi="Calibri" w:cs="Calibri"/>
                <w:color w:val="000000"/>
                <w:sz w:val="20"/>
                <w:lang w:val="en-GB"/>
              </w:rPr>
            </w:pPr>
            <w:r w:rsidRPr="00563CF9">
              <w:rPr>
                <w:sz w:val="20"/>
                <w:lang w:val="en-GB" w:bidi="en-GB"/>
              </w:rPr>
              <w:t>5,144,806.36</w:t>
            </w:r>
          </w:p>
        </w:tc>
        <w:tc>
          <w:tcPr>
            <w:tcW w:w="1329" w:type="pct"/>
            <w:shd w:val="clear" w:color="auto" w:fill="auto"/>
            <w:noWrap/>
            <w:tcMar>
              <w:top w:w="15" w:type="dxa"/>
              <w:left w:w="15" w:type="dxa"/>
              <w:bottom w:w="0" w:type="dxa"/>
              <w:right w:w="15" w:type="dxa"/>
            </w:tcMar>
            <w:vAlign w:val="center"/>
            <w:hideMark/>
          </w:tcPr>
          <w:p w:rsidR="00CF25F1" w:rsidRPr="00563CF9" w:rsidRDefault="00CF25F1" w:rsidP="00162A64">
            <w:pPr>
              <w:jc w:val="left"/>
              <w:rPr>
                <w:rFonts w:ascii="Calibri" w:hAnsi="Calibri" w:cs="Calibri"/>
                <w:color w:val="000000"/>
                <w:sz w:val="20"/>
                <w:lang w:val="en-GB"/>
              </w:rPr>
            </w:pPr>
            <w:r w:rsidRPr="00563CF9">
              <w:rPr>
                <w:sz w:val="20"/>
                <w:lang w:val="en-GB" w:bidi="en-GB"/>
              </w:rPr>
              <w:t>Tender procedure</w:t>
            </w:r>
          </w:p>
        </w:tc>
        <w:tc>
          <w:tcPr>
            <w:tcW w:w="388" w:type="pct"/>
            <w:shd w:val="clear" w:color="auto" w:fill="auto"/>
            <w:noWrap/>
            <w:tcMar>
              <w:top w:w="15" w:type="dxa"/>
              <w:left w:w="15" w:type="dxa"/>
              <w:bottom w:w="0" w:type="dxa"/>
              <w:right w:w="15" w:type="dxa"/>
            </w:tcMar>
            <w:vAlign w:val="center"/>
            <w:hideMark/>
          </w:tcPr>
          <w:p w:rsidR="00CF25F1" w:rsidRPr="00563CF9" w:rsidRDefault="00CF25F1" w:rsidP="00162A64">
            <w:pPr>
              <w:ind w:right="57"/>
              <w:jc w:val="right"/>
              <w:rPr>
                <w:rFonts w:ascii="Calibri" w:hAnsi="Calibri" w:cs="Calibri"/>
                <w:color w:val="000000"/>
                <w:sz w:val="20"/>
                <w:lang w:val="en-GB"/>
              </w:rPr>
            </w:pPr>
            <w:r w:rsidRPr="00563CF9">
              <w:rPr>
                <w:sz w:val="20"/>
                <w:lang w:val="en-GB" w:bidi="en-GB"/>
              </w:rPr>
              <w:t>4.38</w:t>
            </w:r>
          </w:p>
        </w:tc>
      </w:tr>
      <w:tr w:rsidR="00CF25F1" w:rsidRPr="00563CF9" w:rsidTr="00757BF0">
        <w:trPr>
          <w:trHeight w:val="227"/>
        </w:trPr>
        <w:tc>
          <w:tcPr>
            <w:tcW w:w="884" w:type="pct"/>
            <w:vMerge/>
            <w:vAlign w:val="center"/>
            <w:hideMark/>
          </w:tcPr>
          <w:p w:rsidR="00CF25F1" w:rsidRPr="00563CF9" w:rsidRDefault="00CF25F1" w:rsidP="00162A64">
            <w:pPr>
              <w:jc w:val="left"/>
              <w:rPr>
                <w:rFonts w:ascii="Calibri" w:hAnsi="Calibri" w:cs="Calibri"/>
                <w:color w:val="000000"/>
                <w:sz w:val="20"/>
                <w:lang w:val="en-GB"/>
              </w:rPr>
            </w:pPr>
          </w:p>
        </w:tc>
        <w:tc>
          <w:tcPr>
            <w:tcW w:w="1069" w:type="pct"/>
            <w:vMerge/>
            <w:vAlign w:val="center"/>
            <w:hideMark/>
          </w:tcPr>
          <w:p w:rsidR="00CF25F1" w:rsidRPr="00563CF9" w:rsidRDefault="00CF25F1" w:rsidP="001C4A50">
            <w:pPr>
              <w:jc w:val="center"/>
              <w:rPr>
                <w:rFonts w:ascii="Calibri" w:hAnsi="Calibri" w:cs="Calibri"/>
                <w:color w:val="000000"/>
                <w:sz w:val="20"/>
                <w:lang w:val="en-GB"/>
              </w:rPr>
            </w:pPr>
          </w:p>
        </w:tc>
        <w:tc>
          <w:tcPr>
            <w:tcW w:w="1330" w:type="pct"/>
            <w:vMerge/>
            <w:vAlign w:val="center"/>
            <w:hideMark/>
          </w:tcPr>
          <w:p w:rsidR="00CF25F1" w:rsidRPr="00563CF9" w:rsidRDefault="00CF25F1" w:rsidP="00162A64">
            <w:pPr>
              <w:ind w:right="553"/>
              <w:jc w:val="right"/>
              <w:rPr>
                <w:rFonts w:ascii="Calibri" w:hAnsi="Calibri" w:cs="Calibri"/>
                <w:color w:val="000000"/>
                <w:sz w:val="20"/>
                <w:lang w:val="en-GB"/>
              </w:rPr>
            </w:pPr>
          </w:p>
        </w:tc>
        <w:tc>
          <w:tcPr>
            <w:tcW w:w="1329" w:type="pct"/>
            <w:shd w:val="clear" w:color="auto" w:fill="auto"/>
            <w:noWrap/>
            <w:tcMar>
              <w:top w:w="15" w:type="dxa"/>
              <w:left w:w="15" w:type="dxa"/>
              <w:bottom w:w="0" w:type="dxa"/>
              <w:right w:w="15" w:type="dxa"/>
            </w:tcMar>
            <w:vAlign w:val="center"/>
            <w:hideMark/>
          </w:tcPr>
          <w:p w:rsidR="00CF25F1" w:rsidRPr="00563CF9" w:rsidRDefault="00CF25F1" w:rsidP="00162A64">
            <w:pPr>
              <w:jc w:val="left"/>
              <w:rPr>
                <w:rFonts w:ascii="Calibri" w:hAnsi="Calibri" w:cs="Calibri"/>
                <w:color w:val="000000"/>
                <w:sz w:val="20"/>
                <w:lang w:val="en-GB"/>
              </w:rPr>
            </w:pPr>
            <w:r w:rsidRPr="00563CF9">
              <w:rPr>
                <w:sz w:val="20"/>
                <w:lang w:val="en-GB" w:bidi="en-GB"/>
              </w:rPr>
              <w:t>Other</w:t>
            </w:r>
          </w:p>
        </w:tc>
        <w:tc>
          <w:tcPr>
            <w:tcW w:w="388" w:type="pct"/>
            <w:shd w:val="clear" w:color="auto" w:fill="auto"/>
            <w:noWrap/>
            <w:tcMar>
              <w:top w:w="15" w:type="dxa"/>
              <w:left w:w="15" w:type="dxa"/>
              <w:bottom w:w="0" w:type="dxa"/>
              <w:right w:w="15" w:type="dxa"/>
            </w:tcMar>
            <w:vAlign w:val="center"/>
            <w:hideMark/>
          </w:tcPr>
          <w:p w:rsidR="00CF25F1" w:rsidRPr="00563CF9" w:rsidRDefault="00CF25F1" w:rsidP="00162A64">
            <w:pPr>
              <w:ind w:right="57"/>
              <w:jc w:val="right"/>
              <w:rPr>
                <w:rFonts w:ascii="Calibri" w:hAnsi="Calibri" w:cs="Calibri"/>
                <w:color w:val="000000"/>
                <w:sz w:val="20"/>
                <w:lang w:val="en-GB"/>
              </w:rPr>
            </w:pPr>
            <w:r w:rsidRPr="00563CF9">
              <w:rPr>
                <w:sz w:val="20"/>
                <w:lang w:val="en-GB" w:bidi="en-GB"/>
              </w:rPr>
              <w:t>95.62</w:t>
            </w:r>
          </w:p>
        </w:tc>
      </w:tr>
      <w:tr w:rsidR="00CF25F1" w:rsidRPr="00563CF9" w:rsidTr="00757BF0">
        <w:trPr>
          <w:trHeight w:val="227"/>
        </w:trPr>
        <w:tc>
          <w:tcPr>
            <w:tcW w:w="884" w:type="pct"/>
            <w:vMerge w:val="restart"/>
            <w:shd w:val="clear" w:color="auto" w:fill="auto"/>
            <w:noWrap/>
            <w:tcMar>
              <w:top w:w="15" w:type="dxa"/>
              <w:left w:w="15" w:type="dxa"/>
              <w:bottom w:w="0" w:type="dxa"/>
              <w:right w:w="15" w:type="dxa"/>
            </w:tcMar>
            <w:vAlign w:val="center"/>
            <w:hideMark/>
          </w:tcPr>
          <w:p w:rsidR="00CF25F1" w:rsidRPr="00563CF9" w:rsidRDefault="00CF25F1" w:rsidP="00162A64">
            <w:pPr>
              <w:jc w:val="left"/>
              <w:rPr>
                <w:rFonts w:ascii="Calibri" w:hAnsi="Calibri" w:cs="Calibri"/>
                <w:color w:val="000000"/>
                <w:sz w:val="20"/>
                <w:lang w:val="en-GB"/>
              </w:rPr>
            </w:pPr>
            <w:r w:rsidRPr="00563CF9">
              <w:rPr>
                <w:sz w:val="20"/>
                <w:lang w:val="en-GB" w:bidi="en-GB"/>
              </w:rPr>
              <w:t>CMH</w:t>
            </w:r>
          </w:p>
        </w:tc>
        <w:tc>
          <w:tcPr>
            <w:tcW w:w="1069" w:type="pct"/>
            <w:vMerge w:val="restart"/>
            <w:shd w:val="clear" w:color="auto" w:fill="auto"/>
            <w:noWrap/>
            <w:tcMar>
              <w:top w:w="15" w:type="dxa"/>
              <w:left w:w="15" w:type="dxa"/>
              <w:bottom w:w="0" w:type="dxa"/>
              <w:right w:w="15" w:type="dxa"/>
            </w:tcMar>
            <w:vAlign w:val="center"/>
            <w:hideMark/>
          </w:tcPr>
          <w:p w:rsidR="00CF25F1" w:rsidRPr="00563CF9" w:rsidRDefault="00CF25F1" w:rsidP="001C4A50">
            <w:pPr>
              <w:jc w:val="center"/>
              <w:rPr>
                <w:rFonts w:ascii="Calibri" w:hAnsi="Calibri" w:cs="Calibri"/>
                <w:color w:val="000000"/>
                <w:sz w:val="20"/>
                <w:lang w:val="en-GB"/>
              </w:rPr>
            </w:pPr>
            <w:r w:rsidRPr="00563CF9">
              <w:rPr>
                <w:sz w:val="20"/>
                <w:lang w:val="en-GB" w:bidi="en-GB"/>
              </w:rPr>
              <w:t>Medical devices</w:t>
            </w:r>
          </w:p>
        </w:tc>
        <w:tc>
          <w:tcPr>
            <w:tcW w:w="1330" w:type="pct"/>
            <w:vMerge w:val="restart"/>
            <w:shd w:val="clear" w:color="auto" w:fill="auto"/>
            <w:noWrap/>
            <w:tcMar>
              <w:top w:w="15" w:type="dxa"/>
              <w:left w:w="15" w:type="dxa"/>
              <w:bottom w:w="0" w:type="dxa"/>
              <w:right w:w="15" w:type="dxa"/>
            </w:tcMar>
            <w:vAlign w:val="center"/>
            <w:hideMark/>
          </w:tcPr>
          <w:p w:rsidR="00CF25F1" w:rsidRPr="00563CF9" w:rsidRDefault="00CF25F1" w:rsidP="00162A64">
            <w:pPr>
              <w:ind w:right="553"/>
              <w:jc w:val="right"/>
              <w:rPr>
                <w:rFonts w:ascii="Calibri" w:hAnsi="Calibri" w:cs="Calibri"/>
                <w:color w:val="000000"/>
                <w:sz w:val="20"/>
                <w:lang w:val="en-GB"/>
              </w:rPr>
            </w:pPr>
            <w:r w:rsidRPr="00563CF9">
              <w:rPr>
                <w:sz w:val="20"/>
                <w:lang w:val="en-GB" w:bidi="en-GB"/>
              </w:rPr>
              <w:t>7,126,621.11</w:t>
            </w:r>
          </w:p>
        </w:tc>
        <w:tc>
          <w:tcPr>
            <w:tcW w:w="1329" w:type="pct"/>
            <w:shd w:val="clear" w:color="auto" w:fill="auto"/>
            <w:noWrap/>
            <w:tcMar>
              <w:top w:w="15" w:type="dxa"/>
              <w:left w:w="15" w:type="dxa"/>
              <w:bottom w:w="0" w:type="dxa"/>
              <w:right w:w="15" w:type="dxa"/>
            </w:tcMar>
            <w:vAlign w:val="center"/>
            <w:hideMark/>
          </w:tcPr>
          <w:p w:rsidR="00CF25F1" w:rsidRPr="00563CF9" w:rsidRDefault="00CF25F1" w:rsidP="00162A64">
            <w:pPr>
              <w:jc w:val="left"/>
              <w:rPr>
                <w:rFonts w:ascii="Calibri" w:hAnsi="Calibri" w:cs="Calibri"/>
                <w:color w:val="000000"/>
                <w:sz w:val="20"/>
                <w:lang w:val="en-GB"/>
              </w:rPr>
            </w:pPr>
            <w:r w:rsidRPr="00563CF9">
              <w:rPr>
                <w:sz w:val="20"/>
                <w:lang w:val="en-GB" w:bidi="en-GB"/>
              </w:rPr>
              <w:t>Tender procedure</w:t>
            </w:r>
          </w:p>
        </w:tc>
        <w:tc>
          <w:tcPr>
            <w:tcW w:w="388" w:type="pct"/>
            <w:shd w:val="clear" w:color="auto" w:fill="auto"/>
            <w:noWrap/>
            <w:tcMar>
              <w:top w:w="15" w:type="dxa"/>
              <w:left w:w="15" w:type="dxa"/>
              <w:bottom w:w="0" w:type="dxa"/>
              <w:right w:w="15" w:type="dxa"/>
            </w:tcMar>
            <w:vAlign w:val="center"/>
            <w:hideMark/>
          </w:tcPr>
          <w:p w:rsidR="00CF25F1" w:rsidRPr="00563CF9" w:rsidRDefault="00CF25F1" w:rsidP="00162A64">
            <w:pPr>
              <w:ind w:right="57"/>
              <w:jc w:val="right"/>
              <w:rPr>
                <w:rFonts w:ascii="Calibri" w:hAnsi="Calibri" w:cs="Calibri"/>
                <w:color w:val="000000"/>
                <w:sz w:val="20"/>
                <w:lang w:val="en-GB"/>
              </w:rPr>
            </w:pPr>
            <w:r w:rsidRPr="00563CF9">
              <w:rPr>
                <w:sz w:val="20"/>
                <w:lang w:val="en-GB" w:bidi="en-GB"/>
              </w:rPr>
              <w:t>10.94</w:t>
            </w:r>
          </w:p>
        </w:tc>
      </w:tr>
      <w:tr w:rsidR="00CF25F1" w:rsidRPr="00563CF9" w:rsidTr="00757BF0">
        <w:trPr>
          <w:trHeight w:val="227"/>
        </w:trPr>
        <w:tc>
          <w:tcPr>
            <w:tcW w:w="884" w:type="pct"/>
            <w:vMerge/>
            <w:vAlign w:val="center"/>
            <w:hideMark/>
          </w:tcPr>
          <w:p w:rsidR="00CF25F1" w:rsidRPr="00563CF9" w:rsidRDefault="00CF25F1" w:rsidP="001C4A50">
            <w:pPr>
              <w:rPr>
                <w:rFonts w:ascii="Calibri" w:hAnsi="Calibri" w:cs="Calibri"/>
                <w:color w:val="000000"/>
                <w:sz w:val="20"/>
                <w:lang w:val="en-GB"/>
              </w:rPr>
            </w:pPr>
          </w:p>
        </w:tc>
        <w:tc>
          <w:tcPr>
            <w:tcW w:w="1069" w:type="pct"/>
            <w:vMerge/>
            <w:vAlign w:val="center"/>
            <w:hideMark/>
          </w:tcPr>
          <w:p w:rsidR="00CF25F1" w:rsidRPr="00563CF9" w:rsidRDefault="00CF25F1" w:rsidP="001C4A50">
            <w:pPr>
              <w:jc w:val="center"/>
              <w:rPr>
                <w:rFonts w:ascii="Calibri" w:hAnsi="Calibri" w:cs="Calibri"/>
                <w:color w:val="000000"/>
                <w:sz w:val="20"/>
                <w:lang w:val="en-GB"/>
              </w:rPr>
            </w:pPr>
          </w:p>
        </w:tc>
        <w:tc>
          <w:tcPr>
            <w:tcW w:w="1330" w:type="pct"/>
            <w:vMerge/>
            <w:vAlign w:val="center"/>
            <w:hideMark/>
          </w:tcPr>
          <w:p w:rsidR="00CF25F1" w:rsidRPr="00563CF9" w:rsidRDefault="00CF25F1" w:rsidP="001C4A50">
            <w:pPr>
              <w:rPr>
                <w:rFonts w:ascii="Calibri" w:hAnsi="Calibri" w:cs="Calibri"/>
                <w:color w:val="000000"/>
                <w:sz w:val="20"/>
                <w:lang w:val="en-GB"/>
              </w:rPr>
            </w:pPr>
          </w:p>
        </w:tc>
        <w:tc>
          <w:tcPr>
            <w:tcW w:w="1329" w:type="pct"/>
            <w:shd w:val="clear" w:color="auto" w:fill="auto"/>
            <w:noWrap/>
            <w:tcMar>
              <w:top w:w="15" w:type="dxa"/>
              <w:left w:w="15" w:type="dxa"/>
              <w:bottom w:w="0" w:type="dxa"/>
              <w:right w:w="15" w:type="dxa"/>
            </w:tcMar>
            <w:vAlign w:val="center"/>
            <w:hideMark/>
          </w:tcPr>
          <w:p w:rsidR="00CF25F1" w:rsidRPr="00563CF9" w:rsidRDefault="00CF25F1" w:rsidP="00162A64">
            <w:pPr>
              <w:jc w:val="left"/>
              <w:rPr>
                <w:rFonts w:ascii="Calibri" w:hAnsi="Calibri" w:cs="Calibri"/>
                <w:color w:val="000000"/>
                <w:sz w:val="20"/>
                <w:lang w:val="en-GB"/>
              </w:rPr>
            </w:pPr>
            <w:r w:rsidRPr="00563CF9">
              <w:rPr>
                <w:sz w:val="20"/>
                <w:lang w:val="en-GB" w:bidi="en-GB"/>
              </w:rPr>
              <w:t>Other</w:t>
            </w:r>
          </w:p>
        </w:tc>
        <w:tc>
          <w:tcPr>
            <w:tcW w:w="388" w:type="pct"/>
            <w:shd w:val="clear" w:color="auto" w:fill="auto"/>
            <w:noWrap/>
            <w:tcMar>
              <w:top w:w="15" w:type="dxa"/>
              <w:left w:w="15" w:type="dxa"/>
              <w:bottom w:w="0" w:type="dxa"/>
              <w:right w:w="15" w:type="dxa"/>
            </w:tcMar>
            <w:vAlign w:val="center"/>
            <w:hideMark/>
          </w:tcPr>
          <w:p w:rsidR="00CF25F1" w:rsidRPr="00563CF9" w:rsidRDefault="00CF25F1" w:rsidP="00162A64">
            <w:pPr>
              <w:ind w:right="57"/>
              <w:jc w:val="right"/>
              <w:rPr>
                <w:rFonts w:ascii="Calibri" w:hAnsi="Calibri" w:cs="Calibri"/>
                <w:color w:val="000000"/>
                <w:sz w:val="20"/>
                <w:lang w:val="en-GB"/>
              </w:rPr>
            </w:pPr>
            <w:r w:rsidRPr="00563CF9">
              <w:rPr>
                <w:sz w:val="20"/>
                <w:lang w:val="en-GB" w:bidi="en-GB"/>
              </w:rPr>
              <w:t>89.06</w:t>
            </w:r>
          </w:p>
        </w:tc>
      </w:tr>
    </w:tbl>
    <w:p w:rsidR="00CF25F1" w:rsidRPr="00563CF9" w:rsidRDefault="00CF25F1" w:rsidP="00B05C2B">
      <w:pPr>
        <w:pStyle w:val="Zdroj"/>
        <w:spacing w:before="40"/>
        <w:ind w:left="0"/>
        <w:rPr>
          <w:i w:val="0"/>
          <w:lang w:val="en-GB"/>
        </w:rPr>
      </w:pPr>
      <w:r w:rsidRPr="00563CF9">
        <w:rPr>
          <w:b/>
          <w:i w:val="0"/>
          <w:lang w:val="en-GB" w:bidi="en-GB"/>
        </w:rPr>
        <w:t xml:space="preserve">Source: </w:t>
      </w:r>
      <w:r w:rsidR="002A59EC" w:rsidRPr="00563CF9">
        <w:rPr>
          <w:i w:val="0"/>
          <w:lang w:val="en-GB" w:bidi="en-GB"/>
        </w:rPr>
        <w:t>annexes to the individual audit protocols of the university hospitals; communications by the audited university hospitals.</w:t>
      </w:r>
    </w:p>
    <w:p w:rsidR="00CF25F1" w:rsidRPr="00563CF9" w:rsidRDefault="00CF25F1" w:rsidP="00B05C2B">
      <w:pPr>
        <w:shd w:val="clear" w:color="auto" w:fill="FFFFFF"/>
        <w:spacing w:before="120"/>
        <w:rPr>
          <w:rFonts w:cstheme="minorHAnsi"/>
          <w:lang w:val="en-GB"/>
        </w:rPr>
      </w:pPr>
      <w:r w:rsidRPr="00563CF9">
        <w:rPr>
          <w:lang w:val="en-GB" w:bidi="en-GB"/>
        </w:rPr>
        <w:t>From the audit sample for the period 2014 to 2016, it was found that:</w:t>
      </w:r>
    </w:p>
    <w:p w:rsidR="00CF25F1" w:rsidRPr="00563CF9" w:rsidRDefault="00CF25F1" w:rsidP="00B05C2B">
      <w:pPr>
        <w:pStyle w:val="Odstavecseseznamem"/>
        <w:numPr>
          <w:ilvl w:val="0"/>
          <w:numId w:val="4"/>
        </w:numPr>
        <w:shd w:val="clear" w:color="auto" w:fill="FFFFFF"/>
        <w:ind w:left="284" w:hanging="284"/>
        <w:rPr>
          <w:rFonts w:cstheme="minorHAnsi"/>
          <w:lang w:val="en-GB"/>
        </w:rPr>
      </w:pPr>
      <w:r w:rsidRPr="00563CF9">
        <w:rPr>
          <w:b/>
          <w:lang w:val="en-GB" w:bidi="en-GB"/>
        </w:rPr>
        <w:t>medical devices</w:t>
      </w:r>
      <w:r w:rsidRPr="00563CF9">
        <w:rPr>
          <w:lang w:val="en-GB" w:bidi="en-GB"/>
        </w:rPr>
        <w:t xml:space="preserve"> were purchased by the university hospitals on the basis of a tender procedure ranging from 0 % to 10.94 %. </w:t>
      </w:r>
    </w:p>
    <w:p w:rsidR="00F52614" w:rsidRPr="00563CF9" w:rsidRDefault="00F52614" w:rsidP="00B05C2B">
      <w:pPr>
        <w:shd w:val="clear" w:color="auto" w:fill="FFFFFF"/>
        <w:spacing w:before="120"/>
        <w:rPr>
          <w:rFonts w:cstheme="minorHAnsi"/>
          <w:szCs w:val="24"/>
          <w:lang w:val="en-GB"/>
        </w:rPr>
      </w:pPr>
      <w:r w:rsidRPr="00563CF9">
        <w:rPr>
          <w:lang w:val="en-GB" w:bidi="en-GB"/>
        </w:rPr>
        <w:t>The following is a list of other ways to select suppliers when purchasing a test sample of medical devices.</w:t>
      </w:r>
    </w:p>
    <w:p w:rsidR="00CF25F1" w:rsidRPr="00563CF9" w:rsidRDefault="00CF25F1" w:rsidP="00B05C2B">
      <w:pPr>
        <w:shd w:val="clear" w:color="auto" w:fill="FFFFFF"/>
        <w:spacing w:before="120"/>
        <w:rPr>
          <w:rFonts w:cstheme="minorHAnsi"/>
          <w:szCs w:val="24"/>
          <w:lang w:val="en-GB"/>
        </w:rPr>
      </w:pPr>
      <w:r w:rsidRPr="00563CF9">
        <w:rPr>
          <w:lang w:val="en-GB" w:bidi="en-GB"/>
        </w:rPr>
        <w:t>The BUH purchased medical devices directly from individual suppliers.</w:t>
      </w:r>
    </w:p>
    <w:p w:rsidR="00CF25F1" w:rsidRPr="00563CF9" w:rsidRDefault="00CF25F1" w:rsidP="00B05C2B">
      <w:pPr>
        <w:shd w:val="clear" w:color="auto" w:fill="FFFFFF"/>
        <w:spacing w:before="120"/>
        <w:rPr>
          <w:rFonts w:cstheme="minorHAnsi"/>
          <w:szCs w:val="24"/>
          <w:lang w:val="en-GB"/>
        </w:rPr>
      </w:pPr>
      <w:r w:rsidRPr="00563CF9">
        <w:rPr>
          <w:lang w:val="en-GB" w:bidi="en-GB"/>
        </w:rPr>
        <w:t>For the MUH, the share of direct purchases of consumables to devices, which is predetermined by the device manufacturer, represented 17.11 % of the audit sample value. The share of purchases based on vital or health indications represented 78.51 % of the audit sample.</w:t>
      </w:r>
    </w:p>
    <w:p w:rsidR="00CF25F1" w:rsidRPr="00563CF9" w:rsidRDefault="00CF25F1" w:rsidP="00B05C2B">
      <w:pPr>
        <w:spacing w:before="120"/>
        <w:rPr>
          <w:color w:val="000000"/>
          <w:spacing w:val="-2"/>
          <w:szCs w:val="24"/>
          <w:lang w:val="en-GB"/>
        </w:rPr>
      </w:pPr>
      <w:r w:rsidRPr="00563CF9">
        <w:rPr>
          <w:spacing w:val="-2"/>
          <w:lang w:val="en-GB" w:bidi="en-GB"/>
        </w:rPr>
        <w:t>The CMH acquired SCM on the basis of framework contracts at 46.08 % of the value of the audit sample. The remaining portion of 42.98 % constitutes purchases based on orders without a prior contractual arrangement.</w:t>
      </w:r>
    </w:p>
    <w:p w:rsidR="002F713B" w:rsidRPr="00563CF9" w:rsidRDefault="00C76907" w:rsidP="00B05C2B">
      <w:pPr>
        <w:autoSpaceDE w:val="0"/>
        <w:autoSpaceDN w:val="0"/>
        <w:adjustRightInd w:val="0"/>
        <w:spacing w:before="120"/>
        <w:rPr>
          <w:rFonts w:cs="Arial"/>
          <w:b/>
          <w:szCs w:val="24"/>
          <w:lang w:val="en-GB"/>
        </w:rPr>
      </w:pPr>
      <w:r w:rsidRPr="00563CF9">
        <w:rPr>
          <w:b/>
          <w:lang w:val="en-GB" w:bidi="en-GB"/>
        </w:rPr>
        <w:t>The BUH purchased medical devices in all cases of the audit sample without a tender procedure. The CMH and the MUH stated the reasons for the purchase of medical devices without a tender procedure; however, the share of deliveries outside any tender procedure is considerable (the CMH reaches 89.06 % and MUH 95.62 %). The SAO has assessed this as undesirable, stating that there is room for cost reductions at the university hospitals. The university hospitals as contracting authorities are obliged to comply consistently with the Public Contract Act, the compliance with which is a prerequisite for assessing the economical management of state funds and transparent supplier selection.</w:t>
      </w:r>
    </w:p>
    <w:p w:rsidR="00CF25F1" w:rsidRPr="00563CF9" w:rsidRDefault="00AD5085" w:rsidP="00B05C2B">
      <w:pPr>
        <w:autoSpaceDE w:val="0"/>
        <w:autoSpaceDN w:val="0"/>
        <w:adjustRightInd w:val="0"/>
        <w:spacing w:before="120"/>
        <w:rPr>
          <w:rFonts w:cs="Arial"/>
          <w:b/>
          <w:color w:val="000000" w:themeColor="text1"/>
          <w:szCs w:val="24"/>
          <w:lang w:val="en-GB"/>
        </w:rPr>
      </w:pPr>
      <w:r w:rsidRPr="00563CF9">
        <w:rPr>
          <w:b/>
          <w:lang w:val="en-GB" w:bidi="en-GB"/>
        </w:rPr>
        <w:t>On the audit samples of identical pharmaceuticals and medical devices, the SAO found that the university hospitals had not proceeded equally when setting criteria for medical device purchasing in tender procedures. According to Act No. 137/2006 Coll., the contracting authority was not required to set the lowest price, including bonuses, as the evaluation criterion, but was required to determine the criterion of the evaluation of tenders in light of the nature and complexity of the subject-matter of the public contract so as to express the relationship of usable value and price. The BUH did not use tender procedures for the purchases of medical devices at all, and the MUH did not set the price and the bonus at the same time as the evaluation criterion so that the final price was the lowest. The tender procedures executed by the CMH where the evaluation criterion was not only the bid price but also the bonus can be considered transparent.</w:t>
      </w:r>
    </w:p>
    <w:p w:rsidR="00C05802" w:rsidRPr="00563CF9" w:rsidRDefault="00C05802" w:rsidP="00B05C2B">
      <w:pPr>
        <w:spacing w:before="120"/>
        <w:rPr>
          <w:color w:val="000000"/>
          <w:spacing w:val="-2"/>
          <w:szCs w:val="24"/>
          <w:lang w:val="en-GB"/>
        </w:rPr>
      </w:pPr>
      <w:r w:rsidRPr="00563CF9">
        <w:rPr>
          <w:spacing w:val="-2"/>
          <w:lang w:val="en-GB" w:bidi="en-GB"/>
        </w:rPr>
        <w:t>The SAO extended the audit sample to other significant items of medical devices that were not identical for all the university hospitals, in order to verify the procedure of the university hospitals for the procurement procedures pursuant to Act No. 137/2006 Coll.</w:t>
      </w:r>
      <w:r w:rsidR="008D0B02" w:rsidRPr="00563CF9">
        <w:rPr>
          <w:rStyle w:val="Znakapoznpodarou"/>
          <w:spacing w:val="-2"/>
          <w:lang w:val="en-GB" w:bidi="en-GB"/>
        </w:rPr>
        <w:footnoteReference w:id="41"/>
      </w:r>
      <w:r w:rsidRPr="00563CF9">
        <w:rPr>
          <w:spacing w:val="-2"/>
          <w:lang w:val="en-GB" w:bidi="en-GB"/>
        </w:rPr>
        <w:t xml:space="preserve"> From the expanded audit sample, it was found that the BUH in ​​the years 2014 to 2016, contrary to the provisions of Section 13(3) of Act No. 137/2006 Coll. and Section 24 of Act No. 134/2016 Coll., had not summed up the estimated value of those supplies which it had intended to purchase during the accounting period, and had awarded continuous and repeated public contracts directly to selected suppliers as small orders, although the total value of the supplies concerned had amounted to CZK 115,486,746.31 excluding VAT for the whole period under review. At the same time, the BUH concluded separate business advantage agreements with these suppliers, under which it received bonuses amounting to CZK 52,223,118.52 including VAT in the period under review. The BUH divided the object of the above-the-threshold public contract for repeated supplies of medical supplies, thus reducing the estimated value below the statutory financial limit. The total value of supplies under the contracts was CZK 115,486,746.31 excluding VAT.</w:t>
      </w:r>
    </w:p>
    <w:p w:rsidR="009D37B9" w:rsidRPr="00563CF9" w:rsidRDefault="001F7C0E" w:rsidP="00B05C2B">
      <w:pPr>
        <w:autoSpaceDE w:val="0"/>
        <w:autoSpaceDN w:val="0"/>
        <w:adjustRightInd w:val="0"/>
        <w:spacing w:before="120"/>
        <w:rPr>
          <w:rFonts w:cs="Arial"/>
          <w:b/>
          <w:color w:val="000000" w:themeColor="text1"/>
          <w:szCs w:val="24"/>
          <w:lang w:val="en-GB"/>
        </w:rPr>
      </w:pPr>
      <w:r w:rsidRPr="00563CF9">
        <w:rPr>
          <w:b/>
          <w:lang w:val="en-GB" w:bidi="en-GB"/>
        </w:rPr>
        <w:t>The BUH violated the budgetary discipline</w:t>
      </w:r>
      <w:r w:rsidR="00CB3FBB" w:rsidRPr="00563CF9">
        <w:rPr>
          <w:vertAlign w:val="superscript"/>
          <w:lang w:val="en-GB" w:bidi="en-GB"/>
        </w:rPr>
        <w:footnoteReference w:id="42"/>
      </w:r>
      <w:r w:rsidRPr="00563CF9">
        <w:rPr>
          <w:b/>
          <w:lang w:val="en-GB" w:bidi="en-GB"/>
        </w:rPr>
        <w:t xml:space="preserve"> by failing to carry out a tender procedure for specialised medical supplies pursuant to Act No. 137/2006 Coll., i.e. Act No. 134/2016 Coll., and concluding contracts for deposit in consignment warehouses directly with selected suppliers, on the basis of which it issued other state funds amounting to at least CZK 4,598,344.85 including VAT. The BUH procedure, consisting in the individual negotiation of bonuses outside the tender procedure, cannot be assessed as a legal, transparent and non-discriminatory procedure with respect to other market suppliers, or as a procedure in which the BUH demonstrably obtained the most advantageous prices of the supply in the market. The BUH did not proceed economically with the selection of suppliers of specialised medical supplies and paid a total of CZK 137,153,969.87 including VAT without a tender procedure. </w:t>
      </w:r>
    </w:p>
    <w:p w:rsidR="00925367" w:rsidRPr="00563CF9" w:rsidRDefault="00B05C2B" w:rsidP="00757BF0">
      <w:pPr>
        <w:spacing w:before="240" w:after="120"/>
        <w:rPr>
          <w:rFonts w:cstheme="minorHAnsi"/>
          <w:b/>
          <w:noProof/>
          <w:color w:val="000000" w:themeColor="text1"/>
          <w:szCs w:val="26"/>
          <w:lang w:val="en-GB"/>
        </w:rPr>
      </w:pPr>
      <w:r w:rsidRPr="00563CF9">
        <w:rPr>
          <w:b/>
          <w:noProof/>
          <w:lang w:val="en-GB" w:bidi="en-GB"/>
        </w:rPr>
        <w:t>1.6 Price differences for medical devices</w:t>
      </w:r>
    </w:p>
    <w:p w:rsidR="00925367" w:rsidRPr="00563CF9" w:rsidRDefault="00925367" w:rsidP="00B05C2B">
      <w:pPr>
        <w:spacing w:before="120"/>
        <w:rPr>
          <w:rFonts w:cstheme="minorHAnsi"/>
          <w:noProof/>
          <w:color w:val="000000" w:themeColor="text1"/>
          <w:szCs w:val="24"/>
          <w:lang w:val="en-GB"/>
        </w:rPr>
      </w:pPr>
      <w:r w:rsidRPr="00563CF9">
        <w:rPr>
          <w:noProof/>
          <w:lang w:val="en-GB" w:bidi="en-GB"/>
        </w:rPr>
        <w:t xml:space="preserve">On an audit sample of 20 types of medical supplies that all the university hospitals purchased between 2014 and 2016, the SAO found differences in unit prices for one unit in the individual years, which varied from 0 % to 109.95 % in percentage terms and ranged from CZK 0 to CZK 35,497.26 in absolute terms. The observed differences do not take into account the purchases of individual drugs and the amount of quantitative bonuses received from suppliers. All the observed differences are set out in Annex 3 to this Audit Conclusion. </w:t>
      </w:r>
    </w:p>
    <w:p w:rsidR="00925367" w:rsidRPr="00563CF9" w:rsidRDefault="00925367" w:rsidP="00B05C2B">
      <w:pPr>
        <w:spacing w:before="120"/>
        <w:rPr>
          <w:color w:val="000000"/>
          <w:spacing w:val="-2"/>
          <w:lang w:val="en-GB"/>
        </w:rPr>
      </w:pPr>
      <w:r w:rsidRPr="00563CF9">
        <w:rPr>
          <w:spacing w:val="-2"/>
          <w:lang w:val="en-GB" w:bidi="en-GB"/>
        </w:rPr>
        <w:t>The largest difference in the absolute value or percentage was found for medical supplies under the medical device codes:</w:t>
      </w:r>
    </w:p>
    <w:p w:rsidR="00925367" w:rsidRPr="00563CF9" w:rsidRDefault="00925367" w:rsidP="00B05C2B">
      <w:pPr>
        <w:pStyle w:val="Odstavecseseznamem"/>
        <w:numPr>
          <w:ilvl w:val="0"/>
          <w:numId w:val="36"/>
        </w:numPr>
        <w:ind w:left="284" w:hanging="284"/>
        <w:rPr>
          <w:rFonts w:cstheme="minorHAnsi"/>
          <w:noProof/>
          <w:color w:val="000000" w:themeColor="text1"/>
          <w:szCs w:val="28"/>
          <w:lang w:val="en-GB"/>
        </w:rPr>
      </w:pPr>
      <w:r w:rsidRPr="00563CF9">
        <w:rPr>
          <w:noProof/>
          <w:lang w:val="en-GB" w:bidi="en-GB"/>
        </w:rPr>
        <w:t>0192089 (STENTGRAFT AORTAL ZENITH LP, BODY) in 2016 the difference was CZK 35,497.26 (i.e. 42.86 %), where the BUH purchased one unit for CZK 82,826.93 and CZK 118,324.19. The reason was a discount from the supplier.</w:t>
      </w:r>
    </w:p>
    <w:p w:rsidR="00925367" w:rsidRPr="00563CF9" w:rsidRDefault="00925367" w:rsidP="00B05C2B">
      <w:pPr>
        <w:pStyle w:val="Odstavecseseznamem"/>
        <w:numPr>
          <w:ilvl w:val="0"/>
          <w:numId w:val="36"/>
        </w:numPr>
        <w:ind w:left="284" w:hanging="284"/>
        <w:rPr>
          <w:rFonts w:cstheme="minorHAnsi"/>
          <w:noProof/>
          <w:color w:val="000000" w:themeColor="text1"/>
          <w:szCs w:val="28"/>
          <w:lang w:val="en-GB"/>
        </w:rPr>
      </w:pPr>
      <w:r w:rsidRPr="00563CF9">
        <w:rPr>
          <w:noProof/>
          <w:lang w:val="en-GB" w:bidi="en-GB"/>
        </w:rPr>
        <w:t>0193339 (STENTGRAFT AORTAL ZENITH-LEG SPIRAL) in 2016 the difference was CZK 29,764.35 (i.e. 66.67 %), where the BUH purchased one unit for CZK 44,646.52 and CZK 74,410.87. The reason was a discount from the supplier.</w:t>
      </w:r>
    </w:p>
    <w:p w:rsidR="00925367" w:rsidRPr="00563CF9" w:rsidRDefault="00925367" w:rsidP="00B05C2B">
      <w:pPr>
        <w:pStyle w:val="Odstavecseseznamem"/>
        <w:numPr>
          <w:ilvl w:val="0"/>
          <w:numId w:val="36"/>
        </w:numPr>
        <w:ind w:left="284" w:hanging="284"/>
        <w:rPr>
          <w:rFonts w:cstheme="minorHAnsi"/>
          <w:noProof/>
          <w:color w:val="000000" w:themeColor="text1"/>
          <w:szCs w:val="28"/>
          <w:lang w:val="en-GB"/>
        </w:rPr>
      </w:pPr>
      <w:r w:rsidRPr="00563CF9">
        <w:rPr>
          <w:noProof/>
          <w:lang w:val="en-GB" w:bidi="en-GB"/>
        </w:rPr>
        <w:t xml:space="preserve">0194014 (ECG INSERTABLE REVEAL LINQ RECORDER) in 2016 the difference was CZK 20,576 (i.e. 34.63 %), where the CMH purchased one unit for CZK 59,414 and the BUH for CZK 79,990. The reason was that the BUH had purchased these medical supplies at the agreed price in the contract, and at the same time the CMH had started to claim VAT deduction in the course of 2016. </w:t>
      </w:r>
    </w:p>
    <w:p w:rsidR="00925367" w:rsidRPr="00563CF9" w:rsidRDefault="00925367" w:rsidP="00B05C2B">
      <w:pPr>
        <w:pStyle w:val="Odstavecseseznamem"/>
        <w:numPr>
          <w:ilvl w:val="0"/>
          <w:numId w:val="36"/>
        </w:numPr>
        <w:ind w:left="284" w:hanging="284"/>
        <w:rPr>
          <w:rFonts w:cstheme="minorHAnsi"/>
          <w:noProof/>
          <w:color w:val="000000" w:themeColor="text1"/>
          <w:szCs w:val="28"/>
          <w:lang w:val="en-GB"/>
        </w:rPr>
      </w:pPr>
      <w:r w:rsidRPr="00563CF9">
        <w:rPr>
          <w:noProof/>
          <w:lang w:val="en-GB" w:bidi="en-GB"/>
        </w:rPr>
        <w:t>0059007 (ENDO GIA – 60MM – UNIVERSAL, DUET TRISTAPLE ROTICULATING DISPENSER) in 2015 there was a difference of CZK 6,330.40 (i.e. 110 %), when the BUH purchased one unit for CZK 5,757.50 and the MUH for CZK 12,087.90. In 2014 the difference was CZK 2,591.50 (i.e. 45.01 %), when the BUH purchased one unit for CZK 5,757.50 and the CMH for CZK 8,349.00. The reason for the price difference is that, under the same code 0059007, several types of staplers are kept, but they were listed in the VZP-ZP reimbursement catalogs under the same medical device code, thus with the same maximum reimbursement.</w:t>
      </w:r>
    </w:p>
    <w:p w:rsidR="002D0662" w:rsidRPr="00563CF9" w:rsidRDefault="002D0662" w:rsidP="008E3315">
      <w:pPr>
        <w:spacing w:before="120"/>
        <w:rPr>
          <w:rFonts w:cs="Arial"/>
          <w:b/>
          <w:color w:val="000000" w:themeColor="text1"/>
          <w:szCs w:val="24"/>
          <w:lang w:val="en-GB"/>
        </w:rPr>
      </w:pPr>
      <w:r w:rsidRPr="00563CF9">
        <w:rPr>
          <w:b/>
          <w:lang w:val="en-GB" w:bidi="en-GB"/>
        </w:rPr>
        <w:t xml:space="preserve">Among the university hospitals, in the unit purchase prices of a selected sample of medical devices, there were significant price differences, often even in purchases from the same suppliers. The different prices were mainly affected by discounts from suppliers and purchases from a single manufacturer. The SAO sees room for lowering costs in the considerable price differences in medical devices. </w:t>
      </w:r>
    </w:p>
    <w:p w:rsidR="00CF25F1" w:rsidRPr="00563CF9" w:rsidRDefault="008E3315" w:rsidP="00757BF0">
      <w:pPr>
        <w:keepNext/>
        <w:spacing w:before="240" w:after="120"/>
        <w:rPr>
          <w:rFonts w:cstheme="minorHAnsi"/>
          <w:b/>
          <w:noProof/>
          <w:color w:val="000000" w:themeColor="text1"/>
          <w:szCs w:val="26"/>
          <w:lang w:val="en-GB"/>
        </w:rPr>
      </w:pPr>
      <w:r w:rsidRPr="00563CF9">
        <w:rPr>
          <w:b/>
          <w:noProof/>
          <w:lang w:val="en-GB" w:bidi="en-GB"/>
        </w:rPr>
        <w:t>1.7 Bonuses for medical devices</w:t>
      </w:r>
    </w:p>
    <w:p w:rsidR="00F551C9" w:rsidRPr="00563CF9" w:rsidRDefault="00C465C8" w:rsidP="00162A64">
      <w:pPr>
        <w:keepNext/>
        <w:tabs>
          <w:tab w:val="right" w:pos="9072"/>
        </w:tabs>
        <w:spacing w:before="120" w:after="40"/>
        <w:rPr>
          <w:rFonts w:cstheme="minorHAnsi"/>
          <w:b/>
          <w:noProof/>
          <w:color w:val="000000" w:themeColor="text1"/>
          <w:szCs w:val="28"/>
          <w:lang w:val="en-GB"/>
        </w:rPr>
      </w:pPr>
      <w:r w:rsidRPr="00563CF9">
        <w:rPr>
          <w:b/>
          <w:noProof/>
          <w:lang w:val="en-GB" w:bidi="en-GB"/>
        </w:rPr>
        <w:t xml:space="preserve">Table 11: Share of bonuses in the cost of medical devices in 2014-2016 </w:t>
      </w:r>
      <w:r w:rsidRPr="00563CF9">
        <w:rPr>
          <w:b/>
          <w:noProof/>
          <w:lang w:val="en-GB" w:bidi="en-GB"/>
        </w:rPr>
        <w:tab/>
        <w:t>(in CZK thousands)</w:t>
      </w:r>
    </w:p>
    <w:tbl>
      <w:tblPr>
        <w:tblW w:w="5000" w:type="pct"/>
        <w:tblCellMar>
          <w:left w:w="70" w:type="dxa"/>
          <w:right w:w="70" w:type="dxa"/>
        </w:tblCellMar>
        <w:tblLook w:val="04A0" w:firstRow="1" w:lastRow="0" w:firstColumn="1" w:lastColumn="0" w:noHBand="0" w:noVBand="1"/>
      </w:tblPr>
      <w:tblGrid>
        <w:gridCol w:w="572"/>
        <w:gridCol w:w="1133"/>
        <w:gridCol w:w="1135"/>
        <w:gridCol w:w="610"/>
        <w:gridCol w:w="1135"/>
        <w:gridCol w:w="1135"/>
        <w:gridCol w:w="611"/>
        <w:gridCol w:w="1136"/>
        <w:gridCol w:w="1136"/>
        <w:gridCol w:w="609"/>
      </w:tblGrid>
      <w:tr w:rsidR="00F551C9" w:rsidRPr="00563CF9" w:rsidTr="008E3315">
        <w:trPr>
          <w:trHeight w:val="244"/>
        </w:trPr>
        <w:tc>
          <w:tcPr>
            <w:tcW w:w="250" w:type="pct"/>
            <w:vMerge w:val="restart"/>
            <w:tcBorders>
              <w:top w:val="single" w:sz="4" w:space="0" w:color="auto"/>
              <w:left w:val="single" w:sz="4" w:space="0" w:color="auto"/>
              <w:right w:val="single" w:sz="4" w:space="0" w:color="auto"/>
            </w:tcBorders>
            <w:shd w:val="clear" w:color="000000" w:fill="E5F1FF"/>
            <w:noWrap/>
            <w:vAlign w:val="center"/>
            <w:hideMark/>
          </w:tcPr>
          <w:p w:rsidR="00F551C9" w:rsidRPr="00563CF9" w:rsidRDefault="00F551C9" w:rsidP="00162A64">
            <w:pPr>
              <w:keepNext/>
              <w:jc w:val="center"/>
              <w:rPr>
                <w:rFonts w:ascii="Calibri" w:hAnsi="Calibri" w:cs="Calibri"/>
                <w:b/>
                <w:bCs/>
                <w:color w:val="000000"/>
                <w:sz w:val="20"/>
                <w:lang w:val="en-GB"/>
              </w:rPr>
            </w:pPr>
          </w:p>
        </w:tc>
        <w:tc>
          <w:tcPr>
            <w:tcW w:w="1583" w:type="pct"/>
            <w:gridSpan w:val="3"/>
            <w:tcBorders>
              <w:top w:val="single" w:sz="4" w:space="0" w:color="auto"/>
              <w:left w:val="nil"/>
              <w:bottom w:val="single" w:sz="4" w:space="0" w:color="auto"/>
              <w:right w:val="single" w:sz="4" w:space="0" w:color="auto"/>
            </w:tcBorders>
            <w:shd w:val="clear" w:color="000000" w:fill="E5F1FF"/>
            <w:noWrap/>
            <w:vAlign w:val="center"/>
            <w:hideMark/>
          </w:tcPr>
          <w:p w:rsidR="00F551C9" w:rsidRPr="00563CF9" w:rsidRDefault="00F551C9" w:rsidP="00162A64">
            <w:pPr>
              <w:keepNext/>
              <w:jc w:val="center"/>
              <w:rPr>
                <w:rFonts w:ascii="Calibri" w:hAnsi="Calibri" w:cs="Calibri"/>
                <w:b/>
                <w:bCs/>
                <w:color w:val="000000"/>
                <w:sz w:val="20"/>
                <w:lang w:val="en-GB"/>
              </w:rPr>
            </w:pPr>
            <w:r w:rsidRPr="00563CF9">
              <w:rPr>
                <w:b/>
                <w:sz w:val="20"/>
                <w:lang w:val="en-GB" w:bidi="en-GB"/>
              </w:rPr>
              <w:t>2014</w:t>
            </w:r>
          </w:p>
        </w:tc>
        <w:tc>
          <w:tcPr>
            <w:tcW w:w="1584" w:type="pct"/>
            <w:gridSpan w:val="3"/>
            <w:tcBorders>
              <w:top w:val="single" w:sz="4" w:space="0" w:color="auto"/>
              <w:left w:val="nil"/>
              <w:bottom w:val="single" w:sz="4" w:space="0" w:color="auto"/>
              <w:right w:val="single" w:sz="4" w:space="0" w:color="auto"/>
            </w:tcBorders>
            <w:shd w:val="clear" w:color="000000" w:fill="E5F1FF"/>
            <w:noWrap/>
            <w:vAlign w:val="center"/>
            <w:hideMark/>
          </w:tcPr>
          <w:p w:rsidR="00F551C9" w:rsidRPr="00563CF9" w:rsidRDefault="00F551C9" w:rsidP="00162A64">
            <w:pPr>
              <w:keepNext/>
              <w:jc w:val="center"/>
              <w:rPr>
                <w:rFonts w:ascii="Calibri" w:hAnsi="Calibri" w:cs="Calibri"/>
                <w:b/>
                <w:bCs/>
                <w:color w:val="000000"/>
                <w:sz w:val="20"/>
                <w:lang w:val="en-GB"/>
              </w:rPr>
            </w:pPr>
            <w:r w:rsidRPr="00563CF9">
              <w:rPr>
                <w:b/>
                <w:sz w:val="20"/>
                <w:lang w:val="en-GB" w:bidi="en-GB"/>
              </w:rPr>
              <w:t>2015</w:t>
            </w:r>
          </w:p>
        </w:tc>
        <w:tc>
          <w:tcPr>
            <w:tcW w:w="1584" w:type="pct"/>
            <w:gridSpan w:val="3"/>
            <w:tcBorders>
              <w:top w:val="single" w:sz="4" w:space="0" w:color="auto"/>
              <w:left w:val="nil"/>
              <w:bottom w:val="single" w:sz="4" w:space="0" w:color="auto"/>
              <w:right w:val="single" w:sz="4" w:space="0" w:color="auto"/>
            </w:tcBorders>
            <w:shd w:val="clear" w:color="000000" w:fill="E5F1FF"/>
            <w:noWrap/>
            <w:vAlign w:val="center"/>
            <w:hideMark/>
          </w:tcPr>
          <w:p w:rsidR="00F551C9" w:rsidRPr="00563CF9" w:rsidRDefault="00F551C9" w:rsidP="00162A64">
            <w:pPr>
              <w:keepNext/>
              <w:jc w:val="center"/>
              <w:rPr>
                <w:rFonts w:ascii="Calibri" w:hAnsi="Calibri" w:cs="Calibri"/>
                <w:b/>
                <w:bCs/>
                <w:color w:val="000000"/>
                <w:sz w:val="20"/>
                <w:lang w:val="en-GB"/>
              </w:rPr>
            </w:pPr>
            <w:r w:rsidRPr="00563CF9">
              <w:rPr>
                <w:b/>
                <w:sz w:val="20"/>
                <w:lang w:val="en-GB" w:bidi="en-GB"/>
              </w:rPr>
              <w:t>2016</w:t>
            </w:r>
          </w:p>
        </w:tc>
      </w:tr>
      <w:tr w:rsidR="00F551C9" w:rsidRPr="00563CF9" w:rsidTr="00E6484E">
        <w:trPr>
          <w:trHeight w:val="244"/>
        </w:trPr>
        <w:tc>
          <w:tcPr>
            <w:tcW w:w="250" w:type="pct"/>
            <w:vMerge/>
            <w:tcBorders>
              <w:left w:val="single" w:sz="4" w:space="0" w:color="auto"/>
              <w:bottom w:val="single" w:sz="4" w:space="0" w:color="auto"/>
              <w:right w:val="single" w:sz="4" w:space="0" w:color="auto"/>
            </w:tcBorders>
            <w:shd w:val="clear" w:color="000000" w:fill="E5F1FF"/>
            <w:noWrap/>
            <w:vAlign w:val="bottom"/>
            <w:hideMark/>
          </w:tcPr>
          <w:p w:rsidR="00F551C9" w:rsidRPr="00563CF9" w:rsidRDefault="00F551C9" w:rsidP="00162A64">
            <w:pPr>
              <w:keepNext/>
              <w:jc w:val="left"/>
              <w:rPr>
                <w:rFonts w:ascii="Calibri" w:hAnsi="Calibri" w:cs="Calibri"/>
                <w:b/>
                <w:bCs/>
                <w:color w:val="000000"/>
                <w:sz w:val="20"/>
                <w:lang w:val="en-GB"/>
              </w:rPr>
            </w:pPr>
          </w:p>
        </w:tc>
        <w:tc>
          <w:tcPr>
            <w:tcW w:w="622" w:type="pct"/>
            <w:tcBorders>
              <w:top w:val="nil"/>
              <w:left w:val="nil"/>
              <w:bottom w:val="single" w:sz="4" w:space="0" w:color="auto"/>
              <w:right w:val="single" w:sz="4" w:space="0" w:color="auto"/>
            </w:tcBorders>
            <w:shd w:val="clear" w:color="000000" w:fill="E5F1FF"/>
            <w:noWrap/>
            <w:vAlign w:val="center"/>
            <w:hideMark/>
          </w:tcPr>
          <w:p w:rsidR="00F551C9" w:rsidRPr="00563CF9" w:rsidRDefault="00F551C9" w:rsidP="00162A64">
            <w:pPr>
              <w:keepNext/>
              <w:jc w:val="center"/>
              <w:rPr>
                <w:rFonts w:ascii="Calibri" w:hAnsi="Calibri" w:cs="Calibri"/>
                <w:b/>
                <w:bCs/>
                <w:color w:val="000000"/>
                <w:sz w:val="20"/>
                <w:lang w:val="en-GB"/>
              </w:rPr>
            </w:pPr>
            <w:r w:rsidRPr="00563CF9">
              <w:rPr>
                <w:b/>
                <w:sz w:val="20"/>
                <w:lang w:val="en-GB" w:bidi="en-GB"/>
              </w:rPr>
              <w:t>Costs</w:t>
            </w:r>
          </w:p>
        </w:tc>
        <w:tc>
          <w:tcPr>
            <w:tcW w:w="623" w:type="pct"/>
            <w:tcBorders>
              <w:top w:val="nil"/>
              <w:left w:val="nil"/>
              <w:bottom w:val="single" w:sz="4" w:space="0" w:color="auto"/>
              <w:right w:val="single" w:sz="4" w:space="0" w:color="auto"/>
            </w:tcBorders>
            <w:shd w:val="clear" w:color="000000" w:fill="E5F1FF"/>
            <w:noWrap/>
            <w:vAlign w:val="center"/>
            <w:hideMark/>
          </w:tcPr>
          <w:p w:rsidR="00F551C9" w:rsidRPr="00563CF9" w:rsidRDefault="00F551C9" w:rsidP="00162A64">
            <w:pPr>
              <w:keepNext/>
              <w:jc w:val="center"/>
              <w:rPr>
                <w:rFonts w:ascii="Calibri" w:hAnsi="Calibri" w:cs="Calibri"/>
                <w:b/>
                <w:bCs/>
                <w:color w:val="000000"/>
                <w:sz w:val="20"/>
                <w:lang w:val="en-GB"/>
              </w:rPr>
            </w:pPr>
            <w:r w:rsidRPr="00563CF9">
              <w:rPr>
                <w:b/>
                <w:sz w:val="20"/>
                <w:lang w:val="en-GB" w:bidi="en-GB"/>
              </w:rPr>
              <w:t>Bonuses</w:t>
            </w:r>
          </w:p>
        </w:tc>
        <w:tc>
          <w:tcPr>
            <w:tcW w:w="338" w:type="pct"/>
            <w:tcBorders>
              <w:top w:val="nil"/>
              <w:left w:val="nil"/>
              <w:bottom w:val="single" w:sz="4" w:space="0" w:color="auto"/>
              <w:right w:val="single" w:sz="4" w:space="0" w:color="auto"/>
            </w:tcBorders>
            <w:shd w:val="clear" w:color="000000" w:fill="E5F1FF"/>
            <w:noWrap/>
            <w:vAlign w:val="center"/>
            <w:hideMark/>
          </w:tcPr>
          <w:p w:rsidR="00F551C9" w:rsidRPr="00563CF9" w:rsidRDefault="00F551C9" w:rsidP="00162A64">
            <w:pPr>
              <w:keepNext/>
              <w:jc w:val="center"/>
              <w:rPr>
                <w:rFonts w:ascii="Calibri" w:hAnsi="Calibri" w:cs="Calibri"/>
                <w:b/>
                <w:bCs/>
                <w:color w:val="000000"/>
                <w:sz w:val="20"/>
                <w:lang w:val="en-GB"/>
              </w:rPr>
            </w:pPr>
            <w:r w:rsidRPr="00563CF9">
              <w:rPr>
                <w:b/>
                <w:sz w:val="20"/>
                <w:lang w:val="en-GB" w:bidi="en-GB"/>
              </w:rPr>
              <w:t>%</w:t>
            </w:r>
          </w:p>
        </w:tc>
        <w:tc>
          <w:tcPr>
            <w:tcW w:w="623" w:type="pct"/>
            <w:tcBorders>
              <w:top w:val="nil"/>
              <w:left w:val="nil"/>
              <w:bottom w:val="single" w:sz="4" w:space="0" w:color="auto"/>
              <w:right w:val="single" w:sz="4" w:space="0" w:color="auto"/>
            </w:tcBorders>
            <w:shd w:val="clear" w:color="000000" w:fill="E5F1FF"/>
            <w:noWrap/>
            <w:vAlign w:val="center"/>
            <w:hideMark/>
          </w:tcPr>
          <w:p w:rsidR="00F551C9" w:rsidRPr="00563CF9" w:rsidRDefault="00F551C9" w:rsidP="00162A64">
            <w:pPr>
              <w:keepNext/>
              <w:jc w:val="center"/>
              <w:rPr>
                <w:rFonts w:ascii="Calibri" w:hAnsi="Calibri" w:cs="Calibri"/>
                <w:b/>
                <w:bCs/>
                <w:color w:val="000000"/>
                <w:sz w:val="20"/>
                <w:lang w:val="en-GB"/>
              </w:rPr>
            </w:pPr>
            <w:r w:rsidRPr="00563CF9">
              <w:rPr>
                <w:b/>
                <w:sz w:val="20"/>
                <w:lang w:val="en-GB" w:bidi="en-GB"/>
              </w:rPr>
              <w:t>Costs</w:t>
            </w:r>
          </w:p>
        </w:tc>
        <w:tc>
          <w:tcPr>
            <w:tcW w:w="623" w:type="pct"/>
            <w:tcBorders>
              <w:top w:val="nil"/>
              <w:left w:val="nil"/>
              <w:bottom w:val="single" w:sz="4" w:space="0" w:color="auto"/>
              <w:right w:val="single" w:sz="4" w:space="0" w:color="auto"/>
            </w:tcBorders>
            <w:shd w:val="clear" w:color="000000" w:fill="E5F1FF"/>
            <w:noWrap/>
            <w:vAlign w:val="center"/>
            <w:hideMark/>
          </w:tcPr>
          <w:p w:rsidR="00F551C9" w:rsidRPr="00563CF9" w:rsidRDefault="00F551C9" w:rsidP="00162A64">
            <w:pPr>
              <w:keepNext/>
              <w:jc w:val="center"/>
              <w:rPr>
                <w:rFonts w:ascii="Calibri" w:hAnsi="Calibri" w:cs="Calibri"/>
                <w:b/>
                <w:bCs/>
                <w:color w:val="000000"/>
                <w:sz w:val="20"/>
                <w:lang w:val="en-GB"/>
              </w:rPr>
            </w:pPr>
            <w:r w:rsidRPr="00563CF9">
              <w:rPr>
                <w:b/>
                <w:sz w:val="20"/>
                <w:lang w:val="en-GB" w:bidi="en-GB"/>
              </w:rPr>
              <w:t>Bonuses</w:t>
            </w:r>
          </w:p>
        </w:tc>
        <w:tc>
          <w:tcPr>
            <w:tcW w:w="338" w:type="pct"/>
            <w:tcBorders>
              <w:top w:val="nil"/>
              <w:left w:val="nil"/>
              <w:bottom w:val="single" w:sz="4" w:space="0" w:color="auto"/>
              <w:right w:val="single" w:sz="4" w:space="0" w:color="auto"/>
            </w:tcBorders>
            <w:shd w:val="clear" w:color="000000" w:fill="E5F1FF"/>
            <w:noWrap/>
            <w:vAlign w:val="center"/>
            <w:hideMark/>
          </w:tcPr>
          <w:p w:rsidR="00F551C9" w:rsidRPr="00563CF9" w:rsidRDefault="00F551C9" w:rsidP="00162A64">
            <w:pPr>
              <w:keepNext/>
              <w:jc w:val="center"/>
              <w:rPr>
                <w:rFonts w:ascii="Calibri" w:hAnsi="Calibri" w:cs="Calibri"/>
                <w:b/>
                <w:bCs/>
                <w:color w:val="000000"/>
                <w:sz w:val="20"/>
                <w:lang w:val="en-GB"/>
              </w:rPr>
            </w:pPr>
            <w:r w:rsidRPr="00563CF9">
              <w:rPr>
                <w:b/>
                <w:sz w:val="20"/>
                <w:lang w:val="en-GB" w:bidi="en-GB"/>
              </w:rPr>
              <w:t>%</w:t>
            </w:r>
          </w:p>
        </w:tc>
        <w:tc>
          <w:tcPr>
            <w:tcW w:w="623" w:type="pct"/>
            <w:tcBorders>
              <w:top w:val="nil"/>
              <w:left w:val="nil"/>
              <w:bottom w:val="single" w:sz="4" w:space="0" w:color="auto"/>
              <w:right w:val="single" w:sz="4" w:space="0" w:color="auto"/>
            </w:tcBorders>
            <w:shd w:val="clear" w:color="000000" w:fill="E5F1FF"/>
            <w:noWrap/>
            <w:vAlign w:val="center"/>
            <w:hideMark/>
          </w:tcPr>
          <w:p w:rsidR="00F551C9" w:rsidRPr="00563CF9" w:rsidRDefault="00F551C9" w:rsidP="00162A64">
            <w:pPr>
              <w:keepNext/>
              <w:jc w:val="center"/>
              <w:rPr>
                <w:rFonts w:ascii="Calibri" w:hAnsi="Calibri" w:cs="Calibri"/>
                <w:b/>
                <w:bCs/>
                <w:color w:val="000000"/>
                <w:sz w:val="20"/>
                <w:lang w:val="en-GB"/>
              </w:rPr>
            </w:pPr>
            <w:r w:rsidRPr="00563CF9">
              <w:rPr>
                <w:b/>
                <w:sz w:val="20"/>
                <w:lang w:val="en-GB" w:bidi="en-GB"/>
              </w:rPr>
              <w:t>Costs</w:t>
            </w:r>
          </w:p>
        </w:tc>
        <w:tc>
          <w:tcPr>
            <w:tcW w:w="623" w:type="pct"/>
            <w:tcBorders>
              <w:top w:val="nil"/>
              <w:left w:val="nil"/>
              <w:bottom w:val="single" w:sz="4" w:space="0" w:color="auto"/>
              <w:right w:val="single" w:sz="4" w:space="0" w:color="auto"/>
            </w:tcBorders>
            <w:shd w:val="clear" w:color="000000" w:fill="E5F1FF"/>
            <w:noWrap/>
            <w:vAlign w:val="center"/>
            <w:hideMark/>
          </w:tcPr>
          <w:p w:rsidR="00F551C9" w:rsidRPr="00563CF9" w:rsidRDefault="00F551C9" w:rsidP="00162A64">
            <w:pPr>
              <w:keepNext/>
              <w:jc w:val="center"/>
              <w:rPr>
                <w:rFonts w:ascii="Calibri" w:hAnsi="Calibri" w:cs="Calibri"/>
                <w:b/>
                <w:bCs/>
                <w:color w:val="000000"/>
                <w:sz w:val="20"/>
                <w:lang w:val="en-GB"/>
              </w:rPr>
            </w:pPr>
            <w:r w:rsidRPr="00563CF9">
              <w:rPr>
                <w:b/>
                <w:sz w:val="20"/>
                <w:lang w:val="en-GB" w:bidi="en-GB"/>
              </w:rPr>
              <w:t>Bonuses</w:t>
            </w:r>
          </w:p>
        </w:tc>
        <w:tc>
          <w:tcPr>
            <w:tcW w:w="338" w:type="pct"/>
            <w:tcBorders>
              <w:top w:val="nil"/>
              <w:left w:val="nil"/>
              <w:bottom w:val="single" w:sz="4" w:space="0" w:color="auto"/>
              <w:right w:val="single" w:sz="4" w:space="0" w:color="auto"/>
            </w:tcBorders>
            <w:shd w:val="clear" w:color="000000" w:fill="E5F1FF"/>
            <w:noWrap/>
            <w:vAlign w:val="center"/>
            <w:hideMark/>
          </w:tcPr>
          <w:p w:rsidR="00F551C9" w:rsidRPr="00563CF9" w:rsidRDefault="00F551C9" w:rsidP="00162A64">
            <w:pPr>
              <w:keepNext/>
              <w:jc w:val="center"/>
              <w:rPr>
                <w:rFonts w:ascii="Calibri" w:hAnsi="Calibri" w:cs="Calibri"/>
                <w:b/>
                <w:bCs/>
                <w:color w:val="000000"/>
                <w:sz w:val="20"/>
                <w:lang w:val="en-GB"/>
              </w:rPr>
            </w:pPr>
            <w:r w:rsidRPr="00563CF9">
              <w:rPr>
                <w:b/>
                <w:sz w:val="20"/>
                <w:lang w:val="en-GB" w:bidi="en-GB"/>
              </w:rPr>
              <w:t>%</w:t>
            </w:r>
          </w:p>
        </w:tc>
      </w:tr>
      <w:tr w:rsidR="00F551C9" w:rsidRPr="00563CF9" w:rsidTr="00852FFB">
        <w:trPr>
          <w:trHeight w:val="244"/>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F551C9" w:rsidRPr="00563CF9" w:rsidRDefault="00F551C9" w:rsidP="00162A64">
            <w:pPr>
              <w:keepNext/>
              <w:jc w:val="center"/>
              <w:rPr>
                <w:rFonts w:ascii="Calibri" w:hAnsi="Calibri" w:cs="Calibri"/>
                <w:b/>
                <w:bCs/>
                <w:color w:val="000000"/>
                <w:sz w:val="20"/>
                <w:lang w:val="en-GB"/>
              </w:rPr>
            </w:pPr>
            <w:r w:rsidRPr="00563CF9">
              <w:rPr>
                <w:b/>
                <w:sz w:val="20"/>
                <w:lang w:val="en-GB" w:bidi="en-GB"/>
              </w:rPr>
              <w:t>BUH</w:t>
            </w:r>
          </w:p>
        </w:tc>
        <w:tc>
          <w:tcPr>
            <w:tcW w:w="622" w:type="pct"/>
            <w:tcBorders>
              <w:top w:val="nil"/>
              <w:left w:val="nil"/>
              <w:bottom w:val="single" w:sz="4" w:space="0" w:color="auto"/>
              <w:right w:val="single" w:sz="4" w:space="0" w:color="auto"/>
            </w:tcBorders>
            <w:shd w:val="clear" w:color="auto" w:fill="auto"/>
            <w:vAlign w:val="center"/>
            <w:hideMark/>
          </w:tcPr>
          <w:p w:rsidR="00F551C9" w:rsidRPr="00563CF9" w:rsidRDefault="00F551C9" w:rsidP="00852FFB">
            <w:pPr>
              <w:keepNext/>
              <w:jc w:val="right"/>
              <w:rPr>
                <w:rFonts w:ascii="Calibri" w:hAnsi="Calibri" w:cs="Calibri"/>
                <w:color w:val="000000"/>
                <w:sz w:val="20"/>
                <w:lang w:val="en-GB"/>
              </w:rPr>
            </w:pPr>
            <w:r w:rsidRPr="00563CF9">
              <w:rPr>
                <w:sz w:val="20"/>
                <w:lang w:val="en-GB" w:bidi="en-GB"/>
              </w:rPr>
              <w:t>708,273.05</w:t>
            </w:r>
          </w:p>
        </w:tc>
        <w:tc>
          <w:tcPr>
            <w:tcW w:w="623" w:type="pct"/>
            <w:tcBorders>
              <w:top w:val="nil"/>
              <w:left w:val="nil"/>
              <w:bottom w:val="single" w:sz="4" w:space="0" w:color="auto"/>
              <w:right w:val="single" w:sz="4" w:space="0" w:color="auto"/>
            </w:tcBorders>
            <w:shd w:val="clear" w:color="auto" w:fill="auto"/>
            <w:noWrap/>
            <w:vAlign w:val="center"/>
            <w:hideMark/>
          </w:tcPr>
          <w:p w:rsidR="00F551C9" w:rsidRPr="00563CF9" w:rsidRDefault="00F551C9" w:rsidP="00852FFB">
            <w:pPr>
              <w:keepNext/>
              <w:jc w:val="right"/>
              <w:rPr>
                <w:rFonts w:ascii="Calibri" w:hAnsi="Calibri" w:cs="Calibri"/>
                <w:color w:val="000000"/>
                <w:sz w:val="20"/>
                <w:lang w:val="en-GB"/>
              </w:rPr>
            </w:pPr>
            <w:r w:rsidRPr="00563CF9">
              <w:rPr>
                <w:sz w:val="20"/>
                <w:lang w:val="en-GB" w:bidi="en-GB"/>
              </w:rPr>
              <w:t>134,263.39</w:t>
            </w:r>
          </w:p>
        </w:tc>
        <w:tc>
          <w:tcPr>
            <w:tcW w:w="338" w:type="pct"/>
            <w:tcBorders>
              <w:top w:val="nil"/>
              <w:left w:val="nil"/>
              <w:bottom w:val="single" w:sz="4" w:space="0" w:color="auto"/>
              <w:right w:val="single" w:sz="4" w:space="0" w:color="auto"/>
            </w:tcBorders>
            <w:shd w:val="clear" w:color="auto" w:fill="auto"/>
            <w:noWrap/>
            <w:vAlign w:val="center"/>
            <w:hideMark/>
          </w:tcPr>
          <w:p w:rsidR="00F551C9" w:rsidRPr="00563CF9" w:rsidRDefault="00F551C9" w:rsidP="00852FFB">
            <w:pPr>
              <w:keepNext/>
              <w:jc w:val="right"/>
              <w:rPr>
                <w:rFonts w:ascii="Calibri" w:hAnsi="Calibri" w:cs="Calibri"/>
                <w:color w:val="000000"/>
                <w:sz w:val="20"/>
                <w:lang w:val="en-GB"/>
              </w:rPr>
            </w:pPr>
            <w:r w:rsidRPr="00563CF9">
              <w:rPr>
                <w:sz w:val="20"/>
                <w:lang w:val="en-GB" w:bidi="en-GB"/>
              </w:rPr>
              <w:t>18.96</w:t>
            </w:r>
          </w:p>
        </w:tc>
        <w:tc>
          <w:tcPr>
            <w:tcW w:w="623" w:type="pct"/>
            <w:tcBorders>
              <w:top w:val="nil"/>
              <w:left w:val="nil"/>
              <w:bottom w:val="single" w:sz="4" w:space="0" w:color="auto"/>
              <w:right w:val="single" w:sz="4" w:space="0" w:color="auto"/>
            </w:tcBorders>
            <w:shd w:val="clear" w:color="auto" w:fill="auto"/>
            <w:noWrap/>
            <w:vAlign w:val="center"/>
            <w:hideMark/>
          </w:tcPr>
          <w:p w:rsidR="00F551C9" w:rsidRPr="00563CF9" w:rsidRDefault="00F551C9" w:rsidP="00852FFB">
            <w:pPr>
              <w:keepNext/>
              <w:jc w:val="right"/>
              <w:rPr>
                <w:rFonts w:ascii="Calibri" w:hAnsi="Calibri" w:cs="Calibri"/>
                <w:color w:val="000000"/>
                <w:sz w:val="20"/>
                <w:lang w:val="en-GB"/>
              </w:rPr>
            </w:pPr>
            <w:r w:rsidRPr="00563CF9">
              <w:rPr>
                <w:sz w:val="20"/>
                <w:lang w:val="en-GB" w:bidi="en-GB"/>
              </w:rPr>
              <w:t>703,494.78</w:t>
            </w:r>
          </w:p>
        </w:tc>
        <w:tc>
          <w:tcPr>
            <w:tcW w:w="623" w:type="pct"/>
            <w:tcBorders>
              <w:top w:val="nil"/>
              <w:left w:val="nil"/>
              <w:bottom w:val="single" w:sz="4" w:space="0" w:color="auto"/>
              <w:right w:val="single" w:sz="4" w:space="0" w:color="auto"/>
            </w:tcBorders>
            <w:shd w:val="clear" w:color="auto" w:fill="auto"/>
            <w:noWrap/>
            <w:vAlign w:val="center"/>
            <w:hideMark/>
          </w:tcPr>
          <w:p w:rsidR="00F551C9" w:rsidRPr="00563CF9" w:rsidRDefault="00F551C9" w:rsidP="00852FFB">
            <w:pPr>
              <w:keepNext/>
              <w:jc w:val="right"/>
              <w:rPr>
                <w:rFonts w:ascii="Calibri" w:hAnsi="Calibri" w:cs="Calibri"/>
                <w:color w:val="000000"/>
                <w:sz w:val="20"/>
                <w:lang w:val="en-GB"/>
              </w:rPr>
            </w:pPr>
            <w:r w:rsidRPr="00563CF9">
              <w:rPr>
                <w:sz w:val="20"/>
                <w:lang w:val="en-GB" w:bidi="en-GB"/>
              </w:rPr>
              <w:t>115,553.85</w:t>
            </w:r>
          </w:p>
        </w:tc>
        <w:tc>
          <w:tcPr>
            <w:tcW w:w="338" w:type="pct"/>
            <w:tcBorders>
              <w:top w:val="nil"/>
              <w:left w:val="nil"/>
              <w:bottom w:val="single" w:sz="4" w:space="0" w:color="auto"/>
              <w:right w:val="single" w:sz="4" w:space="0" w:color="auto"/>
            </w:tcBorders>
            <w:shd w:val="clear" w:color="auto" w:fill="auto"/>
            <w:noWrap/>
            <w:vAlign w:val="center"/>
            <w:hideMark/>
          </w:tcPr>
          <w:p w:rsidR="00F551C9" w:rsidRPr="00563CF9" w:rsidRDefault="00F551C9" w:rsidP="00852FFB">
            <w:pPr>
              <w:keepNext/>
              <w:jc w:val="right"/>
              <w:rPr>
                <w:rFonts w:ascii="Calibri" w:hAnsi="Calibri" w:cs="Calibri"/>
                <w:color w:val="000000"/>
                <w:sz w:val="20"/>
                <w:lang w:val="en-GB"/>
              </w:rPr>
            </w:pPr>
            <w:r w:rsidRPr="00563CF9">
              <w:rPr>
                <w:sz w:val="20"/>
                <w:lang w:val="en-GB" w:bidi="en-GB"/>
              </w:rPr>
              <w:t>16.43</w:t>
            </w:r>
          </w:p>
        </w:tc>
        <w:tc>
          <w:tcPr>
            <w:tcW w:w="623" w:type="pct"/>
            <w:tcBorders>
              <w:top w:val="nil"/>
              <w:left w:val="nil"/>
              <w:bottom w:val="single" w:sz="4" w:space="0" w:color="auto"/>
              <w:right w:val="single" w:sz="4" w:space="0" w:color="auto"/>
            </w:tcBorders>
            <w:shd w:val="clear" w:color="auto" w:fill="auto"/>
            <w:noWrap/>
            <w:vAlign w:val="center"/>
            <w:hideMark/>
          </w:tcPr>
          <w:p w:rsidR="00F551C9" w:rsidRPr="00563CF9" w:rsidRDefault="00F551C9" w:rsidP="00852FFB">
            <w:pPr>
              <w:keepNext/>
              <w:jc w:val="right"/>
              <w:rPr>
                <w:rFonts w:ascii="Calibri" w:hAnsi="Calibri" w:cs="Calibri"/>
                <w:color w:val="000000"/>
                <w:sz w:val="20"/>
                <w:lang w:val="en-GB"/>
              </w:rPr>
            </w:pPr>
            <w:r w:rsidRPr="00563CF9">
              <w:rPr>
                <w:sz w:val="20"/>
                <w:lang w:val="en-GB" w:bidi="en-GB"/>
              </w:rPr>
              <w:t>730,820.72</w:t>
            </w:r>
          </w:p>
        </w:tc>
        <w:tc>
          <w:tcPr>
            <w:tcW w:w="623" w:type="pct"/>
            <w:tcBorders>
              <w:top w:val="nil"/>
              <w:left w:val="nil"/>
              <w:bottom w:val="single" w:sz="4" w:space="0" w:color="auto"/>
              <w:right w:val="single" w:sz="4" w:space="0" w:color="auto"/>
            </w:tcBorders>
            <w:shd w:val="clear" w:color="auto" w:fill="auto"/>
            <w:noWrap/>
            <w:vAlign w:val="center"/>
            <w:hideMark/>
          </w:tcPr>
          <w:p w:rsidR="00F551C9" w:rsidRPr="00563CF9" w:rsidRDefault="00F551C9" w:rsidP="00852FFB">
            <w:pPr>
              <w:keepNext/>
              <w:jc w:val="right"/>
              <w:rPr>
                <w:rFonts w:ascii="Calibri" w:hAnsi="Calibri" w:cs="Calibri"/>
                <w:color w:val="000000"/>
                <w:sz w:val="20"/>
                <w:lang w:val="en-GB"/>
              </w:rPr>
            </w:pPr>
            <w:r w:rsidRPr="00563CF9">
              <w:rPr>
                <w:sz w:val="20"/>
                <w:lang w:val="en-GB" w:bidi="en-GB"/>
              </w:rPr>
              <w:t>112,914.88</w:t>
            </w:r>
          </w:p>
        </w:tc>
        <w:tc>
          <w:tcPr>
            <w:tcW w:w="338" w:type="pct"/>
            <w:tcBorders>
              <w:top w:val="nil"/>
              <w:left w:val="nil"/>
              <w:bottom w:val="single" w:sz="4" w:space="0" w:color="auto"/>
              <w:right w:val="single" w:sz="4" w:space="0" w:color="auto"/>
            </w:tcBorders>
            <w:shd w:val="clear" w:color="auto" w:fill="auto"/>
            <w:noWrap/>
            <w:vAlign w:val="center"/>
            <w:hideMark/>
          </w:tcPr>
          <w:p w:rsidR="00F551C9" w:rsidRPr="00563CF9" w:rsidRDefault="00F551C9" w:rsidP="00852FFB">
            <w:pPr>
              <w:keepNext/>
              <w:jc w:val="right"/>
              <w:rPr>
                <w:rFonts w:ascii="Calibri" w:hAnsi="Calibri" w:cs="Calibri"/>
                <w:color w:val="000000"/>
                <w:sz w:val="20"/>
                <w:lang w:val="en-GB"/>
              </w:rPr>
            </w:pPr>
            <w:r w:rsidRPr="00563CF9">
              <w:rPr>
                <w:sz w:val="20"/>
                <w:lang w:val="en-GB" w:bidi="en-GB"/>
              </w:rPr>
              <w:t>15.45</w:t>
            </w:r>
          </w:p>
        </w:tc>
      </w:tr>
      <w:tr w:rsidR="00F551C9" w:rsidRPr="00563CF9" w:rsidTr="00852FFB">
        <w:trPr>
          <w:trHeight w:val="244"/>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F551C9" w:rsidRPr="00563CF9" w:rsidRDefault="00F551C9" w:rsidP="00162A64">
            <w:pPr>
              <w:keepNext/>
              <w:jc w:val="center"/>
              <w:rPr>
                <w:rFonts w:ascii="Calibri" w:hAnsi="Calibri" w:cs="Calibri"/>
                <w:b/>
                <w:bCs/>
                <w:color w:val="000000"/>
                <w:sz w:val="20"/>
                <w:lang w:val="en-GB"/>
              </w:rPr>
            </w:pPr>
            <w:r w:rsidRPr="00563CF9">
              <w:rPr>
                <w:b/>
                <w:sz w:val="20"/>
                <w:lang w:val="en-GB" w:bidi="en-GB"/>
              </w:rPr>
              <w:t>MUH</w:t>
            </w:r>
          </w:p>
        </w:tc>
        <w:tc>
          <w:tcPr>
            <w:tcW w:w="622" w:type="pct"/>
            <w:tcBorders>
              <w:top w:val="nil"/>
              <w:left w:val="nil"/>
              <w:bottom w:val="single" w:sz="4" w:space="0" w:color="auto"/>
              <w:right w:val="single" w:sz="4" w:space="0" w:color="auto"/>
            </w:tcBorders>
            <w:shd w:val="clear" w:color="auto" w:fill="auto"/>
            <w:noWrap/>
            <w:vAlign w:val="center"/>
            <w:hideMark/>
          </w:tcPr>
          <w:p w:rsidR="00F551C9" w:rsidRPr="00563CF9" w:rsidRDefault="00F551C9" w:rsidP="00852FFB">
            <w:pPr>
              <w:keepNext/>
              <w:jc w:val="right"/>
              <w:rPr>
                <w:rFonts w:ascii="Calibri" w:hAnsi="Calibri" w:cs="Calibri"/>
                <w:color w:val="000000"/>
                <w:sz w:val="20"/>
                <w:lang w:val="en-GB"/>
              </w:rPr>
            </w:pPr>
            <w:r w:rsidRPr="00563CF9">
              <w:rPr>
                <w:sz w:val="20"/>
                <w:lang w:val="en-GB" w:bidi="en-GB"/>
              </w:rPr>
              <w:t>808,992.74</w:t>
            </w:r>
          </w:p>
        </w:tc>
        <w:tc>
          <w:tcPr>
            <w:tcW w:w="623" w:type="pct"/>
            <w:tcBorders>
              <w:top w:val="nil"/>
              <w:left w:val="nil"/>
              <w:bottom w:val="single" w:sz="4" w:space="0" w:color="auto"/>
              <w:right w:val="single" w:sz="4" w:space="0" w:color="auto"/>
            </w:tcBorders>
            <w:shd w:val="clear" w:color="auto" w:fill="auto"/>
            <w:noWrap/>
            <w:vAlign w:val="center"/>
            <w:hideMark/>
          </w:tcPr>
          <w:p w:rsidR="00F551C9" w:rsidRPr="00563CF9" w:rsidRDefault="00F551C9" w:rsidP="00852FFB">
            <w:pPr>
              <w:keepNext/>
              <w:jc w:val="right"/>
              <w:rPr>
                <w:rFonts w:ascii="Calibri" w:hAnsi="Calibri" w:cs="Calibri"/>
                <w:color w:val="000000"/>
                <w:sz w:val="20"/>
                <w:lang w:val="en-GB"/>
              </w:rPr>
            </w:pPr>
            <w:r w:rsidRPr="00563CF9">
              <w:rPr>
                <w:sz w:val="20"/>
                <w:lang w:val="en-GB" w:bidi="en-GB"/>
              </w:rPr>
              <w:t>611.42</w:t>
            </w:r>
          </w:p>
        </w:tc>
        <w:tc>
          <w:tcPr>
            <w:tcW w:w="338" w:type="pct"/>
            <w:tcBorders>
              <w:top w:val="nil"/>
              <w:left w:val="nil"/>
              <w:bottom w:val="single" w:sz="4" w:space="0" w:color="auto"/>
              <w:right w:val="single" w:sz="4" w:space="0" w:color="auto"/>
            </w:tcBorders>
            <w:shd w:val="clear" w:color="auto" w:fill="auto"/>
            <w:noWrap/>
            <w:vAlign w:val="center"/>
            <w:hideMark/>
          </w:tcPr>
          <w:p w:rsidR="00F551C9" w:rsidRPr="00563CF9" w:rsidRDefault="00F551C9" w:rsidP="00852FFB">
            <w:pPr>
              <w:keepNext/>
              <w:jc w:val="right"/>
              <w:rPr>
                <w:rFonts w:ascii="Calibri" w:hAnsi="Calibri" w:cs="Calibri"/>
                <w:color w:val="000000"/>
                <w:sz w:val="20"/>
                <w:lang w:val="en-GB"/>
              </w:rPr>
            </w:pPr>
            <w:r w:rsidRPr="00563CF9">
              <w:rPr>
                <w:sz w:val="20"/>
                <w:lang w:val="en-GB" w:bidi="en-GB"/>
              </w:rPr>
              <w:t>0.08</w:t>
            </w:r>
          </w:p>
        </w:tc>
        <w:tc>
          <w:tcPr>
            <w:tcW w:w="623" w:type="pct"/>
            <w:tcBorders>
              <w:top w:val="nil"/>
              <w:left w:val="nil"/>
              <w:bottom w:val="single" w:sz="4" w:space="0" w:color="auto"/>
              <w:right w:val="single" w:sz="4" w:space="0" w:color="auto"/>
            </w:tcBorders>
            <w:shd w:val="clear" w:color="auto" w:fill="auto"/>
            <w:noWrap/>
            <w:vAlign w:val="center"/>
            <w:hideMark/>
          </w:tcPr>
          <w:p w:rsidR="00F551C9" w:rsidRPr="00563CF9" w:rsidRDefault="00F551C9" w:rsidP="00852FFB">
            <w:pPr>
              <w:keepNext/>
              <w:jc w:val="right"/>
              <w:rPr>
                <w:rFonts w:ascii="Calibri" w:hAnsi="Calibri" w:cs="Calibri"/>
                <w:color w:val="000000"/>
                <w:sz w:val="20"/>
                <w:lang w:val="en-GB"/>
              </w:rPr>
            </w:pPr>
            <w:r w:rsidRPr="00563CF9">
              <w:rPr>
                <w:sz w:val="20"/>
                <w:lang w:val="en-GB" w:bidi="en-GB"/>
              </w:rPr>
              <w:t>829,716.84</w:t>
            </w:r>
          </w:p>
        </w:tc>
        <w:tc>
          <w:tcPr>
            <w:tcW w:w="623" w:type="pct"/>
            <w:tcBorders>
              <w:top w:val="nil"/>
              <w:left w:val="nil"/>
              <w:bottom w:val="single" w:sz="4" w:space="0" w:color="auto"/>
              <w:right w:val="single" w:sz="4" w:space="0" w:color="auto"/>
            </w:tcBorders>
            <w:shd w:val="clear" w:color="auto" w:fill="auto"/>
            <w:noWrap/>
            <w:vAlign w:val="center"/>
            <w:hideMark/>
          </w:tcPr>
          <w:p w:rsidR="00F551C9" w:rsidRPr="00563CF9" w:rsidRDefault="00F551C9" w:rsidP="00852FFB">
            <w:pPr>
              <w:keepNext/>
              <w:jc w:val="right"/>
              <w:rPr>
                <w:rFonts w:ascii="Calibri" w:hAnsi="Calibri" w:cs="Calibri"/>
                <w:color w:val="000000"/>
                <w:sz w:val="20"/>
                <w:lang w:val="en-GB"/>
              </w:rPr>
            </w:pPr>
            <w:r w:rsidRPr="00563CF9">
              <w:rPr>
                <w:sz w:val="20"/>
                <w:lang w:val="en-GB" w:bidi="en-GB"/>
              </w:rPr>
              <w:t>1,856.12</w:t>
            </w:r>
          </w:p>
        </w:tc>
        <w:tc>
          <w:tcPr>
            <w:tcW w:w="338" w:type="pct"/>
            <w:tcBorders>
              <w:top w:val="nil"/>
              <w:left w:val="nil"/>
              <w:bottom w:val="single" w:sz="4" w:space="0" w:color="auto"/>
              <w:right w:val="single" w:sz="4" w:space="0" w:color="auto"/>
            </w:tcBorders>
            <w:shd w:val="clear" w:color="auto" w:fill="auto"/>
            <w:noWrap/>
            <w:vAlign w:val="center"/>
            <w:hideMark/>
          </w:tcPr>
          <w:p w:rsidR="00F551C9" w:rsidRPr="00563CF9" w:rsidRDefault="00F551C9" w:rsidP="00852FFB">
            <w:pPr>
              <w:keepNext/>
              <w:jc w:val="right"/>
              <w:rPr>
                <w:rFonts w:ascii="Calibri" w:hAnsi="Calibri" w:cs="Calibri"/>
                <w:color w:val="000000"/>
                <w:sz w:val="20"/>
                <w:lang w:val="en-GB"/>
              </w:rPr>
            </w:pPr>
            <w:r w:rsidRPr="00563CF9">
              <w:rPr>
                <w:sz w:val="20"/>
                <w:lang w:val="en-GB" w:bidi="en-GB"/>
              </w:rPr>
              <w:t>0.22</w:t>
            </w:r>
          </w:p>
        </w:tc>
        <w:tc>
          <w:tcPr>
            <w:tcW w:w="623" w:type="pct"/>
            <w:tcBorders>
              <w:top w:val="nil"/>
              <w:left w:val="nil"/>
              <w:bottom w:val="single" w:sz="4" w:space="0" w:color="auto"/>
              <w:right w:val="single" w:sz="4" w:space="0" w:color="auto"/>
            </w:tcBorders>
            <w:shd w:val="clear" w:color="auto" w:fill="auto"/>
            <w:noWrap/>
            <w:vAlign w:val="center"/>
            <w:hideMark/>
          </w:tcPr>
          <w:p w:rsidR="00F551C9" w:rsidRPr="00563CF9" w:rsidRDefault="00F551C9" w:rsidP="00852FFB">
            <w:pPr>
              <w:keepNext/>
              <w:jc w:val="right"/>
              <w:rPr>
                <w:rFonts w:ascii="Calibri" w:hAnsi="Calibri" w:cs="Calibri"/>
                <w:color w:val="000000"/>
                <w:sz w:val="20"/>
                <w:lang w:val="en-GB"/>
              </w:rPr>
            </w:pPr>
            <w:r w:rsidRPr="00563CF9">
              <w:rPr>
                <w:sz w:val="20"/>
                <w:lang w:val="en-GB" w:bidi="en-GB"/>
              </w:rPr>
              <w:t>894,714.30</w:t>
            </w:r>
          </w:p>
        </w:tc>
        <w:tc>
          <w:tcPr>
            <w:tcW w:w="623" w:type="pct"/>
            <w:tcBorders>
              <w:top w:val="nil"/>
              <w:left w:val="nil"/>
              <w:bottom w:val="single" w:sz="4" w:space="0" w:color="auto"/>
              <w:right w:val="single" w:sz="4" w:space="0" w:color="auto"/>
            </w:tcBorders>
            <w:shd w:val="clear" w:color="auto" w:fill="auto"/>
            <w:noWrap/>
            <w:vAlign w:val="center"/>
            <w:hideMark/>
          </w:tcPr>
          <w:p w:rsidR="00F551C9" w:rsidRPr="00563CF9" w:rsidRDefault="00F551C9" w:rsidP="00852FFB">
            <w:pPr>
              <w:keepNext/>
              <w:jc w:val="right"/>
              <w:rPr>
                <w:rFonts w:ascii="Calibri" w:hAnsi="Calibri" w:cs="Calibri"/>
                <w:color w:val="000000"/>
                <w:sz w:val="20"/>
                <w:lang w:val="en-GB"/>
              </w:rPr>
            </w:pPr>
            <w:r w:rsidRPr="00563CF9">
              <w:rPr>
                <w:sz w:val="20"/>
                <w:lang w:val="en-GB" w:bidi="en-GB"/>
              </w:rPr>
              <w:t>2,040.66</w:t>
            </w:r>
          </w:p>
        </w:tc>
        <w:tc>
          <w:tcPr>
            <w:tcW w:w="338" w:type="pct"/>
            <w:tcBorders>
              <w:top w:val="nil"/>
              <w:left w:val="nil"/>
              <w:bottom w:val="single" w:sz="4" w:space="0" w:color="auto"/>
              <w:right w:val="single" w:sz="4" w:space="0" w:color="auto"/>
            </w:tcBorders>
            <w:shd w:val="clear" w:color="auto" w:fill="auto"/>
            <w:noWrap/>
            <w:vAlign w:val="center"/>
            <w:hideMark/>
          </w:tcPr>
          <w:p w:rsidR="00F551C9" w:rsidRPr="00563CF9" w:rsidRDefault="00F551C9" w:rsidP="00852FFB">
            <w:pPr>
              <w:keepNext/>
              <w:jc w:val="right"/>
              <w:rPr>
                <w:rFonts w:ascii="Calibri" w:hAnsi="Calibri" w:cs="Calibri"/>
                <w:color w:val="000000"/>
                <w:sz w:val="20"/>
                <w:lang w:val="en-GB"/>
              </w:rPr>
            </w:pPr>
            <w:r w:rsidRPr="00563CF9">
              <w:rPr>
                <w:sz w:val="20"/>
                <w:lang w:val="en-GB" w:bidi="en-GB"/>
              </w:rPr>
              <w:t>0.23</w:t>
            </w:r>
          </w:p>
        </w:tc>
      </w:tr>
      <w:tr w:rsidR="00F551C9" w:rsidRPr="00563CF9" w:rsidTr="00852FFB">
        <w:trPr>
          <w:trHeight w:val="244"/>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F551C9" w:rsidRPr="00563CF9" w:rsidRDefault="00F551C9" w:rsidP="00162A64">
            <w:pPr>
              <w:keepNext/>
              <w:jc w:val="center"/>
              <w:rPr>
                <w:rFonts w:ascii="Calibri" w:hAnsi="Calibri" w:cs="Calibri"/>
                <w:b/>
                <w:bCs/>
                <w:color w:val="000000"/>
                <w:sz w:val="20"/>
                <w:lang w:val="en-GB"/>
              </w:rPr>
            </w:pPr>
            <w:r w:rsidRPr="00563CF9">
              <w:rPr>
                <w:b/>
                <w:sz w:val="20"/>
                <w:lang w:val="en-GB" w:bidi="en-GB"/>
              </w:rPr>
              <w:t>CMH</w:t>
            </w:r>
          </w:p>
        </w:tc>
        <w:tc>
          <w:tcPr>
            <w:tcW w:w="622" w:type="pct"/>
            <w:tcBorders>
              <w:top w:val="nil"/>
              <w:left w:val="nil"/>
              <w:bottom w:val="single" w:sz="4" w:space="0" w:color="auto"/>
              <w:right w:val="single" w:sz="4" w:space="0" w:color="auto"/>
            </w:tcBorders>
            <w:shd w:val="clear" w:color="auto" w:fill="auto"/>
            <w:noWrap/>
            <w:vAlign w:val="center"/>
            <w:hideMark/>
          </w:tcPr>
          <w:p w:rsidR="00F551C9" w:rsidRPr="00563CF9" w:rsidRDefault="00F551C9" w:rsidP="00852FFB">
            <w:pPr>
              <w:keepNext/>
              <w:jc w:val="right"/>
              <w:rPr>
                <w:rFonts w:ascii="Calibri" w:hAnsi="Calibri" w:cs="Calibri"/>
                <w:color w:val="000000"/>
                <w:sz w:val="20"/>
                <w:lang w:val="en-GB"/>
              </w:rPr>
            </w:pPr>
            <w:r w:rsidRPr="00563CF9">
              <w:rPr>
                <w:sz w:val="20"/>
                <w:lang w:val="en-GB" w:bidi="en-GB"/>
              </w:rPr>
              <w:t>349,256.99</w:t>
            </w:r>
          </w:p>
        </w:tc>
        <w:tc>
          <w:tcPr>
            <w:tcW w:w="623" w:type="pct"/>
            <w:tcBorders>
              <w:top w:val="nil"/>
              <w:left w:val="nil"/>
              <w:bottom w:val="single" w:sz="4" w:space="0" w:color="auto"/>
              <w:right w:val="single" w:sz="4" w:space="0" w:color="auto"/>
            </w:tcBorders>
            <w:shd w:val="clear" w:color="auto" w:fill="auto"/>
            <w:noWrap/>
            <w:vAlign w:val="center"/>
            <w:hideMark/>
          </w:tcPr>
          <w:p w:rsidR="00F551C9" w:rsidRPr="00563CF9" w:rsidRDefault="00F551C9" w:rsidP="00852FFB">
            <w:pPr>
              <w:keepNext/>
              <w:jc w:val="right"/>
              <w:rPr>
                <w:rFonts w:ascii="Calibri" w:hAnsi="Calibri" w:cs="Calibri"/>
                <w:color w:val="000000"/>
                <w:sz w:val="20"/>
                <w:lang w:val="en-GB"/>
              </w:rPr>
            </w:pPr>
            <w:r w:rsidRPr="00563CF9">
              <w:rPr>
                <w:sz w:val="20"/>
                <w:lang w:val="en-GB" w:bidi="en-GB"/>
              </w:rPr>
              <w:t>45,015.29</w:t>
            </w:r>
          </w:p>
        </w:tc>
        <w:tc>
          <w:tcPr>
            <w:tcW w:w="338" w:type="pct"/>
            <w:tcBorders>
              <w:top w:val="nil"/>
              <w:left w:val="nil"/>
              <w:bottom w:val="single" w:sz="4" w:space="0" w:color="auto"/>
              <w:right w:val="single" w:sz="4" w:space="0" w:color="auto"/>
            </w:tcBorders>
            <w:shd w:val="clear" w:color="auto" w:fill="auto"/>
            <w:noWrap/>
            <w:vAlign w:val="center"/>
            <w:hideMark/>
          </w:tcPr>
          <w:p w:rsidR="00F551C9" w:rsidRPr="00563CF9" w:rsidRDefault="00F551C9" w:rsidP="00852FFB">
            <w:pPr>
              <w:keepNext/>
              <w:jc w:val="right"/>
              <w:rPr>
                <w:rFonts w:ascii="Calibri" w:hAnsi="Calibri" w:cs="Calibri"/>
                <w:color w:val="000000"/>
                <w:sz w:val="20"/>
                <w:lang w:val="en-GB"/>
              </w:rPr>
            </w:pPr>
            <w:r w:rsidRPr="00563CF9">
              <w:rPr>
                <w:sz w:val="20"/>
                <w:lang w:val="en-GB" w:bidi="en-GB"/>
              </w:rPr>
              <w:t>12.89</w:t>
            </w:r>
          </w:p>
        </w:tc>
        <w:tc>
          <w:tcPr>
            <w:tcW w:w="623" w:type="pct"/>
            <w:tcBorders>
              <w:top w:val="nil"/>
              <w:left w:val="nil"/>
              <w:bottom w:val="single" w:sz="4" w:space="0" w:color="auto"/>
              <w:right w:val="single" w:sz="4" w:space="0" w:color="auto"/>
            </w:tcBorders>
            <w:shd w:val="clear" w:color="auto" w:fill="auto"/>
            <w:noWrap/>
            <w:vAlign w:val="center"/>
            <w:hideMark/>
          </w:tcPr>
          <w:p w:rsidR="00F551C9" w:rsidRPr="00563CF9" w:rsidRDefault="00F551C9" w:rsidP="00852FFB">
            <w:pPr>
              <w:keepNext/>
              <w:jc w:val="right"/>
              <w:rPr>
                <w:rFonts w:ascii="Calibri" w:hAnsi="Calibri" w:cs="Calibri"/>
                <w:color w:val="000000"/>
                <w:sz w:val="20"/>
                <w:lang w:val="en-GB"/>
              </w:rPr>
            </w:pPr>
            <w:r w:rsidRPr="00563CF9">
              <w:rPr>
                <w:sz w:val="20"/>
                <w:lang w:val="en-GB" w:bidi="en-GB"/>
              </w:rPr>
              <w:t>365,104.47</w:t>
            </w:r>
          </w:p>
        </w:tc>
        <w:tc>
          <w:tcPr>
            <w:tcW w:w="623" w:type="pct"/>
            <w:tcBorders>
              <w:top w:val="nil"/>
              <w:left w:val="nil"/>
              <w:bottom w:val="single" w:sz="4" w:space="0" w:color="auto"/>
              <w:right w:val="single" w:sz="4" w:space="0" w:color="auto"/>
            </w:tcBorders>
            <w:shd w:val="clear" w:color="auto" w:fill="auto"/>
            <w:noWrap/>
            <w:vAlign w:val="center"/>
            <w:hideMark/>
          </w:tcPr>
          <w:p w:rsidR="00F551C9" w:rsidRPr="00563CF9" w:rsidRDefault="00F551C9" w:rsidP="00852FFB">
            <w:pPr>
              <w:keepNext/>
              <w:jc w:val="right"/>
              <w:rPr>
                <w:rFonts w:ascii="Calibri" w:hAnsi="Calibri" w:cs="Calibri"/>
                <w:color w:val="000000"/>
                <w:sz w:val="20"/>
                <w:lang w:val="en-GB"/>
              </w:rPr>
            </w:pPr>
            <w:r w:rsidRPr="00563CF9">
              <w:rPr>
                <w:sz w:val="20"/>
                <w:lang w:val="en-GB" w:bidi="en-GB"/>
              </w:rPr>
              <w:t>41,186.44</w:t>
            </w:r>
          </w:p>
        </w:tc>
        <w:tc>
          <w:tcPr>
            <w:tcW w:w="338" w:type="pct"/>
            <w:tcBorders>
              <w:top w:val="nil"/>
              <w:left w:val="nil"/>
              <w:bottom w:val="single" w:sz="4" w:space="0" w:color="auto"/>
              <w:right w:val="single" w:sz="4" w:space="0" w:color="auto"/>
            </w:tcBorders>
            <w:shd w:val="clear" w:color="auto" w:fill="auto"/>
            <w:noWrap/>
            <w:vAlign w:val="center"/>
            <w:hideMark/>
          </w:tcPr>
          <w:p w:rsidR="00F551C9" w:rsidRPr="00563CF9" w:rsidRDefault="00F551C9" w:rsidP="00852FFB">
            <w:pPr>
              <w:keepNext/>
              <w:jc w:val="right"/>
              <w:rPr>
                <w:rFonts w:ascii="Calibri" w:hAnsi="Calibri" w:cs="Calibri"/>
                <w:color w:val="000000"/>
                <w:sz w:val="20"/>
                <w:lang w:val="en-GB"/>
              </w:rPr>
            </w:pPr>
            <w:r w:rsidRPr="00563CF9">
              <w:rPr>
                <w:sz w:val="20"/>
                <w:lang w:val="en-GB" w:bidi="en-GB"/>
              </w:rPr>
              <w:t>11.28</w:t>
            </w:r>
          </w:p>
        </w:tc>
        <w:tc>
          <w:tcPr>
            <w:tcW w:w="623" w:type="pct"/>
            <w:tcBorders>
              <w:top w:val="nil"/>
              <w:left w:val="nil"/>
              <w:bottom w:val="single" w:sz="4" w:space="0" w:color="auto"/>
              <w:right w:val="single" w:sz="4" w:space="0" w:color="auto"/>
            </w:tcBorders>
            <w:shd w:val="clear" w:color="auto" w:fill="auto"/>
            <w:noWrap/>
            <w:vAlign w:val="center"/>
            <w:hideMark/>
          </w:tcPr>
          <w:p w:rsidR="00F551C9" w:rsidRPr="00563CF9" w:rsidRDefault="00F551C9" w:rsidP="00852FFB">
            <w:pPr>
              <w:keepNext/>
              <w:jc w:val="right"/>
              <w:rPr>
                <w:rFonts w:ascii="Calibri" w:hAnsi="Calibri" w:cs="Calibri"/>
                <w:color w:val="000000"/>
                <w:sz w:val="20"/>
                <w:lang w:val="en-GB"/>
              </w:rPr>
            </w:pPr>
            <w:r w:rsidRPr="00563CF9">
              <w:rPr>
                <w:sz w:val="20"/>
                <w:lang w:val="en-GB" w:bidi="en-GB"/>
              </w:rPr>
              <w:t>370,461.96</w:t>
            </w:r>
          </w:p>
        </w:tc>
        <w:tc>
          <w:tcPr>
            <w:tcW w:w="623" w:type="pct"/>
            <w:tcBorders>
              <w:top w:val="nil"/>
              <w:left w:val="nil"/>
              <w:bottom w:val="single" w:sz="4" w:space="0" w:color="auto"/>
              <w:right w:val="single" w:sz="4" w:space="0" w:color="auto"/>
            </w:tcBorders>
            <w:shd w:val="clear" w:color="auto" w:fill="auto"/>
            <w:noWrap/>
            <w:vAlign w:val="center"/>
            <w:hideMark/>
          </w:tcPr>
          <w:p w:rsidR="00F551C9" w:rsidRPr="00563CF9" w:rsidRDefault="00F551C9" w:rsidP="00852FFB">
            <w:pPr>
              <w:keepNext/>
              <w:jc w:val="right"/>
              <w:rPr>
                <w:rFonts w:ascii="Calibri" w:hAnsi="Calibri" w:cs="Calibri"/>
                <w:color w:val="000000"/>
                <w:sz w:val="20"/>
                <w:lang w:val="en-GB"/>
              </w:rPr>
            </w:pPr>
            <w:r w:rsidRPr="00563CF9">
              <w:rPr>
                <w:sz w:val="20"/>
                <w:lang w:val="en-GB" w:bidi="en-GB"/>
              </w:rPr>
              <w:t>12,220.83</w:t>
            </w:r>
          </w:p>
        </w:tc>
        <w:tc>
          <w:tcPr>
            <w:tcW w:w="338" w:type="pct"/>
            <w:tcBorders>
              <w:top w:val="nil"/>
              <w:left w:val="nil"/>
              <w:bottom w:val="single" w:sz="4" w:space="0" w:color="auto"/>
              <w:right w:val="single" w:sz="4" w:space="0" w:color="auto"/>
            </w:tcBorders>
            <w:shd w:val="clear" w:color="auto" w:fill="auto"/>
            <w:noWrap/>
            <w:vAlign w:val="center"/>
            <w:hideMark/>
          </w:tcPr>
          <w:p w:rsidR="00F551C9" w:rsidRPr="00563CF9" w:rsidRDefault="00F551C9" w:rsidP="00852FFB">
            <w:pPr>
              <w:keepNext/>
              <w:jc w:val="right"/>
              <w:rPr>
                <w:rFonts w:ascii="Calibri" w:hAnsi="Calibri" w:cs="Calibri"/>
                <w:color w:val="000000"/>
                <w:sz w:val="20"/>
                <w:lang w:val="en-GB"/>
              </w:rPr>
            </w:pPr>
            <w:r w:rsidRPr="00563CF9">
              <w:rPr>
                <w:sz w:val="20"/>
                <w:lang w:val="en-GB" w:bidi="en-GB"/>
              </w:rPr>
              <w:t>3.30</w:t>
            </w:r>
          </w:p>
        </w:tc>
      </w:tr>
    </w:tbl>
    <w:p w:rsidR="00CC30B7" w:rsidRPr="00563CF9" w:rsidRDefault="00F551C9" w:rsidP="00162A64">
      <w:pPr>
        <w:pStyle w:val="Zdroj"/>
        <w:keepNext/>
        <w:spacing w:before="40"/>
        <w:ind w:left="567" w:hanging="567"/>
        <w:rPr>
          <w:i w:val="0"/>
          <w:noProof/>
          <w:lang w:val="en-GB"/>
        </w:rPr>
      </w:pPr>
      <w:r w:rsidRPr="00563CF9">
        <w:rPr>
          <w:b/>
          <w:i w:val="0"/>
          <w:noProof/>
          <w:lang w:val="en-GB" w:bidi="en-GB"/>
        </w:rPr>
        <w:t xml:space="preserve">Source: </w:t>
      </w:r>
      <w:r w:rsidR="000818A3" w:rsidRPr="00563CF9">
        <w:rPr>
          <w:i w:val="0"/>
          <w:noProof/>
          <w:lang w:val="en-GB" w:bidi="en-GB"/>
        </w:rPr>
        <w:t>general ledgers of the individual university hospitals as of 31 December 2014, 31 December 2015 and 31 December 2016; reports submitted by the university hospitals at the request of the SAO.</w:t>
      </w:r>
    </w:p>
    <w:p w:rsidR="00F551C9" w:rsidRPr="00563CF9" w:rsidRDefault="00F551C9" w:rsidP="008E3315">
      <w:pPr>
        <w:pStyle w:val="Zdroj"/>
        <w:ind w:left="567" w:hanging="567"/>
        <w:rPr>
          <w:i w:val="0"/>
          <w:noProof/>
          <w:lang w:val="en-GB"/>
        </w:rPr>
      </w:pPr>
      <w:r w:rsidRPr="00563CF9">
        <w:rPr>
          <w:b/>
          <w:i w:val="0"/>
          <w:noProof/>
          <w:lang w:val="en-GB" w:bidi="en-GB"/>
        </w:rPr>
        <w:t>Note</w:t>
      </w:r>
      <w:r w:rsidR="004F7CB6" w:rsidRPr="00563CF9">
        <w:rPr>
          <w:i w:val="0"/>
          <w:noProof/>
          <w:lang w:val="en-GB" w:bidi="en-GB"/>
        </w:rPr>
        <w:t>: The cost of medical devices does not include the cost of medicinal gas.</w:t>
      </w:r>
    </w:p>
    <w:p w:rsidR="00BB09B8" w:rsidRPr="00563CF9" w:rsidRDefault="00BB09B8" w:rsidP="008E3315">
      <w:pPr>
        <w:spacing w:before="120"/>
        <w:rPr>
          <w:rFonts w:cs="Arial"/>
          <w:color w:val="000000" w:themeColor="text1"/>
          <w:szCs w:val="24"/>
          <w:lang w:val="en-GB"/>
        </w:rPr>
      </w:pPr>
      <w:r w:rsidRPr="00563CF9">
        <w:rPr>
          <w:lang w:val="en-GB" w:bidi="en-GB"/>
        </w:rPr>
        <w:t>The share of bonuses for medical devices in the related costs of medical devices at the university hospitals ranged from 0.08 % to 18.96 % in the period 2014-2016.</w:t>
      </w:r>
    </w:p>
    <w:p w:rsidR="006A2283" w:rsidRPr="00563CF9" w:rsidRDefault="00F611E0" w:rsidP="008E3315">
      <w:pPr>
        <w:spacing w:before="120"/>
        <w:rPr>
          <w:szCs w:val="24"/>
          <w:lang w:val="en-GB"/>
        </w:rPr>
      </w:pPr>
      <w:r w:rsidRPr="00563CF9">
        <w:rPr>
          <w:lang w:val="en-GB" w:bidi="en-GB"/>
        </w:rPr>
        <w:t>The total bonuses for medical devices at the BUH in the period under review amounted to CZK 362,732.12 thousand including VAT, ranging from 15.45 % to 18.96 %. The largest share of the bonus in the cost of medical supplies is at the BUH.</w:t>
      </w:r>
    </w:p>
    <w:p w:rsidR="00F611E0" w:rsidRPr="00563CF9" w:rsidRDefault="00F611E0" w:rsidP="008E3315">
      <w:pPr>
        <w:spacing w:before="120"/>
        <w:rPr>
          <w:szCs w:val="24"/>
          <w:lang w:val="en-GB"/>
        </w:rPr>
      </w:pPr>
      <w:r w:rsidRPr="00563CF9">
        <w:rPr>
          <w:lang w:val="en-GB" w:bidi="en-GB"/>
        </w:rPr>
        <w:t xml:space="preserve">The total bonuses for medical devices at the MUH in the period under review amounted to CZK 4,508.2 thousand including VAT, ranging from 0.08 % to 0.23 %. </w:t>
      </w:r>
    </w:p>
    <w:p w:rsidR="00F611E0" w:rsidRPr="00563CF9" w:rsidRDefault="00F611E0" w:rsidP="008E3315">
      <w:pPr>
        <w:spacing w:before="120"/>
        <w:rPr>
          <w:szCs w:val="24"/>
          <w:lang w:val="en-GB"/>
        </w:rPr>
      </w:pPr>
      <w:r w:rsidRPr="00563CF9">
        <w:rPr>
          <w:lang w:val="en-GB" w:bidi="en-GB"/>
        </w:rPr>
        <w:t xml:space="preserve">The total bonuses for medical devices at the CMH in the period under review amounted to CZK 98,422.56 thousand including VAT, ranging from 3.30 % to 12.89 %. </w:t>
      </w:r>
    </w:p>
    <w:p w:rsidR="00487BDB" w:rsidRPr="00563CF9" w:rsidRDefault="00487BDB" w:rsidP="008E3315">
      <w:pPr>
        <w:spacing w:before="120"/>
        <w:rPr>
          <w:color w:val="000000"/>
          <w:spacing w:val="-2"/>
          <w:szCs w:val="24"/>
          <w:lang w:val="en-GB"/>
        </w:rPr>
      </w:pPr>
      <w:r w:rsidRPr="00563CF9">
        <w:rPr>
          <w:lang w:val="en-GB" w:bidi="en-GB"/>
        </w:rPr>
        <w:t xml:space="preserve">The SAO audit revealed that the concept of bonus was not defined by law and was based on the terms of a specific contractual relationship between the university hospital and the supplier. The university hospitals did not proceed uniformly when negotiating bonuses and using the bonus income. The bonus was predominantly negotiated between the supplier and the university hospital separately from the contract for the supply of medical devices. </w:t>
      </w:r>
      <w:r w:rsidRPr="00563CF9">
        <w:rPr>
          <w:b/>
          <w:lang w:val="en-GB" w:bidi="en-GB"/>
        </w:rPr>
        <w:t xml:space="preserve">The university hospitals, with reference to trade secrets, did not disclose the bonus contracts in the register of contracts, including the value of the contracted bonuses. The process of handling bonuses at the university hospitals therefore has non-transparent characteristics for these reasons. </w:t>
      </w:r>
      <w:r w:rsidR="009D37B9" w:rsidRPr="00563CF9">
        <w:rPr>
          <w:spacing w:val="-2"/>
          <w:lang w:val="en-GB" w:bidi="en-GB"/>
        </w:rPr>
        <w:t xml:space="preserve">The MUH did not negotiate all the contracts with the bonus providers in writing, thereby failing to comply with the statutory obligation and with Order of the Minister No. 3/2013. </w:t>
      </w:r>
    </w:p>
    <w:p w:rsidR="00487BDB" w:rsidRPr="00563CF9" w:rsidRDefault="00CF25F1" w:rsidP="008E3315">
      <w:pPr>
        <w:spacing w:before="120"/>
        <w:rPr>
          <w:color w:val="000000"/>
          <w:spacing w:val="-2"/>
          <w:szCs w:val="24"/>
          <w:lang w:val="en-GB"/>
        </w:rPr>
      </w:pPr>
      <w:r w:rsidRPr="00563CF9">
        <w:rPr>
          <w:spacing w:val="-2"/>
          <w:lang w:val="en-GB" w:bidi="en-GB"/>
        </w:rPr>
        <w:t>The university hospitals posted the bonuses in revenues. All bonuses were posted by the university hospitals on the basis of corrective tax documents. The received bonuses did not relate to individual items, but the university hospitals received them for a predetermined volume of goods purchased, except for bonuses for the audit sample at the BUH. The university hospitals did not record the use of bonuses for a specific purpose in their accounting. No legislation or rules laid down by the founder provided for them.</w:t>
      </w:r>
    </w:p>
    <w:p w:rsidR="002F3783" w:rsidRPr="00563CF9" w:rsidRDefault="00CF25F1" w:rsidP="008E3315">
      <w:pPr>
        <w:spacing w:before="120"/>
        <w:rPr>
          <w:color w:val="000000"/>
          <w:spacing w:val="-2"/>
          <w:szCs w:val="24"/>
          <w:lang w:val="en-GB"/>
        </w:rPr>
      </w:pPr>
      <w:r w:rsidRPr="00563CF9">
        <w:rPr>
          <w:spacing w:val="-2"/>
          <w:lang w:val="en-GB" w:bidi="en-GB"/>
        </w:rPr>
        <w:t xml:space="preserve">Obtaining bonuses did not affect the reporting of healthcare provided to individual health insurers, as the university hospitals had negotiated with health insurers payments mostly in the form of flat rate. </w:t>
      </w:r>
    </w:p>
    <w:p w:rsidR="003F375A" w:rsidRPr="00563CF9" w:rsidRDefault="00F74328" w:rsidP="008E3315">
      <w:pPr>
        <w:spacing w:before="120"/>
        <w:rPr>
          <w:b/>
          <w:lang w:val="en-GB" w:bidi="en-GB"/>
        </w:rPr>
      </w:pPr>
      <w:r w:rsidRPr="00563CF9">
        <w:rPr>
          <w:b/>
          <w:lang w:val="en-GB" w:bidi="en-GB"/>
        </w:rPr>
        <w:t xml:space="preserve">The healthcare bonus system did not have clear rules when purchasing medical devices. </w:t>
      </w:r>
    </w:p>
    <w:p w:rsidR="002C3E65" w:rsidRPr="00563CF9" w:rsidRDefault="002C3E65" w:rsidP="008E3315">
      <w:pPr>
        <w:spacing w:before="120"/>
        <w:rPr>
          <w:rFonts w:cs="Arial"/>
          <w:b/>
          <w:color w:val="000000" w:themeColor="text1"/>
          <w:szCs w:val="24"/>
          <w:lang w:val="en-GB"/>
        </w:rPr>
      </w:pPr>
    </w:p>
    <w:p w:rsidR="002C3E65" w:rsidRPr="00563CF9" w:rsidRDefault="002C3E65" w:rsidP="008E3315">
      <w:pPr>
        <w:spacing w:before="120"/>
        <w:rPr>
          <w:rFonts w:cs="Arial"/>
          <w:b/>
          <w:color w:val="000000" w:themeColor="text1"/>
          <w:szCs w:val="24"/>
          <w:lang w:val="en-GB"/>
        </w:rPr>
      </w:pPr>
    </w:p>
    <w:p w:rsidR="002C3E65" w:rsidRPr="00563CF9" w:rsidRDefault="002C3E65" w:rsidP="008E3315">
      <w:pPr>
        <w:spacing w:before="120"/>
        <w:rPr>
          <w:rFonts w:cs="Arial"/>
          <w:b/>
          <w:color w:val="000000" w:themeColor="text1"/>
          <w:szCs w:val="24"/>
          <w:lang w:val="en-GB"/>
        </w:rPr>
      </w:pPr>
    </w:p>
    <w:p w:rsidR="003F375A" w:rsidRPr="00563CF9" w:rsidRDefault="008E3315" w:rsidP="00757BF0">
      <w:pPr>
        <w:spacing w:before="240" w:after="120"/>
        <w:rPr>
          <w:rFonts w:cstheme="minorHAnsi"/>
          <w:b/>
          <w:noProof/>
          <w:color w:val="000000" w:themeColor="text1"/>
          <w:szCs w:val="24"/>
          <w:lang w:val="en-GB"/>
        </w:rPr>
      </w:pPr>
      <w:r w:rsidRPr="00563CF9">
        <w:rPr>
          <w:b/>
          <w:noProof/>
          <w:lang w:val="en-GB" w:bidi="en-GB"/>
        </w:rPr>
        <w:t>1.8 Register of contracts</w:t>
      </w:r>
    </w:p>
    <w:p w:rsidR="003F375A" w:rsidRPr="00563CF9" w:rsidRDefault="009D37B9" w:rsidP="008E3315">
      <w:pPr>
        <w:spacing w:before="120"/>
        <w:rPr>
          <w:noProof/>
          <w:szCs w:val="24"/>
          <w:lang w:val="en-GB"/>
        </w:rPr>
      </w:pPr>
      <w:r w:rsidRPr="00563CF9">
        <w:rPr>
          <w:noProof/>
          <w:lang w:val="en-GB" w:bidi="en-GB"/>
        </w:rPr>
        <w:t>The university hospitals after 1 July 2016 did not always proceed with the publication of contracts through the register of contracts pursuant to Act No. 340/2015 Coll.</w:t>
      </w:r>
      <w:r w:rsidR="003F375A" w:rsidRPr="00563CF9">
        <w:rPr>
          <w:rStyle w:val="Znakapoznpodarou"/>
          <w:noProof/>
          <w:lang w:val="en-GB" w:bidi="en-GB"/>
        </w:rPr>
        <w:footnoteReference w:id="43"/>
      </w:r>
      <w:r w:rsidRPr="00563CF9">
        <w:rPr>
          <w:noProof/>
          <w:lang w:val="en-GB" w:bidi="en-GB"/>
        </w:rPr>
        <w:t xml:space="preserve"> by not indicating the price data or value of the subject-matter of the contracts in the metadata for the concluded bonus contracts.</w:t>
      </w:r>
    </w:p>
    <w:p w:rsidR="003F375A" w:rsidRPr="00563CF9" w:rsidRDefault="003F375A" w:rsidP="008E3315">
      <w:pPr>
        <w:spacing w:before="120"/>
        <w:rPr>
          <w:noProof/>
          <w:szCs w:val="24"/>
          <w:lang w:val="en-GB"/>
        </w:rPr>
      </w:pPr>
      <w:r w:rsidRPr="00563CF9">
        <w:rPr>
          <w:noProof/>
          <w:lang w:val="en-GB" w:bidi="en-GB"/>
        </w:rPr>
        <w:t>The SAO further found that in 2016 the CMH had not entered into a contractual relationship in the case of private-law contracts where one of the parties had been a state public-benefit corporation and where the value of their subject-matter had been higher than CZK 50,000 without VAT, and had also failed to fulfil the obligation to publish the contract through the register of contracts:</w:t>
      </w:r>
    </w:p>
    <w:p w:rsidR="003F375A" w:rsidRPr="00563CF9" w:rsidRDefault="003F375A" w:rsidP="008E3315">
      <w:pPr>
        <w:pStyle w:val="Odstavecseseznamem"/>
        <w:numPr>
          <w:ilvl w:val="0"/>
          <w:numId w:val="37"/>
        </w:numPr>
        <w:ind w:left="284" w:hanging="284"/>
        <w:rPr>
          <w:rFonts w:cstheme="minorHAnsi"/>
          <w:noProof/>
          <w:color w:val="000000" w:themeColor="text1"/>
          <w:lang w:val="en-GB"/>
        </w:rPr>
      </w:pPr>
      <w:r w:rsidRPr="00563CF9">
        <w:rPr>
          <w:noProof/>
          <w:lang w:val="en-GB" w:bidi="en-GB"/>
        </w:rPr>
        <w:t>in the total amount of CZK 363,641 for the purchase of a defibrillator on 1 September 2016 from the supplier and in the case of the acquisition of an ECG recorder on 9 September 2016 from the supplier;</w:t>
      </w:r>
    </w:p>
    <w:p w:rsidR="0049464E" w:rsidRPr="00563CF9" w:rsidRDefault="003F375A" w:rsidP="008E3315">
      <w:pPr>
        <w:pStyle w:val="Odstavecseseznamem"/>
        <w:numPr>
          <w:ilvl w:val="0"/>
          <w:numId w:val="37"/>
        </w:numPr>
        <w:ind w:left="284" w:hanging="284"/>
        <w:rPr>
          <w:rFonts w:cstheme="minorHAnsi"/>
          <w:b/>
          <w:noProof/>
          <w:color w:val="000000" w:themeColor="text1"/>
          <w:szCs w:val="28"/>
          <w:lang w:val="en-GB"/>
        </w:rPr>
      </w:pPr>
      <w:r w:rsidRPr="00563CF9">
        <w:rPr>
          <w:noProof/>
          <w:lang w:val="en-GB" w:bidi="en-GB"/>
        </w:rPr>
        <w:t>in the total amount of CZK 2,298,134.84 in the case of purchase of centric drugs from the supplier.</w:t>
      </w:r>
    </w:p>
    <w:p w:rsidR="009C70B7" w:rsidRPr="00563CF9" w:rsidRDefault="009D37B9" w:rsidP="008E3315">
      <w:pPr>
        <w:spacing w:before="120"/>
        <w:rPr>
          <w:rFonts w:cstheme="minorHAnsi"/>
          <w:b/>
          <w:noProof/>
          <w:color w:val="000000" w:themeColor="text1"/>
          <w:szCs w:val="24"/>
          <w:lang w:val="en-GB"/>
        </w:rPr>
      </w:pPr>
      <w:r w:rsidRPr="00563CF9">
        <w:rPr>
          <w:b/>
          <w:noProof/>
          <w:lang w:val="en-GB" w:bidi="en-GB"/>
        </w:rPr>
        <w:t>The university hospitals did not proceed in publishing contracts through the register of contracts in accordance with Act No. 340/2015 Coll. and the CMH did not disclose all contracts through the register of contracts.</w:t>
      </w:r>
    </w:p>
    <w:p w:rsidR="00925367" w:rsidRPr="00563CF9" w:rsidRDefault="008E3315" w:rsidP="00757BF0">
      <w:pPr>
        <w:keepNext/>
        <w:spacing w:before="240" w:after="120"/>
        <w:rPr>
          <w:rFonts w:cstheme="minorHAnsi"/>
          <w:b/>
          <w:noProof/>
          <w:color w:val="000000" w:themeColor="text1"/>
          <w:szCs w:val="24"/>
          <w:lang w:val="en-GB"/>
        </w:rPr>
      </w:pPr>
      <w:r w:rsidRPr="00563CF9">
        <w:rPr>
          <w:b/>
          <w:noProof/>
          <w:lang w:val="en-GB" w:bidi="en-GB"/>
        </w:rPr>
        <w:t>1.9 Cleaning</w:t>
      </w:r>
    </w:p>
    <w:p w:rsidR="0076063D" w:rsidRPr="00563CF9" w:rsidRDefault="009C7D5D" w:rsidP="008E3315">
      <w:pPr>
        <w:autoSpaceDE w:val="0"/>
        <w:autoSpaceDN w:val="0"/>
        <w:adjustRightInd w:val="0"/>
        <w:spacing w:before="120"/>
        <w:rPr>
          <w:rFonts w:cs="Arial"/>
          <w:szCs w:val="24"/>
          <w:lang w:val="en-GB"/>
        </w:rPr>
      </w:pPr>
      <w:r w:rsidRPr="00563CF9">
        <w:rPr>
          <w:noProof/>
          <w:lang w:val="en-GB" w:bidi="en-GB"/>
        </w:rPr>
        <w:t xml:space="preserve">The university hospitals provided cleaning during the period under review in the form of services provided by the contractor (BUH and CMH) or partly by the contractor and partly also by their own employees (MUH). The BUH charged the cleaning provided by external contractors in one analytical account to account 518 in 2014 in the amount of CZK 71,517.89 thousand, in 2015 in the amount of CZK 74,687.6 thousand, and in 2016 in the amount of CZK 76,150.41 thousand. The MUH charged the cleaning provided by external contractors in one analytical account to account 518 in 2014 in the amount of CZK 116,051.79 thousand, in 2015 in the amount of CZK 118,143.42 thousand, and in 2016 in the amount of CZK 122,618.66 thousand. The CMH charged the cleaning provided by external contractors in one analytical account to account 518 in 2014 in the amount of CZK 36,402.57 thousand, in 2015 in the amount of CZK 37,215.37 thousand, and in 2016 in the amount of CZK 37,817.38 thousand. </w:t>
      </w:r>
    </w:p>
    <w:p w:rsidR="002713DB" w:rsidRPr="00563CF9" w:rsidRDefault="002713DB" w:rsidP="008E3315">
      <w:pPr>
        <w:spacing w:before="120"/>
        <w:rPr>
          <w:rFonts w:cstheme="minorHAnsi"/>
          <w:b/>
          <w:noProof/>
          <w:color w:val="000000" w:themeColor="text1"/>
          <w:szCs w:val="24"/>
          <w:lang w:val="en-GB"/>
        </w:rPr>
      </w:pPr>
      <w:r w:rsidRPr="00563CF9">
        <w:rPr>
          <w:b/>
          <w:noProof/>
          <w:lang w:val="en-GB" w:bidi="en-GB"/>
        </w:rPr>
        <w:t>For audited public service contracts, the SAO found that the MUH:</w:t>
      </w:r>
    </w:p>
    <w:p w:rsidR="002713DB" w:rsidRPr="00563CF9" w:rsidRDefault="002713DB" w:rsidP="008E3315">
      <w:pPr>
        <w:pStyle w:val="Odstavecseseznamem"/>
        <w:numPr>
          <w:ilvl w:val="0"/>
          <w:numId w:val="38"/>
        </w:numPr>
        <w:ind w:left="284" w:hanging="284"/>
        <w:rPr>
          <w:rFonts w:cstheme="minorHAnsi"/>
          <w:b/>
          <w:noProof/>
          <w:color w:val="000000" w:themeColor="text1"/>
          <w:szCs w:val="28"/>
          <w:lang w:val="en-GB"/>
        </w:rPr>
      </w:pPr>
      <w:r w:rsidRPr="00563CF9">
        <w:rPr>
          <w:b/>
          <w:noProof/>
          <w:lang w:val="en-GB" w:bidi="en-GB"/>
        </w:rPr>
        <w:t xml:space="preserve">for one tender procedure, it did not send to the </w:t>
      </w:r>
      <w:r w:rsidRPr="00563CF9">
        <w:rPr>
          <w:b/>
          <w:i/>
          <w:noProof/>
          <w:lang w:val="en-GB" w:bidi="en-GB"/>
        </w:rPr>
        <w:t xml:space="preserve">Public Procurement Journal </w:t>
      </w:r>
      <w:r w:rsidRPr="00563CF9">
        <w:rPr>
          <w:b/>
          <w:noProof/>
          <w:lang w:val="en-GB" w:bidi="en-GB"/>
        </w:rPr>
        <w:t>notification of the result of the negotiated procedure without publication, and thus did not proceed in accordance with Act No. 137/2006 Coll.</w:t>
      </w:r>
      <w:r w:rsidR="006050C3" w:rsidRPr="00563CF9">
        <w:rPr>
          <w:rStyle w:val="Znakapoznpodarou"/>
          <w:b/>
          <w:noProof/>
          <w:lang w:val="en-GB" w:bidi="en-GB"/>
        </w:rPr>
        <w:footnoteReference w:id="44"/>
      </w:r>
      <w:r w:rsidRPr="00563CF9">
        <w:rPr>
          <w:b/>
          <w:noProof/>
          <w:lang w:val="en-GB" w:bidi="en-GB"/>
        </w:rPr>
        <w:t>. However, the contracting authority’s procedures did not limit the rights of the tenderers and this formal error did not affect the choice of supplier;</w:t>
      </w:r>
    </w:p>
    <w:p w:rsidR="002713DB" w:rsidRPr="00563CF9" w:rsidRDefault="002713DB" w:rsidP="008E3315">
      <w:pPr>
        <w:pStyle w:val="Odstavecseseznamem"/>
        <w:numPr>
          <w:ilvl w:val="0"/>
          <w:numId w:val="38"/>
        </w:numPr>
        <w:ind w:left="284" w:hanging="284"/>
        <w:rPr>
          <w:rFonts w:cstheme="minorHAnsi"/>
          <w:b/>
          <w:noProof/>
          <w:color w:val="000000" w:themeColor="text1"/>
          <w:szCs w:val="28"/>
          <w:lang w:val="en-GB"/>
        </w:rPr>
      </w:pPr>
      <w:r w:rsidRPr="00563CF9">
        <w:rPr>
          <w:b/>
          <w:noProof/>
          <w:lang w:val="en-GB" w:bidi="en-GB"/>
        </w:rPr>
        <w:t>in the next tender procedure, the evaluation committee of the MUH did not find any obvious errors in the bids and did not use the opportunity to ask the tenderer for explanation in accordance with Act No. 137/2006 Coll.</w:t>
      </w:r>
      <w:r w:rsidR="006050C3" w:rsidRPr="00563CF9">
        <w:rPr>
          <w:rStyle w:val="Znakapoznpodarou"/>
          <w:b/>
          <w:noProof/>
          <w:lang w:val="en-GB" w:bidi="en-GB"/>
        </w:rPr>
        <w:footnoteReference w:id="45"/>
      </w:r>
      <w:r w:rsidRPr="00563CF9">
        <w:rPr>
          <w:b/>
          <w:noProof/>
          <w:lang w:val="en-GB" w:bidi="en-GB"/>
        </w:rPr>
        <w:t>, even though the bid contained the total bid prices for four years excluding VAT, which did not correspond to the unit price calculation. Apparent numerical errors in the tender documents did not concern the winning bidder. At the same time, the MUH did not observe the procedure stipulated by Act No. 137/2006 Coll.</w:t>
      </w:r>
      <w:r w:rsidR="003F25B9" w:rsidRPr="00563CF9">
        <w:rPr>
          <w:rStyle w:val="Znakapoznpodarou"/>
          <w:b/>
          <w:noProof/>
          <w:lang w:val="en-GB" w:bidi="en-GB"/>
        </w:rPr>
        <w:footnoteReference w:id="46"/>
      </w:r>
      <w:r w:rsidRPr="00563CF9">
        <w:rPr>
          <w:b/>
          <w:noProof/>
          <w:lang w:val="en-GB" w:bidi="en-GB"/>
        </w:rPr>
        <w:t>, because it did not set sub-criteria so as to be relevant to the performance of the public contract and thus be in line with the nature and complexity of the public contract.</w:t>
      </w:r>
    </w:p>
    <w:p w:rsidR="00925367" w:rsidRPr="00563CF9" w:rsidRDefault="00925367" w:rsidP="008E3315">
      <w:pPr>
        <w:spacing w:before="120"/>
        <w:rPr>
          <w:rFonts w:cstheme="minorHAnsi"/>
          <w:noProof/>
          <w:color w:val="000000" w:themeColor="text1"/>
          <w:szCs w:val="28"/>
          <w:lang w:val="en-GB"/>
        </w:rPr>
      </w:pPr>
      <w:r w:rsidRPr="00563CF9">
        <w:rPr>
          <w:noProof/>
          <w:lang w:val="en-GB" w:bidi="en-GB"/>
        </w:rPr>
        <w:t>The following table shows the average cleaning costs in CZK excluding VAT for 1 m</w:t>
      </w:r>
      <w:r w:rsidRPr="00563CF9">
        <w:rPr>
          <w:noProof/>
          <w:vertAlign w:val="superscript"/>
          <w:lang w:val="en-GB" w:bidi="en-GB"/>
        </w:rPr>
        <w:t>2</w:t>
      </w:r>
      <w:r w:rsidRPr="00563CF9">
        <w:rPr>
          <w:noProof/>
          <w:lang w:val="en-GB" w:bidi="en-GB"/>
        </w:rPr>
        <w:t xml:space="preserve"> in selected rooms of the university hospitals in the period under review.  </w:t>
      </w:r>
    </w:p>
    <w:p w:rsidR="00925367" w:rsidRPr="00563CF9" w:rsidRDefault="00961000" w:rsidP="0045362F">
      <w:pPr>
        <w:keepNext/>
        <w:tabs>
          <w:tab w:val="right" w:pos="9072"/>
        </w:tabs>
        <w:spacing w:before="120" w:after="40"/>
        <w:rPr>
          <w:rFonts w:cstheme="minorHAnsi"/>
          <w:b/>
          <w:noProof/>
          <w:color w:val="000000" w:themeColor="text1"/>
          <w:szCs w:val="28"/>
          <w:lang w:val="en-GB"/>
        </w:rPr>
      </w:pPr>
      <w:r w:rsidRPr="00563CF9">
        <w:rPr>
          <w:b/>
          <w:noProof/>
          <w:lang w:val="en-GB" w:bidi="en-GB"/>
        </w:rPr>
        <w:t xml:space="preserve">Table 12: Average prices for one cleaning </w:t>
      </w:r>
      <w:r w:rsidRPr="00563CF9">
        <w:rPr>
          <w:b/>
          <w:noProof/>
          <w:lang w:val="en-GB" w:bidi="en-GB"/>
        </w:rPr>
        <w:tab/>
        <w:t>(in CZK without VAT for 1 m</w:t>
      </w:r>
      <w:r w:rsidRPr="00563CF9">
        <w:rPr>
          <w:b/>
          <w:noProof/>
          <w:vertAlign w:val="superscript"/>
          <w:lang w:val="en-GB" w:bidi="en-GB"/>
        </w:rPr>
        <w:t>2</w:t>
      </w:r>
      <w:r w:rsidRPr="00563CF9">
        <w:rPr>
          <w:b/>
          <w:noProof/>
          <w:lang w:val="en-GB" w:bidi="en-GB"/>
        </w:rPr>
        <w:t>)</w:t>
      </w:r>
    </w:p>
    <w:tbl>
      <w:tblPr>
        <w:tblW w:w="5000" w:type="pct"/>
        <w:tblCellMar>
          <w:left w:w="70" w:type="dxa"/>
          <w:right w:w="70" w:type="dxa"/>
        </w:tblCellMar>
        <w:tblLook w:val="04A0" w:firstRow="1" w:lastRow="0" w:firstColumn="1" w:lastColumn="0" w:noHBand="0" w:noVBand="1"/>
      </w:tblPr>
      <w:tblGrid>
        <w:gridCol w:w="2322"/>
        <w:gridCol w:w="2297"/>
        <w:gridCol w:w="2297"/>
        <w:gridCol w:w="2296"/>
      </w:tblGrid>
      <w:tr w:rsidR="00925367" w:rsidRPr="00563CF9" w:rsidTr="00852FFB">
        <w:trPr>
          <w:trHeight w:val="227"/>
        </w:trPr>
        <w:tc>
          <w:tcPr>
            <w:tcW w:w="1260" w:type="pct"/>
            <w:tcBorders>
              <w:top w:val="single" w:sz="4" w:space="0" w:color="auto"/>
              <w:left w:val="single" w:sz="4" w:space="0" w:color="auto"/>
              <w:bottom w:val="single" w:sz="4" w:space="0" w:color="auto"/>
              <w:right w:val="single" w:sz="4" w:space="0" w:color="auto"/>
            </w:tcBorders>
            <w:shd w:val="clear" w:color="auto" w:fill="E5F1FF"/>
            <w:noWrap/>
            <w:vAlign w:val="center"/>
            <w:hideMark/>
          </w:tcPr>
          <w:p w:rsidR="00925367" w:rsidRPr="00563CF9" w:rsidRDefault="00925367" w:rsidP="0045362F">
            <w:pPr>
              <w:keepNext/>
              <w:jc w:val="center"/>
              <w:rPr>
                <w:rFonts w:ascii="Calibri" w:hAnsi="Calibri" w:cs="Calibri"/>
                <w:b/>
                <w:bCs/>
                <w:color w:val="000000"/>
                <w:sz w:val="20"/>
                <w:lang w:val="en-GB"/>
              </w:rPr>
            </w:pPr>
            <w:r w:rsidRPr="00563CF9">
              <w:rPr>
                <w:b/>
                <w:sz w:val="20"/>
                <w:lang w:val="en-GB" w:bidi="en-GB"/>
              </w:rPr>
              <w:t>Room type</w:t>
            </w:r>
          </w:p>
        </w:tc>
        <w:tc>
          <w:tcPr>
            <w:tcW w:w="1247" w:type="pct"/>
            <w:tcBorders>
              <w:top w:val="single" w:sz="4" w:space="0" w:color="auto"/>
              <w:left w:val="nil"/>
              <w:bottom w:val="single" w:sz="4" w:space="0" w:color="auto"/>
              <w:right w:val="single" w:sz="4" w:space="0" w:color="auto"/>
            </w:tcBorders>
            <w:shd w:val="clear" w:color="auto" w:fill="E5F1FF"/>
            <w:noWrap/>
            <w:vAlign w:val="center"/>
            <w:hideMark/>
          </w:tcPr>
          <w:p w:rsidR="00925367" w:rsidRPr="00563CF9" w:rsidRDefault="00925367" w:rsidP="0045362F">
            <w:pPr>
              <w:keepNext/>
              <w:jc w:val="center"/>
              <w:rPr>
                <w:rFonts w:ascii="Calibri" w:hAnsi="Calibri" w:cs="Calibri"/>
                <w:b/>
                <w:bCs/>
                <w:color w:val="000000"/>
                <w:sz w:val="20"/>
                <w:lang w:val="en-GB"/>
              </w:rPr>
            </w:pPr>
            <w:r w:rsidRPr="00563CF9">
              <w:rPr>
                <w:b/>
                <w:sz w:val="20"/>
                <w:lang w:val="en-GB" w:bidi="en-GB"/>
              </w:rPr>
              <w:t>BUH</w:t>
            </w:r>
          </w:p>
        </w:tc>
        <w:tc>
          <w:tcPr>
            <w:tcW w:w="1247" w:type="pct"/>
            <w:tcBorders>
              <w:top w:val="single" w:sz="4" w:space="0" w:color="auto"/>
              <w:left w:val="nil"/>
              <w:bottom w:val="single" w:sz="4" w:space="0" w:color="auto"/>
              <w:right w:val="single" w:sz="4" w:space="0" w:color="auto"/>
            </w:tcBorders>
            <w:shd w:val="clear" w:color="auto" w:fill="E5F1FF"/>
            <w:noWrap/>
            <w:vAlign w:val="center"/>
            <w:hideMark/>
          </w:tcPr>
          <w:p w:rsidR="00925367" w:rsidRPr="00563CF9" w:rsidRDefault="00925367" w:rsidP="0045362F">
            <w:pPr>
              <w:keepNext/>
              <w:jc w:val="center"/>
              <w:rPr>
                <w:rFonts w:ascii="Calibri" w:hAnsi="Calibri" w:cs="Calibri"/>
                <w:b/>
                <w:bCs/>
                <w:color w:val="000000"/>
                <w:sz w:val="20"/>
                <w:lang w:val="en-GB"/>
              </w:rPr>
            </w:pPr>
            <w:r w:rsidRPr="00563CF9">
              <w:rPr>
                <w:b/>
                <w:sz w:val="20"/>
                <w:lang w:val="en-GB" w:bidi="en-GB"/>
              </w:rPr>
              <w:t>MUH</w:t>
            </w:r>
          </w:p>
        </w:tc>
        <w:tc>
          <w:tcPr>
            <w:tcW w:w="1246" w:type="pct"/>
            <w:tcBorders>
              <w:top w:val="single" w:sz="4" w:space="0" w:color="auto"/>
              <w:left w:val="nil"/>
              <w:bottom w:val="single" w:sz="4" w:space="0" w:color="auto"/>
              <w:right w:val="single" w:sz="4" w:space="0" w:color="auto"/>
            </w:tcBorders>
            <w:shd w:val="clear" w:color="auto" w:fill="E5F1FF"/>
            <w:noWrap/>
            <w:vAlign w:val="center"/>
            <w:hideMark/>
          </w:tcPr>
          <w:p w:rsidR="00925367" w:rsidRPr="00563CF9" w:rsidRDefault="00925367" w:rsidP="0045362F">
            <w:pPr>
              <w:keepNext/>
              <w:jc w:val="center"/>
              <w:rPr>
                <w:rFonts w:ascii="Calibri" w:hAnsi="Calibri" w:cs="Calibri"/>
                <w:b/>
                <w:bCs/>
                <w:color w:val="000000"/>
                <w:sz w:val="20"/>
                <w:lang w:val="en-GB"/>
              </w:rPr>
            </w:pPr>
            <w:r w:rsidRPr="00563CF9">
              <w:rPr>
                <w:b/>
                <w:sz w:val="20"/>
                <w:lang w:val="en-GB" w:bidi="en-GB"/>
              </w:rPr>
              <w:t>CMH</w:t>
            </w:r>
          </w:p>
        </w:tc>
      </w:tr>
      <w:tr w:rsidR="00925367" w:rsidRPr="00563CF9" w:rsidTr="00852FFB">
        <w:trPr>
          <w:trHeight w:val="227"/>
        </w:trPr>
        <w:tc>
          <w:tcPr>
            <w:tcW w:w="1260" w:type="pct"/>
            <w:tcBorders>
              <w:top w:val="nil"/>
              <w:left w:val="single" w:sz="4" w:space="0" w:color="auto"/>
              <w:bottom w:val="single" w:sz="4" w:space="0" w:color="auto"/>
              <w:right w:val="single" w:sz="4" w:space="0" w:color="auto"/>
            </w:tcBorders>
            <w:shd w:val="clear" w:color="auto" w:fill="auto"/>
            <w:noWrap/>
            <w:vAlign w:val="center"/>
            <w:hideMark/>
          </w:tcPr>
          <w:p w:rsidR="00925367" w:rsidRPr="00563CF9" w:rsidRDefault="00925367" w:rsidP="0045362F">
            <w:pPr>
              <w:keepNext/>
              <w:jc w:val="left"/>
              <w:rPr>
                <w:rFonts w:ascii="Calibri" w:hAnsi="Calibri" w:cs="Calibri"/>
                <w:color w:val="000000"/>
                <w:sz w:val="20"/>
                <w:lang w:val="en-GB"/>
              </w:rPr>
            </w:pPr>
            <w:r w:rsidRPr="00563CF9">
              <w:rPr>
                <w:sz w:val="20"/>
                <w:lang w:val="en-GB" w:bidi="en-GB"/>
              </w:rPr>
              <w:t>Bed room</w:t>
            </w:r>
          </w:p>
        </w:tc>
        <w:tc>
          <w:tcPr>
            <w:tcW w:w="1247" w:type="pct"/>
            <w:tcBorders>
              <w:top w:val="nil"/>
              <w:left w:val="nil"/>
              <w:bottom w:val="single" w:sz="4" w:space="0" w:color="auto"/>
              <w:right w:val="single" w:sz="4" w:space="0" w:color="auto"/>
            </w:tcBorders>
            <w:shd w:val="clear" w:color="auto" w:fill="auto"/>
            <w:noWrap/>
            <w:vAlign w:val="center"/>
            <w:hideMark/>
          </w:tcPr>
          <w:p w:rsidR="00925367" w:rsidRPr="00563CF9" w:rsidRDefault="00925367" w:rsidP="0045362F">
            <w:pPr>
              <w:keepNext/>
              <w:ind w:right="799"/>
              <w:jc w:val="right"/>
              <w:rPr>
                <w:rFonts w:ascii="Calibri" w:hAnsi="Calibri" w:cs="Calibri"/>
                <w:color w:val="000000"/>
                <w:sz w:val="20"/>
                <w:lang w:val="en-GB"/>
              </w:rPr>
            </w:pPr>
            <w:r w:rsidRPr="00563CF9">
              <w:rPr>
                <w:sz w:val="20"/>
                <w:lang w:val="en-GB" w:bidi="en-GB"/>
              </w:rPr>
              <w:t>0.62</w:t>
            </w:r>
          </w:p>
        </w:tc>
        <w:tc>
          <w:tcPr>
            <w:tcW w:w="1247" w:type="pct"/>
            <w:tcBorders>
              <w:top w:val="nil"/>
              <w:left w:val="nil"/>
              <w:bottom w:val="single" w:sz="4" w:space="0" w:color="auto"/>
              <w:right w:val="single" w:sz="4" w:space="0" w:color="auto"/>
            </w:tcBorders>
            <w:shd w:val="clear" w:color="auto" w:fill="auto"/>
            <w:noWrap/>
            <w:vAlign w:val="center"/>
            <w:hideMark/>
          </w:tcPr>
          <w:p w:rsidR="00925367" w:rsidRPr="00563CF9" w:rsidRDefault="00925367" w:rsidP="0045362F">
            <w:pPr>
              <w:keepNext/>
              <w:ind w:right="799"/>
              <w:jc w:val="right"/>
              <w:rPr>
                <w:rFonts w:ascii="Calibri" w:hAnsi="Calibri" w:cs="Calibri"/>
                <w:color w:val="000000"/>
                <w:sz w:val="20"/>
                <w:lang w:val="en-GB"/>
              </w:rPr>
            </w:pPr>
            <w:r w:rsidRPr="00563CF9">
              <w:rPr>
                <w:sz w:val="20"/>
                <w:lang w:val="en-GB" w:bidi="en-GB"/>
              </w:rPr>
              <w:t>1.13</w:t>
            </w:r>
          </w:p>
        </w:tc>
        <w:tc>
          <w:tcPr>
            <w:tcW w:w="1246" w:type="pct"/>
            <w:tcBorders>
              <w:top w:val="nil"/>
              <w:left w:val="nil"/>
              <w:bottom w:val="single" w:sz="4" w:space="0" w:color="auto"/>
              <w:right w:val="single" w:sz="4" w:space="0" w:color="auto"/>
            </w:tcBorders>
            <w:shd w:val="clear" w:color="auto" w:fill="auto"/>
            <w:noWrap/>
            <w:vAlign w:val="center"/>
            <w:hideMark/>
          </w:tcPr>
          <w:p w:rsidR="00925367" w:rsidRPr="00563CF9" w:rsidRDefault="00A62436" w:rsidP="0045362F">
            <w:pPr>
              <w:keepNext/>
              <w:ind w:right="799"/>
              <w:jc w:val="right"/>
              <w:rPr>
                <w:rFonts w:ascii="Calibri" w:hAnsi="Calibri" w:cs="Calibri"/>
                <w:color w:val="000000"/>
                <w:sz w:val="20"/>
                <w:lang w:val="en-GB"/>
              </w:rPr>
            </w:pPr>
            <w:r w:rsidRPr="00563CF9">
              <w:rPr>
                <w:sz w:val="20"/>
                <w:lang w:val="en-GB" w:bidi="en-GB"/>
              </w:rPr>
              <w:t>1.84</w:t>
            </w:r>
          </w:p>
        </w:tc>
      </w:tr>
      <w:tr w:rsidR="00925367" w:rsidRPr="00563CF9" w:rsidTr="00852FFB">
        <w:trPr>
          <w:trHeight w:val="227"/>
        </w:trPr>
        <w:tc>
          <w:tcPr>
            <w:tcW w:w="1260" w:type="pct"/>
            <w:tcBorders>
              <w:top w:val="nil"/>
              <w:left w:val="single" w:sz="4" w:space="0" w:color="auto"/>
              <w:bottom w:val="single" w:sz="4" w:space="0" w:color="auto"/>
              <w:right w:val="single" w:sz="4" w:space="0" w:color="auto"/>
            </w:tcBorders>
            <w:shd w:val="clear" w:color="auto" w:fill="auto"/>
            <w:noWrap/>
            <w:vAlign w:val="center"/>
            <w:hideMark/>
          </w:tcPr>
          <w:p w:rsidR="00925367" w:rsidRPr="00563CF9" w:rsidRDefault="00925367" w:rsidP="0045362F">
            <w:pPr>
              <w:keepNext/>
              <w:jc w:val="left"/>
              <w:rPr>
                <w:rFonts w:ascii="Calibri" w:hAnsi="Calibri" w:cs="Calibri"/>
                <w:color w:val="000000"/>
                <w:sz w:val="20"/>
                <w:lang w:val="en-GB"/>
              </w:rPr>
            </w:pPr>
            <w:r w:rsidRPr="00563CF9">
              <w:rPr>
                <w:sz w:val="20"/>
                <w:lang w:val="en-GB" w:bidi="en-GB"/>
              </w:rPr>
              <w:t>Laboratory</w:t>
            </w:r>
          </w:p>
        </w:tc>
        <w:tc>
          <w:tcPr>
            <w:tcW w:w="1247" w:type="pct"/>
            <w:tcBorders>
              <w:top w:val="nil"/>
              <w:left w:val="nil"/>
              <w:bottom w:val="single" w:sz="4" w:space="0" w:color="auto"/>
              <w:right w:val="single" w:sz="4" w:space="0" w:color="auto"/>
            </w:tcBorders>
            <w:shd w:val="clear" w:color="auto" w:fill="auto"/>
            <w:noWrap/>
            <w:vAlign w:val="center"/>
            <w:hideMark/>
          </w:tcPr>
          <w:p w:rsidR="00925367" w:rsidRPr="00563CF9" w:rsidRDefault="00925367" w:rsidP="0045362F">
            <w:pPr>
              <w:keepNext/>
              <w:ind w:right="799"/>
              <w:jc w:val="right"/>
              <w:rPr>
                <w:rFonts w:ascii="Calibri" w:hAnsi="Calibri" w:cs="Calibri"/>
                <w:color w:val="000000"/>
                <w:sz w:val="20"/>
                <w:lang w:val="en-GB"/>
              </w:rPr>
            </w:pPr>
            <w:r w:rsidRPr="00563CF9">
              <w:rPr>
                <w:sz w:val="20"/>
                <w:lang w:val="en-GB" w:bidi="en-GB"/>
              </w:rPr>
              <w:t>0.61</w:t>
            </w:r>
          </w:p>
        </w:tc>
        <w:tc>
          <w:tcPr>
            <w:tcW w:w="1247" w:type="pct"/>
            <w:tcBorders>
              <w:top w:val="nil"/>
              <w:left w:val="nil"/>
              <w:bottom w:val="single" w:sz="4" w:space="0" w:color="auto"/>
              <w:right w:val="single" w:sz="4" w:space="0" w:color="auto"/>
            </w:tcBorders>
            <w:shd w:val="clear" w:color="auto" w:fill="auto"/>
            <w:noWrap/>
            <w:vAlign w:val="center"/>
            <w:hideMark/>
          </w:tcPr>
          <w:p w:rsidR="00925367" w:rsidRPr="00563CF9" w:rsidRDefault="00925367" w:rsidP="0045362F">
            <w:pPr>
              <w:keepNext/>
              <w:ind w:right="799"/>
              <w:jc w:val="right"/>
              <w:rPr>
                <w:rFonts w:ascii="Calibri" w:hAnsi="Calibri" w:cs="Calibri"/>
                <w:color w:val="000000"/>
                <w:sz w:val="20"/>
                <w:lang w:val="en-GB"/>
              </w:rPr>
            </w:pPr>
            <w:r w:rsidRPr="00563CF9">
              <w:rPr>
                <w:sz w:val="20"/>
                <w:lang w:val="en-GB" w:bidi="en-GB"/>
              </w:rPr>
              <w:t>1.19</w:t>
            </w:r>
          </w:p>
        </w:tc>
        <w:tc>
          <w:tcPr>
            <w:tcW w:w="1246" w:type="pct"/>
            <w:tcBorders>
              <w:top w:val="nil"/>
              <w:left w:val="nil"/>
              <w:bottom w:val="single" w:sz="4" w:space="0" w:color="auto"/>
              <w:right w:val="single" w:sz="4" w:space="0" w:color="auto"/>
            </w:tcBorders>
            <w:shd w:val="clear" w:color="auto" w:fill="auto"/>
            <w:noWrap/>
            <w:vAlign w:val="center"/>
            <w:hideMark/>
          </w:tcPr>
          <w:p w:rsidR="00925367" w:rsidRPr="00563CF9" w:rsidRDefault="00925367" w:rsidP="0045362F">
            <w:pPr>
              <w:keepNext/>
              <w:ind w:right="799"/>
              <w:jc w:val="right"/>
              <w:rPr>
                <w:rFonts w:ascii="Calibri" w:hAnsi="Calibri" w:cs="Calibri"/>
                <w:color w:val="000000"/>
                <w:sz w:val="20"/>
                <w:lang w:val="en-GB"/>
              </w:rPr>
            </w:pPr>
            <w:r w:rsidRPr="00563CF9">
              <w:rPr>
                <w:sz w:val="20"/>
                <w:lang w:val="en-GB" w:bidi="en-GB"/>
              </w:rPr>
              <w:t>3.91</w:t>
            </w:r>
          </w:p>
        </w:tc>
      </w:tr>
      <w:tr w:rsidR="00925367" w:rsidRPr="00563CF9" w:rsidTr="00852FFB">
        <w:trPr>
          <w:trHeight w:val="227"/>
        </w:trPr>
        <w:tc>
          <w:tcPr>
            <w:tcW w:w="1260" w:type="pct"/>
            <w:tcBorders>
              <w:top w:val="nil"/>
              <w:left w:val="single" w:sz="4" w:space="0" w:color="auto"/>
              <w:bottom w:val="single" w:sz="4" w:space="0" w:color="auto"/>
              <w:right w:val="single" w:sz="4" w:space="0" w:color="auto"/>
            </w:tcBorders>
            <w:shd w:val="clear" w:color="auto" w:fill="auto"/>
            <w:noWrap/>
            <w:vAlign w:val="center"/>
            <w:hideMark/>
          </w:tcPr>
          <w:p w:rsidR="00925367" w:rsidRPr="00563CF9" w:rsidRDefault="00925367" w:rsidP="0045362F">
            <w:pPr>
              <w:keepNext/>
              <w:jc w:val="left"/>
              <w:rPr>
                <w:rFonts w:ascii="Calibri" w:hAnsi="Calibri" w:cs="Calibri"/>
                <w:color w:val="000000"/>
                <w:sz w:val="20"/>
                <w:lang w:val="en-GB"/>
              </w:rPr>
            </w:pPr>
            <w:r w:rsidRPr="00563CF9">
              <w:rPr>
                <w:sz w:val="20"/>
                <w:lang w:val="en-GB" w:bidi="en-GB"/>
              </w:rPr>
              <w:t>Waiting room</w:t>
            </w:r>
          </w:p>
        </w:tc>
        <w:tc>
          <w:tcPr>
            <w:tcW w:w="1247" w:type="pct"/>
            <w:tcBorders>
              <w:top w:val="nil"/>
              <w:left w:val="nil"/>
              <w:bottom w:val="single" w:sz="4" w:space="0" w:color="auto"/>
              <w:right w:val="single" w:sz="4" w:space="0" w:color="auto"/>
            </w:tcBorders>
            <w:shd w:val="clear" w:color="auto" w:fill="auto"/>
            <w:noWrap/>
            <w:vAlign w:val="center"/>
            <w:hideMark/>
          </w:tcPr>
          <w:p w:rsidR="00925367" w:rsidRPr="00563CF9" w:rsidRDefault="00925367" w:rsidP="0045362F">
            <w:pPr>
              <w:keepNext/>
              <w:ind w:right="799"/>
              <w:jc w:val="right"/>
              <w:rPr>
                <w:rFonts w:ascii="Calibri" w:hAnsi="Calibri" w:cs="Calibri"/>
                <w:color w:val="000000"/>
                <w:sz w:val="20"/>
                <w:lang w:val="en-GB"/>
              </w:rPr>
            </w:pPr>
            <w:r w:rsidRPr="00563CF9">
              <w:rPr>
                <w:sz w:val="20"/>
                <w:lang w:val="en-GB" w:bidi="en-GB"/>
              </w:rPr>
              <w:t>0.59</w:t>
            </w:r>
          </w:p>
        </w:tc>
        <w:tc>
          <w:tcPr>
            <w:tcW w:w="1247" w:type="pct"/>
            <w:tcBorders>
              <w:top w:val="nil"/>
              <w:left w:val="nil"/>
              <w:bottom w:val="single" w:sz="4" w:space="0" w:color="auto"/>
              <w:right w:val="single" w:sz="4" w:space="0" w:color="auto"/>
            </w:tcBorders>
            <w:shd w:val="clear" w:color="auto" w:fill="auto"/>
            <w:noWrap/>
            <w:vAlign w:val="center"/>
            <w:hideMark/>
          </w:tcPr>
          <w:p w:rsidR="00925367" w:rsidRPr="00563CF9" w:rsidRDefault="00925367" w:rsidP="0045362F">
            <w:pPr>
              <w:keepNext/>
              <w:ind w:right="799"/>
              <w:jc w:val="right"/>
              <w:rPr>
                <w:rFonts w:ascii="Calibri" w:hAnsi="Calibri" w:cs="Calibri"/>
                <w:color w:val="000000"/>
                <w:sz w:val="20"/>
                <w:lang w:val="en-GB"/>
              </w:rPr>
            </w:pPr>
            <w:r w:rsidRPr="00563CF9">
              <w:rPr>
                <w:sz w:val="20"/>
                <w:lang w:val="en-GB" w:bidi="en-GB"/>
              </w:rPr>
              <w:t>0.52</w:t>
            </w:r>
          </w:p>
        </w:tc>
        <w:tc>
          <w:tcPr>
            <w:tcW w:w="1246" w:type="pct"/>
            <w:tcBorders>
              <w:top w:val="nil"/>
              <w:left w:val="nil"/>
              <w:bottom w:val="single" w:sz="4" w:space="0" w:color="auto"/>
              <w:right w:val="single" w:sz="4" w:space="0" w:color="auto"/>
            </w:tcBorders>
            <w:shd w:val="clear" w:color="auto" w:fill="auto"/>
            <w:noWrap/>
            <w:vAlign w:val="center"/>
            <w:hideMark/>
          </w:tcPr>
          <w:p w:rsidR="00925367" w:rsidRPr="00563CF9" w:rsidRDefault="00925367" w:rsidP="0045362F">
            <w:pPr>
              <w:keepNext/>
              <w:ind w:right="799"/>
              <w:jc w:val="right"/>
              <w:rPr>
                <w:rFonts w:ascii="Calibri" w:hAnsi="Calibri" w:cs="Calibri"/>
                <w:color w:val="000000"/>
                <w:sz w:val="20"/>
                <w:lang w:val="en-GB"/>
              </w:rPr>
            </w:pPr>
            <w:r w:rsidRPr="00563CF9">
              <w:rPr>
                <w:sz w:val="20"/>
                <w:lang w:val="en-GB" w:bidi="en-GB"/>
              </w:rPr>
              <w:t>0.60</w:t>
            </w:r>
          </w:p>
        </w:tc>
      </w:tr>
      <w:tr w:rsidR="00925367" w:rsidRPr="00563CF9" w:rsidTr="00852FFB">
        <w:trPr>
          <w:trHeight w:val="227"/>
        </w:trPr>
        <w:tc>
          <w:tcPr>
            <w:tcW w:w="1260" w:type="pct"/>
            <w:tcBorders>
              <w:top w:val="nil"/>
              <w:left w:val="single" w:sz="4" w:space="0" w:color="auto"/>
              <w:bottom w:val="single" w:sz="4" w:space="0" w:color="auto"/>
              <w:right w:val="single" w:sz="4" w:space="0" w:color="auto"/>
            </w:tcBorders>
            <w:shd w:val="clear" w:color="auto" w:fill="auto"/>
            <w:noWrap/>
            <w:vAlign w:val="center"/>
            <w:hideMark/>
          </w:tcPr>
          <w:p w:rsidR="00925367" w:rsidRPr="00563CF9" w:rsidRDefault="00925367" w:rsidP="0045362F">
            <w:pPr>
              <w:keepNext/>
              <w:jc w:val="left"/>
              <w:rPr>
                <w:rFonts w:ascii="Calibri" w:hAnsi="Calibri" w:cs="Calibri"/>
                <w:color w:val="000000"/>
                <w:sz w:val="20"/>
                <w:lang w:val="en-GB"/>
              </w:rPr>
            </w:pPr>
            <w:r w:rsidRPr="00563CF9">
              <w:rPr>
                <w:sz w:val="20"/>
                <w:lang w:val="en-GB" w:bidi="en-GB"/>
              </w:rPr>
              <w:t>Clean linen storage</w:t>
            </w:r>
          </w:p>
        </w:tc>
        <w:tc>
          <w:tcPr>
            <w:tcW w:w="1247" w:type="pct"/>
            <w:tcBorders>
              <w:top w:val="nil"/>
              <w:left w:val="nil"/>
              <w:bottom w:val="single" w:sz="4" w:space="0" w:color="auto"/>
              <w:right w:val="single" w:sz="4" w:space="0" w:color="auto"/>
            </w:tcBorders>
            <w:shd w:val="clear" w:color="auto" w:fill="auto"/>
            <w:noWrap/>
            <w:vAlign w:val="center"/>
            <w:hideMark/>
          </w:tcPr>
          <w:p w:rsidR="00925367" w:rsidRPr="00563CF9" w:rsidRDefault="00925367" w:rsidP="0045362F">
            <w:pPr>
              <w:keepNext/>
              <w:ind w:right="799"/>
              <w:jc w:val="right"/>
              <w:rPr>
                <w:rFonts w:ascii="Calibri" w:hAnsi="Calibri" w:cs="Calibri"/>
                <w:color w:val="000000"/>
                <w:sz w:val="20"/>
                <w:lang w:val="en-GB"/>
              </w:rPr>
            </w:pPr>
            <w:r w:rsidRPr="00563CF9">
              <w:rPr>
                <w:sz w:val="20"/>
                <w:lang w:val="en-GB" w:bidi="en-GB"/>
              </w:rPr>
              <w:t>0.57</w:t>
            </w:r>
          </w:p>
        </w:tc>
        <w:tc>
          <w:tcPr>
            <w:tcW w:w="1247" w:type="pct"/>
            <w:tcBorders>
              <w:top w:val="nil"/>
              <w:left w:val="nil"/>
              <w:bottom w:val="single" w:sz="4" w:space="0" w:color="auto"/>
              <w:right w:val="single" w:sz="4" w:space="0" w:color="auto"/>
            </w:tcBorders>
            <w:shd w:val="clear" w:color="auto" w:fill="auto"/>
            <w:noWrap/>
            <w:vAlign w:val="center"/>
            <w:hideMark/>
          </w:tcPr>
          <w:p w:rsidR="00925367" w:rsidRPr="00563CF9" w:rsidRDefault="00925367" w:rsidP="0045362F">
            <w:pPr>
              <w:keepNext/>
              <w:ind w:right="799"/>
              <w:jc w:val="right"/>
              <w:rPr>
                <w:rFonts w:ascii="Calibri" w:hAnsi="Calibri" w:cs="Calibri"/>
                <w:color w:val="000000"/>
                <w:sz w:val="20"/>
                <w:lang w:val="en-GB"/>
              </w:rPr>
            </w:pPr>
            <w:r w:rsidRPr="00563CF9">
              <w:rPr>
                <w:sz w:val="20"/>
                <w:lang w:val="en-GB" w:bidi="en-GB"/>
              </w:rPr>
              <w:t>0.59</w:t>
            </w:r>
          </w:p>
        </w:tc>
        <w:tc>
          <w:tcPr>
            <w:tcW w:w="1246" w:type="pct"/>
            <w:tcBorders>
              <w:top w:val="nil"/>
              <w:left w:val="nil"/>
              <w:bottom w:val="single" w:sz="4" w:space="0" w:color="auto"/>
              <w:right w:val="single" w:sz="4" w:space="0" w:color="auto"/>
            </w:tcBorders>
            <w:shd w:val="clear" w:color="auto" w:fill="auto"/>
            <w:noWrap/>
            <w:vAlign w:val="center"/>
            <w:hideMark/>
          </w:tcPr>
          <w:p w:rsidR="00925367" w:rsidRPr="00563CF9" w:rsidRDefault="00925367" w:rsidP="0045362F">
            <w:pPr>
              <w:keepNext/>
              <w:ind w:right="799"/>
              <w:jc w:val="right"/>
              <w:rPr>
                <w:rFonts w:ascii="Calibri" w:hAnsi="Calibri" w:cs="Calibri"/>
                <w:color w:val="000000"/>
                <w:sz w:val="20"/>
                <w:lang w:val="en-GB"/>
              </w:rPr>
            </w:pPr>
            <w:r w:rsidRPr="00563CF9">
              <w:rPr>
                <w:sz w:val="20"/>
                <w:lang w:val="en-GB" w:bidi="en-GB"/>
              </w:rPr>
              <w:t>1.78</w:t>
            </w:r>
          </w:p>
        </w:tc>
      </w:tr>
    </w:tbl>
    <w:p w:rsidR="00925367" w:rsidRPr="00563CF9" w:rsidRDefault="00925367" w:rsidP="008E3315">
      <w:pPr>
        <w:pStyle w:val="Zdroj"/>
        <w:spacing w:before="40"/>
        <w:ind w:left="0"/>
        <w:rPr>
          <w:i w:val="0"/>
          <w:noProof/>
          <w:lang w:val="en-GB"/>
        </w:rPr>
      </w:pPr>
      <w:r w:rsidRPr="00563CF9">
        <w:rPr>
          <w:b/>
          <w:i w:val="0"/>
          <w:noProof/>
          <w:lang w:val="en-GB" w:bidi="en-GB"/>
        </w:rPr>
        <w:t xml:space="preserve">Source: </w:t>
      </w:r>
      <w:r w:rsidR="0045362F" w:rsidRPr="00563CF9">
        <w:rPr>
          <w:i w:val="0"/>
          <w:noProof/>
          <w:lang w:val="en-GB" w:bidi="en-GB"/>
        </w:rPr>
        <w:t>elaborated by the SAO from the documents of the university hospitals, communications by the university hospitals.</w:t>
      </w:r>
    </w:p>
    <w:p w:rsidR="00925367" w:rsidRPr="00563CF9" w:rsidRDefault="00925367" w:rsidP="008E3315">
      <w:pPr>
        <w:spacing w:before="120"/>
        <w:rPr>
          <w:rFonts w:cstheme="minorHAnsi"/>
          <w:noProof/>
          <w:color w:val="000000" w:themeColor="text1"/>
          <w:szCs w:val="24"/>
          <w:lang w:val="en-GB"/>
        </w:rPr>
      </w:pPr>
      <w:r w:rsidRPr="00563CF9">
        <w:rPr>
          <w:noProof/>
          <w:lang w:val="en-GB" w:bidi="en-GB"/>
        </w:rPr>
        <w:t>The SAO detected differences in unit average cleaning costs of 1 m</w:t>
      </w:r>
      <w:r w:rsidRPr="00563CF9">
        <w:rPr>
          <w:noProof/>
          <w:vertAlign w:val="superscript"/>
          <w:lang w:val="en-GB" w:bidi="en-GB"/>
        </w:rPr>
        <w:t>2</w:t>
      </w:r>
      <w:r w:rsidRPr="00563CF9">
        <w:rPr>
          <w:noProof/>
          <w:lang w:val="en-GB" w:bidi="en-GB"/>
        </w:rPr>
        <w:t xml:space="preserve"> during the audit in selected hospital premises, the BUH had the lowest unit prices, excluding the cleaning fee for the waiting room. The greatest difference was found by the SAO in the cleaning price of 1 m</w:t>
      </w:r>
      <w:r w:rsidRPr="00563CF9">
        <w:rPr>
          <w:noProof/>
          <w:vertAlign w:val="superscript"/>
          <w:lang w:val="en-GB" w:bidi="en-GB"/>
        </w:rPr>
        <w:t>2</w:t>
      </w:r>
      <w:r w:rsidRPr="00563CF9">
        <w:rPr>
          <w:noProof/>
          <w:lang w:val="en-GB" w:bidi="en-GB"/>
        </w:rPr>
        <w:t xml:space="preserve"> of laboratories in the amount of CZK 3.30 excluding VAT, where the CMH had the highest and the BUH the lowest price. The unit prices for 1 m</w:t>
      </w:r>
      <w:r w:rsidRPr="00563CF9">
        <w:rPr>
          <w:noProof/>
          <w:vertAlign w:val="superscript"/>
          <w:lang w:val="en-GB" w:bidi="en-GB"/>
        </w:rPr>
        <w:t>2</w:t>
      </w:r>
      <w:r w:rsidRPr="00563CF9">
        <w:rPr>
          <w:noProof/>
          <w:lang w:val="en-GB" w:bidi="en-GB"/>
        </w:rPr>
        <w:t xml:space="preserve"> of waiting room cleaning were comparable for all the university hospitals. Different prices were influenced by the cleaning method, the type of cover surface and the regime measures.</w:t>
      </w:r>
    </w:p>
    <w:p w:rsidR="00811E6B" w:rsidRPr="00563CF9" w:rsidRDefault="008E3315" w:rsidP="00757BF0">
      <w:pPr>
        <w:spacing w:before="240" w:after="120"/>
        <w:rPr>
          <w:rFonts w:cstheme="minorHAnsi"/>
          <w:b/>
          <w:noProof/>
          <w:color w:val="000000" w:themeColor="text1"/>
          <w:szCs w:val="24"/>
          <w:lang w:val="en-GB"/>
        </w:rPr>
      </w:pPr>
      <w:r w:rsidRPr="00563CF9">
        <w:rPr>
          <w:b/>
          <w:noProof/>
          <w:lang w:val="en-GB" w:bidi="en-GB"/>
        </w:rPr>
        <w:t>1.10 Legal and advisory services</w:t>
      </w:r>
    </w:p>
    <w:p w:rsidR="004C5853" w:rsidRPr="00563CF9" w:rsidRDefault="00925367" w:rsidP="008E3315">
      <w:pPr>
        <w:autoSpaceDE w:val="0"/>
        <w:autoSpaceDN w:val="0"/>
        <w:adjustRightInd w:val="0"/>
        <w:spacing w:before="120"/>
        <w:rPr>
          <w:noProof/>
          <w:szCs w:val="24"/>
          <w:lang w:val="en-GB"/>
        </w:rPr>
      </w:pPr>
      <w:r w:rsidRPr="00563CF9">
        <w:rPr>
          <w:noProof/>
          <w:lang w:val="en-GB" w:bidi="en-GB"/>
        </w:rPr>
        <w:t xml:space="preserve">The university hospitals provided legal services in the period under review externally and through their legal departments; advisory services were provided by contractors. </w:t>
      </w:r>
    </w:p>
    <w:p w:rsidR="004C5853" w:rsidRPr="00563CF9" w:rsidRDefault="004C5853" w:rsidP="008C6807">
      <w:pPr>
        <w:tabs>
          <w:tab w:val="right" w:pos="9072"/>
        </w:tabs>
        <w:spacing w:before="120" w:after="40"/>
        <w:rPr>
          <w:rFonts w:cstheme="minorHAnsi"/>
          <w:b/>
          <w:noProof/>
          <w:color w:val="000000" w:themeColor="text1"/>
          <w:szCs w:val="28"/>
          <w:lang w:val="en-GB"/>
        </w:rPr>
      </w:pPr>
      <w:r w:rsidRPr="00563CF9">
        <w:rPr>
          <w:b/>
          <w:noProof/>
          <w:lang w:val="en-GB" w:bidi="en-GB"/>
        </w:rPr>
        <w:t>Table 13: Cost of legal and advisory services</w:t>
      </w:r>
      <w:r w:rsidRPr="00563CF9">
        <w:rPr>
          <w:b/>
          <w:noProof/>
          <w:lang w:val="en-GB" w:bidi="en-GB"/>
        </w:rPr>
        <w:tab/>
        <w:t>(in CZK thousands)</w:t>
      </w:r>
    </w:p>
    <w:tbl>
      <w:tblPr>
        <w:tblW w:w="5000" w:type="pct"/>
        <w:tblCellMar>
          <w:left w:w="70" w:type="dxa"/>
          <w:right w:w="70" w:type="dxa"/>
        </w:tblCellMar>
        <w:tblLook w:val="04A0" w:firstRow="1" w:lastRow="0" w:firstColumn="1" w:lastColumn="0" w:noHBand="0" w:noVBand="1"/>
      </w:tblPr>
      <w:tblGrid>
        <w:gridCol w:w="715"/>
        <w:gridCol w:w="2051"/>
        <w:gridCol w:w="2148"/>
        <w:gridCol w:w="2150"/>
        <w:gridCol w:w="2148"/>
      </w:tblGrid>
      <w:tr w:rsidR="004C5853" w:rsidRPr="00563CF9" w:rsidTr="00852FFB">
        <w:trPr>
          <w:trHeight w:val="283"/>
        </w:trPr>
        <w:tc>
          <w:tcPr>
            <w:tcW w:w="1501" w:type="pct"/>
            <w:gridSpan w:val="2"/>
            <w:tcBorders>
              <w:top w:val="single" w:sz="4" w:space="0" w:color="auto"/>
              <w:left w:val="single" w:sz="4" w:space="0" w:color="auto"/>
              <w:bottom w:val="single" w:sz="4" w:space="0" w:color="auto"/>
              <w:right w:val="single" w:sz="4" w:space="0" w:color="auto"/>
            </w:tcBorders>
            <w:shd w:val="clear" w:color="auto" w:fill="E5F1FF"/>
            <w:noWrap/>
            <w:vAlign w:val="center"/>
          </w:tcPr>
          <w:p w:rsidR="004C5853" w:rsidRPr="00563CF9" w:rsidRDefault="004C5853" w:rsidP="00A62436">
            <w:pPr>
              <w:jc w:val="center"/>
              <w:rPr>
                <w:rFonts w:ascii="Calibri" w:hAnsi="Calibri" w:cs="Calibri"/>
                <w:b/>
                <w:bCs/>
                <w:color w:val="000000"/>
                <w:sz w:val="20"/>
                <w:lang w:val="en-GB"/>
              </w:rPr>
            </w:pPr>
          </w:p>
        </w:tc>
        <w:tc>
          <w:tcPr>
            <w:tcW w:w="1166" w:type="pct"/>
            <w:tcBorders>
              <w:top w:val="single" w:sz="4" w:space="0" w:color="auto"/>
              <w:left w:val="nil"/>
              <w:bottom w:val="single" w:sz="4" w:space="0" w:color="auto"/>
              <w:right w:val="single" w:sz="4" w:space="0" w:color="auto"/>
            </w:tcBorders>
            <w:shd w:val="clear" w:color="auto" w:fill="E5F1FF"/>
            <w:noWrap/>
            <w:vAlign w:val="center"/>
          </w:tcPr>
          <w:p w:rsidR="004C5853" w:rsidRPr="00563CF9" w:rsidRDefault="004C5853" w:rsidP="00A62436">
            <w:pPr>
              <w:jc w:val="center"/>
              <w:rPr>
                <w:rFonts w:ascii="Calibri" w:hAnsi="Calibri" w:cs="Calibri"/>
                <w:b/>
                <w:bCs/>
                <w:color w:val="000000"/>
                <w:sz w:val="20"/>
                <w:lang w:val="en-GB"/>
              </w:rPr>
            </w:pPr>
            <w:r w:rsidRPr="00563CF9">
              <w:rPr>
                <w:b/>
                <w:sz w:val="20"/>
                <w:lang w:val="en-GB" w:bidi="en-GB"/>
              </w:rPr>
              <w:t>2014</w:t>
            </w:r>
          </w:p>
        </w:tc>
        <w:tc>
          <w:tcPr>
            <w:tcW w:w="1167" w:type="pct"/>
            <w:tcBorders>
              <w:top w:val="single" w:sz="4" w:space="0" w:color="auto"/>
              <w:left w:val="nil"/>
              <w:bottom w:val="single" w:sz="4" w:space="0" w:color="auto"/>
              <w:right w:val="single" w:sz="4" w:space="0" w:color="auto"/>
            </w:tcBorders>
            <w:shd w:val="clear" w:color="auto" w:fill="E5F1FF"/>
            <w:noWrap/>
            <w:vAlign w:val="center"/>
          </w:tcPr>
          <w:p w:rsidR="004C5853" w:rsidRPr="00563CF9" w:rsidRDefault="004C5853" w:rsidP="00A62436">
            <w:pPr>
              <w:jc w:val="center"/>
              <w:rPr>
                <w:rFonts w:ascii="Calibri" w:hAnsi="Calibri" w:cs="Calibri"/>
                <w:b/>
                <w:bCs/>
                <w:color w:val="000000"/>
                <w:sz w:val="20"/>
                <w:lang w:val="en-GB"/>
              </w:rPr>
            </w:pPr>
            <w:r w:rsidRPr="00563CF9">
              <w:rPr>
                <w:b/>
                <w:sz w:val="20"/>
                <w:lang w:val="en-GB" w:bidi="en-GB"/>
              </w:rPr>
              <w:t>2015</w:t>
            </w:r>
          </w:p>
        </w:tc>
        <w:tc>
          <w:tcPr>
            <w:tcW w:w="1166" w:type="pct"/>
            <w:tcBorders>
              <w:top w:val="single" w:sz="4" w:space="0" w:color="auto"/>
              <w:left w:val="nil"/>
              <w:bottom w:val="single" w:sz="4" w:space="0" w:color="auto"/>
              <w:right w:val="single" w:sz="4" w:space="0" w:color="auto"/>
            </w:tcBorders>
            <w:shd w:val="clear" w:color="auto" w:fill="E5F1FF"/>
            <w:noWrap/>
            <w:vAlign w:val="center"/>
          </w:tcPr>
          <w:p w:rsidR="004C5853" w:rsidRPr="00563CF9" w:rsidRDefault="004C5853" w:rsidP="00A62436">
            <w:pPr>
              <w:jc w:val="center"/>
              <w:rPr>
                <w:rFonts w:ascii="Calibri" w:hAnsi="Calibri" w:cs="Calibri"/>
                <w:b/>
                <w:bCs/>
                <w:color w:val="000000"/>
                <w:sz w:val="20"/>
                <w:lang w:val="en-GB"/>
              </w:rPr>
            </w:pPr>
            <w:r w:rsidRPr="00563CF9">
              <w:rPr>
                <w:b/>
                <w:sz w:val="20"/>
                <w:lang w:val="en-GB" w:bidi="en-GB"/>
              </w:rPr>
              <w:t>2016</w:t>
            </w:r>
          </w:p>
        </w:tc>
      </w:tr>
      <w:tr w:rsidR="00852FFB" w:rsidRPr="00563CF9" w:rsidTr="00852FFB">
        <w:trPr>
          <w:trHeight w:val="283"/>
        </w:trPr>
        <w:tc>
          <w:tcPr>
            <w:tcW w:w="388" w:type="pct"/>
            <w:tcBorders>
              <w:top w:val="nil"/>
              <w:left w:val="single" w:sz="4" w:space="0" w:color="auto"/>
              <w:bottom w:val="single" w:sz="4" w:space="0" w:color="auto"/>
              <w:right w:val="single" w:sz="4" w:space="0" w:color="auto"/>
            </w:tcBorders>
            <w:shd w:val="clear" w:color="auto" w:fill="auto"/>
            <w:noWrap/>
            <w:vAlign w:val="center"/>
          </w:tcPr>
          <w:p w:rsidR="00852FFB" w:rsidRPr="00563CF9" w:rsidRDefault="00852FFB" w:rsidP="00852FFB">
            <w:pPr>
              <w:jc w:val="left"/>
              <w:rPr>
                <w:rFonts w:ascii="Calibri" w:hAnsi="Calibri" w:cs="Calibri"/>
                <w:color w:val="000000"/>
                <w:sz w:val="20"/>
                <w:lang w:val="en-GB"/>
              </w:rPr>
            </w:pPr>
            <w:r w:rsidRPr="00563CF9">
              <w:rPr>
                <w:sz w:val="20"/>
                <w:lang w:val="en-GB" w:bidi="en-GB"/>
              </w:rPr>
              <w:t>MUH</w:t>
            </w:r>
          </w:p>
        </w:tc>
        <w:tc>
          <w:tcPr>
            <w:tcW w:w="1113" w:type="pct"/>
            <w:tcBorders>
              <w:top w:val="nil"/>
              <w:left w:val="single" w:sz="4" w:space="0" w:color="auto"/>
              <w:bottom w:val="single" w:sz="4" w:space="0" w:color="auto"/>
              <w:right w:val="single" w:sz="4" w:space="0" w:color="auto"/>
            </w:tcBorders>
            <w:shd w:val="clear" w:color="auto" w:fill="auto"/>
            <w:vAlign w:val="center"/>
          </w:tcPr>
          <w:p w:rsidR="00852FFB" w:rsidRPr="00563CF9" w:rsidRDefault="0045362F" w:rsidP="00852FFB">
            <w:pPr>
              <w:jc w:val="left"/>
              <w:rPr>
                <w:rFonts w:ascii="Calibri" w:hAnsi="Calibri" w:cs="Calibri"/>
                <w:color w:val="000000"/>
                <w:sz w:val="20"/>
                <w:lang w:val="en-GB"/>
              </w:rPr>
            </w:pPr>
            <w:r w:rsidRPr="00563CF9">
              <w:rPr>
                <w:sz w:val="20"/>
                <w:lang w:val="en-GB" w:bidi="en-GB"/>
              </w:rPr>
              <w:t>Legal services</w:t>
            </w:r>
          </w:p>
        </w:tc>
        <w:tc>
          <w:tcPr>
            <w:tcW w:w="1166" w:type="pct"/>
            <w:tcBorders>
              <w:top w:val="nil"/>
              <w:left w:val="nil"/>
              <w:bottom w:val="single" w:sz="4" w:space="0" w:color="auto"/>
              <w:right w:val="single" w:sz="4" w:space="0" w:color="auto"/>
            </w:tcBorders>
            <w:shd w:val="clear" w:color="auto" w:fill="auto"/>
            <w:noWrap/>
            <w:vAlign w:val="center"/>
          </w:tcPr>
          <w:p w:rsidR="00852FFB" w:rsidRPr="00563CF9" w:rsidRDefault="00852FFB" w:rsidP="00852FFB">
            <w:pPr>
              <w:ind w:right="799"/>
              <w:jc w:val="right"/>
              <w:rPr>
                <w:rFonts w:ascii="Calibri" w:hAnsi="Calibri" w:cs="Calibri"/>
                <w:color w:val="000000"/>
                <w:sz w:val="20"/>
                <w:lang w:val="en-GB"/>
              </w:rPr>
            </w:pPr>
            <w:r w:rsidRPr="00563CF9">
              <w:rPr>
                <w:sz w:val="20"/>
                <w:lang w:val="en-GB" w:bidi="en-GB"/>
              </w:rPr>
              <w:t>2,511.46</w:t>
            </w:r>
          </w:p>
        </w:tc>
        <w:tc>
          <w:tcPr>
            <w:tcW w:w="1167" w:type="pct"/>
            <w:tcBorders>
              <w:top w:val="nil"/>
              <w:left w:val="nil"/>
              <w:bottom w:val="single" w:sz="4" w:space="0" w:color="auto"/>
              <w:right w:val="single" w:sz="4" w:space="0" w:color="auto"/>
            </w:tcBorders>
            <w:shd w:val="clear" w:color="auto" w:fill="auto"/>
            <w:noWrap/>
            <w:vAlign w:val="center"/>
          </w:tcPr>
          <w:p w:rsidR="00852FFB" w:rsidRPr="00563CF9" w:rsidRDefault="00852FFB" w:rsidP="00852FFB">
            <w:pPr>
              <w:ind w:right="799"/>
              <w:jc w:val="right"/>
              <w:rPr>
                <w:rFonts w:ascii="Calibri" w:hAnsi="Calibri" w:cs="Calibri"/>
                <w:color w:val="000000"/>
                <w:sz w:val="20"/>
                <w:lang w:val="en-GB"/>
              </w:rPr>
            </w:pPr>
            <w:r w:rsidRPr="00563CF9">
              <w:rPr>
                <w:sz w:val="20"/>
                <w:lang w:val="en-GB" w:bidi="en-GB"/>
              </w:rPr>
              <w:t>1,707.30</w:t>
            </w:r>
          </w:p>
        </w:tc>
        <w:tc>
          <w:tcPr>
            <w:tcW w:w="1166" w:type="pct"/>
            <w:tcBorders>
              <w:top w:val="nil"/>
              <w:left w:val="nil"/>
              <w:bottom w:val="single" w:sz="4" w:space="0" w:color="auto"/>
              <w:right w:val="single" w:sz="4" w:space="0" w:color="auto"/>
            </w:tcBorders>
            <w:shd w:val="clear" w:color="auto" w:fill="auto"/>
            <w:noWrap/>
            <w:vAlign w:val="center"/>
          </w:tcPr>
          <w:p w:rsidR="00852FFB" w:rsidRPr="00563CF9" w:rsidRDefault="00852FFB" w:rsidP="00852FFB">
            <w:pPr>
              <w:ind w:right="799"/>
              <w:jc w:val="right"/>
              <w:rPr>
                <w:rFonts w:ascii="Calibri" w:hAnsi="Calibri" w:cs="Calibri"/>
                <w:color w:val="000000"/>
                <w:sz w:val="20"/>
                <w:lang w:val="en-GB"/>
              </w:rPr>
            </w:pPr>
            <w:r w:rsidRPr="00563CF9">
              <w:rPr>
                <w:sz w:val="20"/>
                <w:lang w:val="en-GB" w:bidi="en-GB"/>
              </w:rPr>
              <w:t>1,024.08</w:t>
            </w:r>
          </w:p>
        </w:tc>
      </w:tr>
      <w:tr w:rsidR="00852FFB" w:rsidRPr="00563CF9" w:rsidTr="00BA09ED">
        <w:trPr>
          <w:trHeight w:val="283"/>
        </w:trPr>
        <w:tc>
          <w:tcPr>
            <w:tcW w:w="388" w:type="pct"/>
            <w:vMerge w:val="restart"/>
            <w:tcBorders>
              <w:top w:val="single" w:sz="4" w:space="0" w:color="auto"/>
              <w:left w:val="single" w:sz="4" w:space="0" w:color="auto"/>
              <w:right w:val="single" w:sz="4" w:space="0" w:color="auto"/>
            </w:tcBorders>
            <w:shd w:val="clear" w:color="auto" w:fill="auto"/>
            <w:noWrap/>
            <w:vAlign w:val="center"/>
          </w:tcPr>
          <w:p w:rsidR="00852FFB" w:rsidRPr="00563CF9" w:rsidRDefault="00852FFB" w:rsidP="00852FFB">
            <w:pPr>
              <w:jc w:val="left"/>
              <w:rPr>
                <w:rFonts w:ascii="Calibri" w:hAnsi="Calibri" w:cs="Calibri"/>
                <w:color w:val="000000"/>
                <w:sz w:val="20"/>
                <w:lang w:val="en-GB"/>
              </w:rPr>
            </w:pPr>
            <w:r w:rsidRPr="00563CF9">
              <w:rPr>
                <w:sz w:val="20"/>
                <w:lang w:val="en-GB" w:bidi="en-GB"/>
              </w:rPr>
              <w:t>CMH</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rsidR="00852FFB" w:rsidRPr="00563CF9" w:rsidRDefault="0045362F" w:rsidP="00852FFB">
            <w:pPr>
              <w:jc w:val="left"/>
              <w:rPr>
                <w:rFonts w:ascii="Calibri" w:hAnsi="Calibri" w:cs="Calibri"/>
                <w:color w:val="000000"/>
                <w:sz w:val="20"/>
                <w:lang w:val="en-GB"/>
              </w:rPr>
            </w:pPr>
            <w:r w:rsidRPr="00563CF9">
              <w:rPr>
                <w:sz w:val="20"/>
                <w:lang w:val="en-GB" w:bidi="en-GB"/>
              </w:rPr>
              <w:t>Legal services</w:t>
            </w:r>
          </w:p>
        </w:tc>
        <w:tc>
          <w:tcPr>
            <w:tcW w:w="1166" w:type="pct"/>
            <w:tcBorders>
              <w:top w:val="single" w:sz="4" w:space="0" w:color="auto"/>
              <w:left w:val="nil"/>
              <w:bottom w:val="single" w:sz="4" w:space="0" w:color="auto"/>
              <w:right w:val="single" w:sz="4" w:space="0" w:color="auto"/>
            </w:tcBorders>
            <w:shd w:val="clear" w:color="auto" w:fill="auto"/>
            <w:noWrap/>
            <w:vAlign w:val="center"/>
          </w:tcPr>
          <w:p w:rsidR="00852FFB" w:rsidRPr="00563CF9" w:rsidRDefault="00852FFB" w:rsidP="00852FFB">
            <w:pPr>
              <w:ind w:right="799"/>
              <w:jc w:val="right"/>
              <w:rPr>
                <w:rFonts w:ascii="Calibri" w:hAnsi="Calibri" w:cs="Calibri"/>
                <w:color w:val="000000"/>
                <w:sz w:val="20"/>
                <w:lang w:val="en-GB"/>
              </w:rPr>
            </w:pPr>
            <w:r w:rsidRPr="00563CF9">
              <w:rPr>
                <w:sz w:val="20"/>
                <w:lang w:val="en-GB" w:bidi="en-GB"/>
              </w:rPr>
              <w:t>2,678.50</w:t>
            </w:r>
          </w:p>
        </w:tc>
        <w:tc>
          <w:tcPr>
            <w:tcW w:w="1167" w:type="pct"/>
            <w:tcBorders>
              <w:top w:val="single" w:sz="4" w:space="0" w:color="auto"/>
              <w:left w:val="nil"/>
              <w:bottom w:val="single" w:sz="4" w:space="0" w:color="auto"/>
              <w:right w:val="single" w:sz="4" w:space="0" w:color="auto"/>
            </w:tcBorders>
            <w:shd w:val="clear" w:color="auto" w:fill="auto"/>
            <w:noWrap/>
            <w:vAlign w:val="center"/>
          </w:tcPr>
          <w:p w:rsidR="00852FFB" w:rsidRPr="00563CF9" w:rsidRDefault="00852FFB" w:rsidP="00852FFB">
            <w:pPr>
              <w:ind w:right="799"/>
              <w:jc w:val="right"/>
              <w:rPr>
                <w:rFonts w:ascii="Calibri" w:hAnsi="Calibri" w:cs="Calibri"/>
                <w:color w:val="000000"/>
                <w:sz w:val="20"/>
                <w:lang w:val="en-GB"/>
              </w:rPr>
            </w:pPr>
            <w:r w:rsidRPr="00563CF9">
              <w:rPr>
                <w:sz w:val="20"/>
                <w:lang w:val="en-GB" w:bidi="en-GB"/>
              </w:rPr>
              <w:t>3,249.70</w:t>
            </w:r>
          </w:p>
        </w:tc>
        <w:tc>
          <w:tcPr>
            <w:tcW w:w="1166" w:type="pct"/>
            <w:tcBorders>
              <w:top w:val="single" w:sz="4" w:space="0" w:color="auto"/>
              <w:left w:val="nil"/>
              <w:bottom w:val="single" w:sz="4" w:space="0" w:color="auto"/>
              <w:right w:val="single" w:sz="4" w:space="0" w:color="auto"/>
            </w:tcBorders>
            <w:shd w:val="clear" w:color="auto" w:fill="auto"/>
            <w:noWrap/>
            <w:vAlign w:val="center"/>
          </w:tcPr>
          <w:p w:rsidR="00852FFB" w:rsidRPr="00563CF9" w:rsidRDefault="00852FFB" w:rsidP="00852FFB">
            <w:pPr>
              <w:ind w:right="799"/>
              <w:jc w:val="right"/>
              <w:rPr>
                <w:rFonts w:ascii="Calibri" w:hAnsi="Calibri" w:cs="Calibri"/>
                <w:color w:val="000000"/>
                <w:sz w:val="20"/>
                <w:lang w:val="en-GB"/>
              </w:rPr>
            </w:pPr>
            <w:r w:rsidRPr="00563CF9">
              <w:rPr>
                <w:sz w:val="20"/>
                <w:lang w:val="en-GB" w:bidi="en-GB"/>
              </w:rPr>
              <w:t>1,522.54</w:t>
            </w:r>
          </w:p>
        </w:tc>
      </w:tr>
      <w:tr w:rsidR="00852FFB" w:rsidRPr="00563CF9" w:rsidTr="00BA09ED">
        <w:trPr>
          <w:trHeight w:val="283"/>
        </w:trPr>
        <w:tc>
          <w:tcPr>
            <w:tcW w:w="388" w:type="pct"/>
            <w:vMerge/>
            <w:tcBorders>
              <w:left w:val="single" w:sz="4" w:space="0" w:color="auto"/>
              <w:bottom w:val="single" w:sz="4" w:space="0" w:color="auto"/>
              <w:right w:val="single" w:sz="4" w:space="0" w:color="auto"/>
            </w:tcBorders>
            <w:shd w:val="clear" w:color="auto" w:fill="auto"/>
            <w:noWrap/>
            <w:vAlign w:val="center"/>
          </w:tcPr>
          <w:p w:rsidR="00852FFB" w:rsidRPr="00563CF9" w:rsidRDefault="00852FFB" w:rsidP="00852FFB">
            <w:pPr>
              <w:jc w:val="left"/>
              <w:rPr>
                <w:rFonts w:ascii="Calibri" w:hAnsi="Calibri" w:cs="Calibri"/>
                <w:color w:val="000000"/>
                <w:sz w:val="20"/>
                <w:lang w:val="en-GB"/>
              </w:rPr>
            </w:pP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rsidR="00852FFB" w:rsidRPr="00563CF9" w:rsidRDefault="0045362F" w:rsidP="00852FFB">
            <w:pPr>
              <w:jc w:val="left"/>
              <w:rPr>
                <w:rFonts w:ascii="Calibri" w:hAnsi="Calibri" w:cs="Calibri"/>
                <w:color w:val="000000"/>
                <w:sz w:val="20"/>
                <w:lang w:val="en-GB"/>
              </w:rPr>
            </w:pPr>
            <w:r w:rsidRPr="00563CF9">
              <w:rPr>
                <w:sz w:val="20"/>
                <w:lang w:val="en-GB" w:bidi="en-GB"/>
              </w:rPr>
              <w:t>Advisory services</w:t>
            </w:r>
          </w:p>
        </w:tc>
        <w:tc>
          <w:tcPr>
            <w:tcW w:w="1166" w:type="pct"/>
            <w:tcBorders>
              <w:top w:val="single" w:sz="4" w:space="0" w:color="auto"/>
              <w:left w:val="nil"/>
              <w:bottom w:val="single" w:sz="4" w:space="0" w:color="auto"/>
              <w:right w:val="single" w:sz="4" w:space="0" w:color="auto"/>
            </w:tcBorders>
            <w:shd w:val="clear" w:color="auto" w:fill="auto"/>
            <w:noWrap/>
            <w:vAlign w:val="center"/>
          </w:tcPr>
          <w:p w:rsidR="00852FFB" w:rsidRPr="00563CF9" w:rsidRDefault="00852FFB" w:rsidP="00852FFB">
            <w:pPr>
              <w:ind w:right="799"/>
              <w:jc w:val="right"/>
              <w:rPr>
                <w:rFonts w:ascii="Calibri" w:hAnsi="Calibri" w:cs="Calibri"/>
                <w:color w:val="000000"/>
                <w:sz w:val="20"/>
                <w:lang w:val="en-GB"/>
              </w:rPr>
            </w:pPr>
            <w:r w:rsidRPr="00563CF9">
              <w:rPr>
                <w:sz w:val="20"/>
                <w:lang w:val="en-GB" w:bidi="en-GB"/>
              </w:rPr>
              <w:t>1,939.29</w:t>
            </w:r>
          </w:p>
        </w:tc>
        <w:tc>
          <w:tcPr>
            <w:tcW w:w="1167" w:type="pct"/>
            <w:tcBorders>
              <w:top w:val="single" w:sz="4" w:space="0" w:color="auto"/>
              <w:left w:val="nil"/>
              <w:bottom w:val="single" w:sz="4" w:space="0" w:color="auto"/>
              <w:right w:val="single" w:sz="4" w:space="0" w:color="auto"/>
            </w:tcBorders>
            <w:shd w:val="clear" w:color="auto" w:fill="auto"/>
            <w:noWrap/>
            <w:vAlign w:val="center"/>
          </w:tcPr>
          <w:p w:rsidR="00852FFB" w:rsidRPr="00563CF9" w:rsidRDefault="00852FFB" w:rsidP="00852FFB">
            <w:pPr>
              <w:ind w:right="799"/>
              <w:jc w:val="right"/>
              <w:rPr>
                <w:rFonts w:ascii="Calibri" w:hAnsi="Calibri" w:cs="Calibri"/>
                <w:color w:val="000000"/>
                <w:sz w:val="20"/>
                <w:lang w:val="en-GB"/>
              </w:rPr>
            </w:pPr>
            <w:r w:rsidRPr="00563CF9">
              <w:rPr>
                <w:sz w:val="20"/>
                <w:lang w:val="en-GB" w:bidi="en-GB"/>
              </w:rPr>
              <w:t>2,271.73</w:t>
            </w:r>
          </w:p>
        </w:tc>
        <w:tc>
          <w:tcPr>
            <w:tcW w:w="1166" w:type="pct"/>
            <w:tcBorders>
              <w:top w:val="single" w:sz="4" w:space="0" w:color="auto"/>
              <w:left w:val="nil"/>
              <w:bottom w:val="single" w:sz="4" w:space="0" w:color="auto"/>
              <w:right w:val="single" w:sz="4" w:space="0" w:color="auto"/>
            </w:tcBorders>
            <w:shd w:val="clear" w:color="auto" w:fill="auto"/>
            <w:noWrap/>
            <w:vAlign w:val="center"/>
          </w:tcPr>
          <w:p w:rsidR="00852FFB" w:rsidRPr="00563CF9" w:rsidRDefault="00852FFB" w:rsidP="00852FFB">
            <w:pPr>
              <w:ind w:right="799"/>
              <w:jc w:val="right"/>
              <w:rPr>
                <w:rFonts w:ascii="Calibri" w:hAnsi="Calibri" w:cs="Calibri"/>
                <w:color w:val="000000"/>
                <w:sz w:val="20"/>
                <w:lang w:val="en-GB"/>
              </w:rPr>
            </w:pPr>
            <w:r w:rsidRPr="00563CF9">
              <w:rPr>
                <w:sz w:val="20"/>
                <w:lang w:val="en-GB" w:bidi="en-GB"/>
              </w:rPr>
              <w:t>526.20</w:t>
            </w:r>
          </w:p>
        </w:tc>
      </w:tr>
    </w:tbl>
    <w:p w:rsidR="004C5853" w:rsidRPr="00563CF9" w:rsidRDefault="004C5853" w:rsidP="008C6807">
      <w:pPr>
        <w:pStyle w:val="Zdroj"/>
        <w:spacing w:before="40"/>
        <w:ind w:left="567" w:hanging="567"/>
        <w:rPr>
          <w:i w:val="0"/>
          <w:noProof/>
          <w:lang w:val="en-GB"/>
        </w:rPr>
      </w:pPr>
      <w:r w:rsidRPr="00563CF9">
        <w:rPr>
          <w:b/>
          <w:i w:val="0"/>
          <w:noProof/>
          <w:lang w:val="en-GB" w:bidi="en-GB"/>
        </w:rPr>
        <w:t xml:space="preserve">Source: </w:t>
      </w:r>
      <w:r w:rsidRPr="00563CF9">
        <w:rPr>
          <w:b/>
          <w:i w:val="0"/>
          <w:noProof/>
          <w:lang w:val="en-GB" w:bidi="en-GB"/>
        </w:rPr>
        <w:tab/>
      </w:r>
      <w:r w:rsidR="0045362F" w:rsidRPr="00563CF9">
        <w:rPr>
          <w:i w:val="0"/>
          <w:noProof/>
          <w:lang w:val="en-GB" w:bidi="en-GB"/>
        </w:rPr>
        <w:t>prepared by the SAO on the basis of the documents of the university hospitals, the main ledgers of the individual university hospitals as of 31 December 2014, 31 December 2015 and 31 December 2016.</w:t>
      </w:r>
    </w:p>
    <w:p w:rsidR="00662821" w:rsidRPr="00563CF9" w:rsidRDefault="00662821" w:rsidP="008C6807">
      <w:pPr>
        <w:pStyle w:val="Zdroj"/>
        <w:ind w:left="567" w:hanging="567"/>
        <w:rPr>
          <w:i w:val="0"/>
          <w:noProof/>
          <w:lang w:val="en-GB"/>
        </w:rPr>
      </w:pPr>
      <w:r w:rsidRPr="00563CF9">
        <w:rPr>
          <w:b/>
          <w:i w:val="0"/>
          <w:noProof/>
          <w:lang w:val="en-GB" w:bidi="en-GB"/>
        </w:rPr>
        <w:t>Note:</w:t>
      </w:r>
      <w:r w:rsidRPr="00563CF9">
        <w:rPr>
          <w:i w:val="0"/>
          <w:noProof/>
          <w:lang w:val="en-GB" w:bidi="en-GB"/>
        </w:rPr>
        <w:t xml:space="preserve"> The BUH did not have a special analytical account set up for the legal and advisory services during the period under review, and these services were charged together with the other services on two analytical accounts. The MUH did not set up a special analytical account for advisory services. Independent management of legal services in the analytical account was not required by any legal regulation.</w:t>
      </w:r>
    </w:p>
    <w:p w:rsidR="00925367" w:rsidRPr="00563CF9" w:rsidRDefault="00925367" w:rsidP="008C6807">
      <w:pPr>
        <w:spacing w:before="120"/>
        <w:rPr>
          <w:strike/>
          <w:noProof/>
          <w:szCs w:val="24"/>
          <w:lang w:val="en-GB"/>
        </w:rPr>
      </w:pPr>
      <w:r w:rsidRPr="00563CF9">
        <w:rPr>
          <w:noProof/>
          <w:lang w:val="en-GB" w:bidi="en-GB"/>
        </w:rPr>
        <w:t xml:space="preserve">The audit verified the requirements of the accounting documents, the correctness of their posting, the observance of the contractual prices on the selected audit sample and the related public contracts. The BUH and the MUH in the field of legal and advisory services acted in accordance with legal regulations. </w:t>
      </w:r>
      <w:r w:rsidRPr="00563CF9">
        <w:rPr>
          <w:b/>
          <w:noProof/>
          <w:lang w:val="en-GB" w:bidi="en-GB"/>
        </w:rPr>
        <w:t xml:space="preserve">The CMH did not properly </w:t>
      </w:r>
      <w:r w:rsidR="00D7642B">
        <w:rPr>
          <w:b/>
          <w:noProof/>
          <w:lang w:val="en-GB" w:bidi="en-GB"/>
        </w:rPr>
        <w:t>reviewed</w:t>
      </w:r>
      <w:r w:rsidRPr="00563CF9">
        <w:rPr>
          <w:b/>
          <w:noProof/>
          <w:lang w:val="en-GB" w:bidi="en-GB"/>
        </w:rPr>
        <w:t xml:space="preserve"> the accuracy of the invoices (checking the price for the services provided, the subject-matter of performance, maturity, the correctness and completeness of the invoice documents) for legal services in the amount of CZK 1,056,184.80 including VAT and for advisory services amounting to CZK 816,750 including VAT in accordance with Act No. 320/2001 Coll.</w:t>
      </w:r>
      <w:r w:rsidRPr="00563CF9">
        <w:rPr>
          <w:rStyle w:val="Znakapoznpodarou"/>
          <w:b/>
          <w:noProof/>
          <w:lang w:val="en-GB" w:bidi="en-GB"/>
        </w:rPr>
        <w:footnoteReference w:id="47"/>
      </w:r>
      <w:r w:rsidRPr="00563CF9">
        <w:rPr>
          <w:noProof/>
          <w:lang w:val="en-GB" w:bidi="en-GB"/>
        </w:rPr>
        <w:t xml:space="preserve">. </w:t>
      </w:r>
    </w:p>
    <w:p w:rsidR="00DB1753" w:rsidRPr="00563CF9" w:rsidRDefault="00DB1753" w:rsidP="008C6807">
      <w:pPr>
        <w:spacing w:before="120"/>
        <w:rPr>
          <w:rFonts w:cs="Calibri"/>
          <w:b/>
          <w:bCs/>
          <w:iCs/>
          <w:szCs w:val="24"/>
          <w:lang w:val="en-GB"/>
        </w:rPr>
      </w:pPr>
      <w:r w:rsidRPr="00563CF9">
        <w:rPr>
          <w:b/>
          <w:lang w:val="en-GB" w:bidi="en-GB"/>
        </w:rPr>
        <w:t>The CMH did not use its assets efficiently and economically to carry out the specified activities in accordance with Act No. 219/2000 Coll.</w:t>
      </w:r>
      <w:r w:rsidRPr="00563CF9">
        <w:rPr>
          <w:rStyle w:val="Znakapoznpodarou"/>
          <w:b/>
          <w:lang w:val="en-GB" w:bidi="en-GB"/>
        </w:rPr>
        <w:footnoteReference w:id="48"/>
      </w:r>
      <w:r w:rsidRPr="00563CF9">
        <w:rPr>
          <w:b/>
          <w:lang w:val="en-GB" w:bidi="en-GB"/>
        </w:rPr>
        <w:t xml:space="preserve"> as it did not sufficiently evidence the individual items on the invoices for the provision of legal consultations for 2015 in the case of ten invoices amounting to CZK 819,315.20 including VAT and for 2016 in the case of five invoices amounting to CZK 236,869.60 including VAT.</w:t>
      </w:r>
    </w:p>
    <w:p w:rsidR="008D2B63" w:rsidRPr="00563CF9" w:rsidRDefault="008C6807" w:rsidP="0045362F">
      <w:pPr>
        <w:keepNext/>
        <w:spacing w:before="240" w:after="120"/>
        <w:rPr>
          <w:rFonts w:cstheme="minorHAnsi"/>
          <w:b/>
          <w:noProof/>
          <w:color w:val="000000" w:themeColor="text1"/>
          <w:szCs w:val="24"/>
          <w:lang w:val="en-GB"/>
        </w:rPr>
      </w:pPr>
      <w:r w:rsidRPr="00563CF9">
        <w:rPr>
          <w:b/>
          <w:noProof/>
          <w:lang w:val="en-GB" w:bidi="en-GB"/>
        </w:rPr>
        <w:t>1.11 Repair and maintenance of medical equipment</w:t>
      </w:r>
    </w:p>
    <w:p w:rsidR="000E2EC7" w:rsidRPr="00563CF9" w:rsidRDefault="000C5C4C" w:rsidP="0045362F">
      <w:pPr>
        <w:keepNext/>
        <w:tabs>
          <w:tab w:val="right" w:pos="9072"/>
        </w:tabs>
        <w:spacing w:before="120" w:after="40"/>
        <w:rPr>
          <w:rFonts w:cstheme="minorHAnsi"/>
          <w:b/>
          <w:noProof/>
          <w:color w:val="000000" w:themeColor="text1"/>
          <w:szCs w:val="28"/>
          <w:lang w:val="en-GB"/>
        </w:rPr>
      </w:pPr>
      <w:r w:rsidRPr="00563CF9">
        <w:rPr>
          <w:b/>
          <w:noProof/>
          <w:lang w:val="en-GB" w:bidi="en-GB"/>
        </w:rPr>
        <w:t xml:space="preserve">Table 14: Cost of repair and maintenance of medical equipment </w:t>
      </w:r>
      <w:r w:rsidRPr="00563CF9">
        <w:rPr>
          <w:b/>
          <w:noProof/>
          <w:lang w:val="en-GB" w:bidi="en-GB"/>
        </w:rPr>
        <w:tab/>
        <w:t>(in CZK thousands)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2"/>
        <w:gridCol w:w="2297"/>
        <w:gridCol w:w="2297"/>
        <w:gridCol w:w="2296"/>
      </w:tblGrid>
      <w:tr w:rsidR="000E2EC7" w:rsidRPr="00563CF9" w:rsidTr="0045362F">
        <w:trPr>
          <w:trHeight w:val="227"/>
        </w:trPr>
        <w:tc>
          <w:tcPr>
            <w:tcW w:w="1260" w:type="pct"/>
            <w:shd w:val="clear" w:color="auto" w:fill="E5F1FF"/>
            <w:noWrap/>
            <w:vAlign w:val="center"/>
          </w:tcPr>
          <w:p w:rsidR="000E2EC7" w:rsidRPr="00563CF9" w:rsidRDefault="000E2EC7" w:rsidP="0045362F">
            <w:pPr>
              <w:keepNext/>
              <w:jc w:val="left"/>
              <w:rPr>
                <w:rFonts w:ascii="Calibri" w:hAnsi="Calibri" w:cs="Calibri"/>
                <w:b/>
                <w:bCs/>
                <w:color w:val="000000"/>
                <w:sz w:val="20"/>
                <w:lang w:val="en-GB"/>
              </w:rPr>
            </w:pPr>
          </w:p>
        </w:tc>
        <w:tc>
          <w:tcPr>
            <w:tcW w:w="1247" w:type="pct"/>
            <w:shd w:val="clear" w:color="auto" w:fill="E5F1FF"/>
            <w:noWrap/>
            <w:vAlign w:val="center"/>
          </w:tcPr>
          <w:p w:rsidR="000E2EC7" w:rsidRPr="00563CF9" w:rsidRDefault="000E2EC7" w:rsidP="0045362F">
            <w:pPr>
              <w:keepNext/>
              <w:jc w:val="center"/>
              <w:rPr>
                <w:rFonts w:ascii="Calibri" w:hAnsi="Calibri" w:cs="Calibri"/>
                <w:b/>
                <w:bCs/>
                <w:color w:val="000000"/>
                <w:sz w:val="20"/>
                <w:lang w:val="en-GB"/>
              </w:rPr>
            </w:pPr>
            <w:r w:rsidRPr="00563CF9">
              <w:rPr>
                <w:b/>
                <w:sz w:val="20"/>
                <w:lang w:val="en-GB" w:bidi="en-GB"/>
              </w:rPr>
              <w:t>2014</w:t>
            </w:r>
          </w:p>
        </w:tc>
        <w:tc>
          <w:tcPr>
            <w:tcW w:w="1247" w:type="pct"/>
            <w:shd w:val="clear" w:color="auto" w:fill="E5F1FF"/>
            <w:noWrap/>
            <w:vAlign w:val="center"/>
          </w:tcPr>
          <w:p w:rsidR="000E2EC7" w:rsidRPr="00563CF9" w:rsidRDefault="000E2EC7" w:rsidP="0045362F">
            <w:pPr>
              <w:keepNext/>
              <w:jc w:val="center"/>
              <w:rPr>
                <w:rFonts w:ascii="Calibri" w:hAnsi="Calibri" w:cs="Calibri"/>
                <w:b/>
                <w:bCs/>
                <w:color w:val="000000"/>
                <w:sz w:val="20"/>
                <w:lang w:val="en-GB"/>
              </w:rPr>
            </w:pPr>
            <w:r w:rsidRPr="00563CF9">
              <w:rPr>
                <w:b/>
                <w:sz w:val="20"/>
                <w:lang w:val="en-GB" w:bidi="en-GB"/>
              </w:rPr>
              <w:t>2015</w:t>
            </w:r>
          </w:p>
        </w:tc>
        <w:tc>
          <w:tcPr>
            <w:tcW w:w="1246" w:type="pct"/>
            <w:shd w:val="clear" w:color="auto" w:fill="E5F1FF"/>
            <w:noWrap/>
            <w:vAlign w:val="center"/>
          </w:tcPr>
          <w:p w:rsidR="000E2EC7" w:rsidRPr="00563CF9" w:rsidRDefault="000E2EC7" w:rsidP="0045362F">
            <w:pPr>
              <w:keepNext/>
              <w:jc w:val="center"/>
              <w:rPr>
                <w:rFonts w:ascii="Calibri" w:hAnsi="Calibri" w:cs="Calibri"/>
                <w:b/>
                <w:bCs/>
                <w:color w:val="000000"/>
                <w:sz w:val="20"/>
                <w:lang w:val="en-GB"/>
              </w:rPr>
            </w:pPr>
            <w:r w:rsidRPr="00563CF9">
              <w:rPr>
                <w:b/>
                <w:sz w:val="20"/>
                <w:lang w:val="en-GB" w:bidi="en-GB"/>
              </w:rPr>
              <w:t>2016</w:t>
            </w:r>
          </w:p>
        </w:tc>
      </w:tr>
      <w:tr w:rsidR="000E2EC7" w:rsidRPr="00563CF9" w:rsidTr="0045362F">
        <w:trPr>
          <w:trHeight w:val="227"/>
        </w:trPr>
        <w:tc>
          <w:tcPr>
            <w:tcW w:w="1260" w:type="pct"/>
            <w:shd w:val="clear" w:color="auto" w:fill="auto"/>
            <w:noWrap/>
            <w:vAlign w:val="center"/>
          </w:tcPr>
          <w:p w:rsidR="000E2EC7" w:rsidRPr="00563CF9" w:rsidRDefault="000E2EC7" w:rsidP="0045362F">
            <w:pPr>
              <w:keepNext/>
              <w:jc w:val="left"/>
              <w:rPr>
                <w:rFonts w:ascii="Calibri" w:hAnsi="Calibri" w:cs="Calibri"/>
                <w:color w:val="000000"/>
                <w:sz w:val="20"/>
                <w:lang w:val="en-GB"/>
              </w:rPr>
            </w:pPr>
            <w:r w:rsidRPr="00563CF9">
              <w:rPr>
                <w:sz w:val="20"/>
                <w:lang w:val="en-GB" w:bidi="en-GB"/>
              </w:rPr>
              <w:t>BUH</w:t>
            </w:r>
          </w:p>
        </w:tc>
        <w:tc>
          <w:tcPr>
            <w:tcW w:w="1247" w:type="pct"/>
            <w:shd w:val="clear" w:color="auto" w:fill="auto"/>
            <w:noWrap/>
            <w:vAlign w:val="center"/>
          </w:tcPr>
          <w:p w:rsidR="000E2EC7" w:rsidRPr="00563CF9" w:rsidRDefault="000E2EC7" w:rsidP="0045362F">
            <w:pPr>
              <w:keepNext/>
              <w:ind w:right="657"/>
              <w:jc w:val="right"/>
              <w:rPr>
                <w:rFonts w:ascii="Calibri" w:hAnsi="Calibri" w:cs="Calibri"/>
                <w:color w:val="000000"/>
                <w:sz w:val="20"/>
                <w:lang w:val="en-GB"/>
              </w:rPr>
            </w:pPr>
            <w:r w:rsidRPr="00563CF9">
              <w:rPr>
                <w:sz w:val="20"/>
                <w:lang w:val="en-GB" w:bidi="en-GB"/>
              </w:rPr>
              <w:t>64,719.09</w:t>
            </w:r>
          </w:p>
        </w:tc>
        <w:tc>
          <w:tcPr>
            <w:tcW w:w="1247" w:type="pct"/>
            <w:shd w:val="clear" w:color="auto" w:fill="auto"/>
            <w:noWrap/>
            <w:vAlign w:val="center"/>
          </w:tcPr>
          <w:p w:rsidR="000E2EC7" w:rsidRPr="00563CF9" w:rsidRDefault="000E2EC7" w:rsidP="0045362F">
            <w:pPr>
              <w:keepNext/>
              <w:ind w:right="657"/>
              <w:jc w:val="right"/>
              <w:rPr>
                <w:rFonts w:ascii="Calibri" w:hAnsi="Calibri" w:cs="Calibri"/>
                <w:color w:val="000000"/>
                <w:sz w:val="20"/>
                <w:lang w:val="en-GB"/>
              </w:rPr>
            </w:pPr>
            <w:r w:rsidRPr="00563CF9">
              <w:rPr>
                <w:sz w:val="20"/>
                <w:lang w:val="en-GB" w:bidi="en-GB"/>
              </w:rPr>
              <w:t>72,917.05</w:t>
            </w:r>
          </w:p>
        </w:tc>
        <w:tc>
          <w:tcPr>
            <w:tcW w:w="1246" w:type="pct"/>
            <w:shd w:val="clear" w:color="auto" w:fill="auto"/>
            <w:noWrap/>
            <w:vAlign w:val="center"/>
          </w:tcPr>
          <w:p w:rsidR="000E2EC7" w:rsidRPr="00563CF9" w:rsidRDefault="000E2EC7" w:rsidP="0045362F">
            <w:pPr>
              <w:keepNext/>
              <w:ind w:right="657"/>
              <w:jc w:val="right"/>
              <w:rPr>
                <w:rFonts w:ascii="Calibri" w:hAnsi="Calibri" w:cs="Calibri"/>
                <w:color w:val="000000"/>
                <w:sz w:val="20"/>
                <w:lang w:val="en-GB"/>
              </w:rPr>
            </w:pPr>
            <w:r w:rsidRPr="00563CF9">
              <w:rPr>
                <w:sz w:val="20"/>
                <w:lang w:val="en-GB" w:bidi="en-GB"/>
              </w:rPr>
              <w:t>80,013.03</w:t>
            </w:r>
          </w:p>
        </w:tc>
      </w:tr>
      <w:tr w:rsidR="000E2EC7" w:rsidRPr="00563CF9" w:rsidTr="0045362F">
        <w:trPr>
          <w:trHeight w:val="227"/>
        </w:trPr>
        <w:tc>
          <w:tcPr>
            <w:tcW w:w="1260" w:type="pct"/>
            <w:shd w:val="clear" w:color="auto" w:fill="auto"/>
            <w:noWrap/>
            <w:vAlign w:val="center"/>
          </w:tcPr>
          <w:p w:rsidR="000E2EC7" w:rsidRPr="00563CF9" w:rsidRDefault="000E2EC7" w:rsidP="0045362F">
            <w:pPr>
              <w:keepNext/>
              <w:jc w:val="left"/>
              <w:rPr>
                <w:rFonts w:ascii="Calibri" w:hAnsi="Calibri" w:cs="Calibri"/>
                <w:color w:val="000000"/>
                <w:sz w:val="20"/>
                <w:lang w:val="en-GB"/>
              </w:rPr>
            </w:pPr>
            <w:r w:rsidRPr="00563CF9">
              <w:rPr>
                <w:sz w:val="20"/>
                <w:lang w:val="en-GB" w:bidi="en-GB"/>
              </w:rPr>
              <w:t xml:space="preserve">MUH </w:t>
            </w:r>
          </w:p>
        </w:tc>
        <w:tc>
          <w:tcPr>
            <w:tcW w:w="1247" w:type="pct"/>
            <w:shd w:val="clear" w:color="auto" w:fill="auto"/>
            <w:noWrap/>
            <w:vAlign w:val="center"/>
          </w:tcPr>
          <w:p w:rsidR="000E2EC7" w:rsidRPr="00563CF9" w:rsidRDefault="008C5461" w:rsidP="0045362F">
            <w:pPr>
              <w:keepNext/>
              <w:ind w:right="657"/>
              <w:jc w:val="right"/>
              <w:rPr>
                <w:rFonts w:ascii="Calibri" w:hAnsi="Calibri" w:cs="Calibri"/>
                <w:color w:val="000000"/>
                <w:sz w:val="20"/>
                <w:lang w:val="en-GB"/>
              </w:rPr>
            </w:pPr>
            <w:r w:rsidRPr="00563CF9">
              <w:rPr>
                <w:sz w:val="20"/>
                <w:lang w:val="en-GB" w:bidi="en-GB"/>
              </w:rPr>
              <w:t>90,612.55</w:t>
            </w:r>
          </w:p>
        </w:tc>
        <w:tc>
          <w:tcPr>
            <w:tcW w:w="1247" w:type="pct"/>
            <w:shd w:val="clear" w:color="auto" w:fill="auto"/>
            <w:noWrap/>
            <w:vAlign w:val="center"/>
          </w:tcPr>
          <w:p w:rsidR="000E2EC7" w:rsidRPr="00563CF9" w:rsidRDefault="008C5461" w:rsidP="0045362F">
            <w:pPr>
              <w:keepNext/>
              <w:ind w:right="657"/>
              <w:jc w:val="right"/>
              <w:rPr>
                <w:rFonts w:ascii="Calibri" w:hAnsi="Calibri" w:cs="Calibri"/>
                <w:color w:val="000000"/>
                <w:sz w:val="20"/>
                <w:lang w:val="en-GB"/>
              </w:rPr>
            </w:pPr>
            <w:r w:rsidRPr="00563CF9">
              <w:rPr>
                <w:sz w:val="20"/>
                <w:lang w:val="en-GB" w:bidi="en-GB"/>
              </w:rPr>
              <w:t>96,311.39</w:t>
            </w:r>
          </w:p>
        </w:tc>
        <w:tc>
          <w:tcPr>
            <w:tcW w:w="1246" w:type="pct"/>
            <w:shd w:val="clear" w:color="auto" w:fill="auto"/>
            <w:noWrap/>
            <w:vAlign w:val="center"/>
          </w:tcPr>
          <w:p w:rsidR="000E2EC7" w:rsidRPr="00563CF9" w:rsidRDefault="008C5461" w:rsidP="0045362F">
            <w:pPr>
              <w:keepNext/>
              <w:ind w:right="657"/>
              <w:jc w:val="right"/>
              <w:rPr>
                <w:rFonts w:ascii="Calibri" w:hAnsi="Calibri" w:cs="Calibri"/>
                <w:color w:val="000000"/>
                <w:sz w:val="20"/>
                <w:lang w:val="en-GB"/>
              </w:rPr>
            </w:pPr>
            <w:r w:rsidRPr="00563CF9">
              <w:rPr>
                <w:sz w:val="20"/>
                <w:lang w:val="en-GB" w:bidi="en-GB"/>
              </w:rPr>
              <w:t>104,636.06</w:t>
            </w:r>
          </w:p>
        </w:tc>
      </w:tr>
      <w:tr w:rsidR="000E2EC7" w:rsidRPr="00563CF9" w:rsidTr="0045362F">
        <w:trPr>
          <w:trHeight w:val="227"/>
        </w:trPr>
        <w:tc>
          <w:tcPr>
            <w:tcW w:w="1260" w:type="pct"/>
            <w:shd w:val="clear" w:color="auto" w:fill="auto"/>
            <w:noWrap/>
            <w:vAlign w:val="center"/>
          </w:tcPr>
          <w:p w:rsidR="000E2EC7" w:rsidRPr="00563CF9" w:rsidRDefault="000E2EC7" w:rsidP="0045362F">
            <w:pPr>
              <w:keepNext/>
              <w:jc w:val="left"/>
              <w:rPr>
                <w:rFonts w:ascii="Calibri" w:hAnsi="Calibri" w:cs="Calibri"/>
                <w:color w:val="000000"/>
                <w:sz w:val="20"/>
                <w:lang w:val="en-GB"/>
              </w:rPr>
            </w:pPr>
            <w:r w:rsidRPr="00563CF9">
              <w:rPr>
                <w:sz w:val="20"/>
                <w:lang w:val="en-GB" w:bidi="en-GB"/>
              </w:rPr>
              <w:t xml:space="preserve">CMH </w:t>
            </w:r>
          </w:p>
        </w:tc>
        <w:tc>
          <w:tcPr>
            <w:tcW w:w="1247" w:type="pct"/>
            <w:shd w:val="clear" w:color="auto" w:fill="auto"/>
            <w:noWrap/>
            <w:vAlign w:val="center"/>
          </w:tcPr>
          <w:p w:rsidR="000E2EC7" w:rsidRPr="00563CF9" w:rsidRDefault="008C5461" w:rsidP="0045362F">
            <w:pPr>
              <w:keepNext/>
              <w:ind w:right="657"/>
              <w:jc w:val="right"/>
              <w:rPr>
                <w:rFonts w:ascii="Calibri" w:hAnsi="Calibri" w:cs="Calibri"/>
                <w:color w:val="000000"/>
                <w:sz w:val="20"/>
                <w:lang w:val="en-GB"/>
              </w:rPr>
            </w:pPr>
            <w:r w:rsidRPr="00563CF9">
              <w:rPr>
                <w:sz w:val="20"/>
                <w:lang w:val="en-GB" w:bidi="en-GB"/>
              </w:rPr>
              <w:t>36,705.84</w:t>
            </w:r>
          </w:p>
        </w:tc>
        <w:tc>
          <w:tcPr>
            <w:tcW w:w="1247" w:type="pct"/>
            <w:shd w:val="clear" w:color="auto" w:fill="auto"/>
            <w:noWrap/>
            <w:vAlign w:val="center"/>
          </w:tcPr>
          <w:p w:rsidR="000E2EC7" w:rsidRPr="00563CF9" w:rsidRDefault="008C5461" w:rsidP="0045362F">
            <w:pPr>
              <w:keepNext/>
              <w:ind w:right="657"/>
              <w:jc w:val="right"/>
              <w:rPr>
                <w:rFonts w:ascii="Calibri" w:hAnsi="Calibri" w:cs="Calibri"/>
                <w:color w:val="000000"/>
                <w:sz w:val="20"/>
                <w:lang w:val="en-GB"/>
              </w:rPr>
            </w:pPr>
            <w:r w:rsidRPr="00563CF9">
              <w:rPr>
                <w:sz w:val="20"/>
                <w:lang w:val="en-GB" w:bidi="en-GB"/>
              </w:rPr>
              <w:t>41,445.98</w:t>
            </w:r>
          </w:p>
        </w:tc>
        <w:tc>
          <w:tcPr>
            <w:tcW w:w="1246" w:type="pct"/>
            <w:shd w:val="clear" w:color="auto" w:fill="auto"/>
            <w:noWrap/>
            <w:vAlign w:val="center"/>
          </w:tcPr>
          <w:p w:rsidR="000E2EC7" w:rsidRPr="00563CF9" w:rsidRDefault="008C5461" w:rsidP="0045362F">
            <w:pPr>
              <w:keepNext/>
              <w:ind w:right="657"/>
              <w:jc w:val="right"/>
              <w:rPr>
                <w:rFonts w:ascii="Calibri" w:hAnsi="Calibri" w:cs="Calibri"/>
                <w:color w:val="000000"/>
                <w:sz w:val="20"/>
                <w:lang w:val="en-GB"/>
              </w:rPr>
            </w:pPr>
            <w:r w:rsidRPr="00563CF9">
              <w:rPr>
                <w:sz w:val="20"/>
                <w:lang w:val="en-GB" w:bidi="en-GB"/>
              </w:rPr>
              <w:t>38,001.07</w:t>
            </w:r>
          </w:p>
        </w:tc>
      </w:tr>
    </w:tbl>
    <w:p w:rsidR="00B72983" w:rsidRPr="00563CF9" w:rsidRDefault="000E2EC7" w:rsidP="008C6807">
      <w:pPr>
        <w:pStyle w:val="Zdroj"/>
        <w:spacing w:before="40"/>
        <w:ind w:left="567" w:hanging="567"/>
        <w:rPr>
          <w:i w:val="0"/>
          <w:noProof/>
          <w:lang w:val="en-GB"/>
        </w:rPr>
      </w:pPr>
      <w:r w:rsidRPr="00563CF9">
        <w:rPr>
          <w:b/>
          <w:i w:val="0"/>
          <w:noProof/>
          <w:lang w:val="en-GB" w:bidi="en-GB"/>
        </w:rPr>
        <w:t xml:space="preserve">Source: </w:t>
      </w:r>
      <w:r w:rsidRPr="00563CF9">
        <w:rPr>
          <w:b/>
          <w:i w:val="0"/>
          <w:noProof/>
          <w:lang w:val="en-GB" w:bidi="en-GB"/>
        </w:rPr>
        <w:tab/>
      </w:r>
      <w:r w:rsidR="00B111DD" w:rsidRPr="00563CF9">
        <w:rPr>
          <w:i w:val="0"/>
          <w:noProof/>
          <w:lang w:val="en-GB" w:bidi="en-GB"/>
        </w:rPr>
        <w:t>prepared by the SAO on the basis of the documents of the university hospitals, the main ledgers of the individual university hospitals as of 31 December 2014, 31 December 2015 and 31 December 2016.</w:t>
      </w:r>
    </w:p>
    <w:p w:rsidR="00601A08" w:rsidRPr="00563CF9" w:rsidRDefault="00925367" w:rsidP="008C6807">
      <w:pPr>
        <w:spacing w:before="120"/>
        <w:rPr>
          <w:rFonts w:cstheme="minorHAnsi"/>
          <w:noProof/>
          <w:color w:val="000000" w:themeColor="text1"/>
          <w:szCs w:val="24"/>
          <w:lang w:val="en-GB"/>
        </w:rPr>
      </w:pPr>
      <w:r w:rsidRPr="00563CF9">
        <w:rPr>
          <w:noProof/>
          <w:lang w:val="en-GB" w:bidi="en-GB"/>
        </w:rPr>
        <w:t>On an audit sample of medical equipment with an acquisition cost exceeding CZK 10 million, the SAO examined at each of the university hospitals the use of three devices</w:t>
      </w:r>
      <w:r w:rsidR="00811E6B" w:rsidRPr="00563CF9">
        <w:rPr>
          <w:rStyle w:val="Znakapoznpodarou"/>
          <w:noProof/>
          <w:lang w:val="en-GB" w:bidi="en-GB"/>
        </w:rPr>
        <w:footnoteReference w:id="49"/>
      </w:r>
      <w:r w:rsidRPr="00563CF9">
        <w:rPr>
          <w:noProof/>
          <w:lang w:val="en-GB" w:bidi="en-GB"/>
        </w:rPr>
        <w:t xml:space="preserve"> and the related repair and servicing costs. Within the operating time, the BUH used the machines at 82.41 % to 97.02 %. Within the actual working time, counting the unplanned and planned interruption of the MUH clinical operation, the audited devices were utilised at 92.4 % to 97.4 %. The BUH and the MUH used the audited instruments expediently. The CMH did not monitor the usability of the audited devices, this obligation is not stipulated by any legal regulation. </w:t>
      </w:r>
    </w:p>
    <w:p w:rsidR="008C6AEC" w:rsidRPr="00563CF9" w:rsidRDefault="000C1D64" w:rsidP="00757BF0">
      <w:pPr>
        <w:spacing w:before="240" w:after="120"/>
        <w:rPr>
          <w:rFonts w:cstheme="minorHAnsi"/>
          <w:b/>
          <w:noProof/>
          <w:color w:val="000000" w:themeColor="text1"/>
          <w:szCs w:val="24"/>
          <w:lang w:val="en-GB"/>
        </w:rPr>
      </w:pPr>
      <w:r w:rsidRPr="00563CF9">
        <w:rPr>
          <w:b/>
          <w:noProof/>
          <w:lang w:val="en-GB" w:bidi="en-GB"/>
        </w:rPr>
        <w:t>2. Ministries</w:t>
      </w:r>
    </w:p>
    <w:p w:rsidR="008C6AEC" w:rsidRPr="00563CF9" w:rsidRDefault="000C1D64" w:rsidP="00757BF0">
      <w:pPr>
        <w:spacing w:before="240" w:after="120"/>
        <w:rPr>
          <w:rFonts w:cstheme="minorHAnsi"/>
          <w:b/>
          <w:noProof/>
          <w:color w:val="000000" w:themeColor="text1"/>
          <w:szCs w:val="24"/>
          <w:lang w:val="en-GB"/>
        </w:rPr>
      </w:pPr>
      <w:r w:rsidRPr="00563CF9">
        <w:rPr>
          <w:b/>
          <w:noProof/>
          <w:lang w:val="en-GB" w:bidi="en-GB"/>
        </w:rPr>
        <w:t>2.1 Performance of founders’ functions and inspection</w:t>
      </w:r>
    </w:p>
    <w:p w:rsidR="008C6AEC" w:rsidRPr="00563CF9" w:rsidRDefault="008C6AEC" w:rsidP="008C6807">
      <w:pPr>
        <w:spacing w:before="120"/>
        <w:rPr>
          <w:rFonts w:cstheme="minorHAnsi"/>
          <w:noProof/>
          <w:color w:val="000000" w:themeColor="text1"/>
          <w:szCs w:val="24"/>
          <w:lang w:val="en-GB"/>
        </w:rPr>
      </w:pPr>
      <w:r w:rsidRPr="00563CF9">
        <w:rPr>
          <w:noProof/>
          <w:lang w:val="en-GB" w:bidi="en-GB"/>
        </w:rPr>
        <w:t>The MoH and the MoD as founders of public-benefit corporations issued the deeds of foundations of the audited hospitals in accordance with the provisions of Section 54(2) of Act No. 219/2000 Coll. and in accordance with the provisions of Section 111(1) of Act No. 372/2011 Coll.</w:t>
      </w:r>
    </w:p>
    <w:p w:rsidR="008C6AEC" w:rsidRPr="00563CF9" w:rsidRDefault="008C6AEC" w:rsidP="008C6807">
      <w:pPr>
        <w:spacing w:before="120"/>
        <w:rPr>
          <w:rFonts w:cstheme="minorHAnsi"/>
          <w:noProof/>
          <w:color w:val="000000" w:themeColor="text1"/>
          <w:szCs w:val="24"/>
          <w:lang w:val="en-GB"/>
        </w:rPr>
      </w:pPr>
      <w:r w:rsidRPr="00563CF9">
        <w:rPr>
          <w:noProof/>
          <w:lang w:val="en-GB" w:bidi="en-GB"/>
        </w:rPr>
        <w:t>As of 31 May 2016, Annex 4 to the deeds of foundation of the BUH and the MUH constitutes an act of delegation pursuant to the decision on the application of Article 106(2) of the</w:t>
      </w:r>
      <w:r w:rsidRPr="00563CF9">
        <w:rPr>
          <w:i/>
          <w:noProof/>
          <w:lang w:val="en-GB" w:bidi="en-GB"/>
        </w:rPr>
        <w:t xml:space="preserve"> Treaty on the Functioning of the European Union</w:t>
      </w:r>
      <w:r w:rsidRPr="00563CF9">
        <w:rPr>
          <w:noProof/>
          <w:lang w:val="en-GB" w:bidi="en-GB"/>
        </w:rPr>
        <w:t xml:space="preserve"> to state aid in the form of public service compensation granted to certain undertakings entrusted with the provision of services of general economic interest, as published in the</w:t>
      </w:r>
      <w:r w:rsidRPr="00563CF9">
        <w:rPr>
          <w:i/>
          <w:noProof/>
          <w:lang w:val="en-GB" w:bidi="en-GB"/>
        </w:rPr>
        <w:t xml:space="preserve"> Official Journal of the EU </w:t>
      </w:r>
      <w:r w:rsidRPr="00563CF9">
        <w:rPr>
          <w:noProof/>
          <w:lang w:val="en-GB" w:bidi="en-GB"/>
        </w:rPr>
        <w:t>on 11 January 2012, by which the MoH authorises the BUH and the MUH to provide services of general economic interest.</w:t>
      </w:r>
    </w:p>
    <w:p w:rsidR="008C6AEC" w:rsidRPr="00563CF9" w:rsidRDefault="008C6AEC" w:rsidP="008C6807">
      <w:pPr>
        <w:spacing w:before="120"/>
        <w:rPr>
          <w:rFonts w:cstheme="minorHAnsi"/>
          <w:noProof/>
          <w:color w:val="000000" w:themeColor="text1"/>
          <w:szCs w:val="24"/>
          <w:lang w:val="en-GB"/>
        </w:rPr>
      </w:pPr>
      <w:r w:rsidRPr="00563CF9">
        <w:rPr>
          <w:noProof/>
          <w:lang w:val="en-GB" w:bidi="en-GB"/>
        </w:rPr>
        <w:t xml:space="preserve">The statutes of the university hospitals included a more detailed definition of the organisation’s tasks. </w:t>
      </w:r>
    </w:p>
    <w:p w:rsidR="008C6AEC" w:rsidRPr="00563CF9" w:rsidRDefault="008C6AEC" w:rsidP="008C6807">
      <w:pPr>
        <w:spacing w:before="120"/>
        <w:rPr>
          <w:rFonts w:cstheme="minorHAnsi"/>
          <w:noProof/>
          <w:color w:val="000000" w:themeColor="text1"/>
          <w:szCs w:val="24"/>
          <w:lang w:val="en-GB"/>
        </w:rPr>
      </w:pPr>
      <w:r w:rsidRPr="00563CF9">
        <w:rPr>
          <w:noProof/>
          <w:lang w:val="en-GB" w:bidi="en-GB"/>
        </w:rPr>
        <w:t xml:space="preserve">In the period under review, the valid and effective statute of the Central Military Hospital – Military University Hospital Prague was ref. No. 572-2/2012-2697 of 13 December 2012. On 7 December 2015, the Director of the CMH sent to the MoD a proposal to change the statute of the CMH due to the establishment of a clinic. </w:t>
      </w:r>
      <w:r w:rsidRPr="00563CF9">
        <w:rPr>
          <w:b/>
          <w:noProof/>
          <w:lang w:val="en-GB" w:bidi="en-GB"/>
        </w:rPr>
        <w:t xml:space="preserve">From 1 January 2016 to 19 September 2017, the MoD did not approve the updated statute of the CMH public-benefit corporation, the text of which would have responded to the new facts, although it had repeatedly received proposals to change the statute. </w:t>
      </w:r>
    </w:p>
    <w:p w:rsidR="008C6AEC" w:rsidRPr="00563CF9" w:rsidRDefault="008C6AEC" w:rsidP="008C6807">
      <w:pPr>
        <w:spacing w:before="120"/>
        <w:rPr>
          <w:rFonts w:cstheme="minorHAnsi"/>
          <w:szCs w:val="24"/>
          <w:lang w:val="en-GB"/>
        </w:rPr>
      </w:pPr>
      <w:r w:rsidRPr="00563CF9">
        <w:rPr>
          <w:b/>
          <w:lang w:val="en-GB" w:bidi="en-GB"/>
        </w:rPr>
        <w:t>The MoH did not have an elaborated concept of development and solution of fundamental issues for the providers of health services in direct management in line with Act No. 2/1969 Coll.</w:t>
      </w:r>
      <w:r w:rsidRPr="00563CF9">
        <w:rPr>
          <w:rStyle w:val="Znakapoznpodarou"/>
          <w:b/>
          <w:lang w:val="en-GB" w:bidi="en-GB"/>
        </w:rPr>
        <w:footnoteReference w:id="50"/>
      </w:r>
      <w:r w:rsidRPr="00563CF9">
        <w:rPr>
          <w:b/>
          <w:lang w:val="en-GB" w:bidi="en-GB"/>
        </w:rPr>
        <w:t>.</w:t>
      </w:r>
      <w:r w:rsidRPr="00563CF9">
        <w:rPr>
          <w:lang w:val="en-GB" w:bidi="en-GB"/>
        </w:rPr>
        <w:t xml:space="preserve"> The management of directly managed organisations takes place in accordance with the rules of organisation of the MoH and on the basis of tasks assigned to the department of directly managed organisations by the Deputy Minister of Economy and Directly Managed Organisations, the Minister or the Management Board. </w:t>
      </w:r>
    </w:p>
    <w:p w:rsidR="008C6AEC" w:rsidRPr="00563CF9" w:rsidRDefault="008C6AEC" w:rsidP="008C6807">
      <w:pPr>
        <w:spacing w:before="120"/>
        <w:rPr>
          <w:rFonts w:cstheme="minorHAnsi"/>
          <w:b/>
          <w:noProof/>
          <w:color w:val="000000" w:themeColor="text1"/>
          <w:szCs w:val="24"/>
          <w:lang w:val="en-GB"/>
        </w:rPr>
      </w:pPr>
      <w:r w:rsidRPr="00563CF9">
        <w:rPr>
          <w:b/>
          <w:noProof/>
          <w:lang w:val="en-GB" w:bidi="en-GB"/>
        </w:rPr>
        <w:t>The MoH did not act as the founder of the university hospitals in accordance with Act No. 218/2000 Coll.</w:t>
      </w:r>
      <w:r w:rsidR="00F3272E" w:rsidRPr="00563CF9">
        <w:rPr>
          <w:rStyle w:val="Znakapoznpodarou"/>
          <w:b/>
          <w:noProof/>
          <w:lang w:val="en-GB" w:bidi="en-GB"/>
        </w:rPr>
        <w:footnoteReference w:id="51"/>
      </w:r>
      <w:r w:rsidRPr="00563CF9">
        <w:rPr>
          <w:b/>
          <w:noProof/>
          <w:lang w:val="en-GB" w:bidi="en-GB"/>
        </w:rPr>
        <w:t>, as it did not monitor and evaluate the economy, effectiveness and efficiency of spending at the university hospitals in 2015 and 2016.</w:t>
      </w:r>
    </w:p>
    <w:p w:rsidR="008C6AEC" w:rsidRPr="00563CF9" w:rsidRDefault="008C6AEC" w:rsidP="008C6807">
      <w:pPr>
        <w:spacing w:before="120"/>
        <w:rPr>
          <w:rFonts w:cstheme="minorHAnsi"/>
          <w:noProof/>
          <w:color w:val="000000" w:themeColor="text1"/>
          <w:szCs w:val="24"/>
          <w:lang w:val="en-GB"/>
        </w:rPr>
      </w:pPr>
      <w:r w:rsidRPr="00563CF9">
        <w:rPr>
          <w:noProof/>
          <w:lang w:val="en-GB" w:bidi="en-GB"/>
        </w:rPr>
        <w:t xml:space="preserve">The </w:t>
      </w:r>
      <w:r w:rsidR="009E4315">
        <w:rPr>
          <w:noProof/>
          <w:lang w:val="en-GB" w:bidi="en-GB"/>
        </w:rPr>
        <w:t xml:space="preserve">inspections </w:t>
      </w:r>
      <w:r w:rsidRPr="00563CF9">
        <w:rPr>
          <w:noProof/>
          <w:lang w:val="en-GB" w:bidi="en-GB"/>
        </w:rPr>
        <w:t xml:space="preserve">performed at the CMH carried out at the MoD level were ensured both in terms of internal legislative standards and in the area of ​​planning of inspection activities. </w:t>
      </w:r>
    </w:p>
    <w:p w:rsidR="008C6AEC" w:rsidRPr="00563CF9" w:rsidRDefault="000C1D64" w:rsidP="00757BF0">
      <w:pPr>
        <w:keepNext/>
        <w:spacing w:before="240" w:after="120"/>
        <w:rPr>
          <w:rFonts w:cstheme="minorHAnsi"/>
          <w:b/>
          <w:noProof/>
          <w:color w:val="000000" w:themeColor="text1"/>
          <w:szCs w:val="24"/>
          <w:lang w:val="en-GB"/>
        </w:rPr>
      </w:pPr>
      <w:r w:rsidRPr="00563CF9">
        <w:rPr>
          <w:b/>
          <w:noProof/>
          <w:lang w:val="en-GB" w:bidi="en-GB"/>
        </w:rPr>
        <w:t>2.2 Provision of funds by the founder</w:t>
      </w:r>
    </w:p>
    <w:p w:rsidR="009D50C4" w:rsidRPr="00563CF9" w:rsidRDefault="009D50C4" w:rsidP="00757BF0">
      <w:pPr>
        <w:keepNext/>
        <w:tabs>
          <w:tab w:val="right" w:pos="9072"/>
        </w:tabs>
        <w:spacing w:before="120" w:after="40"/>
        <w:rPr>
          <w:rFonts w:cstheme="minorHAnsi"/>
          <w:b/>
          <w:noProof/>
          <w:color w:val="000000" w:themeColor="text1"/>
          <w:szCs w:val="24"/>
          <w:lang w:val="en-GB"/>
        </w:rPr>
      </w:pPr>
      <w:r w:rsidRPr="00563CF9">
        <w:rPr>
          <w:b/>
          <w:noProof/>
          <w:lang w:val="en-GB" w:bidi="en-GB"/>
        </w:rPr>
        <w:t>Table 15: Funds from founders provided to the university hospitals</w:t>
      </w:r>
      <w:r w:rsidRPr="00563CF9">
        <w:rPr>
          <w:b/>
          <w:noProof/>
          <w:lang w:val="en-GB" w:bidi="en-GB"/>
        </w:rPr>
        <w:tab/>
        <w:t>(in CZK thousands)</w:t>
      </w:r>
    </w:p>
    <w:tbl>
      <w:tblPr>
        <w:tblW w:w="5000" w:type="pct"/>
        <w:tblCellMar>
          <w:left w:w="70" w:type="dxa"/>
          <w:right w:w="70" w:type="dxa"/>
        </w:tblCellMar>
        <w:tblLook w:val="04A0" w:firstRow="1" w:lastRow="0" w:firstColumn="1" w:lastColumn="0" w:noHBand="0" w:noVBand="1"/>
      </w:tblPr>
      <w:tblGrid>
        <w:gridCol w:w="2542"/>
        <w:gridCol w:w="821"/>
        <w:gridCol w:w="2245"/>
        <w:gridCol w:w="1200"/>
        <w:gridCol w:w="1202"/>
        <w:gridCol w:w="1202"/>
      </w:tblGrid>
      <w:tr w:rsidR="00445A25" w:rsidRPr="00563CF9" w:rsidTr="000C1D64">
        <w:trPr>
          <w:trHeight w:val="283"/>
        </w:trPr>
        <w:tc>
          <w:tcPr>
            <w:tcW w:w="2970" w:type="pct"/>
            <w:gridSpan w:val="3"/>
            <w:tcBorders>
              <w:top w:val="single" w:sz="4" w:space="0" w:color="auto"/>
              <w:left w:val="single" w:sz="4" w:space="0" w:color="auto"/>
              <w:bottom w:val="single" w:sz="4" w:space="0" w:color="auto"/>
              <w:right w:val="single" w:sz="4" w:space="0" w:color="000000"/>
            </w:tcBorders>
            <w:shd w:val="clear" w:color="000000" w:fill="E5F1FF"/>
            <w:noWrap/>
            <w:vAlign w:val="center"/>
            <w:hideMark/>
          </w:tcPr>
          <w:p w:rsidR="00445A25" w:rsidRPr="00563CF9" w:rsidRDefault="00445A25" w:rsidP="00757BF0">
            <w:pPr>
              <w:keepNext/>
              <w:jc w:val="center"/>
              <w:rPr>
                <w:rFonts w:ascii="Calibri" w:hAnsi="Calibri" w:cs="Calibri"/>
                <w:color w:val="000000"/>
                <w:sz w:val="20"/>
                <w:lang w:val="en-GB"/>
              </w:rPr>
            </w:pPr>
          </w:p>
        </w:tc>
        <w:tc>
          <w:tcPr>
            <w:tcW w:w="676" w:type="pct"/>
            <w:tcBorders>
              <w:top w:val="single" w:sz="4" w:space="0" w:color="auto"/>
              <w:left w:val="nil"/>
              <w:bottom w:val="single" w:sz="4" w:space="0" w:color="auto"/>
              <w:right w:val="single" w:sz="4" w:space="0" w:color="auto"/>
            </w:tcBorders>
            <w:shd w:val="clear" w:color="000000" w:fill="E5F1FF"/>
            <w:noWrap/>
            <w:vAlign w:val="center"/>
            <w:hideMark/>
          </w:tcPr>
          <w:p w:rsidR="00445A25" w:rsidRPr="00563CF9" w:rsidRDefault="00445A25" w:rsidP="00757BF0">
            <w:pPr>
              <w:keepNext/>
              <w:jc w:val="center"/>
              <w:rPr>
                <w:rFonts w:ascii="Calibri" w:hAnsi="Calibri" w:cs="Calibri"/>
                <w:b/>
                <w:bCs/>
                <w:color w:val="000000"/>
                <w:sz w:val="20"/>
                <w:lang w:val="en-GB"/>
              </w:rPr>
            </w:pPr>
            <w:r w:rsidRPr="00563CF9">
              <w:rPr>
                <w:b/>
                <w:sz w:val="20"/>
                <w:lang w:val="en-GB" w:bidi="en-GB"/>
              </w:rPr>
              <w:t>2014</w:t>
            </w:r>
          </w:p>
        </w:tc>
        <w:tc>
          <w:tcPr>
            <w:tcW w:w="677" w:type="pct"/>
            <w:tcBorders>
              <w:top w:val="single" w:sz="4" w:space="0" w:color="auto"/>
              <w:left w:val="nil"/>
              <w:bottom w:val="single" w:sz="4" w:space="0" w:color="auto"/>
              <w:right w:val="single" w:sz="4" w:space="0" w:color="auto"/>
            </w:tcBorders>
            <w:shd w:val="clear" w:color="000000" w:fill="E5F1FF"/>
            <w:noWrap/>
            <w:vAlign w:val="center"/>
            <w:hideMark/>
          </w:tcPr>
          <w:p w:rsidR="00445A25" w:rsidRPr="00563CF9" w:rsidRDefault="00445A25" w:rsidP="00757BF0">
            <w:pPr>
              <w:keepNext/>
              <w:jc w:val="center"/>
              <w:rPr>
                <w:rFonts w:ascii="Calibri" w:hAnsi="Calibri" w:cs="Calibri"/>
                <w:b/>
                <w:bCs/>
                <w:color w:val="000000"/>
                <w:sz w:val="20"/>
                <w:lang w:val="en-GB"/>
              </w:rPr>
            </w:pPr>
            <w:r w:rsidRPr="00563CF9">
              <w:rPr>
                <w:b/>
                <w:sz w:val="20"/>
                <w:lang w:val="en-GB" w:bidi="en-GB"/>
              </w:rPr>
              <w:t>2015</w:t>
            </w:r>
          </w:p>
        </w:tc>
        <w:tc>
          <w:tcPr>
            <w:tcW w:w="677" w:type="pct"/>
            <w:tcBorders>
              <w:top w:val="single" w:sz="4" w:space="0" w:color="auto"/>
              <w:left w:val="nil"/>
              <w:bottom w:val="single" w:sz="4" w:space="0" w:color="auto"/>
              <w:right w:val="single" w:sz="4" w:space="0" w:color="auto"/>
            </w:tcBorders>
            <w:shd w:val="clear" w:color="000000" w:fill="E5F1FF"/>
            <w:noWrap/>
            <w:vAlign w:val="center"/>
            <w:hideMark/>
          </w:tcPr>
          <w:p w:rsidR="00445A25" w:rsidRPr="00563CF9" w:rsidRDefault="00445A25" w:rsidP="00757BF0">
            <w:pPr>
              <w:keepNext/>
              <w:jc w:val="center"/>
              <w:rPr>
                <w:rFonts w:ascii="Calibri" w:hAnsi="Calibri" w:cs="Calibri"/>
                <w:b/>
                <w:bCs/>
                <w:color w:val="000000"/>
                <w:sz w:val="20"/>
                <w:lang w:val="en-GB"/>
              </w:rPr>
            </w:pPr>
            <w:r w:rsidRPr="00563CF9">
              <w:rPr>
                <w:b/>
                <w:sz w:val="20"/>
                <w:lang w:val="en-GB" w:bidi="en-GB"/>
              </w:rPr>
              <w:t>2016</w:t>
            </w:r>
          </w:p>
        </w:tc>
      </w:tr>
      <w:tr w:rsidR="00445A25" w:rsidRPr="00563CF9" w:rsidTr="000C1D64">
        <w:trPr>
          <w:trHeight w:val="283"/>
        </w:trPr>
        <w:tc>
          <w:tcPr>
            <w:tcW w:w="14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45A25" w:rsidRPr="00563CF9" w:rsidRDefault="00445A25" w:rsidP="00757BF0">
            <w:pPr>
              <w:keepNext/>
              <w:jc w:val="left"/>
              <w:rPr>
                <w:rFonts w:ascii="Calibri" w:hAnsi="Calibri" w:cs="Calibri"/>
                <w:b/>
                <w:bCs/>
                <w:color w:val="000000"/>
                <w:sz w:val="20"/>
                <w:lang w:val="en-GB"/>
              </w:rPr>
            </w:pPr>
            <w:r w:rsidRPr="00563CF9">
              <w:rPr>
                <w:b/>
                <w:sz w:val="20"/>
                <w:lang w:val="en-GB" w:bidi="en-GB"/>
              </w:rPr>
              <w:t>Ministry of Health</w:t>
            </w: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45A25" w:rsidRPr="00563CF9" w:rsidRDefault="00445A25" w:rsidP="00757BF0">
            <w:pPr>
              <w:keepNext/>
              <w:jc w:val="left"/>
              <w:rPr>
                <w:rFonts w:ascii="Calibri" w:hAnsi="Calibri" w:cs="Calibri"/>
                <w:b/>
                <w:bCs/>
                <w:color w:val="000000"/>
                <w:sz w:val="20"/>
                <w:lang w:val="en-GB"/>
              </w:rPr>
            </w:pPr>
            <w:r w:rsidRPr="00563CF9">
              <w:rPr>
                <w:b/>
                <w:sz w:val="20"/>
                <w:lang w:val="en-GB" w:bidi="en-GB"/>
              </w:rPr>
              <w:t>BUH</w:t>
            </w:r>
          </w:p>
        </w:tc>
        <w:tc>
          <w:tcPr>
            <w:tcW w:w="1095" w:type="pct"/>
            <w:tcBorders>
              <w:top w:val="nil"/>
              <w:left w:val="nil"/>
              <w:bottom w:val="single" w:sz="4" w:space="0" w:color="auto"/>
              <w:right w:val="single" w:sz="4" w:space="0" w:color="auto"/>
            </w:tcBorders>
            <w:shd w:val="clear" w:color="auto" w:fill="auto"/>
            <w:noWrap/>
            <w:vAlign w:val="center"/>
            <w:hideMark/>
          </w:tcPr>
          <w:p w:rsidR="00445A25" w:rsidRPr="00563CF9" w:rsidRDefault="00445A25" w:rsidP="00757BF0">
            <w:pPr>
              <w:keepNext/>
              <w:jc w:val="left"/>
              <w:rPr>
                <w:rFonts w:ascii="Calibri" w:hAnsi="Calibri" w:cs="Calibri"/>
                <w:color w:val="000000"/>
                <w:sz w:val="20"/>
                <w:lang w:val="en-GB"/>
              </w:rPr>
            </w:pPr>
            <w:r w:rsidRPr="00563CF9">
              <w:rPr>
                <w:sz w:val="20"/>
                <w:lang w:val="en-GB" w:bidi="en-GB"/>
              </w:rPr>
              <w:t>Operation allowance</w:t>
            </w:r>
          </w:p>
        </w:tc>
        <w:tc>
          <w:tcPr>
            <w:tcW w:w="67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45A25" w:rsidRPr="00563CF9" w:rsidRDefault="00445A25" w:rsidP="00757BF0">
            <w:pPr>
              <w:keepNext/>
              <w:ind w:right="57"/>
              <w:jc w:val="right"/>
              <w:rPr>
                <w:rFonts w:ascii="Calibri" w:hAnsi="Calibri" w:cs="Calibri"/>
                <w:color w:val="000000"/>
                <w:sz w:val="20"/>
                <w:lang w:val="en-GB"/>
              </w:rPr>
            </w:pPr>
            <w:r w:rsidRPr="00563CF9">
              <w:rPr>
                <w:sz w:val="20"/>
                <w:lang w:val="en-GB" w:bidi="en-GB"/>
              </w:rPr>
              <w:t>53,898.61</w:t>
            </w:r>
          </w:p>
        </w:tc>
        <w:tc>
          <w:tcPr>
            <w:tcW w:w="677" w:type="pct"/>
            <w:tcBorders>
              <w:top w:val="nil"/>
              <w:left w:val="nil"/>
              <w:bottom w:val="single" w:sz="4" w:space="0" w:color="auto"/>
              <w:right w:val="single" w:sz="4" w:space="0" w:color="auto"/>
            </w:tcBorders>
            <w:shd w:val="clear" w:color="auto" w:fill="auto"/>
            <w:noWrap/>
            <w:vAlign w:val="center"/>
            <w:hideMark/>
          </w:tcPr>
          <w:p w:rsidR="00445A25" w:rsidRPr="00563CF9" w:rsidRDefault="00445A25" w:rsidP="00757BF0">
            <w:pPr>
              <w:keepNext/>
              <w:ind w:right="57"/>
              <w:jc w:val="right"/>
              <w:rPr>
                <w:rFonts w:ascii="Calibri" w:hAnsi="Calibri" w:cs="Calibri"/>
                <w:color w:val="000000"/>
                <w:sz w:val="20"/>
                <w:lang w:val="en-GB"/>
              </w:rPr>
            </w:pPr>
            <w:r w:rsidRPr="00563CF9">
              <w:rPr>
                <w:sz w:val="20"/>
                <w:lang w:val="en-GB" w:bidi="en-GB"/>
              </w:rPr>
              <w:t>0.00</w:t>
            </w:r>
          </w:p>
        </w:tc>
        <w:tc>
          <w:tcPr>
            <w:tcW w:w="677" w:type="pct"/>
            <w:tcBorders>
              <w:top w:val="nil"/>
              <w:left w:val="nil"/>
              <w:bottom w:val="single" w:sz="4" w:space="0" w:color="auto"/>
              <w:right w:val="single" w:sz="4" w:space="0" w:color="auto"/>
            </w:tcBorders>
            <w:shd w:val="clear" w:color="auto" w:fill="auto"/>
            <w:noWrap/>
            <w:vAlign w:val="center"/>
            <w:hideMark/>
          </w:tcPr>
          <w:p w:rsidR="00445A25" w:rsidRPr="00563CF9" w:rsidRDefault="00445A25" w:rsidP="00757BF0">
            <w:pPr>
              <w:keepNext/>
              <w:ind w:right="57"/>
              <w:jc w:val="right"/>
              <w:rPr>
                <w:rFonts w:ascii="Calibri" w:hAnsi="Calibri" w:cs="Calibri"/>
                <w:color w:val="000000"/>
                <w:sz w:val="20"/>
                <w:lang w:val="en-GB"/>
              </w:rPr>
            </w:pPr>
            <w:r w:rsidRPr="00563CF9">
              <w:rPr>
                <w:sz w:val="20"/>
                <w:lang w:val="en-GB" w:bidi="en-GB"/>
              </w:rPr>
              <w:t>0.00</w:t>
            </w:r>
          </w:p>
        </w:tc>
      </w:tr>
      <w:tr w:rsidR="00445A25" w:rsidRPr="00563CF9" w:rsidTr="000C1D64">
        <w:trPr>
          <w:trHeight w:val="283"/>
        </w:trPr>
        <w:tc>
          <w:tcPr>
            <w:tcW w:w="1404" w:type="pct"/>
            <w:vMerge/>
            <w:tcBorders>
              <w:top w:val="nil"/>
              <w:left w:val="single" w:sz="4" w:space="0" w:color="auto"/>
              <w:bottom w:val="single" w:sz="4" w:space="0" w:color="auto"/>
              <w:right w:val="single" w:sz="4" w:space="0" w:color="auto"/>
            </w:tcBorders>
            <w:shd w:val="clear" w:color="auto" w:fill="auto"/>
            <w:vAlign w:val="center"/>
            <w:hideMark/>
          </w:tcPr>
          <w:p w:rsidR="00445A25" w:rsidRPr="00563CF9" w:rsidRDefault="00445A25" w:rsidP="00757BF0">
            <w:pPr>
              <w:keepNext/>
              <w:jc w:val="left"/>
              <w:rPr>
                <w:rFonts w:ascii="Calibri" w:hAnsi="Calibri" w:cs="Calibri"/>
                <w:b/>
                <w:bCs/>
                <w:color w:val="000000"/>
                <w:sz w:val="20"/>
                <w:lang w:val="en-GB"/>
              </w:rPr>
            </w:pPr>
          </w:p>
        </w:tc>
        <w:tc>
          <w:tcPr>
            <w:tcW w:w="470" w:type="pct"/>
            <w:vMerge/>
            <w:tcBorders>
              <w:top w:val="nil"/>
              <w:left w:val="single" w:sz="4" w:space="0" w:color="auto"/>
              <w:bottom w:val="single" w:sz="4" w:space="0" w:color="auto"/>
              <w:right w:val="single" w:sz="4" w:space="0" w:color="auto"/>
            </w:tcBorders>
            <w:shd w:val="clear" w:color="auto" w:fill="auto"/>
            <w:vAlign w:val="center"/>
            <w:hideMark/>
          </w:tcPr>
          <w:p w:rsidR="00445A25" w:rsidRPr="00563CF9" w:rsidRDefault="00445A25" w:rsidP="00757BF0">
            <w:pPr>
              <w:keepNext/>
              <w:jc w:val="left"/>
              <w:rPr>
                <w:rFonts w:ascii="Calibri" w:hAnsi="Calibri" w:cs="Calibri"/>
                <w:b/>
                <w:bCs/>
                <w:color w:val="000000"/>
                <w:sz w:val="20"/>
                <w:lang w:val="en-GB"/>
              </w:rPr>
            </w:pPr>
          </w:p>
        </w:tc>
        <w:tc>
          <w:tcPr>
            <w:tcW w:w="1095" w:type="pct"/>
            <w:tcBorders>
              <w:top w:val="nil"/>
              <w:left w:val="nil"/>
              <w:bottom w:val="single" w:sz="4" w:space="0" w:color="auto"/>
              <w:right w:val="single" w:sz="4" w:space="0" w:color="auto"/>
            </w:tcBorders>
            <w:shd w:val="clear" w:color="auto" w:fill="auto"/>
            <w:noWrap/>
            <w:vAlign w:val="center"/>
            <w:hideMark/>
          </w:tcPr>
          <w:p w:rsidR="00445A25" w:rsidRPr="00563CF9" w:rsidRDefault="00445A25" w:rsidP="00757BF0">
            <w:pPr>
              <w:keepNext/>
              <w:jc w:val="left"/>
              <w:rPr>
                <w:rFonts w:ascii="Calibri" w:hAnsi="Calibri" w:cs="Calibri"/>
                <w:color w:val="000000"/>
                <w:sz w:val="20"/>
                <w:lang w:val="en-GB"/>
              </w:rPr>
            </w:pPr>
            <w:r w:rsidRPr="00563CF9">
              <w:rPr>
                <w:sz w:val="20"/>
                <w:lang w:val="en-GB" w:bidi="en-GB"/>
              </w:rPr>
              <w:t>Non-investment subsidies</w:t>
            </w:r>
          </w:p>
        </w:tc>
        <w:tc>
          <w:tcPr>
            <w:tcW w:w="676" w:type="pct"/>
            <w:vMerge/>
            <w:tcBorders>
              <w:top w:val="nil"/>
              <w:left w:val="single" w:sz="4" w:space="0" w:color="auto"/>
              <w:bottom w:val="single" w:sz="4" w:space="0" w:color="auto"/>
              <w:right w:val="single" w:sz="4" w:space="0" w:color="auto"/>
            </w:tcBorders>
            <w:vAlign w:val="center"/>
            <w:hideMark/>
          </w:tcPr>
          <w:p w:rsidR="00445A25" w:rsidRPr="00563CF9" w:rsidRDefault="00445A25" w:rsidP="00757BF0">
            <w:pPr>
              <w:keepNext/>
              <w:ind w:right="57"/>
              <w:jc w:val="right"/>
              <w:rPr>
                <w:rFonts w:ascii="Calibri" w:hAnsi="Calibri" w:cs="Calibri"/>
                <w:color w:val="000000"/>
                <w:sz w:val="20"/>
                <w:lang w:val="en-GB"/>
              </w:rPr>
            </w:pPr>
          </w:p>
        </w:tc>
        <w:tc>
          <w:tcPr>
            <w:tcW w:w="6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45A25" w:rsidRPr="00563CF9" w:rsidRDefault="00FA0954" w:rsidP="00757BF0">
            <w:pPr>
              <w:keepNext/>
              <w:ind w:right="57"/>
              <w:jc w:val="right"/>
              <w:rPr>
                <w:rFonts w:ascii="Calibri" w:hAnsi="Calibri" w:cs="Calibri"/>
                <w:color w:val="000000"/>
                <w:sz w:val="20"/>
                <w:lang w:val="en-GB"/>
              </w:rPr>
            </w:pPr>
            <w:r w:rsidRPr="00563CF9">
              <w:rPr>
                <w:sz w:val="20"/>
                <w:lang w:val="en-GB" w:bidi="en-GB"/>
              </w:rPr>
              <w:t>66,609.51</w:t>
            </w:r>
          </w:p>
        </w:tc>
        <w:tc>
          <w:tcPr>
            <w:tcW w:w="6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45A25" w:rsidRPr="00563CF9" w:rsidRDefault="00445A25" w:rsidP="00757BF0">
            <w:pPr>
              <w:keepNext/>
              <w:ind w:right="57"/>
              <w:jc w:val="right"/>
              <w:rPr>
                <w:rFonts w:ascii="Calibri" w:hAnsi="Calibri" w:cs="Calibri"/>
                <w:color w:val="000000"/>
                <w:sz w:val="20"/>
                <w:lang w:val="en-GB"/>
              </w:rPr>
            </w:pPr>
            <w:r w:rsidRPr="00563CF9">
              <w:rPr>
                <w:sz w:val="20"/>
                <w:lang w:val="en-GB" w:bidi="en-GB"/>
              </w:rPr>
              <w:t>53,049.38</w:t>
            </w:r>
          </w:p>
        </w:tc>
      </w:tr>
      <w:tr w:rsidR="00445A25" w:rsidRPr="00563CF9" w:rsidTr="000C1D64">
        <w:trPr>
          <w:trHeight w:val="283"/>
        </w:trPr>
        <w:tc>
          <w:tcPr>
            <w:tcW w:w="1404" w:type="pct"/>
            <w:vMerge/>
            <w:tcBorders>
              <w:top w:val="nil"/>
              <w:left w:val="single" w:sz="4" w:space="0" w:color="auto"/>
              <w:bottom w:val="single" w:sz="4" w:space="0" w:color="auto"/>
              <w:right w:val="single" w:sz="4" w:space="0" w:color="auto"/>
            </w:tcBorders>
            <w:shd w:val="clear" w:color="auto" w:fill="auto"/>
            <w:vAlign w:val="center"/>
            <w:hideMark/>
          </w:tcPr>
          <w:p w:rsidR="00445A25" w:rsidRPr="00563CF9" w:rsidRDefault="00445A25" w:rsidP="00757BF0">
            <w:pPr>
              <w:keepNext/>
              <w:jc w:val="left"/>
              <w:rPr>
                <w:rFonts w:ascii="Calibri" w:hAnsi="Calibri" w:cs="Calibri"/>
                <w:b/>
                <w:bCs/>
                <w:color w:val="000000"/>
                <w:sz w:val="20"/>
                <w:lang w:val="en-GB"/>
              </w:rPr>
            </w:pPr>
          </w:p>
        </w:tc>
        <w:tc>
          <w:tcPr>
            <w:tcW w:w="470" w:type="pct"/>
            <w:vMerge/>
            <w:tcBorders>
              <w:top w:val="nil"/>
              <w:left w:val="single" w:sz="4" w:space="0" w:color="auto"/>
              <w:bottom w:val="single" w:sz="4" w:space="0" w:color="auto"/>
              <w:right w:val="single" w:sz="4" w:space="0" w:color="auto"/>
            </w:tcBorders>
            <w:shd w:val="clear" w:color="auto" w:fill="auto"/>
            <w:vAlign w:val="center"/>
            <w:hideMark/>
          </w:tcPr>
          <w:p w:rsidR="00445A25" w:rsidRPr="00563CF9" w:rsidRDefault="00445A25" w:rsidP="00757BF0">
            <w:pPr>
              <w:keepNext/>
              <w:jc w:val="left"/>
              <w:rPr>
                <w:rFonts w:ascii="Calibri" w:hAnsi="Calibri" w:cs="Calibri"/>
                <w:b/>
                <w:bCs/>
                <w:color w:val="000000"/>
                <w:sz w:val="20"/>
                <w:lang w:val="en-GB"/>
              </w:rPr>
            </w:pPr>
          </w:p>
        </w:tc>
        <w:tc>
          <w:tcPr>
            <w:tcW w:w="1095" w:type="pct"/>
            <w:tcBorders>
              <w:top w:val="nil"/>
              <w:left w:val="nil"/>
              <w:bottom w:val="single" w:sz="4" w:space="0" w:color="auto"/>
              <w:right w:val="single" w:sz="4" w:space="0" w:color="auto"/>
            </w:tcBorders>
            <w:shd w:val="clear" w:color="auto" w:fill="auto"/>
            <w:noWrap/>
            <w:vAlign w:val="center"/>
            <w:hideMark/>
          </w:tcPr>
          <w:p w:rsidR="00445A25" w:rsidRPr="00563CF9" w:rsidRDefault="00445A25" w:rsidP="00757BF0">
            <w:pPr>
              <w:keepNext/>
              <w:jc w:val="left"/>
              <w:rPr>
                <w:rFonts w:ascii="Calibri" w:hAnsi="Calibri" w:cs="Calibri"/>
                <w:color w:val="000000"/>
                <w:sz w:val="20"/>
                <w:lang w:val="en-GB"/>
              </w:rPr>
            </w:pPr>
            <w:r w:rsidRPr="00563CF9">
              <w:rPr>
                <w:sz w:val="20"/>
                <w:lang w:val="en-GB" w:bidi="en-GB"/>
              </w:rPr>
              <w:t>Investment subsidies</w:t>
            </w:r>
          </w:p>
        </w:tc>
        <w:tc>
          <w:tcPr>
            <w:tcW w:w="676" w:type="pct"/>
            <w:tcBorders>
              <w:top w:val="nil"/>
              <w:left w:val="nil"/>
              <w:bottom w:val="single" w:sz="4" w:space="0" w:color="auto"/>
              <w:right w:val="single" w:sz="4" w:space="0" w:color="auto"/>
            </w:tcBorders>
            <w:shd w:val="clear" w:color="auto" w:fill="auto"/>
            <w:noWrap/>
            <w:vAlign w:val="center"/>
            <w:hideMark/>
          </w:tcPr>
          <w:p w:rsidR="00445A25" w:rsidRPr="00563CF9" w:rsidRDefault="00FA0954" w:rsidP="00757BF0">
            <w:pPr>
              <w:keepNext/>
              <w:ind w:right="57"/>
              <w:jc w:val="right"/>
              <w:rPr>
                <w:rFonts w:ascii="Calibri" w:hAnsi="Calibri" w:cs="Calibri"/>
                <w:color w:val="000000"/>
                <w:sz w:val="20"/>
                <w:lang w:val="en-GB"/>
              </w:rPr>
            </w:pPr>
            <w:r w:rsidRPr="00563CF9">
              <w:rPr>
                <w:sz w:val="20"/>
                <w:lang w:val="en-GB" w:bidi="en-GB"/>
              </w:rPr>
              <w:t>72,917.23</w:t>
            </w:r>
          </w:p>
        </w:tc>
        <w:tc>
          <w:tcPr>
            <w:tcW w:w="677" w:type="pct"/>
            <w:vMerge/>
            <w:tcBorders>
              <w:top w:val="nil"/>
              <w:left w:val="single" w:sz="4" w:space="0" w:color="auto"/>
              <w:bottom w:val="single" w:sz="4" w:space="0" w:color="auto"/>
              <w:right w:val="single" w:sz="4" w:space="0" w:color="auto"/>
            </w:tcBorders>
            <w:vAlign w:val="center"/>
            <w:hideMark/>
          </w:tcPr>
          <w:p w:rsidR="00445A25" w:rsidRPr="00563CF9" w:rsidRDefault="00445A25" w:rsidP="00757BF0">
            <w:pPr>
              <w:keepNext/>
              <w:ind w:right="57"/>
              <w:jc w:val="right"/>
              <w:rPr>
                <w:rFonts w:ascii="Calibri" w:hAnsi="Calibri" w:cs="Calibri"/>
                <w:color w:val="000000"/>
                <w:sz w:val="20"/>
                <w:lang w:val="en-GB"/>
              </w:rPr>
            </w:pPr>
          </w:p>
        </w:tc>
        <w:tc>
          <w:tcPr>
            <w:tcW w:w="677" w:type="pct"/>
            <w:vMerge/>
            <w:tcBorders>
              <w:top w:val="nil"/>
              <w:left w:val="single" w:sz="4" w:space="0" w:color="auto"/>
              <w:bottom w:val="single" w:sz="4" w:space="0" w:color="auto"/>
              <w:right w:val="single" w:sz="4" w:space="0" w:color="auto"/>
            </w:tcBorders>
            <w:vAlign w:val="center"/>
            <w:hideMark/>
          </w:tcPr>
          <w:p w:rsidR="00445A25" w:rsidRPr="00563CF9" w:rsidRDefault="00445A25" w:rsidP="00757BF0">
            <w:pPr>
              <w:keepNext/>
              <w:ind w:right="57"/>
              <w:jc w:val="right"/>
              <w:rPr>
                <w:rFonts w:ascii="Calibri" w:hAnsi="Calibri" w:cs="Calibri"/>
                <w:color w:val="000000"/>
                <w:sz w:val="20"/>
                <w:lang w:val="en-GB"/>
              </w:rPr>
            </w:pPr>
          </w:p>
        </w:tc>
      </w:tr>
      <w:tr w:rsidR="00445A25" w:rsidRPr="00563CF9" w:rsidTr="000C1D64">
        <w:trPr>
          <w:trHeight w:val="283"/>
        </w:trPr>
        <w:tc>
          <w:tcPr>
            <w:tcW w:w="1404" w:type="pct"/>
            <w:vMerge/>
            <w:tcBorders>
              <w:top w:val="nil"/>
              <w:left w:val="single" w:sz="4" w:space="0" w:color="auto"/>
              <w:bottom w:val="single" w:sz="4" w:space="0" w:color="auto"/>
              <w:right w:val="single" w:sz="4" w:space="0" w:color="auto"/>
            </w:tcBorders>
            <w:shd w:val="clear" w:color="auto" w:fill="auto"/>
            <w:vAlign w:val="center"/>
            <w:hideMark/>
          </w:tcPr>
          <w:p w:rsidR="00445A25" w:rsidRPr="00563CF9" w:rsidRDefault="00445A25" w:rsidP="00757BF0">
            <w:pPr>
              <w:keepNext/>
              <w:jc w:val="left"/>
              <w:rPr>
                <w:rFonts w:ascii="Calibri" w:hAnsi="Calibri" w:cs="Calibri"/>
                <w:b/>
                <w:bCs/>
                <w:color w:val="000000"/>
                <w:sz w:val="20"/>
                <w:lang w:val="en-GB"/>
              </w:rPr>
            </w:pP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45A25" w:rsidRPr="00563CF9" w:rsidRDefault="00445A25" w:rsidP="00757BF0">
            <w:pPr>
              <w:keepNext/>
              <w:jc w:val="left"/>
              <w:rPr>
                <w:rFonts w:ascii="Calibri" w:hAnsi="Calibri" w:cs="Calibri"/>
                <w:b/>
                <w:bCs/>
                <w:color w:val="000000"/>
                <w:sz w:val="20"/>
                <w:lang w:val="en-GB"/>
              </w:rPr>
            </w:pPr>
            <w:r w:rsidRPr="00563CF9">
              <w:rPr>
                <w:b/>
                <w:sz w:val="20"/>
                <w:lang w:val="en-GB" w:bidi="en-GB"/>
              </w:rPr>
              <w:t>MUH</w:t>
            </w:r>
          </w:p>
        </w:tc>
        <w:tc>
          <w:tcPr>
            <w:tcW w:w="1095" w:type="pct"/>
            <w:tcBorders>
              <w:top w:val="nil"/>
              <w:left w:val="nil"/>
              <w:bottom w:val="single" w:sz="4" w:space="0" w:color="auto"/>
              <w:right w:val="single" w:sz="4" w:space="0" w:color="auto"/>
            </w:tcBorders>
            <w:shd w:val="clear" w:color="auto" w:fill="auto"/>
            <w:noWrap/>
            <w:vAlign w:val="center"/>
            <w:hideMark/>
          </w:tcPr>
          <w:p w:rsidR="00445A25" w:rsidRPr="00563CF9" w:rsidRDefault="00445A25" w:rsidP="00757BF0">
            <w:pPr>
              <w:keepNext/>
              <w:jc w:val="left"/>
              <w:rPr>
                <w:rFonts w:ascii="Calibri" w:hAnsi="Calibri" w:cs="Calibri"/>
                <w:color w:val="000000"/>
                <w:sz w:val="20"/>
                <w:lang w:val="en-GB"/>
              </w:rPr>
            </w:pPr>
            <w:r w:rsidRPr="00563CF9">
              <w:rPr>
                <w:sz w:val="20"/>
                <w:lang w:val="en-GB" w:bidi="en-GB"/>
              </w:rPr>
              <w:t>Operation allowance</w:t>
            </w:r>
          </w:p>
        </w:tc>
        <w:tc>
          <w:tcPr>
            <w:tcW w:w="67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45A25" w:rsidRPr="00563CF9" w:rsidRDefault="00FA0954" w:rsidP="00757BF0">
            <w:pPr>
              <w:keepNext/>
              <w:ind w:right="57"/>
              <w:jc w:val="right"/>
              <w:rPr>
                <w:rFonts w:ascii="Calibri" w:hAnsi="Calibri" w:cs="Calibri"/>
                <w:color w:val="000000"/>
                <w:sz w:val="20"/>
                <w:lang w:val="en-GB"/>
              </w:rPr>
            </w:pPr>
            <w:r w:rsidRPr="00563CF9">
              <w:rPr>
                <w:sz w:val="20"/>
                <w:lang w:val="en-GB" w:bidi="en-GB"/>
              </w:rPr>
              <w:t>89,337.78</w:t>
            </w:r>
          </w:p>
        </w:tc>
        <w:tc>
          <w:tcPr>
            <w:tcW w:w="677" w:type="pct"/>
            <w:tcBorders>
              <w:top w:val="nil"/>
              <w:left w:val="nil"/>
              <w:bottom w:val="single" w:sz="4" w:space="0" w:color="auto"/>
              <w:right w:val="single" w:sz="4" w:space="0" w:color="auto"/>
            </w:tcBorders>
            <w:shd w:val="clear" w:color="auto" w:fill="auto"/>
            <w:noWrap/>
            <w:vAlign w:val="center"/>
            <w:hideMark/>
          </w:tcPr>
          <w:p w:rsidR="00445A25" w:rsidRPr="00563CF9" w:rsidRDefault="00445A25" w:rsidP="00757BF0">
            <w:pPr>
              <w:keepNext/>
              <w:ind w:right="57"/>
              <w:jc w:val="right"/>
              <w:rPr>
                <w:rFonts w:ascii="Calibri" w:hAnsi="Calibri" w:cs="Calibri"/>
                <w:color w:val="000000"/>
                <w:sz w:val="20"/>
                <w:lang w:val="en-GB"/>
              </w:rPr>
            </w:pPr>
            <w:r w:rsidRPr="00563CF9">
              <w:rPr>
                <w:sz w:val="20"/>
                <w:lang w:val="en-GB" w:bidi="en-GB"/>
              </w:rPr>
              <w:t>0.00</w:t>
            </w:r>
          </w:p>
        </w:tc>
        <w:tc>
          <w:tcPr>
            <w:tcW w:w="677" w:type="pct"/>
            <w:tcBorders>
              <w:top w:val="nil"/>
              <w:left w:val="nil"/>
              <w:bottom w:val="single" w:sz="4" w:space="0" w:color="auto"/>
              <w:right w:val="single" w:sz="4" w:space="0" w:color="auto"/>
            </w:tcBorders>
            <w:shd w:val="clear" w:color="auto" w:fill="auto"/>
            <w:noWrap/>
            <w:vAlign w:val="center"/>
            <w:hideMark/>
          </w:tcPr>
          <w:p w:rsidR="00445A25" w:rsidRPr="00563CF9" w:rsidRDefault="00445A25" w:rsidP="00757BF0">
            <w:pPr>
              <w:keepNext/>
              <w:ind w:right="57"/>
              <w:jc w:val="right"/>
              <w:rPr>
                <w:rFonts w:ascii="Calibri" w:hAnsi="Calibri" w:cs="Calibri"/>
                <w:color w:val="000000"/>
                <w:sz w:val="20"/>
                <w:lang w:val="en-GB"/>
              </w:rPr>
            </w:pPr>
            <w:r w:rsidRPr="00563CF9">
              <w:rPr>
                <w:sz w:val="20"/>
                <w:lang w:val="en-GB" w:bidi="en-GB"/>
              </w:rPr>
              <w:t>0.00</w:t>
            </w:r>
          </w:p>
        </w:tc>
      </w:tr>
      <w:tr w:rsidR="00445A25" w:rsidRPr="00563CF9" w:rsidTr="000C1D64">
        <w:trPr>
          <w:trHeight w:val="283"/>
        </w:trPr>
        <w:tc>
          <w:tcPr>
            <w:tcW w:w="1404" w:type="pct"/>
            <w:vMerge/>
            <w:tcBorders>
              <w:top w:val="nil"/>
              <w:left w:val="single" w:sz="4" w:space="0" w:color="auto"/>
              <w:bottom w:val="single" w:sz="4" w:space="0" w:color="auto"/>
              <w:right w:val="single" w:sz="4" w:space="0" w:color="auto"/>
            </w:tcBorders>
            <w:shd w:val="clear" w:color="auto" w:fill="auto"/>
            <w:vAlign w:val="center"/>
            <w:hideMark/>
          </w:tcPr>
          <w:p w:rsidR="00445A25" w:rsidRPr="00563CF9" w:rsidRDefault="00445A25" w:rsidP="00757BF0">
            <w:pPr>
              <w:keepNext/>
              <w:jc w:val="left"/>
              <w:rPr>
                <w:rFonts w:ascii="Calibri" w:hAnsi="Calibri" w:cs="Calibri"/>
                <w:b/>
                <w:bCs/>
                <w:color w:val="000000"/>
                <w:sz w:val="20"/>
                <w:lang w:val="en-GB"/>
              </w:rPr>
            </w:pPr>
          </w:p>
        </w:tc>
        <w:tc>
          <w:tcPr>
            <w:tcW w:w="470" w:type="pct"/>
            <w:vMerge/>
            <w:tcBorders>
              <w:top w:val="nil"/>
              <w:left w:val="single" w:sz="4" w:space="0" w:color="auto"/>
              <w:bottom w:val="single" w:sz="4" w:space="0" w:color="auto"/>
              <w:right w:val="single" w:sz="4" w:space="0" w:color="auto"/>
            </w:tcBorders>
            <w:shd w:val="clear" w:color="auto" w:fill="auto"/>
            <w:vAlign w:val="center"/>
            <w:hideMark/>
          </w:tcPr>
          <w:p w:rsidR="00445A25" w:rsidRPr="00563CF9" w:rsidRDefault="00445A25" w:rsidP="00757BF0">
            <w:pPr>
              <w:keepNext/>
              <w:jc w:val="left"/>
              <w:rPr>
                <w:rFonts w:ascii="Calibri" w:hAnsi="Calibri" w:cs="Calibri"/>
                <w:b/>
                <w:bCs/>
                <w:color w:val="000000"/>
                <w:sz w:val="20"/>
                <w:lang w:val="en-GB"/>
              </w:rPr>
            </w:pPr>
          </w:p>
        </w:tc>
        <w:tc>
          <w:tcPr>
            <w:tcW w:w="1095" w:type="pct"/>
            <w:tcBorders>
              <w:top w:val="nil"/>
              <w:left w:val="nil"/>
              <w:bottom w:val="single" w:sz="4" w:space="0" w:color="auto"/>
              <w:right w:val="single" w:sz="4" w:space="0" w:color="auto"/>
            </w:tcBorders>
            <w:shd w:val="clear" w:color="auto" w:fill="auto"/>
            <w:noWrap/>
            <w:vAlign w:val="center"/>
            <w:hideMark/>
          </w:tcPr>
          <w:p w:rsidR="00445A25" w:rsidRPr="00563CF9" w:rsidRDefault="00445A25" w:rsidP="00757BF0">
            <w:pPr>
              <w:keepNext/>
              <w:jc w:val="left"/>
              <w:rPr>
                <w:rFonts w:ascii="Calibri" w:hAnsi="Calibri" w:cs="Calibri"/>
                <w:color w:val="000000"/>
                <w:sz w:val="20"/>
                <w:lang w:val="en-GB"/>
              </w:rPr>
            </w:pPr>
            <w:r w:rsidRPr="00563CF9">
              <w:rPr>
                <w:sz w:val="20"/>
                <w:lang w:val="en-GB" w:bidi="en-GB"/>
              </w:rPr>
              <w:t>Non-investment subsidies</w:t>
            </w:r>
          </w:p>
        </w:tc>
        <w:tc>
          <w:tcPr>
            <w:tcW w:w="676" w:type="pct"/>
            <w:vMerge/>
            <w:tcBorders>
              <w:top w:val="nil"/>
              <w:left w:val="single" w:sz="4" w:space="0" w:color="auto"/>
              <w:bottom w:val="single" w:sz="4" w:space="0" w:color="auto"/>
              <w:right w:val="single" w:sz="4" w:space="0" w:color="auto"/>
            </w:tcBorders>
            <w:vAlign w:val="center"/>
            <w:hideMark/>
          </w:tcPr>
          <w:p w:rsidR="00445A25" w:rsidRPr="00563CF9" w:rsidRDefault="00445A25" w:rsidP="00757BF0">
            <w:pPr>
              <w:keepNext/>
              <w:ind w:right="57"/>
              <w:jc w:val="right"/>
              <w:rPr>
                <w:rFonts w:ascii="Calibri" w:hAnsi="Calibri" w:cs="Calibri"/>
                <w:color w:val="000000"/>
                <w:sz w:val="20"/>
                <w:lang w:val="en-GB"/>
              </w:rPr>
            </w:pPr>
          </w:p>
        </w:tc>
        <w:tc>
          <w:tcPr>
            <w:tcW w:w="6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45A25" w:rsidRPr="00563CF9" w:rsidRDefault="00FA0954" w:rsidP="00757BF0">
            <w:pPr>
              <w:keepNext/>
              <w:ind w:right="57"/>
              <w:jc w:val="right"/>
              <w:rPr>
                <w:rFonts w:ascii="Calibri" w:hAnsi="Calibri" w:cs="Calibri"/>
                <w:color w:val="000000"/>
                <w:sz w:val="20"/>
                <w:lang w:val="en-GB"/>
              </w:rPr>
            </w:pPr>
            <w:r w:rsidRPr="00563CF9">
              <w:rPr>
                <w:sz w:val="20"/>
                <w:lang w:val="en-GB" w:bidi="en-GB"/>
              </w:rPr>
              <w:t>95,501.17</w:t>
            </w:r>
          </w:p>
        </w:tc>
        <w:tc>
          <w:tcPr>
            <w:tcW w:w="6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45A25" w:rsidRPr="00563CF9" w:rsidRDefault="00FA0954" w:rsidP="00757BF0">
            <w:pPr>
              <w:keepNext/>
              <w:ind w:right="57"/>
              <w:jc w:val="right"/>
              <w:rPr>
                <w:rFonts w:ascii="Calibri" w:hAnsi="Calibri" w:cs="Calibri"/>
                <w:color w:val="000000"/>
                <w:sz w:val="20"/>
                <w:lang w:val="en-GB"/>
              </w:rPr>
            </w:pPr>
            <w:r w:rsidRPr="00563CF9">
              <w:rPr>
                <w:sz w:val="20"/>
                <w:lang w:val="en-GB" w:bidi="en-GB"/>
              </w:rPr>
              <w:t>302,669.38</w:t>
            </w:r>
          </w:p>
        </w:tc>
      </w:tr>
      <w:tr w:rsidR="00445A25" w:rsidRPr="00563CF9" w:rsidTr="000C1D64">
        <w:trPr>
          <w:trHeight w:val="283"/>
        </w:trPr>
        <w:tc>
          <w:tcPr>
            <w:tcW w:w="1404" w:type="pct"/>
            <w:vMerge/>
            <w:tcBorders>
              <w:top w:val="nil"/>
              <w:left w:val="single" w:sz="4" w:space="0" w:color="auto"/>
              <w:bottom w:val="single" w:sz="4" w:space="0" w:color="auto"/>
              <w:right w:val="single" w:sz="4" w:space="0" w:color="auto"/>
            </w:tcBorders>
            <w:shd w:val="clear" w:color="auto" w:fill="auto"/>
            <w:vAlign w:val="center"/>
            <w:hideMark/>
          </w:tcPr>
          <w:p w:rsidR="00445A25" w:rsidRPr="00563CF9" w:rsidRDefault="00445A25" w:rsidP="00757BF0">
            <w:pPr>
              <w:keepNext/>
              <w:jc w:val="left"/>
              <w:rPr>
                <w:rFonts w:ascii="Calibri" w:hAnsi="Calibri" w:cs="Calibri"/>
                <w:b/>
                <w:bCs/>
                <w:color w:val="000000"/>
                <w:sz w:val="20"/>
                <w:lang w:val="en-GB"/>
              </w:rPr>
            </w:pPr>
          </w:p>
        </w:tc>
        <w:tc>
          <w:tcPr>
            <w:tcW w:w="470" w:type="pct"/>
            <w:vMerge/>
            <w:tcBorders>
              <w:top w:val="nil"/>
              <w:left w:val="single" w:sz="4" w:space="0" w:color="auto"/>
              <w:bottom w:val="single" w:sz="4" w:space="0" w:color="auto"/>
              <w:right w:val="single" w:sz="4" w:space="0" w:color="auto"/>
            </w:tcBorders>
            <w:shd w:val="clear" w:color="auto" w:fill="auto"/>
            <w:vAlign w:val="center"/>
            <w:hideMark/>
          </w:tcPr>
          <w:p w:rsidR="00445A25" w:rsidRPr="00563CF9" w:rsidRDefault="00445A25" w:rsidP="00757BF0">
            <w:pPr>
              <w:keepNext/>
              <w:jc w:val="left"/>
              <w:rPr>
                <w:rFonts w:ascii="Calibri" w:hAnsi="Calibri" w:cs="Calibri"/>
                <w:b/>
                <w:bCs/>
                <w:color w:val="000000"/>
                <w:sz w:val="20"/>
                <w:lang w:val="en-GB"/>
              </w:rPr>
            </w:pPr>
          </w:p>
        </w:tc>
        <w:tc>
          <w:tcPr>
            <w:tcW w:w="1095" w:type="pct"/>
            <w:tcBorders>
              <w:top w:val="nil"/>
              <w:left w:val="nil"/>
              <w:bottom w:val="single" w:sz="4" w:space="0" w:color="auto"/>
              <w:right w:val="single" w:sz="4" w:space="0" w:color="auto"/>
            </w:tcBorders>
            <w:shd w:val="clear" w:color="auto" w:fill="auto"/>
            <w:noWrap/>
            <w:vAlign w:val="center"/>
            <w:hideMark/>
          </w:tcPr>
          <w:p w:rsidR="00445A25" w:rsidRPr="00563CF9" w:rsidRDefault="00445A25" w:rsidP="00757BF0">
            <w:pPr>
              <w:keepNext/>
              <w:jc w:val="left"/>
              <w:rPr>
                <w:rFonts w:ascii="Calibri" w:hAnsi="Calibri" w:cs="Calibri"/>
                <w:color w:val="000000"/>
                <w:sz w:val="20"/>
                <w:lang w:val="en-GB"/>
              </w:rPr>
            </w:pPr>
            <w:r w:rsidRPr="00563CF9">
              <w:rPr>
                <w:sz w:val="20"/>
                <w:lang w:val="en-GB" w:bidi="en-GB"/>
              </w:rPr>
              <w:t>Investment subsidies</w:t>
            </w:r>
          </w:p>
        </w:tc>
        <w:tc>
          <w:tcPr>
            <w:tcW w:w="676" w:type="pct"/>
            <w:tcBorders>
              <w:top w:val="nil"/>
              <w:left w:val="nil"/>
              <w:bottom w:val="single" w:sz="4" w:space="0" w:color="auto"/>
              <w:right w:val="single" w:sz="4" w:space="0" w:color="auto"/>
            </w:tcBorders>
            <w:shd w:val="clear" w:color="auto" w:fill="auto"/>
            <w:noWrap/>
            <w:vAlign w:val="center"/>
            <w:hideMark/>
          </w:tcPr>
          <w:p w:rsidR="00445A25" w:rsidRPr="00563CF9" w:rsidRDefault="00445A25" w:rsidP="00757BF0">
            <w:pPr>
              <w:keepNext/>
              <w:ind w:right="57"/>
              <w:jc w:val="right"/>
              <w:rPr>
                <w:rFonts w:ascii="Calibri" w:hAnsi="Calibri" w:cs="Calibri"/>
                <w:color w:val="000000"/>
                <w:sz w:val="20"/>
                <w:lang w:val="en-GB"/>
              </w:rPr>
            </w:pPr>
            <w:r w:rsidRPr="00563CF9">
              <w:rPr>
                <w:sz w:val="20"/>
                <w:lang w:val="en-GB" w:bidi="en-GB"/>
              </w:rPr>
              <w:t>15,068.50</w:t>
            </w:r>
          </w:p>
        </w:tc>
        <w:tc>
          <w:tcPr>
            <w:tcW w:w="677" w:type="pct"/>
            <w:vMerge/>
            <w:tcBorders>
              <w:top w:val="nil"/>
              <w:left w:val="single" w:sz="4" w:space="0" w:color="auto"/>
              <w:bottom w:val="single" w:sz="4" w:space="0" w:color="auto"/>
              <w:right w:val="single" w:sz="4" w:space="0" w:color="auto"/>
            </w:tcBorders>
            <w:vAlign w:val="center"/>
            <w:hideMark/>
          </w:tcPr>
          <w:p w:rsidR="00445A25" w:rsidRPr="00563CF9" w:rsidRDefault="00445A25" w:rsidP="00757BF0">
            <w:pPr>
              <w:keepNext/>
              <w:ind w:right="57"/>
              <w:jc w:val="right"/>
              <w:rPr>
                <w:rFonts w:ascii="Calibri" w:hAnsi="Calibri" w:cs="Calibri"/>
                <w:color w:val="000000"/>
                <w:sz w:val="20"/>
                <w:lang w:val="en-GB"/>
              </w:rPr>
            </w:pPr>
          </w:p>
        </w:tc>
        <w:tc>
          <w:tcPr>
            <w:tcW w:w="677" w:type="pct"/>
            <w:vMerge/>
            <w:tcBorders>
              <w:top w:val="nil"/>
              <w:left w:val="single" w:sz="4" w:space="0" w:color="auto"/>
              <w:bottom w:val="single" w:sz="4" w:space="0" w:color="auto"/>
              <w:right w:val="single" w:sz="4" w:space="0" w:color="auto"/>
            </w:tcBorders>
            <w:vAlign w:val="center"/>
            <w:hideMark/>
          </w:tcPr>
          <w:p w:rsidR="00445A25" w:rsidRPr="00563CF9" w:rsidRDefault="00445A25" w:rsidP="00757BF0">
            <w:pPr>
              <w:keepNext/>
              <w:ind w:right="57"/>
              <w:jc w:val="right"/>
              <w:rPr>
                <w:rFonts w:ascii="Calibri" w:hAnsi="Calibri" w:cs="Calibri"/>
                <w:color w:val="000000"/>
                <w:sz w:val="20"/>
                <w:lang w:val="en-GB"/>
              </w:rPr>
            </w:pPr>
          </w:p>
        </w:tc>
      </w:tr>
      <w:tr w:rsidR="00445A25" w:rsidRPr="00563CF9" w:rsidTr="000C1D64">
        <w:trPr>
          <w:trHeight w:val="283"/>
        </w:trPr>
        <w:tc>
          <w:tcPr>
            <w:tcW w:w="14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45A25" w:rsidRPr="00563CF9" w:rsidRDefault="00445A25" w:rsidP="00757BF0">
            <w:pPr>
              <w:keepNext/>
              <w:jc w:val="left"/>
              <w:rPr>
                <w:rFonts w:ascii="Calibri" w:hAnsi="Calibri" w:cs="Calibri"/>
                <w:b/>
                <w:bCs/>
                <w:color w:val="000000"/>
                <w:sz w:val="20"/>
                <w:lang w:val="en-GB"/>
              </w:rPr>
            </w:pPr>
            <w:r w:rsidRPr="00563CF9">
              <w:rPr>
                <w:b/>
                <w:sz w:val="20"/>
                <w:lang w:val="en-GB" w:bidi="en-GB"/>
              </w:rPr>
              <w:t>Ministry of Defence</w:t>
            </w: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45A25" w:rsidRPr="00563CF9" w:rsidRDefault="00445A25" w:rsidP="00757BF0">
            <w:pPr>
              <w:keepNext/>
              <w:jc w:val="left"/>
              <w:rPr>
                <w:rFonts w:ascii="Calibri" w:hAnsi="Calibri" w:cs="Calibri"/>
                <w:b/>
                <w:bCs/>
                <w:color w:val="000000"/>
                <w:sz w:val="20"/>
                <w:lang w:val="en-GB"/>
              </w:rPr>
            </w:pPr>
            <w:r w:rsidRPr="00563CF9">
              <w:rPr>
                <w:b/>
                <w:sz w:val="20"/>
                <w:lang w:val="en-GB" w:bidi="en-GB"/>
              </w:rPr>
              <w:t>CMH</w:t>
            </w:r>
          </w:p>
        </w:tc>
        <w:tc>
          <w:tcPr>
            <w:tcW w:w="1095" w:type="pct"/>
            <w:tcBorders>
              <w:top w:val="nil"/>
              <w:left w:val="nil"/>
              <w:bottom w:val="single" w:sz="4" w:space="0" w:color="auto"/>
              <w:right w:val="single" w:sz="4" w:space="0" w:color="auto"/>
            </w:tcBorders>
            <w:shd w:val="clear" w:color="auto" w:fill="auto"/>
            <w:noWrap/>
            <w:vAlign w:val="center"/>
            <w:hideMark/>
          </w:tcPr>
          <w:p w:rsidR="00445A25" w:rsidRPr="00563CF9" w:rsidRDefault="00445A25" w:rsidP="00757BF0">
            <w:pPr>
              <w:keepNext/>
              <w:jc w:val="left"/>
              <w:rPr>
                <w:rFonts w:ascii="Calibri" w:hAnsi="Calibri" w:cs="Calibri"/>
                <w:color w:val="000000"/>
                <w:sz w:val="20"/>
                <w:lang w:val="en-GB"/>
              </w:rPr>
            </w:pPr>
            <w:r w:rsidRPr="00563CF9">
              <w:rPr>
                <w:sz w:val="20"/>
                <w:lang w:val="en-GB" w:bidi="en-GB"/>
              </w:rPr>
              <w:t>Operation allowance</w:t>
            </w:r>
          </w:p>
        </w:tc>
        <w:tc>
          <w:tcPr>
            <w:tcW w:w="676" w:type="pct"/>
            <w:tcBorders>
              <w:top w:val="nil"/>
              <w:left w:val="nil"/>
              <w:bottom w:val="single" w:sz="4" w:space="0" w:color="auto"/>
              <w:right w:val="single" w:sz="4" w:space="0" w:color="auto"/>
            </w:tcBorders>
            <w:shd w:val="clear" w:color="auto" w:fill="auto"/>
            <w:noWrap/>
            <w:vAlign w:val="center"/>
            <w:hideMark/>
          </w:tcPr>
          <w:p w:rsidR="00445A25" w:rsidRPr="00563CF9" w:rsidRDefault="00302C62" w:rsidP="00757BF0">
            <w:pPr>
              <w:keepNext/>
              <w:ind w:right="57"/>
              <w:jc w:val="right"/>
              <w:rPr>
                <w:rFonts w:ascii="Calibri" w:hAnsi="Calibri" w:cs="Calibri"/>
                <w:color w:val="000000"/>
                <w:sz w:val="20"/>
                <w:lang w:val="en-GB"/>
              </w:rPr>
            </w:pPr>
            <w:r w:rsidRPr="00563CF9">
              <w:rPr>
                <w:sz w:val="20"/>
                <w:lang w:val="en-GB" w:bidi="en-GB"/>
              </w:rPr>
              <w:t>319,608.71</w:t>
            </w:r>
          </w:p>
        </w:tc>
        <w:tc>
          <w:tcPr>
            <w:tcW w:w="677" w:type="pct"/>
            <w:tcBorders>
              <w:top w:val="nil"/>
              <w:left w:val="nil"/>
              <w:bottom w:val="single" w:sz="4" w:space="0" w:color="auto"/>
              <w:right w:val="single" w:sz="4" w:space="0" w:color="auto"/>
            </w:tcBorders>
            <w:shd w:val="clear" w:color="auto" w:fill="auto"/>
            <w:noWrap/>
            <w:vAlign w:val="center"/>
            <w:hideMark/>
          </w:tcPr>
          <w:p w:rsidR="00445A25" w:rsidRPr="00563CF9" w:rsidRDefault="00302C62" w:rsidP="00757BF0">
            <w:pPr>
              <w:keepNext/>
              <w:ind w:right="57"/>
              <w:jc w:val="right"/>
              <w:rPr>
                <w:rFonts w:ascii="Calibri" w:hAnsi="Calibri" w:cs="Calibri"/>
                <w:color w:val="000000"/>
                <w:sz w:val="20"/>
                <w:lang w:val="en-GB"/>
              </w:rPr>
            </w:pPr>
            <w:r w:rsidRPr="00563CF9">
              <w:rPr>
                <w:sz w:val="20"/>
                <w:lang w:val="en-GB" w:bidi="en-GB"/>
              </w:rPr>
              <w:t>463,997.91</w:t>
            </w:r>
          </w:p>
        </w:tc>
        <w:tc>
          <w:tcPr>
            <w:tcW w:w="677" w:type="pct"/>
            <w:tcBorders>
              <w:top w:val="nil"/>
              <w:left w:val="nil"/>
              <w:bottom w:val="single" w:sz="4" w:space="0" w:color="auto"/>
              <w:right w:val="single" w:sz="4" w:space="0" w:color="auto"/>
            </w:tcBorders>
            <w:shd w:val="clear" w:color="auto" w:fill="auto"/>
            <w:noWrap/>
            <w:vAlign w:val="center"/>
            <w:hideMark/>
          </w:tcPr>
          <w:p w:rsidR="00445A25" w:rsidRPr="00563CF9" w:rsidRDefault="00302C62" w:rsidP="00757BF0">
            <w:pPr>
              <w:keepNext/>
              <w:ind w:right="57"/>
              <w:jc w:val="right"/>
              <w:rPr>
                <w:rFonts w:ascii="Calibri" w:hAnsi="Calibri" w:cs="Calibri"/>
                <w:color w:val="000000"/>
                <w:sz w:val="20"/>
                <w:lang w:val="en-GB"/>
              </w:rPr>
            </w:pPr>
            <w:r w:rsidRPr="00563CF9">
              <w:rPr>
                <w:sz w:val="20"/>
                <w:lang w:val="en-GB" w:bidi="en-GB"/>
              </w:rPr>
              <w:t>388,205.56</w:t>
            </w:r>
          </w:p>
        </w:tc>
      </w:tr>
      <w:tr w:rsidR="00445A25" w:rsidRPr="00563CF9" w:rsidTr="000C1D64">
        <w:trPr>
          <w:trHeight w:val="283"/>
        </w:trPr>
        <w:tc>
          <w:tcPr>
            <w:tcW w:w="1404" w:type="pct"/>
            <w:vMerge/>
            <w:tcBorders>
              <w:top w:val="nil"/>
              <w:left w:val="single" w:sz="4" w:space="0" w:color="auto"/>
              <w:bottom w:val="single" w:sz="4" w:space="0" w:color="auto"/>
              <w:right w:val="single" w:sz="4" w:space="0" w:color="auto"/>
            </w:tcBorders>
            <w:shd w:val="clear" w:color="auto" w:fill="auto"/>
            <w:vAlign w:val="center"/>
            <w:hideMark/>
          </w:tcPr>
          <w:p w:rsidR="00445A25" w:rsidRPr="00563CF9" w:rsidRDefault="00445A25" w:rsidP="00757BF0">
            <w:pPr>
              <w:keepNext/>
              <w:rPr>
                <w:rFonts w:ascii="Calibri" w:hAnsi="Calibri" w:cs="Calibri"/>
                <w:b/>
                <w:bCs/>
                <w:color w:val="000000"/>
                <w:sz w:val="20"/>
                <w:lang w:val="en-GB"/>
              </w:rPr>
            </w:pPr>
          </w:p>
        </w:tc>
        <w:tc>
          <w:tcPr>
            <w:tcW w:w="470" w:type="pct"/>
            <w:vMerge/>
            <w:tcBorders>
              <w:top w:val="nil"/>
              <w:left w:val="single" w:sz="4" w:space="0" w:color="auto"/>
              <w:bottom w:val="single" w:sz="4" w:space="0" w:color="auto"/>
              <w:right w:val="single" w:sz="4" w:space="0" w:color="auto"/>
            </w:tcBorders>
            <w:shd w:val="clear" w:color="auto" w:fill="auto"/>
            <w:vAlign w:val="center"/>
            <w:hideMark/>
          </w:tcPr>
          <w:p w:rsidR="00445A25" w:rsidRPr="00563CF9" w:rsidRDefault="00445A25" w:rsidP="00757BF0">
            <w:pPr>
              <w:keepNext/>
              <w:jc w:val="left"/>
              <w:rPr>
                <w:rFonts w:ascii="Calibri" w:hAnsi="Calibri" w:cs="Calibri"/>
                <w:b/>
                <w:bCs/>
                <w:color w:val="000000"/>
                <w:sz w:val="20"/>
                <w:lang w:val="en-GB"/>
              </w:rPr>
            </w:pPr>
          </w:p>
        </w:tc>
        <w:tc>
          <w:tcPr>
            <w:tcW w:w="1095" w:type="pct"/>
            <w:tcBorders>
              <w:top w:val="nil"/>
              <w:left w:val="nil"/>
              <w:bottom w:val="single" w:sz="4" w:space="0" w:color="auto"/>
              <w:right w:val="single" w:sz="4" w:space="0" w:color="auto"/>
            </w:tcBorders>
            <w:shd w:val="clear" w:color="auto" w:fill="auto"/>
            <w:noWrap/>
            <w:vAlign w:val="center"/>
            <w:hideMark/>
          </w:tcPr>
          <w:p w:rsidR="00445A25" w:rsidRPr="00563CF9" w:rsidRDefault="00445A25" w:rsidP="00757BF0">
            <w:pPr>
              <w:keepNext/>
              <w:jc w:val="left"/>
              <w:rPr>
                <w:rFonts w:ascii="Calibri" w:hAnsi="Calibri" w:cs="Calibri"/>
                <w:color w:val="000000"/>
                <w:sz w:val="20"/>
                <w:lang w:val="en-GB"/>
              </w:rPr>
            </w:pPr>
            <w:r w:rsidRPr="00563CF9">
              <w:rPr>
                <w:sz w:val="20"/>
                <w:lang w:val="en-GB" w:bidi="en-GB"/>
              </w:rPr>
              <w:t>Investment subsidies</w:t>
            </w:r>
          </w:p>
        </w:tc>
        <w:tc>
          <w:tcPr>
            <w:tcW w:w="676" w:type="pct"/>
            <w:tcBorders>
              <w:top w:val="nil"/>
              <w:left w:val="nil"/>
              <w:bottom w:val="single" w:sz="4" w:space="0" w:color="auto"/>
              <w:right w:val="single" w:sz="4" w:space="0" w:color="auto"/>
            </w:tcBorders>
            <w:shd w:val="clear" w:color="auto" w:fill="auto"/>
            <w:noWrap/>
            <w:vAlign w:val="center"/>
            <w:hideMark/>
          </w:tcPr>
          <w:p w:rsidR="00445A25" w:rsidRPr="00563CF9" w:rsidRDefault="00302C62" w:rsidP="00757BF0">
            <w:pPr>
              <w:keepNext/>
              <w:ind w:right="57"/>
              <w:jc w:val="right"/>
              <w:rPr>
                <w:rFonts w:ascii="Calibri" w:hAnsi="Calibri" w:cs="Calibri"/>
                <w:color w:val="000000"/>
                <w:sz w:val="20"/>
                <w:lang w:val="en-GB"/>
              </w:rPr>
            </w:pPr>
            <w:r w:rsidRPr="00563CF9">
              <w:rPr>
                <w:sz w:val="20"/>
                <w:lang w:val="en-GB" w:bidi="en-GB"/>
              </w:rPr>
              <w:t>68,064.95</w:t>
            </w:r>
          </w:p>
        </w:tc>
        <w:tc>
          <w:tcPr>
            <w:tcW w:w="677" w:type="pct"/>
            <w:tcBorders>
              <w:top w:val="nil"/>
              <w:left w:val="nil"/>
              <w:bottom w:val="single" w:sz="4" w:space="0" w:color="auto"/>
              <w:right w:val="single" w:sz="4" w:space="0" w:color="auto"/>
            </w:tcBorders>
            <w:shd w:val="clear" w:color="auto" w:fill="auto"/>
            <w:noWrap/>
            <w:vAlign w:val="center"/>
            <w:hideMark/>
          </w:tcPr>
          <w:p w:rsidR="00445A25" w:rsidRPr="00563CF9" w:rsidRDefault="00445A25" w:rsidP="00757BF0">
            <w:pPr>
              <w:keepNext/>
              <w:ind w:right="57"/>
              <w:jc w:val="right"/>
              <w:rPr>
                <w:rFonts w:ascii="Calibri" w:hAnsi="Calibri" w:cs="Calibri"/>
                <w:color w:val="000000"/>
                <w:sz w:val="20"/>
                <w:lang w:val="en-GB"/>
              </w:rPr>
            </w:pPr>
            <w:r w:rsidRPr="00563CF9">
              <w:rPr>
                <w:sz w:val="20"/>
                <w:lang w:val="en-GB" w:bidi="en-GB"/>
              </w:rPr>
              <w:t>142,679.47</w:t>
            </w:r>
          </w:p>
        </w:tc>
        <w:tc>
          <w:tcPr>
            <w:tcW w:w="677" w:type="pct"/>
            <w:tcBorders>
              <w:top w:val="nil"/>
              <w:left w:val="nil"/>
              <w:bottom w:val="single" w:sz="4" w:space="0" w:color="auto"/>
              <w:right w:val="single" w:sz="4" w:space="0" w:color="auto"/>
            </w:tcBorders>
            <w:shd w:val="clear" w:color="auto" w:fill="auto"/>
            <w:noWrap/>
            <w:vAlign w:val="center"/>
            <w:hideMark/>
          </w:tcPr>
          <w:p w:rsidR="00445A25" w:rsidRPr="00563CF9" w:rsidRDefault="00445A25" w:rsidP="00757BF0">
            <w:pPr>
              <w:keepNext/>
              <w:ind w:right="57"/>
              <w:jc w:val="right"/>
              <w:rPr>
                <w:rFonts w:ascii="Calibri" w:hAnsi="Calibri" w:cs="Calibri"/>
                <w:color w:val="000000"/>
                <w:sz w:val="20"/>
                <w:lang w:val="en-GB"/>
              </w:rPr>
            </w:pPr>
            <w:r w:rsidRPr="00563CF9">
              <w:rPr>
                <w:sz w:val="20"/>
                <w:lang w:val="en-GB" w:bidi="en-GB"/>
              </w:rPr>
              <w:t>0.00</w:t>
            </w:r>
          </w:p>
        </w:tc>
      </w:tr>
    </w:tbl>
    <w:p w:rsidR="00445A25" w:rsidRPr="00563CF9" w:rsidRDefault="009D50C4" w:rsidP="00757BF0">
      <w:pPr>
        <w:pStyle w:val="Zdroj"/>
        <w:keepNext/>
        <w:spacing w:before="40"/>
        <w:ind w:left="567" w:hanging="567"/>
        <w:rPr>
          <w:i w:val="0"/>
          <w:noProof/>
          <w:lang w:val="en-GB"/>
        </w:rPr>
      </w:pPr>
      <w:r w:rsidRPr="00563CF9">
        <w:rPr>
          <w:b/>
          <w:i w:val="0"/>
          <w:noProof/>
          <w:lang w:val="en-GB" w:bidi="en-GB"/>
        </w:rPr>
        <w:t xml:space="preserve">Source: </w:t>
      </w:r>
      <w:r w:rsidR="0009563B" w:rsidRPr="00563CF9">
        <w:rPr>
          <w:i w:val="0"/>
          <w:noProof/>
          <w:lang w:val="en-GB" w:bidi="en-GB"/>
        </w:rPr>
        <w:t>financial settlement of the relations of state contributory organisations (without specific support for science and research) of the BUH and MUH for the years 2014, 2015 and 2016; submitted reports of the MoD on request of the SAO.</w:t>
      </w:r>
    </w:p>
    <w:p w:rsidR="00445A25" w:rsidRPr="00563CF9" w:rsidRDefault="00445A25" w:rsidP="008C6807">
      <w:pPr>
        <w:pStyle w:val="Zdroj"/>
        <w:ind w:left="567" w:hanging="567"/>
        <w:rPr>
          <w:i w:val="0"/>
          <w:noProof/>
          <w:lang w:val="en-GB"/>
        </w:rPr>
      </w:pPr>
      <w:r w:rsidRPr="00563CF9">
        <w:rPr>
          <w:b/>
          <w:i w:val="0"/>
          <w:noProof/>
          <w:lang w:val="en-GB" w:bidi="en-GB"/>
        </w:rPr>
        <w:t>Note:</w:t>
      </w:r>
      <w:r w:rsidRPr="00563CF9">
        <w:rPr>
          <w:i w:val="0"/>
          <w:noProof/>
          <w:lang w:val="en-GB" w:bidi="en-GB"/>
        </w:rPr>
        <w:t xml:space="preserve"> The figures are without projects co-financed by the EU.</w:t>
      </w:r>
    </w:p>
    <w:p w:rsidR="00644867" w:rsidRPr="00563CF9" w:rsidRDefault="00AE19D4" w:rsidP="008C6807">
      <w:pPr>
        <w:spacing w:before="120"/>
        <w:rPr>
          <w:rFonts w:ascii="Calibri" w:hAnsi="Calibri"/>
          <w:i/>
          <w:lang w:val="en-GB"/>
        </w:rPr>
      </w:pPr>
      <w:r w:rsidRPr="00563CF9">
        <w:rPr>
          <w:b/>
          <w:lang w:val="en-GB" w:bidi="en-GB"/>
        </w:rPr>
        <w:t>The SAO identified a risk in the area of ​​providing funds to the audited university hospitals by the founders</w:t>
      </w:r>
      <w:r w:rsidRPr="00563CF9">
        <w:rPr>
          <w:rStyle w:val="Znakapoznpodarou"/>
          <w:b/>
          <w:lang w:val="en-GB" w:bidi="en-GB"/>
        </w:rPr>
        <w:footnoteReference w:id="52"/>
      </w:r>
      <w:r w:rsidR="00E22E88" w:rsidRPr="00563CF9">
        <w:rPr>
          <w:noProof/>
          <w:lang w:val="en-GB" w:bidi="en-GB"/>
        </w:rPr>
        <w:t xml:space="preserve"> with possible negative impacts on both the provider and the recipient of state aid. During 2016, the MoH issued, within the meaning of Article 106(2) of the</w:t>
      </w:r>
      <w:r w:rsidRPr="00563CF9">
        <w:rPr>
          <w:i/>
          <w:lang w:val="en-GB" w:bidi="en-GB"/>
        </w:rPr>
        <w:t xml:space="preserve"> Treaty on the Functioning of the European Union</w:t>
      </w:r>
      <w:r w:rsidRPr="00563CF9">
        <w:rPr>
          <w:lang w:val="en-GB" w:bidi="en-GB"/>
        </w:rPr>
        <w:t>, a delegation act on services of general economic interest</w:t>
      </w:r>
      <w:r w:rsidRPr="00563CF9">
        <w:rPr>
          <w:rStyle w:val="Znakapoznpodarou"/>
          <w:lang w:val="en-GB" w:bidi="en-GB"/>
        </w:rPr>
        <w:footnoteReference w:id="53"/>
      </w:r>
      <w:r w:rsidRPr="00563CF9">
        <w:rPr>
          <w:lang w:val="en-GB" w:bidi="en-GB"/>
        </w:rPr>
        <w:t xml:space="preserve"> for investment at the BUH and the MUH. </w:t>
      </w:r>
      <w:r w:rsidRPr="00563CF9">
        <w:rPr>
          <w:b/>
          <w:lang w:val="en-GB" w:bidi="en-GB"/>
        </w:rPr>
        <w:t xml:space="preserve">The MoD did not in any way address the area related to the provision of funds, although the SAO had already alerted it to the risk in this area as part of Audit No. 15/38. </w:t>
      </w:r>
      <w:r w:rsidRPr="00563CF9">
        <w:rPr>
          <w:lang w:val="en-GB" w:bidi="en-GB"/>
        </w:rPr>
        <w:t xml:space="preserve">The CMH provided health services, which can be considered </w:t>
      </w:r>
      <w:r w:rsidR="001F64E7" w:rsidRPr="00563CF9">
        <w:rPr>
          <w:rStyle w:val="Znakapoznpodarou"/>
          <w:lang w:val="en-GB" w:bidi="en-GB"/>
        </w:rPr>
        <w:footnoteReference w:id="54"/>
      </w:r>
      <w:r w:rsidRPr="00563CF9">
        <w:rPr>
          <w:lang w:val="en-GB" w:bidi="en-GB"/>
        </w:rPr>
        <w:t xml:space="preserve"> economic activities</w:t>
      </w:r>
      <w:r w:rsidR="00C44DF9" w:rsidRPr="00563CF9">
        <w:rPr>
          <w:rStyle w:val="Znakapoznpodarou"/>
          <w:lang w:val="en-GB" w:bidi="en-GB"/>
        </w:rPr>
        <w:footnoteReference w:id="55"/>
      </w:r>
      <w:r w:rsidRPr="00563CF9">
        <w:rPr>
          <w:lang w:val="en-GB" w:bidi="en-GB"/>
        </w:rPr>
        <w:t xml:space="preserve"> according to the service of general economic interest manual within the meaning of European regulations. The CMH stated the following concerning the issue: “</w:t>
      </w:r>
      <w:r w:rsidRPr="00563CF9">
        <w:rPr>
          <w:i/>
          <w:lang w:val="en-GB" w:bidi="en-GB"/>
        </w:rPr>
        <w:t>The CMH charges an operating fee from the founder to analytical account 67110001 as the total amount for each month. The fee is not recorded in the accounts by individual activity.”</w:t>
      </w:r>
    </w:p>
    <w:p w:rsidR="008C6AEC" w:rsidRPr="00563CF9" w:rsidRDefault="008C6AEC" w:rsidP="008C6807">
      <w:pPr>
        <w:spacing w:before="120"/>
        <w:rPr>
          <w:rFonts w:cstheme="minorHAnsi"/>
          <w:noProof/>
          <w:color w:val="000000" w:themeColor="text1"/>
          <w:lang w:val="en-GB"/>
        </w:rPr>
      </w:pPr>
      <w:r w:rsidRPr="00563CF9">
        <w:rPr>
          <w:noProof/>
          <w:lang w:val="en-GB" w:bidi="en-GB"/>
        </w:rPr>
        <w:t>The MoD did not use the opportunity to consult this risk area with the Office for the Protection of Competition pursuant to Act No. 215/2004 Coll.</w:t>
      </w:r>
      <w:r w:rsidR="007C720D" w:rsidRPr="00563CF9">
        <w:rPr>
          <w:rStyle w:val="Znakapoznpodarou"/>
          <w:noProof/>
          <w:lang w:val="en-GB" w:bidi="en-GB"/>
        </w:rPr>
        <w:footnoteReference w:id="56"/>
      </w:r>
      <w:r w:rsidRPr="00563CF9">
        <w:rPr>
          <w:noProof/>
          <w:lang w:val="en-GB" w:bidi="en-GB"/>
        </w:rPr>
        <w:t xml:space="preserve"> or through it with the Commission of the European Union, as already stated in the Audit Conclusion of the SAO of Audit No. 15/38.</w:t>
      </w:r>
    </w:p>
    <w:p w:rsidR="008C6AEC" w:rsidRPr="00563CF9" w:rsidRDefault="000C1D64" w:rsidP="00757BF0">
      <w:pPr>
        <w:spacing w:before="240" w:after="120"/>
        <w:rPr>
          <w:rFonts w:cstheme="minorHAnsi"/>
          <w:b/>
          <w:noProof/>
          <w:color w:val="000000" w:themeColor="text1"/>
          <w:szCs w:val="24"/>
          <w:lang w:val="en-GB"/>
        </w:rPr>
      </w:pPr>
      <w:r w:rsidRPr="00563CF9">
        <w:rPr>
          <w:b/>
          <w:noProof/>
          <w:lang w:val="en-GB" w:bidi="en-GB"/>
        </w:rPr>
        <w:t>2.3 Bonuses provided by suppliers</w:t>
      </w:r>
    </w:p>
    <w:p w:rsidR="008C6AEC" w:rsidRPr="00563CF9" w:rsidRDefault="008C6AEC" w:rsidP="008C6807">
      <w:pPr>
        <w:autoSpaceDE w:val="0"/>
        <w:autoSpaceDN w:val="0"/>
        <w:adjustRightInd w:val="0"/>
        <w:spacing w:before="120"/>
        <w:rPr>
          <w:rFonts w:cs="Arial"/>
          <w:b/>
          <w:color w:val="000000" w:themeColor="text1"/>
          <w:szCs w:val="24"/>
          <w:lang w:val="en-GB"/>
        </w:rPr>
      </w:pPr>
      <w:r w:rsidRPr="00563CF9">
        <w:rPr>
          <w:lang w:val="en-GB" w:bidi="en-GB"/>
        </w:rPr>
        <w:t xml:space="preserve">The MoH regulated the bonus area by 3 February 2017 by Order of the Minister No. 3/2013 </w:t>
      </w:r>
      <w:r w:rsidRPr="00563CF9">
        <w:rPr>
          <w:i/>
          <w:lang w:val="en-GB" w:bidi="en-GB"/>
        </w:rPr>
        <w:t>Anti-Corruption Strategy of the Ministry of Health of the Czech Republic for directly managed organisations</w:t>
      </w:r>
      <w:r w:rsidRPr="00563CF9">
        <w:rPr>
          <w:rStyle w:val="Znakapoznpodarou"/>
          <w:lang w:val="en-GB" w:bidi="en-GB"/>
        </w:rPr>
        <w:footnoteReference w:id="57"/>
      </w:r>
      <w:r w:rsidRPr="00563CF9">
        <w:rPr>
          <w:lang w:val="en-GB" w:bidi="en-GB"/>
        </w:rPr>
        <w:t>, under which all quantitative and other bonuses relating to a particular business relationship should be specified in the relevant contract. With the exception of this obligation, the MoH did not define any further procedures or obligations in negotiating and using bonuses at the university hospitals.</w:t>
      </w:r>
      <w:r w:rsidRPr="00563CF9">
        <w:rPr>
          <w:b/>
          <w:lang w:val="en-GB" w:bidi="en-GB"/>
        </w:rPr>
        <w:t xml:space="preserve"> The MoH did not modify the issue of bonuses in the award procedures. </w:t>
      </w:r>
      <w:r w:rsidRPr="00563CF9">
        <w:rPr>
          <w:lang w:val="en-GB" w:bidi="en-GB"/>
        </w:rPr>
        <w:t xml:space="preserve">After receiving the audit protocol from the SAO, the MoH took corrective action in the form of Order of the Minister No. 13/2018, which, with effect from 1 September 2018, specifies the direct and non-direct bonuses, the conditions for their acceptance by the university hospitals, their handling, the principles of analytical records, and partially also reporting the SCM/SCMP price to health insurance companies. </w:t>
      </w:r>
      <w:r w:rsidRPr="00563CF9">
        <w:rPr>
          <w:b/>
          <w:lang w:val="en-GB" w:bidi="en-GB"/>
        </w:rPr>
        <w:t>The MoD did not regulate the bonus area methodically.</w:t>
      </w:r>
    </w:p>
    <w:p w:rsidR="00CE7241" w:rsidRPr="00563CF9" w:rsidRDefault="00CE7241" w:rsidP="008C6807">
      <w:pPr>
        <w:spacing w:before="120"/>
        <w:rPr>
          <w:szCs w:val="24"/>
          <w:lang w:val="en-GB"/>
        </w:rPr>
      </w:pPr>
      <w:r w:rsidRPr="00563CF9">
        <w:rPr>
          <w:lang w:val="en-GB" w:bidi="en-GB"/>
        </w:rPr>
        <w:t>The SAO, in light of the conclusions of this audit, stresses that, in order to ensure cost-effective management of bonuses, it is necessary to ensure transparency and reviewability of the bonus management process at the university hospitals in the following areas:</w:t>
      </w:r>
    </w:p>
    <w:p w:rsidR="00CE7241" w:rsidRPr="00563CF9" w:rsidRDefault="00CE7241" w:rsidP="008C6807">
      <w:pPr>
        <w:pStyle w:val="Odstavecseseznamem"/>
        <w:numPr>
          <w:ilvl w:val="0"/>
          <w:numId w:val="39"/>
        </w:numPr>
        <w:ind w:left="284" w:hanging="284"/>
        <w:rPr>
          <w:lang w:val="en-GB"/>
        </w:rPr>
      </w:pPr>
      <w:r w:rsidRPr="00563CF9">
        <w:rPr>
          <w:lang w:val="en-GB" w:bidi="en-GB"/>
        </w:rPr>
        <w:t xml:space="preserve">unambiguous identification of bonuses, definition of conditions and criteria for negotiations with suppliers in internal regulations, keeping written records of negotiations with suppliers and their archiving, obligation of a written form of bonus contract; </w:t>
      </w:r>
    </w:p>
    <w:p w:rsidR="00CE7241" w:rsidRPr="00563CF9" w:rsidRDefault="00CE7241" w:rsidP="008C6807">
      <w:pPr>
        <w:pStyle w:val="Odstavecseseznamem"/>
        <w:numPr>
          <w:ilvl w:val="0"/>
          <w:numId w:val="39"/>
        </w:numPr>
        <w:ind w:left="284" w:hanging="284"/>
        <w:rPr>
          <w:lang w:val="en-GB"/>
        </w:rPr>
      </w:pPr>
      <w:r w:rsidRPr="00563CF9">
        <w:rPr>
          <w:lang w:val="en-GB" w:bidi="en-GB"/>
        </w:rPr>
        <w:t xml:space="preserve">the use of the option to set both the price and the bonus as a criterion for the evaluation of offers in the context of the award procedure for pharmaceuticals and medical supplies; </w:t>
      </w:r>
    </w:p>
    <w:p w:rsidR="00CE7241" w:rsidRPr="00563CF9" w:rsidRDefault="00CE7241" w:rsidP="008C6807">
      <w:pPr>
        <w:pStyle w:val="Odstavecseseznamem"/>
        <w:numPr>
          <w:ilvl w:val="0"/>
          <w:numId w:val="39"/>
        </w:numPr>
        <w:ind w:left="284" w:hanging="284"/>
        <w:rPr>
          <w:lang w:val="en-GB"/>
        </w:rPr>
      </w:pPr>
      <w:r w:rsidRPr="00563CF9">
        <w:rPr>
          <w:lang w:val="en-GB" w:bidi="en-GB"/>
        </w:rPr>
        <w:t xml:space="preserve">keeping of bonus analytical records in accounting; </w:t>
      </w:r>
    </w:p>
    <w:p w:rsidR="00CE7241" w:rsidRPr="00563CF9" w:rsidRDefault="00CE7241" w:rsidP="008C6807">
      <w:pPr>
        <w:pStyle w:val="Odstavecseseznamem"/>
        <w:numPr>
          <w:ilvl w:val="0"/>
          <w:numId w:val="39"/>
        </w:numPr>
        <w:ind w:left="284" w:hanging="284"/>
        <w:rPr>
          <w:lang w:val="en-GB"/>
        </w:rPr>
      </w:pPr>
      <w:r w:rsidRPr="00563CF9">
        <w:rPr>
          <w:lang w:val="en-GB" w:bidi="en-GB"/>
        </w:rPr>
        <w:t>the use of bonus revenue only for the core business of the university hospital;</w:t>
      </w:r>
    </w:p>
    <w:p w:rsidR="00CE7241" w:rsidRPr="00563CF9" w:rsidRDefault="00CE7241" w:rsidP="008C6807">
      <w:pPr>
        <w:pStyle w:val="Odstavecseseznamem"/>
        <w:numPr>
          <w:ilvl w:val="0"/>
          <w:numId w:val="39"/>
        </w:numPr>
        <w:ind w:left="284" w:hanging="284"/>
        <w:rPr>
          <w:lang w:val="en-GB"/>
        </w:rPr>
      </w:pPr>
      <w:r w:rsidRPr="00563CF9">
        <w:rPr>
          <w:lang w:val="en-GB" w:bidi="en-GB"/>
        </w:rPr>
        <w:t>proper disclosure of the value of the subject-matter of the bonus contract in the register of contracts.</w:t>
      </w:r>
    </w:p>
    <w:p w:rsidR="008C6AEC" w:rsidRPr="00563CF9" w:rsidRDefault="000C1D64" w:rsidP="00757BF0">
      <w:pPr>
        <w:spacing w:before="240" w:after="120"/>
        <w:rPr>
          <w:rFonts w:cstheme="minorHAnsi"/>
          <w:b/>
          <w:noProof/>
          <w:color w:val="000000" w:themeColor="text1"/>
          <w:szCs w:val="24"/>
          <w:lang w:val="en-GB"/>
        </w:rPr>
      </w:pPr>
      <w:r w:rsidRPr="00563CF9">
        <w:rPr>
          <w:b/>
          <w:noProof/>
          <w:lang w:val="en-GB" w:bidi="en-GB"/>
        </w:rPr>
        <w:t>2.4 Endowment fund set up by the BUH</w:t>
      </w:r>
    </w:p>
    <w:p w:rsidR="008C6AEC" w:rsidRPr="00563CF9" w:rsidRDefault="008C6AEC" w:rsidP="008C6807">
      <w:pPr>
        <w:spacing w:before="120"/>
        <w:rPr>
          <w:rFonts w:cstheme="minorHAnsi"/>
          <w:b/>
          <w:noProof/>
          <w:color w:val="000000" w:themeColor="text1"/>
          <w:szCs w:val="24"/>
          <w:lang w:val="en-GB"/>
        </w:rPr>
      </w:pPr>
      <w:r w:rsidRPr="00563CF9">
        <w:rPr>
          <w:b/>
          <w:noProof/>
          <w:lang w:val="en-GB" w:bidi="en-GB"/>
        </w:rPr>
        <w:t xml:space="preserve">The SAO found at the MoH that the BUH was the founder of an endowment fund, and identified a risk of a non-transparent environment in the field of receiving financial and material sponsorship donations, and did not find relevant reasons for a further existence of that endowment fund which would contribute to the BUH core objectives. </w:t>
      </w:r>
      <w:r w:rsidRPr="00563CF9">
        <w:rPr>
          <w:noProof/>
          <w:lang w:val="en-GB" w:bidi="en-GB"/>
        </w:rPr>
        <w:t>It was not possible to find out the original donor or the amount of its donation to the endowment fund from the overview of donations to the BUH, which was regularly sent by the BUH to the MoH in the period under review, or from the donation information published on the BUH website. The SAO sees the risk of a non-transparent environment in that all received donations through the endowment fund established by the BUH lost any identification of the particular donor and the amount of the donation, as the donor may be a supplier at the same time.</w:t>
      </w:r>
    </w:p>
    <w:p w:rsidR="002F3783" w:rsidRPr="00563CF9" w:rsidRDefault="008C6AEC" w:rsidP="008C6807">
      <w:pPr>
        <w:spacing w:before="120"/>
        <w:rPr>
          <w:rFonts w:cstheme="minorHAnsi"/>
          <w:noProof/>
          <w:color w:val="000000" w:themeColor="text1"/>
          <w:szCs w:val="24"/>
          <w:lang w:val="en-GB"/>
        </w:rPr>
      </w:pPr>
      <w:r w:rsidRPr="00563CF9">
        <w:rPr>
          <w:noProof/>
          <w:lang w:val="en-GB" w:bidi="en-GB"/>
        </w:rPr>
        <w:t>In the period under review 2014-2016, the endowment fund provided pecuniary and material gifts to the BUH in ​​the total value of CZK 2,539,269.75.</w:t>
      </w:r>
    </w:p>
    <w:p w:rsidR="00402F03" w:rsidRPr="00563CF9" w:rsidRDefault="00402F03" w:rsidP="0068280A">
      <w:pPr>
        <w:jc w:val="left"/>
        <w:rPr>
          <w:rFonts w:cstheme="minorHAnsi"/>
          <w:noProof/>
          <w:szCs w:val="24"/>
          <w:lang w:val="en-GB"/>
        </w:rPr>
      </w:pPr>
    </w:p>
    <w:p w:rsidR="0068280A" w:rsidRPr="00563CF9" w:rsidRDefault="0068280A" w:rsidP="0068280A">
      <w:pPr>
        <w:jc w:val="left"/>
        <w:rPr>
          <w:rFonts w:cstheme="minorHAnsi"/>
          <w:noProof/>
          <w:szCs w:val="24"/>
          <w:lang w:val="en-GB"/>
        </w:rPr>
      </w:pPr>
    </w:p>
    <w:p w:rsidR="004C0F3E" w:rsidRPr="00563CF9" w:rsidRDefault="004C0F3E" w:rsidP="0068280A">
      <w:pPr>
        <w:rPr>
          <w:rFonts w:cstheme="minorHAnsi"/>
          <w:b/>
          <w:noProof/>
          <w:color w:val="000000" w:themeColor="text1"/>
          <w:szCs w:val="28"/>
          <w:lang w:val="en-GB"/>
        </w:rPr>
      </w:pPr>
      <w:r w:rsidRPr="00563CF9">
        <w:rPr>
          <w:b/>
          <w:noProof/>
          <w:lang w:val="en-GB" w:bidi="en-GB"/>
        </w:rPr>
        <w:t>List of abbreviations:</w:t>
      </w:r>
    </w:p>
    <w:p w:rsidR="004C0F3E" w:rsidRPr="00563CF9" w:rsidRDefault="004C0F3E" w:rsidP="0068280A">
      <w:pPr>
        <w:spacing w:before="80" w:after="80"/>
        <w:ind w:left="2835" w:hanging="2835"/>
        <w:rPr>
          <w:rFonts w:cstheme="minorHAnsi"/>
          <w:noProof/>
          <w:color w:val="000000" w:themeColor="text1"/>
          <w:szCs w:val="28"/>
          <w:lang w:val="en-GB"/>
        </w:rPr>
      </w:pPr>
      <w:r w:rsidRPr="00563CF9">
        <w:rPr>
          <w:noProof/>
          <w:lang w:val="en-GB" w:bidi="en-GB"/>
        </w:rPr>
        <w:t>ATC group</w:t>
      </w:r>
      <w:r w:rsidRPr="00563CF9">
        <w:rPr>
          <w:noProof/>
          <w:lang w:val="en-GB" w:bidi="en-GB"/>
        </w:rPr>
        <w:tab/>
        <w:t>Anatomical-therapeutical-chemical group (of pharmaceuticals)</w:t>
      </w:r>
    </w:p>
    <w:p w:rsidR="004C0F3E" w:rsidRDefault="004C0F3E" w:rsidP="0068280A">
      <w:pPr>
        <w:spacing w:before="80" w:after="80"/>
        <w:ind w:left="2835" w:hanging="2835"/>
        <w:rPr>
          <w:noProof/>
          <w:lang w:val="en-GB" w:bidi="en-GB"/>
        </w:rPr>
      </w:pPr>
      <w:r w:rsidRPr="00563CF9">
        <w:rPr>
          <w:noProof/>
          <w:lang w:val="en-GB" w:bidi="en-GB"/>
        </w:rPr>
        <w:t>CR (Czech Republic)</w:t>
      </w:r>
      <w:r w:rsidRPr="00563CF9">
        <w:rPr>
          <w:noProof/>
          <w:lang w:val="en-GB" w:bidi="en-GB"/>
        </w:rPr>
        <w:tab/>
        <w:t>Czech Republic</w:t>
      </w:r>
    </w:p>
    <w:p w:rsidR="003575B9" w:rsidRPr="00563CF9" w:rsidRDefault="003575B9" w:rsidP="0068280A">
      <w:pPr>
        <w:spacing w:before="80" w:after="80"/>
        <w:ind w:left="2835" w:hanging="2835"/>
        <w:rPr>
          <w:rFonts w:cstheme="minorHAnsi"/>
          <w:noProof/>
          <w:color w:val="000000" w:themeColor="text1"/>
          <w:szCs w:val="28"/>
          <w:lang w:val="en-GB"/>
        </w:rPr>
      </w:pPr>
      <w:r>
        <w:rPr>
          <w:noProof/>
          <w:lang w:val="en-GB" w:bidi="en-GB"/>
        </w:rPr>
        <w:t xml:space="preserve">HI Code                                      Health Insurance Code </w:t>
      </w:r>
    </w:p>
    <w:p w:rsidR="004C0F3E" w:rsidRPr="00563CF9" w:rsidRDefault="00226E22" w:rsidP="0068280A">
      <w:pPr>
        <w:spacing w:before="80" w:after="80"/>
        <w:ind w:left="2835" w:hanging="2835"/>
        <w:rPr>
          <w:rFonts w:cstheme="minorHAnsi"/>
          <w:noProof/>
          <w:color w:val="000000" w:themeColor="text1"/>
          <w:szCs w:val="28"/>
          <w:lang w:val="en-GB"/>
        </w:rPr>
      </w:pPr>
      <w:r w:rsidRPr="00563CF9">
        <w:rPr>
          <w:noProof/>
          <w:lang w:val="en-GB" w:bidi="en-GB"/>
        </w:rPr>
        <w:t>Medical device codebook</w:t>
      </w:r>
      <w:r w:rsidRPr="00563CF9">
        <w:rPr>
          <w:noProof/>
          <w:lang w:val="en-GB" w:bidi="en-GB"/>
        </w:rPr>
        <w:tab/>
        <w:t>Codebook of medical devices (SCM) – issued by the VZP CR</w:t>
      </w:r>
    </w:p>
    <w:p w:rsidR="004C0F3E" w:rsidRPr="00563CF9" w:rsidRDefault="004C0F3E" w:rsidP="0068280A">
      <w:pPr>
        <w:spacing w:before="80" w:after="80"/>
        <w:ind w:left="2835" w:hanging="2835"/>
        <w:rPr>
          <w:rFonts w:cstheme="minorHAnsi"/>
          <w:noProof/>
          <w:color w:val="000000" w:themeColor="text1"/>
          <w:szCs w:val="28"/>
          <w:lang w:val="en-GB"/>
        </w:rPr>
      </w:pPr>
      <w:r w:rsidRPr="00563CF9">
        <w:rPr>
          <w:noProof/>
          <w:lang w:val="en-GB" w:bidi="en-GB"/>
        </w:rPr>
        <w:t>VAT</w:t>
      </w:r>
      <w:r w:rsidRPr="00563CF9">
        <w:rPr>
          <w:noProof/>
          <w:lang w:val="en-GB" w:bidi="en-GB"/>
        </w:rPr>
        <w:tab/>
        <w:t>Value added tax</w:t>
      </w:r>
    </w:p>
    <w:p w:rsidR="009373D3" w:rsidRPr="00563CF9" w:rsidRDefault="009373D3" w:rsidP="0068280A">
      <w:pPr>
        <w:spacing w:before="80" w:after="80"/>
        <w:ind w:left="2835" w:hanging="2835"/>
        <w:rPr>
          <w:rFonts w:cstheme="minorHAnsi"/>
          <w:noProof/>
          <w:color w:val="000000" w:themeColor="text1"/>
          <w:szCs w:val="28"/>
          <w:lang w:val="en-GB"/>
        </w:rPr>
      </w:pPr>
      <w:r w:rsidRPr="00563CF9">
        <w:rPr>
          <w:noProof/>
          <w:lang w:val="en-GB" w:bidi="en-GB"/>
        </w:rPr>
        <w:t>DTP channel</w:t>
      </w:r>
      <w:r w:rsidRPr="00563CF9">
        <w:rPr>
          <w:noProof/>
          <w:lang w:val="en-GB" w:bidi="en-GB"/>
        </w:rPr>
        <w:tab/>
        <w:t>A method of distributing pharmaceuticals ordered directly from the manufacturer and supplied by an exclusive distributor</w:t>
      </w:r>
    </w:p>
    <w:p w:rsidR="004C0F3E" w:rsidRPr="00563CF9" w:rsidRDefault="004C0F3E" w:rsidP="0068280A">
      <w:pPr>
        <w:spacing w:before="80" w:after="80"/>
        <w:ind w:left="2835" w:hanging="2835"/>
        <w:rPr>
          <w:rFonts w:cstheme="minorHAnsi"/>
          <w:noProof/>
          <w:color w:val="000000" w:themeColor="text1"/>
          <w:szCs w:val="28"/>
          <w:lang w:val="en-GB"/>
        </w:rPr>
      </w:pPr>
      <w:r w:rsidRPr="00563CF9">
        <w:rPr>
          <w:noProof/>
          <w:lang w:val="en-GB" w:bidi="en-GB"/>
        </w:rPr>
        <w:t>University hospitals</w:t>
      </w:r>
      <w:r w:rsidRPr="00563CF9">
        <w:rPr>
          <w:noProof/>
          <w:lang w:val="en-GB" w:bidi="en-GB"/>
        </w:rPr>
        <w:tab/>
        <w:t>Audited hospitals (BUH, MUH and CMH)</w:t>
      </w:r>
    </w:p>
    <w:p w:rsidR="004C0F3E" w:rsidRPr="00563CF9" w:rsidRDefault="004C0F3E" w:rsidP="0068280A">
      <w:pPr>
        <w:spacing w:before="80" w:after="80"/>
        <w:ind w:left="2835" w:hanging="2835"/>
        <w:rPr>
          <w:rFonts w:cstheme="minorHAnsi"/>
          <w:noProof/>
          <w:color w:val="000000" w:themeColor="text1"/>
          <w:szCs w:val="28"/>
          <w:lang w:val="en-GB"/>
        </w:rPr>
      </w:pPr>
      <w:r w:rsidRPr="00563CF9">
        <w:rPr>
          <w:noProof/>
          <w:lang w:val="en-GB" w:bidi="en-GB"/>
        </w:rPr>
        <w:t>BUH</w:t>
      </w:r>
      <w:r w:rsidRPr="00563CF9">
        <w:rPr>
          <w:noProof/>
          <w:lang w:val="en-GB" w:bidi="en-GB"/>
        </w:rPr>
        <w:tab/>
        <w:t>Brno University Hospital</w:t>
      </w:r>
    </w:p>
    <w:p w:rsidR="004C0F3E" w:rsidRPr="00563CF9" w:rsidRDefault="004C0F3E" w:rsidP="0068280A">
      <w:pPr>
        <w:spacing w:before="80" w:after="80"/>
        <w:ind w:left="2835" w:hanging="2835"/>
        <w:rPr>
          <w:rFonts w:cstheme="minorHAnsi"/>
          <w:noProof/>
          <w:color w:val="000000" w:themeColor="text1"/>
          <w:szCs w:val="28"/>
          <w:lang w:val="en-GB"/>
        </w:rPr>
      </w:pPr>
      <w:r w:rsidRPr="00563CF9">
        <w:rPr>
          <w:noProof/>
          <w:lang w:val="en-GB" w:bidi="en-GB"/>
        </w:rPr>
        <w:t>MUH</w:t>
      </w:r>
      <w:r w:rsidRPr="00563CF9">
        <w:rPr>
          <w:noProof/>
          <w:lang w:val="en-GB" w:bidi="en-GB"/>
        </w:rPr>
        <w:tab/>
        <w:t>Motol University Hospital</w:t>
      </w:r>
    </w:p>
    <w:p w:rsidR="004C0F3E" w:rsidRPr="00563CF9" w:rsidRDefault="004C0F3E" w:rsidP="0068280A">
      <w:pPr>
        <w:spacing w:before="80" w:after="80"/>
        <w:ind w:left="2835" w:hanging="2835"/>
        <w:rPr>
          <w:rFonts w:cstheme="minorHAnsi"/>
          <w:noProof/>
          <w:color w:val="000000" w:themeColor="text1"/>
          <w:szCs w:val="28"/>
          <w:lang w:val="en-GB"/>
        </w:rPr>
      </w:pPr>
      <w:r w:rsidRPr="00563CF9">
        <w:rPr>
          <w:noProof/>
          <w:lang w:val="en-GB" w:bidi="en-GB"/>
        </w:rPr>
        <w:t>Pharmaceuticals</w:t>
      </w:r>
      <w:r w:rsidRPr="00563CF9">
        <w:rPr>
          <w:noProof/>
          <w:lang w:val="en-GB" w:bidi="en-GB"/>
        </w:rPr>
        <w:tab/>
        <w:t>Medicinal products</w:t>
      </w:r>
    </w:p>
    <w:p w:rsidR="004C0F3E" w:rsidRPr="00563CF9" w:rsidRDefault="004C0F3E" w:rsidP="0068280A">
      <w:pPr>
        <w:spacing w:before="80" w:after="80"/>
        <w:ind w:left="2835" w:hanging="2835"/>
        <w:rPr>
          <w:rFonts w:cstheme="minorHAnsi"/>
          <w:noProof/>
          <w:color w:val="000000" w:themeColor="text1"/>
          <w:szCs w:val="28"/>
          <w:lang w:val="en-GB"/>
        </w:rPr>
      </w:pPr>
      <w:r w:rsidRPr="00563CF9">
        <w:rPr>
          <w:noProof/>
          <w:lang w:val="en-GB" w:bidi="en-GB"/>
        </w:rPr>
        <w:t>Methodology</w:t>
      </w:r>
      <w:r w:rsidRPr="00563CF9">
        <w:rPr>
          <w:noProof/>
          <w:lang w:val="en-GB" w:bidi="en-GB"/>
        </w:rPr>
        <w:tab/>
        <w:t>Methodology for obtaining and transferring documents to the VZP CR</w:t>
      </w:r>
    </w:p>
    <w:p w:rsidR="004C0F3E" w:rsidRPr="00563CF9" w:rsidRDefault="004C0F3E" w:rsidP="0068280A">
      <w:pPr>
        <w:spacing w:before="80" w:after="80"/>
        <w:ind w:left="2835" w:hanging="2835"/>
        <w:rPr>
          <w:rFonts w:cstheme="minorHAnsi"/>
          <w:noProof/>
          <w:color w:val="000000" w:themeColor="text1"/>
          <w:szCs w:val="28"/>
          <w:lang w:val="en-GB"/>
        </w:rPr>
      </w:pPr>
      <w:r w:rsidRPr="00563CF9">
        <w:rPr>
          <w:noProof/>
          <w:lang w:val="en-GB" w:bidi="en-GB"/>
        </w:rPr>
        <w:t>MoH</w:t>
      </w:r>
      <w:r w:rsidRPr="00563CF9">
        <w:rPr>
          <w:noProof/>
          <w:lang w:val="en-GB" w:bidi="en-GB"/>
        </w:rPr>
        <w:tab/>
        <w:t>Ministry of Health</w:t>
      </w:r>
    </w:p>
    <w:p w:rsidR="004C0F3E" w:rsidRPr="00563CF9" w:rsidRDefault="004C0F3E" w:rsidP="0068280A">
      <w:pPr>
        <w:spacing w:before="80" w:after="80"/>
        <w:ind w:left="2835" w:hanging="2835"/>
        <w:rPr>
          <w:rFonts w:cstheme="minorHAnsi"/>
          <w:noProof/>
          <w:color w:val="000000" w:themeColor="text1"/>
          <w:szCs w:val="28"/>
          <w:lang w:val="en-GB"/>
        </w:rPr>
      </w:pPr>
      <w:r w:rsidRPr="00563CF9">
        <w:rPr>
          <w:noProof/>
          <w:lang w:val="en-GB" w:bidi="en-GB"/>
        </w:rPr>
        <w:t>MoD</w:t>
      </w:r>
      <w:r w:rsidRPr="00563CF9">
        <w:rPr>
          <w:noProof/>
          <w:lang w:val="en-GB" w:bidi="en-GB"/>
        </w:rPr>
        <w:tab/>
        <w:t>Ministry of Defence</w:t>
      </w:r>
    </w:p>
    <w:p w:rsidR="004C0F3E" w:rsidRPr="00563CF9" w:rsidRDefault="004C0F3E" w:rsidP="0068280A">
      <w:pPr>
        <w:spacing w:before="80" w:after="80"/>
        <w:ind w:left="2835" w:hanging="2835"/>
        <w:rPr>
          <w:rFonts w:cstheme="minorHAnsi"/>
          <w:noProof/>
          <w:color w:val="000000" w:themeColor="text1"/>
          <w:szCs w:val="28"/>
          <w:lang w:val="en-GB"/>
        </w:rPr>
      </w:pPr>
      <w:r w:rsidRPr="00563CF9">
        <w:rPr>
          <w:noProof/>
          <w:lang w:val="en-GB" w:bidi="en-GB"/>
        </w:rPr>
        <w:t>SAO</w:t>
      </w:r>
      <w:r w:rsidRPr="00563CF9">
        <w:rPr>
          <w:noProof/>
          <w:lang w:val="en-GB" w:bidi="en-GB"/>
        </w:rPr>
        <w:tab/>
        <w:t>Supreme Audit Office</w:t>
      </w:r>
    </w:p>
    <w:p w:rsidR="004C0F3E" w:rsidRPr="00563CF9" w:rsidRDefault="004C0F3E" w:rsidP="0068280A">
      <w:pPr>
        <w:spacing w:before="80" w:after="80"/>
        <w:ind w:left="2835" w:hanging="2835"/>
        <w:rPr>
          <w:rFonts w:cstheme="minorHAnsi"/>
          <w:noProof/>
          <w:color w:val="000000" w:themeColor="text1"/>
          <w:szCs w:val="28"/>
          <w:lang w:val="en-GB"/>
        </w:rPr>
      </w:pPr>
      <w:r w:rsidRPr="00563CF9">
        <w:rPr>
          <w:noProof/>
          <w:lang w:val="en-GB" w:bidi="en-GB"/>
        </w:rPr>
        <w:t>SÚKL</w:t>
      </w:r>
      <w:r w:rsidRPr="00563CF9">
        <w:rPr>
          <w:noProof/>
          <w:lang w:val="en-GB" w:bidi="en-GB"/>
        </w:rPr>
        <w:tab/>
        <w:t>State Institute for Drug Control</w:t>
      </w:r>
    </w:p>
    <w:p w:rsidR="004C0F3E" w:rsidRPr="00563CF9" w:rsidRDefault="004C0F3E" w:rsidP="0068280A">
      <w:pPr>
        <w:spacing w:before="80" w:after="80"/>
        <w:ind w:left="2835" w:hanging="2835"/>
        <w:rPr>
          <w:rFonts w:cstheme="minorHAnsi"/>
          <w:noProof/>
          <w:color w:val="000000" w:themeColor="text1"/>
          <w:szCs w:val="28"/>
          <w:lang w:val="en-GB"/>
        </w:rPr>
      </w:pPr>
      <w:r w:rsidRPr="00563CF9">
        <w:rPr>
          <w:noProof/>
          <w:lang w:val="en-GB" w:bidi="en-GB"/>
        </w:rPr>
        <w:t>CMH</w:t>
      </w:r>
      <w:r w:rsidRPr="00563CF9">
        <w:rPr>
          <w:noProof/>
          <w:lang w:val="en-GB" w:bidi="en-GB"/>
        </w:rPr>
        <w:tab/>
        <w:t>Central Military Hospital – Military University Hospital Prague</w:t>
      </w:r>
    </w:p>
    <w:p w:rsidR="006F5D3A" w:rsidRPr="00563CF9" w:rsidRDefault="006F5D3A" w:rsidP="0068280A">
      <w:pPr>
        <w:spacing w:before="80" w:after="80"/>
        <w:ind w:left="2835" w:hanging="2835"/>
        <w:rPr>
          <w:rFonts w:cstheme="minorHAnsi"/>
          <w:noProof/>
          <w:color w:val="000000" w:themeColor="text1"/>
          <w:szCs w:val="28"/>
          <w:lang w:val="en-GB"/>
        </w:rPr>
      </w:pPr>
      <w:r w:rsidRPr="00563CF9">
        <w:rPr>
          <w:noProof/>
          <w:lang w:val="en-GB" w:bidi="en-GB"/>
        </w:rPr>
        <w:t>VZP CR</w:t>
      </w:r>
      <w:r w:rsidRPr="00563CF9">
        <w:rPr>
          <w:noProof/>
          <w:lang w:val="en-GB" w:bidi="en-GB"/>
        </w:rPr>
        <w:tab/>
        <w:t>General Health Insurance Company of the Czech Republic (Všeobecná zdravotní pojišťovna)</w:t>
      </w:r>
    </w:p>
    <w:p w:rsidR="004C0F3E" w:rsidRPr="00563CF9" w:rsidRDefault="004C0F3E" w:rsidP="0068280A">
      <w:pPr>
        <w:spacing w:before="80" w:after="80"/>
        <w:ind w:left="2835" w:hanging="2835"/>
        <w:rPr>
          <w:rFonts w:cstheme="minorHAnsi"/>
          <w:noProof/>
          <w:color w:val="000000" w:themeColor="text1"/>
          <w:szCs w:val="28"/>
          <w:lang w:val="en-GB"/>
        </w:rPr>
      </w:pPr>
      <w:r w:rsidRPr="00563CF9">
        <w:rPr>
          <w:noProof/>
          <w:lang w:val="en-GB" w:bidi="en-GB"/>
        </w:rPr>
        <w:t>Medical devices</w:t>
      </w:r>
      <w:r w:rsidRPr="00563CF9">
        <w:rPr>
          <w:noProof/>
          <w:lang w:val="en-GB" w:bidi="en-GB"/>
        </w:rPr>
        <w:tab/>
        <w:t>Medical device</w:t>
      </w:r>
    </w:p>
    <w:p w:rsidR="004C0F3E" w:rsidRPr="00563CF9" w:rsidRDefault="004C0F3E" w:rsidP="0068280A">
      <w:pPr>
        <w:spacing w:before="80" w:after="80"/>
        <w:ind w:left="2835" w:hanging="2835"/>
        <w:rPr>
          <w:rFonts w:cstheme="minorHAnsi"/>
          <w:noProof/>
          <w:color w:val="000000" w:themeColor="text1"/>
          <w:szCs w:val="28"/>
          <w:lang w:val="en-GB"/>
        </w:rPr>
      </w:pPr>
      <w:r w:rsidRPr="00563CF9">
        <w:rPr>
          <w:noProof/>
          <w:lang w:val="en-GB" w:bidi="en-GB"/>
        </w:rPr>
        <w:t>SCMP</w:t>
      </w:r>
      <w:r w:rsidRPr="00563CF9">
        <w:rPr>
          <w:noProof/>
          <w:lang w:val="en-GB" w:bidi="en-GB"/>
        </w:rPr>
        <w:tab/>
        <w:t>Separately charged medicinal products</w:t>
      </w:r>
    </w:p>
    <w:p w:rsidR="004C0F3E" w:rsidRPr="00563CF9" w:rsidRDefault="004C0F3E" w:rsidP="0068280A">
      <w:pPr>
        <w:spacing w:before="80" w:after="80"/>
        <w:ind w:left="2835" w:hanging="2835"/>
        <w:rPr>
          <w:rFonts w:cstheme="minorHAnsi"/>
          <w:noProof/>
          <w:color w:val="000000" w:themeColor="text1"/>
          <w:szCs w:val="28"/>
          <w:lang w:val="en-GB"/>
        </w:rPr>
      </w:pPr>
      <w:r w:rsidRPr="00563CF9">
        <w:rPr>
          <w:noProof/>
          <w:lang w:val="en-GB" w:bidi="en-GB"/>
        </w:rPr>
        <w:t>SCM</w:t>
      </w:r>
      <w:r w:rsidRPr="00563CF9">
        <w:rPr>
          <w:noProof/>
          <w:lang w:val="en-GB" w:bidi="en-GB"/>
        </w:rPr>
        <w:tab/>
        <w:t>Separately charged material</w:t>
      </w:r>
    </w:p>
    <w:p w:rsidR="004C0F3E" w:rsidRPr="00563CF9" w:rsidRDefault="004C0F3E" w:rsidP="0068280A">
      <w:pPr>
        <w:rPr>
          <w:rFonts w:cstheme="minorHAnsi"/>
          <w:b/>
          <w:strike/>
          <w:noProof/>
          <w:color w:val="000000" w:themeColor="text1"/>
          <w:szCs w:val="28"/>
          <w:lang w:val="en-GB"/>
        </w:rPr>
      </w:pPr>
    </w:p>
    <w:p w:rsidR="0068280A" w:rsidRPr="00563CF9" w:rsidRDefault="0068280A">
      <w:pPr>
        <w:jc w:val="left"/>
        <w:rPr>
          <w:rFonts w:cstheme="minorHAnsi"/>
          <w:noProof/>
          <w:color w:val="000000" w:themeColor="text1"/>
          <w:szCs w:val="28"/>
          <w:lang w:val="en-GB"/>
        </w:rPr>
      </w:pPr>
    </w:p>
    <w:p w:rsidR="0068280A" w:rsidRPr="00563CF9" w:rsidRDefault="0068280A" w:rsidP="0068280A">
      <w:pPr>
        <w:jc w:val="right"/>
        <w:rPr>
          <w:rFonts w:cstheme="minorHAnsi"/>
          <w:b/>
          <w:noProof/>
          <w:color w:val="000000" w:themeColor="text1"/>
          <w:szCs w:val="28"/>
          <w:lang w:val="en-GB"/>
        </w:rPr>
        <w:sectPr w:rsidR="0068280A" w:rsidRPr="00563CF9" w:rsidSect="00AC339B">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9" w:footer="709" w:gutter="0"/>
          <w:cols w:space="708"/>
          <w:titlePg/>
          <w:docGrid w:linePitch="360"/>
        </w:sectPr>
      </w:pPr>
    </w:p>
    <w:p w:rsidR="0068280A" w:rsidRPr="00563CF9" w:rsidRDefault="0068280A" w:rsidP="0068280A">
      <w:pPr>
        <w:jc w:val="right"/>
        <w:rPr>
          <w:rFonts w:cstheme="minorHAnsi"/>
          <w:b/>
          <w:noProof/>
          <w:color w:val="000000" w:themeColor="text1"/>
          <w:szCs w:val="28"/>
          <w:lang w:val="en-GB"/>
        </w:rPr>
      </w:pPr>
      <w:r w:rsidRPr="00563CF9">
        <w:rPr>
          <w:b/>
          <w:noProof/>
          <w:lang w:val="en-GB" w:bidi="en-GB"/>
        </w:rPr>
        <w:t>Annex 1</w:t>
      </w:r>
    </w:p>
    <w:p w:rsidR="0068280A" w:rsidRPr="00563CF9" w:rsidRDefault="0068280A" w:rsidP="0068280A">
      <w:pPr>
        <w:spacing w:before="120" w:after="40"/>
        <w:rPr>
          <w:rFonts w:cstheme="minorHAnsi"/>
          <w:b/>
          <w:noProof/>
          <w:color w:val="000000" w:themeColor="text1"/>
          <w:szCs w:val="28"/>
          <w:lang w:val="en-GB"/>
        </w:rPr>
      </w:pPr>
      <w:r w:rsidRPr="00563CF9">
        <w:rPr>
          <w:b/>
          <w:noProof/>
          <w:lang w:val="en-GB" w:bidi="en-GB"/>
        </w:rPr>
        <w:t>Price differences of unit prices of centric drugs</w:t>
      </w:r>
    </w:p>
    <w:tbl>
      <w:tblPr>
        <w:tblW w:w="9270" w:type="dxa"/>
        <w:tblLayout w:type="fixed"/>
        <w:tblCellMar>
          <w:left w:w="70" w:type="dxa"/>
          <w:right w:w="70" w:type="dxa"/>
        </w:tblCellMar>
        <w:tblLook w:val="04A0" w:firstRow="1" w:lastRow="0" w:firstColumn="1" w:lastColumn="0" w:noHBand="0" w:noVBand="1"/>
      </w:tblPr>
      <w:tblGrid>
        <w:gridCol w:w="737"/>
        <w:gridCol w:w="510"/>
        <w:gridCol w:w="964"/>
        <w:gridCol w:w="1304"/>
        <w:gridCol w:w="993"/>
        <w:gridCol w:w="1304"/>
        <w:gridCol w:w="779"/>
        <w:gridCol w:w="128"/>
        <w:gridCol w:w="737"/>
        <w:gridCol w:w="850"/>
        <w:gridCol w:w="964"/>
      </w:tblGrid>
      <w:tr w:rsidR="00260BC6" w:rsidRPr="00563CF9" w:rsidTr="002C3E65">
        <w:trPr>
          <w:trHeight w:val="227"/>
        </w:trPr>
        <w:tc>
          <w:tcPr>
            <w:tcW w:w="737" w:type="dxa"/>
            <w:tcBorders>
              <w:top w:val="single" w:sz="4" w:space="0" w:color="auto"/>
              <w:left w:val="single" w:sz="4" w:space="0" w:color="auto"/>
              <w:bottom w:val="single" w:sz="4" w:space="0" w:color="auto"/>
              <w:right w:val="single" w:sz="4" w:space="0" w:color="auto"/>
            </w:tcBorders>
            <w:shd w:val="clear" w:color="000000" w:fill="E5F1FF"/>
            <w:noWrap/>
            <w:vAlign w:val="center"/>
            <w:hideMark/>
          </w:tcPr>
          <w:p w:rsidR="0068280A" w:rsidRPr="00563CF9" w:rsidRDefault="0068280A" w:rsidP="004A6B9C">
            <w:pPr>
              <w:spacing w:before="20" w:after="20"/>
              <w:ind w:left="-57" w:right="-57"/>
              <w:jc w:val="center"/>
              <w:rPr>
                <w:rFonts w:ascii="Calibri" w:hAnsi="Calibri" w:cs="Calibri"/>
                <w:b/>
                <w:bCs/>
                <w:color w:val="000000"/>
                <w:sz w:val="18"/>
                <w:szCs w:val="18"/>
                <w:lang w:val="en-GB"/>
              </w:rPr>
            </w:pPr>
            <w:r w:rsidRPr="00563CF9">
              <w:rPr>
                <w:b/>
                <w:sz w:val="18"/>
                <w:lang w:val="en-GB" w:bidi="en-GB"/>
              </w:rPr>
              <w:t>SÚKL code</w:t>
            </w:r>
            <w:r w:rsidRPr="00563CF9">
              <w:rPr>
                <w:rStyle w:val="Znakapoznpodarou"/>
                <w:b/>
                <w:sz w:val="18"/>
                <w:lang w:val="en-GB" w:bidi="en-GB"/>
              </w:rPr>
              <w:footnoteReference w:id="58"/>
            </w:r>
          </w:p>
        </w:tc>
        <w:tc>
          <w:tcPr>
            <w:tcW w:w="510" w:type="dxa"/>
            <w:tcBorders>
              <w:top w:val="single" w:sz="4" w:space="0" w:color="auto"/>
              <w:left w:val="nil"/>
              <w:bottom w:val="single" w:sz="4" w:space="0" w:color="auto"/>
              <w:right w:val="single" w:sz="4" w:space="0" w:color="auto"/>
            </w:tcBorders>
            <w:shd w:val="clear" w:color="000000" w:fill="E5F1FF"/>
            <w:noWrap/>
            <w:vAlign w:val="center"/>
            <w:hideMark/>
          </w:tcPr>
          <w:p w:rsidR="0068280A" w:rsidRPr="00563CF9" w:rsidRDefault="0068280A" w:rsidP="004A6B9C">
            <w:pPr>
              <w:spacing w:before="20" w:after="20"/>
              <w:jc w:val="center"/>
              <w:rPr>
                <w:rFonts w:ascii="Calibri" w:hAnsi="Calibri" w:cs="Calibri"/>
                <w:b/>
                <w:bCs/>
                <w:color w:val="000000"/>
                <w:sz w:val="18"/>
                <w:szCs w:val="18"/>
                <w:lang w:val="en-GB"/>
              </w:rPr>
            </w:pPr>
            <w:r w:rsidRPr="00563CF9">
              <w:rPr>
                <w:b/>
                <w:sz w:val="18"/>
                <w:lang w:val="en-GB" w:bidi="en-GB"/>
              </w:rPr>
              <w:t>Year</w:t>
            </w:r>
          </w:p>
        </w:tc>
        <w:tc>
          <w:tcPr>
            <w:tcW w:w="964" w:type="dxa"/>
            <w:tcBorders>
              <w:top w:val="single" w:sz="4" w:space="0" w:color="auto"/>
              <w:left w:val="nil"/>
              <w:bottom w:val="single" w:sz="4" w:space="0" w:color="auto"/>
              <w:right w:val="single" w:sz="4" w:space="0" w:color="auto"/>
            </w:tcBorders>
            <w:shd w:val="clear" w:color="000000" w:fill="E5F1FF"/>
            <w:noWrap/>
            <w:vAlign w:val="center"/>
            <w:hideMark/>
          </w:tcPr>
          <w:p w:rsidR="0068280A" w:rsidRPr="00563CF9" w:rsidRDefault="0068280A" w:rsidP="004A6B9C">
            <w:pPr>
              <w:spacing w:before="20" w:after="20"/>
              <w:ind w:left="-57" w:right="-57"/>
              <w:jc w:val="center"/>
              <w:rPr>
                <w:rFonts w:ascii="Calibri" w:hAnsi="Calibri" w:cs="Calibri"/>
                <w:b/>
                <w:bCs/>
                <w:color w:val="000000"/>
                <w:sz w:val="18"/>
                <w:szCs w:val="18"/>
                <w:lang w:val="en-GB"/>
              </w:rPr>
            </w:pPr>
            <w:r w:rsidRPr="00563CF9">
              <w:rPr>
                <w:b/>
                <w:sz w:val="18"/>
                <w:lang w:val="en-GB" w:bidi="en-GB"/>
              </w:rPr>
              <w:t>Minimum unit price in CZK</w:t>
            </w:r>
          </w:p>
        </w:tc>
        <w:tc>
          <w:tcPr>
            <w:tcW w:w="1304" w:type="dxa"/>
            <w:tcBorders>
              <w:top w:val="single" w:sz="4" w:space="0" w:color="auto"/>
              <w:left w:val="nil"/>
              <w:bottom w:val="single" w:sz="4" w:space="0" w:color="auto"/>
              <w:right w:val="single" w:sz="4" w:space="0" w:color="auto"/>
            </w:tcBorders>
            <w:shd w:val="clear" w:color="000000" w:fill="E5F1FF"/>
            <w:vAlign w:val="center"/>
            <w:hideMark/>
          </w:tcPr>
          <w:p w:rsidR="0068280A" w:rsidRPr="00563CF9" w:rsidRDefault="00260BC6" w:rsidP="004A6B9C">
            <w:pPr>
              <w:spacing w:before="20" w:after="20"/>
              <w:jc w:val="center"/>
              <w:rPr>
                <w:rFonts w:ascii="Calibri" w:hAnsi="Calibri" w:cs="Calibri"/>
                <w:b/>
                <w:bCs/>
                <w:color w:val="000000"/>
                <w:sz w:val="18"/>
                <w:szCs w:val="18"/>
                <w:lang w:val="en-GB"/>
              </w:rPr>
            </w:pPr>
            <w:r w:rsidRPr="00563CF9">
              <w:rPr>
                <w:b/>
                <w:sz w:val="18"/>
                <w:lang w:val="en-GB" w:bidi="en-GB"/>
              </w:rPr>
              <w:t>Hospitals with minimum unit price</w:t>
            </w:r>
          </w:p>
        </w:tc>
        <w:tc>
          <w:tcPr>
            <w:tcW w:w="993" w:type="dxa"/>
            <w:tcBorders>
              <w:top w:val="single" w:sz="4" w:space="0" w:color="auto"/>
              <w:left w:val="nil"/>
              <w:bottom w:val="single" w:sz="4" w:space="0" w:color="auto"/>
              <w:right w:val="single" w:sz="4" w:space="0" w:color="auto"/>
            </w:tcBorders>
            <w:shd w:val="clear" w:color="000000" w:fill="E5F1FF"/>
            <w:noWrap/>
            <w:vAlign w:val="center"/>
            <w:hideMark/>
          </w:tcPr>
          <w:p w:rsidR="0068280A" w:rsidRPr="00563CF9" w:rsidRDefault="0068280A" w:rsidP="004A6B9C">
            <w:pPr>
              <w:spacing w:before="20" w:after="20"/>
              <w:jc w:val="center"/>
              <w:rPr>
                <w:rFonts w:ascii="Calibri" w:hAnsi="Calibri" w:cs="Calibri"/>
                <w:b/>
                <w:bCs/>
                <w:color w:val="000000"/>
                <w:sz w:val="18"/>
                <w:szCs w:val="18"/>
                <w:lang w:val="en-GB"/>
              </w:rPr>
            </w:pPr>
            <w:r w:rsidRPr="00563CF9">
              <w:rPr>
                <w:b/>
                <w:sz w:val="18"/>
                <w:lang w:val="en-GB" w:bidi="en-GB"/>
              </w:rPr>
              <w:t>Maximum unit price in CZK</w:t>
            </w:r>
          </w:p>
        </w:tc>
        <w:tc>
          <w:tcPr>
            <w:tcW w:w="1304" w:type="dxa"/>
            <w:tcBorders>
              <w:top w:val="single" w:sz="4" w:space="0" w:color="auto"/>
              <w:left w:val="nil"/>
              <w:bottom w:val="single" w:sz="4" w:space="0" w:color="auto"/>
              <w:right w:val="single" w:sz="4" w:space="0" w:color="auto"/>
            </w:tcBorders>
            <w:shd w:val="clear" w:color="000000" w:fill="E5F1FF"/>
            <w:vAlign w:val="center"/>
            <w:hideMark/>
          </w:tcPr>
          <w:p w:rsidR="0068280A" w:rsidRPr="00563CF9" w:rsidRDefault="0068280A" w:rsidP="004A6B9C">
            <w:pPr>
              <w:spacing w:before="20" w:after="20"/>
              <w:jc w:val="center"/>
              <w:rPr>
                <w:rFonts w:ascii="Calibri" w:hAnsi="Calibri" w:cs="Calibri"/>
                <w:b/>
                <w:bCs/>
                <w:color w:val="000000"/>
                <w:sz w:val="18"/>
                <w:szCs w:val="18"/>
                <w:lang w:val="en-GB"/>
              </w:rPr>
            </w:pPr>
            <w:r w:rsidRPr="00563CF9">
              <w:rPr>
                <w:b/>
                <w:sz w:val="18"/>
                <w:lang w:val="en-GB" w:bidi="en-GB"/>
              </w:rPr>
              <w:t>Hospitals with maximum unit price</w:t>
            </w:r>
          </w:p>
        </w:tc>
        <w:tc>
          <w:tcPr>
            <w:tcW w:w="779" w:type="dxa"/>
            <w:tcBorders>
              <w:top w:val="single" w:sz="4" w:space="0" w:color="auto"/>
              <w:left w:val="nil"/>
              <w:bottom w:val="single" w:sz="4" w:space="0" w:color="auto"/>
              <w:right w:val="single" w:sz="4" w:space="0" w:color="auto"/>
            </w:tcBorders>
            <w:shd w:val="clear" w:color="000000" w:fill="E5F1FF"/>
            <w:noWrap/>
            <w:vAlign w:val="center"/>
            <w:hideMark/>
          </w:tcPr>
          <w:p w:rsidR="0068280A" w:rsidRPr="00563CF9" w:rsidRDefault="0068280A" w:rsidP="004A6B9C">
            <w:pPr>
              <w:spacing w:before="20" w:after="20"/>
              <w:jc w:val="center"/>
              <w:rPr>
                <w:rFonts w:ascii="Calibri" w:hAnsi="Calibri" w:cs="Calibri"/>
                <w:b/>
                <w:bCs/>
                <w:color w:val="000000"/>
                <w:sz w:val="14"/>
                <w:szCs w:val="14"/>
                <w:lang w:val="en-GB"/>
              </w:rPr>
            </w:pPr>
            <w:r w:rsidRPr="00563CF9">
              <w:rPr>
                <w:b/>
                <w:sz w:val="14"/>
                <w:szCs w:val="14"/>
                <w:lang w:val="en-GB" w:bidi="en-GB"/>
              </w:rPr>
              <w:t>Difference</w:t>
            </w:r>
            <w:r w:rsidRPr="00563CF9">
              <w:rPr>
                <w:b/>
                <w:sz w:val="14"/>
                <w:szCs w:val="14"/>
                <w:lang w:val="en-GB" w:bidi="en-GB"/>
              </w:rPr>
              <w:br/>
              <w:t>in CZK</w:t>
            </w:r>
          </w:p>
        </w:tc>
        <w:tc>
          <w:tcPr>
            <w:tcW w:w="865" w:type="dxa"/>
            <w:gridSpan w:val="2"/>
            <w:tcBorders>
              <w:top w:val="single" w:sz="4" w:space="0" w:color="auto"/>
              <w:left w:val="nil"/>
              <w:bottom w:val="single" w:sz="4" w:space="0" w:color="auto"/>
              <w:right w:val="single" w:sz="4" w:space="0" w:color="auto"/>
            </w:tcBorders>
            <w:shd w:val="clear" w:color="000000" w:fill="E5F1FF"/>
            <w:noWrap/>
            <w:vAlign w:val="center"/>
            <w:hideMark/>
          </w:tcPr>
          <w:p w:rsidR="0068280A" w:rsidRPr="00563CF9" w:rsidRDefault="005D44DF" w:rsidP="005D44DF">
            <w:pPr>
              <w:spacing w:before="20" w:after="20"/>
              <w:ind w:right="57"/>
              <w:jc w:val="center"/>
              <w:rPr>
                <w:rFonts w:ascii="Calibri" w:hAnsi="Calibri" w:cs="Calibri"/>
                <w:b/>
                <w:bCs/>
                <w:color w:val="000000"/>
                <w:sz w:val="14"/>
                <w:szCs w:val="14"/>
                <w:lang w:val="en-GB"/>
              </w:rPr>
            </w:pPr>
            <w:r w:rsidRPr="00563CF9">
              <w:rPr>
                <w:b/>
                <w:sz w:val="14"/>
                <w:szCs w:val="14"/>
                <w:lang w:val="en-GB" w:bidi="en-GB"/>
              </w:rPr>
              <w:t>Difference in %</w:t>
            </w:r>
          </w:p>
        </w:tc>
        <w:tc>
          <w:tcPr>
            <w:tcW w:w="850" w:type="dxa"/>
            <w:tcBorders>
              <w:top w:val="single" w:sz="4" w:space="0" w:color="auto"/>
              <w:left w:val="nil"/>
              <w:bottom w:val="single" w:sz="4" w:space="0" w:color="auto"/>
              <w:right w:val="single" w:sz="4" w:space="0" w:color="auto"/>
            </w:tcBorders>
            <w:shd w:val="clear" w:color="000000" w:fill="E5F1FF"/>
            <w:vAlign w:val="center"/>
            <w:hideMark/>
          </w:tcPr>
          <w:p w:rsidR="0068280A" w:rsidRPr="00563CF9" w:rsidRDefault="0068280A" w:rsidP="004A6B9C">
            <w:pPr>
              <w:spacing w:before="20" w:after="20"/>
              <w:ind w:left="-57" w:right="-57"/>
              <w:jc w:val="center"/>
              <w:rPr>
                <w:rFonts w:ascii="Calibri" w:hAnsi="Calibri" w:cs="Calibri"/>
                <w:b/>
                <w:bCs/>
                <w:color w:val="000000"/>
                <w:sz w:val="18"/>
                <w:szCs w:val="18"/>
                <w:lang w:val="en-GB"/>
              </w:rPr>
            </w:pPr>
            <w:r w:rsidRPr="00563CF9">
              <w:rPr>
                <w:b/>
                <w:sz w:val="18"/>
                <w:lang w:val="en-GB" w:bidi="en-GB"/>
              </w:rPr>
              <w:t>Number of hospitals in the sample</w:t>
            </w:r>
          </w:p>
        </w:tc>
        <w:tc>
          <w:tcPr>
            <w:tcW w:w="964" w:type="dxa"/>
            <w:tcBorders>
              <w:top w:val="single" w:sz="4" w:space="0" w:color="auto"/>
              <w:left w:val="nil"/>
              <w:bottom w:val="single" w:sz="4" w:space="0" w:color="auto"/>
              <w:right w:val="single" w:sz="4" w:space="0" w:color="auto"/>
            </w:tcBorders>
            <w:shd w:val="clear" w:color="000000" w:fill="E5F1FF"/>
            <w:vAlign w:val="center"/>
            <w:hideMark/>
          </w:tcPr>
          <w:p w:rsidR="0068280A" w:rsidRPr="00563CF9" w:rsidRDefault="0068280A" w:rsidP="004A6B9C">
            <w:pPr>
              <w:spacing w:before="20" w:after="20"/>
              <w:ind w:left="-57" w:right="-57"/>
              <w:jc w:val="center"/>
              <w:rPr>
                <w:rFonts w:ascii="Calibri" w:hAnsi="Calibri" w:cs="Calibri"/>
                <w:b/>
                <w:bCs/>
                <w:color w:val="000000"/>
                <w:sz w:val="18"/>
                <w:szCs w:val="18"/>
                <w:lang w:val="en-GB"/>
              </w:rPr>
            </w:pPr>
            <w:r w:rsidRPr="00563CF9">
              <w:rPr>
                <w:b/>
                <w:sz w:val="18"/>
                <w:lang w:val="en-GB" w:bidi="en-GB"/>
              </w:rPr>
              <w:t>Number of suppliers in the sample</w:t>
            </w:r>
          </w:p>
        </w:tc>
      </w:tr>
      <w:tr w:rsidR="00260BC6" w:rsidRPr="00563CF9" w:rsidTr="009D6C3F">
        <w:trPr>
          <w:trHeight w:val="227"/>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ind w:left="-57" w:right="-57"/>
              <w:jc w:val="center"/>
              <w:rPr>
                <w:rFonts w:ascii="Calibri" w:hAnsi="Calibri" w:cs="Calibri"/>
                <w:color w:val="000000"/>
                <w:sz w:val="18"/>
                <w:szCs w:val="18"/>
                <w:lang w:val="en-GB"/>
              </w:rPr>
            </w:pPr>
            <w:r w:rsidRPr="00563CF9">
              <w:rPr>
                <w:sz w:val="18"/>
                <w:lang w:val="en-GB" w:bidi="en-GB"/>
              </w:rPr>
              <w:t>0025566</w:t>
            </w:r>
          </w:p>
        </w:tc>
        <w:tc>
          <w:tcPr>
            <w:tcW w:w="510"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2014</w:t>
            </w:r>
          </w:p>
        </w:tc>
        <w:tc>
          <w:tcPr>
            <w:tcW w:w="96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22,035.51</w:t>
            </w:r>
          </w:p>
        </w:tc>
        <w:tc>
          <w:tcPr>
            <w:tcW w:w="130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MUH</w:t>
            </w:r>
          </w:p>
        </w:tc>
        <w:tc>
          <w:tcPr>
            <w:tcW w:w="993" w:type="dxa"/>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25,751.04</w:t>
            </w:r>
          </w:p>
        </w:tc>
        <w:tc>
          <w:tcPr>
            <w:tcW w:w="1304" w:type="dxa"/>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BUH, CMH</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3,715.53</w:t>
            </w:r>
          </w:p>
        </w:tc>
        <w:tc>
          <w:tcPr>
            <w:tcW w:w="737"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5D44DF">
            <w:pPr>
              <w:spacing w:before="20" w:after="20"/>
              <w:ind w:right="57"/>
              <w:jc w:val="right"/>
              <w:rPr>
                <w:rFonts w:ascii="Calibri" w:hAnsi="Calibri" w:cs="Calibri"/>
                <w:color w:val="000000"/>
                <w:sz w:val="18"/>
                <w:szCs w:val="18"/>
                <w:lang w:val="en-GB"/>
              </w:rPr>
            </w:pPr>
            <w:r w:rsidRPr="00563CF9">
              <w:rPr>
                <w:sz w:val="18"/>
                <w:lang w:val="en-GB" w:bidi="en-GB"/>
              </w:rPr>
              <w:t>16.86</w:t>
            </w:r>
          </w:p>
        </w:tc>
        <w:tc>
          <w:tcPr>
            <w:tcW w:w="850"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ind w:right="57"/>
              <w:jc w:val="right"/>
              <w:rPr>
                <w:rFonts w:ascii="Calibri" w:hAnsi="Calibri" w:cs="Calibri"/>
                <w:color w:val="000000"/>
                <w:sz w:val="18"/>
                <w:szCs w:val="18"/>
                <w:lang w:val="en-GB"/>
              </w:rPr>
            </w:pPr>
            <w:r w:rsidRPr="00563CF9">
              <w:rPr>
                <w:sz w:val="18"/>
                <w:lang w:val="en-GB" w:bidi="en-GB"/>
              </w:rPr>
              <w:t>3</w:t>
            </w:r>
          </w:p>
        </w:tc>
        <w:tc>
          <w:tcPr>
            <w:tcW w:w="96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ind w:right="57"/>
              <w:jc w:val="right"/>
              <w:rPr>
                <w:rFonts w:ascii="Calibri" w:hAnsi="Calibri" w:cs="Calibri"/>
                <w:color w:val="000000"/>
                <w:sz w:val="18"/>
                <w:szCs w:val="18"/>
                <w:lang w:val="en-GB"/>
              </w:rPr>
            </w:pPr>
            <w:r w:rsidRPr="00563CF9">
              <w:rPr>
                <w:sz w:val="18"/>
                <w:lang w:val="en-GB" w:bidi="en-GB"/>
              </w:rPr>
              <w:t>5</w:t>
            </w:r>
          </w:p>
        </w:tc>
      </w:tr>
      <w:tr w:rsidR="00260BC6" w:rsidRPr="00563CF9" w:rsidTr="009D6C3F">
        <w:trPr>
          <w:trHeight w:val="227"/>
        </w:trPr>
        <w:tc>
          <w:tcPr>
            <w:tcW w:w="737" w:type="dxa"/>
            <w:vMerge/>
            <w:tcBorders>
              <w:top w:val="nil"/>
              <w:left w:val="single" w:sz="4" w:space="0" w:color="auto"/>
              <w:bottom w:val="single" w:sz="4" w:space="0" w:color="auto"/>
              <w:right w:val="single" w:sz="4" w:space="0" w:color="auto"/>
            </w:tcBorders>
            <w:vAlign w:val="center"/>
            <w:hideMark/>
          </w:tcPr>
          <w:p w:rsidR="0068280A" w:rsidRPr="00563CF9" w:rsidRDefault="0068280A" w:rsidP="004A6B9C">
            <w:pPr>
              <w:spacing w:before="20" w:after="20"/>
              <w:ind w:left="-57" w:right="-57"/>
              <w:rPr>
                <w:rFonts w:ascii="Calibri" w:hAnsi="Calibri" w:cs="Calibri"/>
                <w:color w:val="000000"/>
                <w:sz w:val="18"/>
                <w:szCs w:val="18"/>
                <w:lang w:val="en-GB"/>
              </w:rPr>
            </w:pPr>
          </w:p>
        </w:tc>
        <w:tc>
          <w:tcPr>
            <w:tcW w:w="510"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2015</w:t>
            </w:r>
          </w:p>
        </w:tc>
        <w:tc>
          <w:tcPr>
            <w:tcW w:w="96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15,290.00</w:t>
            </w:r>
          </w:p>
        </w:tc>
        <w:tc>
          <w:tcPr>
            <w:tcW w:w="130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BUH</w:t>
            </w:r>
          </w:p>
        </w:tc>
        <w:tc>
          <w:tcPr>
            <w:tcW w:w="993" w:type="dxa"/>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21,274.43</w:t>
            </w:r>
          </w:p>
        </w:tc>
        <w:tc>
          <w:tcPr>
            <w:tcW w:w="1304" w:type="dxa"/>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MUH</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5,984.43</w:t>
            </w:r>
          </w:p>
        </w:tc>
        <w:tc>
          <w:tcPr>
            <w:tcW w:w="737"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5D44DF">
            <w:pPr>
              <w:spacing w:before="20" w:after="20"/>
              <w:ind w:right="57"/>
              <w:jc w:val="right"/>
              <w:rPr>
                <w:rFonts w:ascii="Calibri" w:hAnsi="Calibri" w:cs="Calibri"/>
                <w:color w:val="000000"/>
                <w:sz w:val="18"/>
                <w:szCs w:val="18"/>
                <w:lang w:val="en-GB"/>
              </w:rPr>
            </w:pPr>
            <w:r w:rsidRPr="00563CF9">
              <w:rPr>
                <w:sz w:val="18"/>
                <w:lang w:val="en-GB" w:bidi="en-GB"/>
              </w:rPr>
              <w:t>39.14</w:t>
            </w:r>
          </w:p>
        </w:tc>
        <w:tc>
          <w:tcPr>
            <w:tcW w:w="850"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ind w:right="57"/>
              <w:jc w:val="right"/>
              <w:rPr>
                <w:rFonts w:ascii="Calibri" w:hAnsi="Calibri" w:cs="Calibri"/>
                <w:color w:val="000000"/>
                <w:sz w:val="18"/>
                <w:szCs w:val="18"/>
                <w:lang w:val="en-GB"/>
              </w:rPr>
            </w:pPr>
            <w:r w:rsidRPr="00563CF9">
              <w:rPr>
                <w:sz w:val="18"/>
                <w:lang w:val="en-GB" w:bidi="en-GB"/>
              </w:rPr>
              <w:t>3</w:t>
            </w:r>
          </w:p>
        </w:tc>
        <w:tc>
          <w:tcPr>
            <w:tcW w:w="96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ind w:right="57"/>
              <w:jc w:val="right"/>
              <w:rPr>
                <w:rFonts w:ascii="Calibri" w:hAnsi="Calibri" w:cs="Calibri"/>
                <w:color w:val="000000"/>
                <w:sz w:val="18"/>
                <w:szCs w:val="18"/>
                <w:lang w:val="en-GB"/>
              </w:rPr>
            </w:pPr>
            <w:r w:rsidRPr="00563CF9">
              <w:rPr>
                <w:sz w:val="18"/>
                <w:lang w:val="en-GB" w:bidi="en-GB"/>
              </w:rPr>
              <w:t>5</w:t>
            </w:r>
          </w:p>
        </w:tc>
      </w:tr>
      <w:tr w:rsidR="00260BC6" w:rsidRPr="00563CF9" w:rsidTr="009D6C3F">
        <w:trPr>
          <w:trHeight w:val="227"/>
        </w:trPr>
        <w:tc>
          <w:tcPr>
            <w:tcW w:w="737" w:type="dxa"/>
            <w:vMerge/>
            <w:tcBorders>
              <w:top w:val="nil"/>
              <w:left w:val="single" w:sz="4" w:space="0" w:color="auto"/>
              <w:bottom w:val="single" w:sz="4" w:space="0" w:color="auto"/>
              <w:right w:val="single" w:sz="4" w:space="0" w:color="auto"/>
            </w:tcBorders>
            <w:vAlign w:val="center"/>
            <w:hideMark/>
          </w:tcPr>
          <w:p w:rsidR="0068280A" w:rsidRPr="00563CF9" w:rsidRDefault="0068280A" w:rsidP="004A6B9C">
            <w:pPr>
              <w:spacing w:before="20" w:after="20"/>
              <w:ind w:left="-57" w:right="-57"/>
              <w:rPr>
                <w:rFonts w:ascii="Calibri" w:hAnsi="Calibri" w:cs="Calibri"/>
                <w:color w:val="000000"/>
                <w:sz w:val="18"/>
                <w:szCs w:val="18"/>
                <w:lang w:val="en-GB"/>
              </w:rPr>
            </w:pPr>
          </w:p>
        </w:tc>
        <w:tc>
          <w:tcPr>
            <w:tcW w:w="510"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2016</w:t>
            </w:r>
          </w:p>
        </w:tc>
        <w:tc>
          <w:tcPr>
            <w:tcW w:w="96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20,951.84</w:t>
            </w:r>
          </w:p>
        </w:tc>
        <w:tc>
          <w:tcPr>
            <w:tcW w:w="130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MUH</w:t>
            </w:r>
          </w:p>
        </w:tc>
        <w:tc>
          <w:tcPr>
            <w:tcW w:w="993" w:type="dxa"/>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21,467.85</w:t>
            </w:r>
          </w:p>
        </w:tc>
        <w:tc>
          <w:tcPr>
            <w:tcW w:w="1304" w:type="dxa"/>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BUH</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516.01</w:t>
            </w:r>
          </w:p>
        </w:tc>
        <w:tc>
          <w:tcPr>
            <w:tcW w:w="737"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5D44DF">
            <w:pPr>
              <w:spacing w:before="20" w:after="20"/>
              <w:ind w:right="57"/>
              <w:jc w:val="right"/>
              <w:rPr>
                <w:rFonts w:ascii="Calibri" w:hAnsi="Calibri" w:cs="Calibri"/>
                <w:color w:val="000000"/>
                <w:sz w:val="18"/>
                <w:szCs w:val="18"/>
                <w:lang w:val="en-GB"/>
              </w:rPr>
            </w:pPr>
            <w:r w:rsidRPr="00563CF9">
              <w:rPr>
                <w:sz w:val="18"/>
                <w:lang w:val="en-GB" w:bidi="en-GB"/>
              </w:rPr>
              <w:t>2.46</w:t>
            </w:r>
          </w:p>
        </w:tc>
        <w:tc>
          <w:tcPr>
            <w:tcW w:w="850"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ind w:right="57"/>
              <w:jc w:val="right"/>
              <w:rPr>
                <w:rFonts w:ascii="Calibri" w:hAnsi="Calibri" w:cs="Calibri"/>
                <w:color w:val="000000"/>
                <w:sz w:val="18"/>
                <w:szCs w:val="18"/>
                <w:lang w:val="en-GB"/>
              </w:rPr>
            </w:pPr>
            <w:r w:rsidRPr="00563CF9">
              <w:rPr>
                <w:sz w:val="18"/>
                <w:lang w:val="en-GB" w:bidi="en-GB"/>
              </w:rPr>
              <w:t>3</w:t>
            </w:r>
          </w:p>
        </w:tc>
        <w:tc>
          <w:tcPr>
            <w:tcW w:w="96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ind w:right="57"/>
              <w:jc w:val="right"/>
              <w:rPr>
                <w:rFonts w:ascii="Calibri" w:hAnsi="Calibri" w:cs="Calibri"/>
                <w:color w:val="000000"/>
                <w:sz w:val="18"/>
                <w:szCs w:val="18"/>
                <w:lang w:val="en-GB"/>
              </w:rPr>
            </w:pPr>
            <w:r w:rsidRPr="00563CF9">
              <w:rPr>
                <w:sz w:val="18"/>
                <w:lang w:val="en-GB" w:bidi="en-GB"/>
              </w:rPr>
              <w:t>4</w:t>
            </w:r>
          </w:p>
        </w:tc>
      </w:tr>
      <w:tr w:rsidR="00260BC6" w:rsidRPr="00563CF9" w:rsidTr="009D6C3F">
        <w:trPr>
          <w:trHeight w:val="227"/>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ind w:left="-57" w:right="-57"/>
              <w:jc w:val="center"/>
              <w:rPr>
                <w:rFonts w:ascii="Calibri" w:hAnsi="Calibri" w:cs="Calibri"/>
                <w:color w:val="000000"/>
                <w:sz w:val="18"/>
                <w:szCs w:val="18"/>
                <w:lang w:val="en-GB"/>
              </w:rPr>
            </w:pPr>
            <w:r w:rsidRPr="00563CF9">
              <w:rPr>
                <w:sz w:val="18"/>
                <w:lang w:val="en-GB" w:bidi="en-GB"/>
              </w:rPr>
              <w:t>0027283</w:t>
            </w:r>
          </w:p>
        </w:tc>
        <w:tc>
          <w:tcPr>
            <w:tcW w:w="510"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2014</w:t>
            </w:r>
          </w:p>
        </w:tc>
        <w:tc>
          <w:tcPr>
            <w:tcW w:w="96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11,740.55</w:t>
            </w:r>
          </w:p>
        </w:tc>
        <w:tc>
          <w:tcPr>
            <w:tcW w:w="130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BUH</w:t>
            </w:r>
          </w:p>
        </w:tc>
        <w:tc>
          <w:tcPr>
            <w:tcW w:w="993" w:type="dxa"/>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14,130.10</w:t>
            </w:r>
          </w:p>
        </w:tc>
        <w:tc>
          <w:tcPr>
            <w:tcW w:w="1304" w:type="dxa"/>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CMH</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2,389.55</w:t>
            </w:r>
          </w:p>
        </w:tc>
        <w:tc>
          <w:tcPr>
            <w:tcW w:w="737"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5D44DF">
            <w:pPr>
              <w:spacing w:before="20" w:after="20"/>
              <w:ind w:right="57"/>
              <w:jc w:val="right"/>
              <w:rPr>
                <w:rFonts w:ascii="Calibri" w:hAnsi="Calibri" w:cs="Calibri"/>
                <w:color w:val="000000"/>
                <w:sz w:val="18"/>
                <w:szCs w:val="18"/>
                <w:lang w:val="en-GB"/>
              </w:rPr>
            </w:pPr>
            <w:r w:rsidRPr="00563CF9">
              <w:rPr>
                <w:sz w:val="18"/>
                <w:lang w:val="en-GB" w:bidi="en-GB"/>
              </w:rPr>
              <w:t>20.35</w:t>
            </w:r>
          </w:p>
        </w:tc>
        <w:tc>
          <w:tcPr>
            <w:tcW w:w="850"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ind w:right="57"/>
              <w:jc w:val="right"/>
              <w:rPr>
                <w:rFonts w:ascii="Calibri" w:hAnsi="Calibri" w:cs="Calibri"/>
                <w:color w:val="000000"/>
                <w:sz w:val="18"/>
                <w:szCs w:val="18"/>
                <w:lang w:val="en-GB"/>
              </w:rPr>
            </w:pPr>
            <w:r w:rsidRPr="00563CF9">
              <w:rPr>
                <w:sz w:val="18"/>
                <w:lang w:val="en-GB" w:bidi="en-GB"/>
              </w:rPr>
              <w:t>3</w:t>
            </w:r>
          </w:p>
        </w:tc>
        <w:tc>
          <w:tcPr>
            <w:tcW w:w="96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ind w:right="57"/>
              <w:jc w:val="right"/>
              <w:rPr>
                <w:rFonts w:ascii="Calibri" w:hAnsi="Calibri" w:cs="Calibri"/>
                <w:color w:val="000000"/>
                <w:sz w:val="18"/>
                <w:szCs w:val="18"/>
                <w:lang w:val="en-GB"/>
              </w:rPr>
            </w:pPr>
            <w:r w:rsidRPr="00563CF9">
              <w:rPr>
                <w:sz w:val="18"/>
                <w:lang w:val="en-GB" w:bidi="en-GB"/>
              </w:rPr>
              <w:t>5</w:t>
            </w:r>
          </w:p>
        </w:tc>
      </w:tr>
      <w:tr w:rsidR="00260BC6" w:rsidRPr="00563CF9" w:rsidTr="009D6C3F">
        <w:trPr>
          <w:trHeight w:val="227"/>
        </w:trPr>
        <w:tc>
          <w:tcPr>
            <w:tcW w:w="737" w:type="dxa"/>
            <w:vMerge/>
            <w:tcBorders>
              <w:top w:val="nil"/>
              <w:left w:val="single" w:sz="4" w:space="0" w:color="auto"/>
              <w:bottom w:val="single" w:sz="4" w:space="0" w:color="auto"/>
              <w:right w:val="single" w:sz="4" w:space="0" w:color="auto"/>
            </w:tcBorders>
            <w:vAlign w:val="center"/>
            <w:hideMark/>
          </w:tcPr>
          <w:p w:rsidR="0068280A" w:rsidRPr="00563CF9" w:rsidRDefault="0068280A" w:rsidP="004A6B9C">
            <w:pPr>
              <w:spacing w:before="20" w:after="20"/>
              <w:ind w:left="-57" w:right="-57"/>
              <w:rPr>
                <w:rFonts w:ascii="Calibri" w:hAnsi="Calibri" w:cs="Calibri"/>
                <w:color w:val="000000"/>
                <w:sz w:val="18"/>
                <w:szCs w:val="18"/>
                <w:lang w:val="en-GB"/>
              </w:rPr>
            </w:pPr>
          </w:p>
        </w:tc>
        <w:tc>
          <w:tcPr>
            <w:tcW w:w="510"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2015</w:t>
            </w:r>
          </w:p>
        </w:tc>
        <w:tc>
          <w:tcPr>
            <w:tcW w:w="96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9,294.76</w:t>
            </w:r>
          </w:p>
        </w:tc>
        <w:tc>
          <w:tcPr>
            <w:tcW w:w="130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MUH</w:t>
            </w:r>
          </w:p>
        </w:tc>
        <w:tc>
          <w:tcPr>
            <w:tcW w:w="993" w:type="dxa"/>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11,555.76</w:t>
            </w:r>
          </w:p>
        </w:tc>
        <w:tc>
          <w:tcPr>
            <w:tcW w:w="1304" w:type="dxa"/>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BUH</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2,261.00</w:t>
            </w:r>
          </w:p>
        </w:tc>
        <w:tc>
          <w:tcPr>
            <w:tcW w:w="737"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5D44DF">
            <w:pPr>
              <w:spacing w:before="20" w:after="20"/>
              <w:ind w:right="57"/>
              <w:jc w:val="right"/>
              <w:rPr>
                <w:rFonts w:ascii="Calibri" w:hAnsi="Calibri" w:cs="Calibri"/>
                <w:color w:val="000000"/>
                <w:sz w:val="18"/>
                <w:szCs w:val="18"/>
                <w:lang w:val="en-GB"/>
              </w:rPr>
            </w:pPr>
            <w:r w:rsidRPr="00563CF9">
              <w:rPr>
                <w:sz w:val="18"/>
                <w:lang w:val="en-GB" w:bidi="en-GB"/>
              </w:rPr>
              <w:t>24.33</w:t>
            </w:r>
          </w:p>
        </w:tc>
        <w:tc>
          <w:tcPr>
            <w:tcW w:w="850"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ind w:right="57"/>
              <w:jc w:val="right"/>
              <w:rPr>
                <w:rFonts w:ascii="Calibri" w:hAnsi="Calibri" w:cs="Calibri"/>
                <w:color w:val="000000"/>
                <w:sz w:val="18"/>
                <w:szCs w:val="18"/>
                <w:lang w:val="en-GB"/>
              </w:rPr>
            </w:pPr>
            <w:r w:rsidRPr="00563CF9">
              <w:rPr>
                <w:sz w:val="18"/>
                <w:lang w:val="en-GB" w:bidi="en-GB"/>
              </w:rPr>
              <w:t>3</w:t>
            </w:r>
          </w:p>
        </w:tc>
        <w:tc>
          <w:tcPr>
            <w:tcW w:w="96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ind w:right="57"/>
              <w:jc w:val="right"/>
              <w:rPr>
                <w:rFonts w:ascii="Calibri" w:hAnsi="Calibri" w:cs="Calibri"/>
                <w:color w:val="000000"/>
                <w:sz w:val="18"/>
                <w:szCs w:val="18"/>
                <w:lang w:val="en-GB"/>
              </w:rPr>
            </w:pPr>
            <w:r w:rsidRPr="00563CF9">
              <w:rPr>
                <w:sz w:val="18"/>
                <w:lang w:val="en-GB" w:bidi="en-GB"/>
              </w:rPr>
              <w:t>4</w:t>
            </w:r>
          </w:p>
        </w:tc>
      </w:tr>
      <w:tr w:rsidR="00260BC6" w:rsidRPr="00563CF9" w:rsidTr="009D6C3F">
        <w:trPr>
          <w:trHeight w:val="227"/>
        </w:trPr>
        <w:tc>
          <w:tcPr>
            <w:tcW w:w="737" w:type="dxa"/>
            <w:vMerge/>
            <w:tcBorders>
              <w:top w:val="nil"/>
              <w:left w:val="single" w:sz="4" w:space="0" w:color="auto"/>
              <w:bottom w:val="single" w:sz="4" w:space="0" w:color="auto"/>
              <w:right w:val="single" w:sz="4" w:space="0" w:color="auto"/>
            </w:tcBorders>
            <w:vAlign w:val="center"/>
            <w:hideMark/>
          </w:tcPr>
          <w:p w:rsidR="0068280A" w:rsidRPr="00563CF9" w:rsidRDefault="0068280A" w:rsidP="004A6B9C">
            <w:pPr>
              <w:spacing w:before="20" w:after="20"/>
              <w:ind w:left="-57" w:right="-57"/>
              <w:rPr>
                <w:rFonts w:ascii="Calibri" w:hAnsi="Calibri" w:cs="Calibri"/>
                <w:color w:val="000000"/>
                <w:sz w:val="18"/>
                <w:szCs w:val="18"/>
                <w:lang w:val="en-GB"/>
              </w:rPr>
            </w:pPr>
          </w:p>
        </w:tc>
        <w:tc>
          <w:tcPr>
            <w:tcW w:w="510"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2016</w:t>
            </w:r>
          </w:p>
        </w:tc>
        <w:tc>
          <w:tcPr>
            <w:tcW w:w="96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9,294.76</w:t>
            </w:r>
          </w:p>
        </w:tc>
        <w:tc>
          <w:tcPr>
            <w:tcW w:w="130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MUH</w:t>
            </w:r>
          </w:p>
        </w:tc>
        <w:tc>
          <w:tcPr>
            <w:tcW w:w="993" w:type="dxa"/>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9,378.00</w:t>
            </w:r>
          </w:p>
        </w:tc>
        <w:tc>
          <w:tcPr>
            <w:tcW w:w="1304" w:type="dxa"/>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CMH</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83.24</w:t>
            </w:r>
          </w:p>
        </w:tc>
        <w:tc>
          <w:tcPr>
            <w:tcW w:w="737"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5D44DF">
            <w:pPr>
              <w:spacing w:before="20" w:after="20"/>
              <w:ind w:right="57"/>
              <w:jc w:val="right"/>
              <w:rPr>
                <w:rFonts w:ascii="Calibri" w:hAnsi="Calibri" w:cs="Calibri"/>
                <w:color w:val="000000"/>
                <w:sz w:val="18"/>
                <w:szCs w:val="18"/>
                <w:lang w:val="en-GB"/>
              </w:rPr>
            </w:pPr>
            <w:r w:rsidRPr="00563CF9">
              <w:rPr>
                <w:sz w:val="18"/>
                <w:lang w:val="en-GB" w:bidi="en-GB"/>
              </w:rPr>
              <w:t>0.90</w:t>
            </w:r>
          </w:p>
        </w:tc>
        <w:tc>
          <w:tcPr>
            <w:tcW w:w="850"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ind w:right="57"/>
              <w:jc w:val="right"/>
              <w:rPr>
                <w:rFonts w:ascii="Calibri" w:hAnsi="Calibri" w:cs="Calibri"/>
                <w:color w:val="000000"/>
                <w:sz w:val="18"/>
                <w:szCs w:val="18"/>
                <w:lang w:val="en-GB"/>
              </w:rPr>
            </w:pPr>
            <w:r w:rsidRPr="00563CF9">
              <w:rPr>
                <w:sz w:val="18"/>
                <w:lang w:val="en-GB" w:bidi="en-GB"/>
              </w:rPr>
              <w:t>2</w:t>
            </w:r>
          </w:p>
        </w:tc>
        <w:tc>
          <w:tcPr>
            <w:tcW w:w="96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ind w:right="57"/>
              <w:jc w:val="right"/>
              <w:rPr>
                <w:rFonts w:ascii="Calibri" w:hAnsi="Calibri" w:cs="Calibri"/>
                <w:color w:val="000000"/>
                <w:sz w:val="18"/>
                <w:szCs w:val="18"/>
                <w:lang w:val="en-GB"/>
              </w:rPr>
            </w:pPr>
            <w:r w:rsidRPr="00563CF9">
              <w:rPr>
                <w:sz w:val="18"/>
                <w:lang w:val="en-GB" w:bidi="en-GB"/>
              </w:rPr>
              <w:t>3</w:t>
            </w:r>
          </w:p>
        </w:tc>
      </w:tr>
      <w:tr w:rsidR="00260BC6" w:rsidRPr="00563CF9" w:rsidTr="009D6C3F">
        <w:trPr>
          <w:trHeight w:val="227"/>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ind w:left="-57" w:right="-57"/>
              <w:jc w:val="center"/>
              <w:rPr>
                <w:rFonts w:ascii="Calibri" w:hAnsi="Calibri" w:cs="Calibri"/>
                <w:color w:val="000000"/>
                <w:sz w:val="18"/>
                <w:szCs w:val="18"/>
                <w:lang w:val="en-GB"/>
              </w:rPr>
            </w:pPr>
            <w:r w:rsidRPr="00563CF9">
              <w:rPr>
                <w:sz w:val="18"/>
                <w:lang w:val="en-GB" w:bidi="en-GB"/>
              </w:rPr>
              <w:t>0027905</w:t>
            </w:r>
          </w:p>
        </w:tc>
        <w:tc>
          <w:tcPr>
            <w:tcW w:w="510"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2014</w:t>
            </w:r>
          </w:p>
        </w:tc>
        <w:tc>
          <w:tcPr>
            <w:tcW w:w="96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20,903.24</w:t>
            </w:r>
          </w:p>
        </w:tc>
        <w:tc>
          <w:tcPr>
            <w:tcW w:w="130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MUH</w:t>
            </w:r>
          </w:p>
        </w:tc>
        <w:tc>
          <w:tcPr>
            <w:tcW w:w="993" w:type="dxa"/>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24,538.92</w:t>
            </w:r>
          </w:p>
        </w:tc>
        <w:tc>
          <w:tcPr>
            <w:tcW w:w="1304" w:type="dxa"/>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BUH</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3,635.68</w:t>
            </w:r>
          </w:p>
        </w:tc>
        <w:tc>
          <w:tcPr>
            <w:tcW w:w="737"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5D44DF">
            <w:pPr>
              <w:spacing w:before="20" w:after="20"/>
              <w:ind w:right="57"/>
              <w:jc w:val="right"/>
              <w:rPr>
                <w:rFonts w:ascii="Calibri" w:hAnsi="Calibri" w:cs="Calibri"/>
                <w:color w:val="000000"/>
                <w:sz w:val="18"/>
                <w:szCs w:val="18"/>
                <w:lang w:val="en-GB"/>
              </w:rPr>
            </w:pPr>
            <w:r w:rsidRPr="00563CF9">
              <w:rPr>
                <w:sz w:val="18"/>
                <w:lang w:val="en-GB" w:bidi="en-GB"/>
              </w:rPr>
              <w:t>17.39</w:t>
            </w:r>
          </w:p>
        </w:tc>
        <w:tc>
          <w:tcPr>
            <w:tcW w:w="850"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ind w:right="57"/>
              <w:jc w:val="right"/>
              <w:rPr>
                <w:rFonts w:ascii="Calibri" w:hAnsi="Calibri" w:cs="Calibri"/>
                <w:color w:val="000000"/>
                <w:sz w:val="18"/>
                <w:szCs w:val="18"/>
                <w:lang w:val="en-GB"/>
              </w:rPr>
            </w:pPr>
            <w:r w:rsidRPr="00563CF9">
              <w:rPr>
                <w:sz w:val="18"/>
                <w:lang w:val="en-GB" w:bidi="en-GB"/>
              </w:rPr>
              <w:t>3</w:t>
            </w:r>
          </w:p>
        </w:tc>
        <w:tc>
          <w:tcPr>
            <w:tcW w:w="96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ind w:right="57"/>
              <w:jc w:val="right"/>
              <w:rPr>
                <w:rFonts w:ascii="Calibri" w:hAnsi="Calibri" w:cs="Calibri"/>
                <w:color w:val="000000"/>
                <w:sz w:val="18"/>
                <w:szCs w:val="18"/>
                <w:lang w:val="en-GB"/>
              </w:rPr>
            </w:pPr>
            <w:r w:rsidRPr="00563CF9">
              <w:rPr>
                <w:sz w:val="18"/>
                <w:lang w:val="en-GB" w:bidi="en-GB"/>
              </w:rPr>
              <w:t>4</w:t>
            </w:r>
          </w:p>
        </w:tc>
      </w:tr>
      <w:tr w:rsidR="00260BC6" w:rsidRPr="00563CF9" w:rsidTr="009D6C3F">
        <w:trPr>
          <w:trHeight w:val="227"/>
        </w:trPr>
        <w:tc>
          <w:tcPr>
            <w:tcW w:w="737" w:type="dxa"/>
            <w:vMerge/>
            <w:tcBorders>
              <w:top w:val="nil"/>
              <w:left w:val="single" w:sz="4" w:space="0" w:color="auto"/>
              <w:bottom w:val="single" w:sz="4" w:space="0" w:color="auto"/>
              <w:right w:val="single" w:sz="4" w:space="0" w:color="auto"/>
            </w:tcBorders>
            <w:vAlign w:val="center"/>
            <w:hideMark/>
          </w:tcPr>
          <w:p w:rsidR="0068280A" w:rsidRPr="00563CF9" w:rsidRDefault="0068280A" w:rsidP="004A6B9C">
            <w:pPr>
              <w:spacing w:before="20" w:after="20"/>
              <w:ind w:left="-57" w:right="-57"/>
              <w:rPr>
                <w:rFonts w:ascii="Calibri" w:hAnsi="Calibri" w:cs="Calibri"/>
                <w:color w:val="000000"/>
                <w:sz w:val="18"/>
                <w:szCs w:val="18"/>
                <w:lang w:val="en-GB"/>
              </w:rPr>
            </w:pPr>
          </w:p>
        </w:tc>
        <w:tc>
          <w:tcPr>
            <w:tcW w:w="510"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2015</w:t>
            </w:r>
          </w:p>
        </w:tc>
        <w:tc>
          <w:tcPr>
            <w:tcW w:w="96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19,956.67</w:t>
            </w:r>
          </w:p>
        </w:tc>
        <w:tc>
          <w:tcPr>
            <w:tcW w:w="130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MUH</w:t>
            </w:r>
          </w:p>
        </w:tc>
        <w:tc>
          <w:tcPr>
            <w:tcW w:w="993" w:type="dxa"/>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20,314.11</w:t>
            </w:r>
          </w:p>
        </w:tc>
        <w:tc>
          <w:tcPr>
            <w:tcW w:w="1304" w:type="dxa"/>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CMH</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357.44</w:t>
            </w:r>
          </w:p>
        </w:tc>
        <w:tc>
          <w:tcPr>
            <w:tcW w:w="737"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5D44DF">
            <w:pPr>
              <w:spacing w:before="20" w:after="20"/>
              <w:ind w:right="57"/>
              <w:jc w:val="right"/>
              <w:rPr>
                <w:rFonts w:ascii="Calibri" w:hAnsi="Calibri" w:cs="Calibri"/>
                <w:color w:val="000000"/>
                <w:sz w:val="18"/>
                <w:szCs w:val="18"/>
                <w:lang w:val="en-GB"/>
              </w:rPr>
            </w:pPr>
            <w:r w:rsidRPr="00563CF9">
              <w:rPr>
                <w:sz w:val="18"/>
                <w:lang w:val="en-GB" w:bidi="en-GB"/>
              </w:rPr>
              <w:t>1.79</w:t>
            </w:r>
          </w:p>
        </w:tc>
        <w:tc>
          <w:tcPr>
            <w:tcW w:w="850"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ind w:right="57"/>
              <w:jc w:val="right"/>
              <w:rPr>
                <w:rFonts w:ascii="Calibri" w:hAnsi="Calibri" w:cs="Calibri"/>
                <w:color w:val="000000"/>
                <w:sz w:val="18"/>
                <w:szCs w:val="18"/>
                <w:lang w:val="en-GB"/>
              </w:rPr>
            </w:pPr>
            <w:r w:rsidRPr="00563CF9">
              <w:rPr>
                <w:sz w:val="18"/>
                <w:lang w:val="en-GB" w:bidi="en-GB"/>
              </w:rPr>
              <w:t>3</w:t>
            </w:r>
          </w:p>
        </w:tc>
        <w:tc>
          <w:tcPr>
            <w:tcW w:w="96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ind w:right="57"/>
              <w:jc w:val="right"/>
              <w:rPr>
                <w:rFonts w:ascii="Calibri" w:hAnsi="Calibri" w:cs="Calibri"/>
                <w:color w:val="000000"/>
                <w:sz w:val="18"/>
                <w:szCs w:val="18"/>
                <w:lang w:val="en-GB"/>
              </w:rPr>
            </w:pPr>
            <w:r w:rsidRPr="00563CF9">
              <w:rPr>
                <w:sz w:val="18"/>
                <w:lang w:val="en-GB" w:bidi="en-GB"/>
              </w:rPr>
              <w:t>3</w:t>
            </w:r>
          </w:p>
        </w:tc>
      </w:tr>
      <w:tr w:rsidR="00260BC6" w:rsidRPr="00563CF9" w:rsidTr="009D6C3F">
        <w:trPr>
          <w:trHeight w:val="227"/>
        </w:trPr>
        <w:tc>
          <w:tcPr>
            <w:tcW w:w="737" w:type="dxa"/>
            <w:vMerge/>
            <w:tcBorders>
              <w:top w:val="nil"/>
              <w:left w:val="single" w:sz="4" w:space="0" w:color="auto"/>
              <w:bottom w:val="single" w:sz="4" w:space="0" w:color="auto"/>
              <w:right w:val="single" w:sz="4" w:space="0" w:color="auto"/>
            </w:tcBorders>
            <w:vAlign w:val="center"/>
            <w:hideMark/>
          </w:tcPr>
          <w:p w:rsidR="0068280A" w:rsidRPr="00563CF9" w:rsidRDefault="0068280A" w:rsidP="004A6B9C">
            <w:pPr>
              <w:spacing w:before="20" w:after="20"/>
              <w:ind w:left="-57" w:right="-57"/>
              <w:rPr>
                <w:rFonts w:ascii="Calibri" w:hAnsi="Calibri" w:cs="Calibri"/>
                <w:color w:val="000000"/>
                <w:sz w:val="18"/>
                <w:szCs w:val="18"/>
                <w:lang w:val="en-GB"/>
              </w:rPr>
            </w:pPr>
          </w:p>
        </w:tc>
        <w:tc>
          <w:tcPr>
            <w:tcW w:w="510"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2016</w:t>
            </w:r>
          </w:p>
        </w:tc>
        <w:tc>
          <w:tcPr>
            <w:tcW w:w="96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19,956.67</w:t>
            </w:r>
          </w:p>
        </w:tc>
        <w:tc>
          <w:tcPr>
            <w:tcW w:w="130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MUH</w:t>
            </w:r>
          </w:p>
        </w:tc>
        <w:tc>
          <w:tcPr>
            <w:tcW w:w="993" w:type="dxa"/>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20,314.11</w:t>
            </w:r>
          </w:p>
        </w:tc>
        <w:tc>
          <w:tcPr>
            <w:tcW w:w="1304" w:type="dxa"/>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CMH</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357.44</w:t>
            </w:r>
          </w:p>
        </w:tc>
        <w:tc>
          <w:tcPr>
            <w:tcW w:w="737"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5D44DF">
            <w:pPr>
              <w:spacing w:before="20" w:after="20"/>
              <w:ind w:right="57"/>
              <w:jc w:val="right"/>
              <w:rPr>
                <w:rFonts w:ascii="Calibri" w:hAnsi="Calibri" w:cs="Calibri"/>
                <w:color w:val="000000"/>
                <w:sz w:val="18"/>
                <w:szCs w:val="18"/>
                <w:lang w:val="en-GB"/>
              </w:rPr>
            </w:pPr>
            <w:r w:rsidRPr="00563CF9">
              <w:rPr>
                <w:sz w:val="18"/>
                <w:lang w:val="en-GB" w:bidi="en-GB"/>
              </w:rPr>
              <w:t>1.79</w:t>
            </w:r>
          </w:p>
        </w:tc>
        <w:tc>
          <w:tcPr>
            <w:tcW w:w="850"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ind w:right="57"/>
              <w:jc w:val="right"/>
              <w:rPr>
                <w:rFonts w:ascii="Calibri" w:hAnsi="Calibri" w:cs="Calibri"/>
                <w:color w:val="000000"/>
                <w:sz w:val="18"/>
                <w:szCs w:val="18"/>
                <w:lang w:val="en-GB"/>
              </w:rPr>
            </w:pPr>
            <w:r w:rsidRPr="00563CF9">
              <w:rPr>
                <w:sz w:val="18"/>
                <w:lang w:val="en-GB" w:bidi="en-GB"/>
              </w:rPr>
              <w:t>3</w:t>
            </w:r>
          </w:p>
        </w:tc>
        <w:tc>
          <w:tcPr>
            <w:tcW w:w="96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ind w:right="57"/>
              <w:jc w:val="right"/>
              <w:rPr>
                <w:rFonts w:ascii="Calibri" w:hAnsi="Calibri" w:cs="Calibri"/>
                <w:color w:val="000000"/>
                <w:sz w:val="18"/>
                <w:szCs w:val="18"/>
                <w:lang w:val="en-GB"/>
              </w:rPr>
            </w:pPr>
            <w:r w:rsidRPr="00563CF9">
              <w:rPr>
                <w:sz w:val="18"/>
                <w:lang w:val="en-GB" w:bidi="en-GB"/>
              </w:rPr>
              <w:t>1</w:t>
            </w:r>
          </w:p>
        </w:tc>
      </w:tr>
      <w:tr w:rsidR="00260BC6" w:rsidRPr="00563CF9" w:rsidTr="009D6C3F">
        <w:trPr>
          <w:trHeight w:val="227"/>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ind w:left="-57" w:right="-57"/>
              <w:jc w:val="center"/>
              <w:rPr>
                <w:rFonts w:ascii="Calibri" w:hAnsi="Calibri" w:cs="Calibri"/>
                <w:color w:val="000000"/>
                <w:sz w:val="18"/>
                <w:szCs w:val="18"/>
                <w:lang w:val="en-GB"/>
              </w:rPr>
            </w:pPr>
            <w:r w:rsidRPr="00563CF9">
              <w:rPr>
                <w:sz w:val="18"/>
                <w:lang w:val="en-GB" w:bidi="en-GB"/>
              </w:rPr>
              <w:t>0029795</w:t>
            </w:r>
          </w:p>
        </w:tc>
        <w:tc>
          <w:tcPr>
            <w:tcW w:w="510"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2014</w:t>
            </w:r>
          </w:p>
        </w:tc>
        <w:tc>
          <w:tcPr>
            <w:tcW w:w="96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24,488.19</w:t>
            </w:r>
          </w:p>
        </w:tc>
        <w:tc>
          <w:tcPr>
            <w:tcW w:w="130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MUH</w:t>
            </w:r>
          </w:p>
        </w:tc>
        <w:tc>
          <w:tcPr>
            <w:tcW w:w="993" w:type="dxa"/>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25,895.11</w:t>
            </w:r>
          </w:p>
        </w:tc>
        <w:tc>
          <w:tcPr>
            <w:tcW w:w="1304" w:type="dxa"/>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BUH</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1,406.92</w:t>
            </w:r>
          </w:p>
        </w:tc>
        <w:tc>
          <w:tcPr>
            <w:tcW w:w="737"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5D44DF">
            <w:pPr>
              <w:spacing w:before="20" w:after="20"/>
              <w:ind w:right="57"/>
              <w:jc w:val="right"/>
              <w:rPr>
                <w:rFonts w:ascii="Calibri" w:hAnsi="Calibri" w:cs="Calibri"/>
                <w:color w:val="000000"/>
                <w:sz w:val="18"/>
                <w:szCs w:val="18"/>
                <w:lang w:val="en-GB"/>
              </w:rPr>
            </w:pPr>
            <w:r w:rsidRPr="00563CF9">
              <w:rPr>
                <w:sz w:val="18"/>
                <w:lang w:val="en-GB" w:bidi="en-GB"/>
              </w:rPr>
              <w:t>5.75</w:t>
            </w:r>
          </w:p>
        </w:tc>
        <w:tc>
          <w:tcPr>
            <w:tcW w:w="850"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ind w:right="57"/>
              <w:jc w:val="right"/>
              <w:rPr>
                <w:rFonts w:ascii="Calibri" w:hAnsi="Calibri" w:cs="Calibri"/>
                <w:color w:val="000000"/>
                <w:sz w:val="18"/>
                <w:szCs w:val="18"/>
                <w:lang w:val="en-GB"/>
              </w:rPr>
            </w:pPr>
            <w:r w:rsidRPr="00563CF9">
              <w:rPr>
                <w:sz w:val="18"/>
                <w:lang w:val="en-GB" w:bidi="en-GB"/>
              </w:rPr>
              <w:t>3</w:t>
            </w:r>
          </w:p>
        </w:tc>
        <w:tc>
          <w:tcPr>
            <w:tcW w:w="96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ind w:right="57"/>
              <w:jc w:val="right"/>
              <w:rPr>
                <w:rFonts w:ascii="Calibri" w:hAnsi="Calibri" w:cs="Calibri"/>
                <w:color w:val="000000"/>
                <w:sz w:val="18"/>
                <w:szCs w:val="18"/>
                <w:lang w:val="en-GB"/>
              </w:rPr>
            </w:pPr>
            <w:r w:rsidRPr="00563CF9">
              <w:rPr>
                <w:sz w:val="18"/>
                <w:lang w:val="en-GB" w:bidi="en-GB"/>
              </w:rPr>
              <w:t>1</w:t>
            </w:r>
          </w:p>
        </w:tc>
      </w:tr>
      <w:tr w:rsidR="00260BC6" w:rsidRPr="00563CF9" w:rsidTr="009D6C3F">
        <w:trPr>
          <w:trHeight w:val="227"/>
        </w:trPr>
        <w:tc>
          <w:tcPr>
            <w:tcW w:w="737" w:type="dxa"/>
            <w:vMerge/>
            <w:tcBorders>
              <w:top w:val="nil"/>
              <w:left w:val="single" w:sz="4" w:space="0" w:color="auto"/>
              <w:bottom w:val="single" w:sz="4" w:space="0" w:color="auto"/>
              <w:right w:val="single" w:sz="4" w:space="0" w:color="auto"/>
            </w:tcBorders>
            <w:vAlign w:val="center"/>
            <w:hideMark/>
          </w:tcPr>
          <w:p w:rsidR="0068280A" w:rsidRPr="00563CF9" w:rsidRDefault="0068280A" w:rsidP="004A6B9C">
            <w:pPr>
              <w:spacing w:before="20" w:after="20"/>
              <w:ind w:left="-57" w:right="-57"/>
              <w:rPr>
                <w:rFonts w:ascii="Calibri" w:hAnsi="Calibri" w:cs="Calibri"/>
                <w:color w:val="000000"/>
                <w:sz w:val="18"/>
                <w:szCs w:val="18"/>
                <w:lang w:val="en-GB"/>
              </w:rPr>
            </w:pPr>
          </w:p>
        </w:tc>
        <w:tc>
          <w:tcPr>
            <w:tcW w:w="510"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2015</w:t>
            </w:r>
          </w:p>
        </w:tc>
        <w:tc>
          <w:tcPr>
            <w:tcW w:w="96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21,783.84</w:t>
            </w:r>
          </w:p>
        </w:tc>
        <w:tc>
          <w:tcPr>
            <w:tcW w:w="130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CMH</w:t>
            </w:r>
          </w:p>
        </w:tc>
        <w:tc>
          <w:tcPr>
            <w:tcW w:w="993" w:type="dxa"/>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23,424.48</w:t>
            </w:r>
          </w:p>
        </w:tc>
        <w:tc>
          <w:tcPr>
            <w:tcW w:w="1304" w:type="dxa"/>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BUH, CMH</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1,640.64</w:t>
            </w:r>
          </w:p>
        </w:tc>
        <w:tc>
          <w:tcPr>
            <w:tcW w:w="737"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5D44DF">
            <w:pPr>
              <w:spacing w:before="20" w:after="20"/>
              <w:ind w:right="57"/>
              <w:jc w:val="right"/>
              <w:rPr>
                <w:rFonts w:ascii="Calibri" w:hAnsi="Calibri" w:cs="Calibri"/>
                <w:color w:val="000000"/>
                <w:sz w:val="18"/>
                <w:szCs w:val="18"/>
                <w:lang w:val="en-GB"/>
              </w:rPr>
            </w:pPr>
            <w:r w:rsidRPr="00563CF9">
              <w:rPr>
                <w:sz w:val="18"/>
                <w:lang w:val="en-GB" w:bidi="en-GB"/>
              </w:rPr>
              <w:t>7.53</w:t>
            </w:r>
          </w:p>
        </w:tc>
        <w:tc>
          <w:tcPr>
            <w:tcW w:w="850"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ind w:right="57"/>
              <w:jc w:val="right"/>
              <w:rPr>
                <w:rFonts w:ascii="Calibri" w:hAnsi="Calibri" w:cs="Calibri"/>
                <w:color w:val="000000"/>
                <w:sz w:val="18"/>
                <w:szCs w:val="18"/>
                <w:lang w:val="en-GB"/>
              </w:rPr>
            </w:pPr>
            <w:r w:rsidRPr="00563CF9">
              <w:rPr>
                <w:sz w:val="18"/>
                <w:lang w:val="en-GB" w:bidi="en-GB"/>
              </w:rPr>
              <w:t>3</w:t>
            </w:r>
          </w:p>
        </w:tc>
        <w:tc>
          <w:tcPr>
            <w:tcW w:w="96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ind w:right="57"/>
              <w:jc w:val="right"/>
              <w:rPr>
                <w:rFonts w:ascii="Calibri" w:hAnsi="Calibri" w:cs="Calibri"/>
                <w:color w:val="000000"/>
                <w:sz w:val="18"/>
                <w:szCs w:val="18"/>
                <w:lang w:val="en-GB"/>
              </w:rPr>
            </w:pPr>
            <w:r w:rsidRPr="00563CF9">
              <w:rPr>
                <w:sz w:val="18"/>
                <w:lang w:val="en-GB" w:bidi="en-GB"/>
              </w:rPr>
              <w:t>1</w:t>
            </w:r>
          </w:p>
        </w:tc>
      </w:tr>
      <w:tr w:rsidR="00260BC6" w:rsidRPr="00563CF9" w:rsidTr="009D6C3F">
        <w:trPr>
          <w:trHeight w:val="227"/>
        </w:trPr>
        <w:tc>
          <w:tcPr>
            <w:tcW w:w="737" w:type="dxa"/>
            <w:vMerge/>
            <w:tcBorders>
              <w:top w:val="nil"/>
              <w:left w:val="single" w:sz="4" w:space="0" w:color="auto"/>
              <w:bottom w:val="single" w:sz="4" w:space="0" w:color="auto"/>
              <w:right w:val="single" w:sz="4" w:space="0" w:color="auto"/>
            </w:tcBorders>
            <w:vAlign w:val="center"/>
            <w:hideMark/>
          </w:tcPr>
          <w:p w:rsidR="0068280A" w:rsidRPr="00563CF9" w:rsidRDefault="0068280A" w:rsidP="004A6B9C">
            <w:pPr>
              <w:spacing w:before="20" w:after="20"/>
              <w:ind w:left="-57" w:right="-57"/>
              <w:rPr>
                <w:rFonts w:ascii="Calibri" w:hAnsi="Calibri" w:cs="Calibri"/>
                <w:color w:val="000000"/>
                <w:sz w:val="18"/>
                <w:szCs w:val="18"/>
                <w:lang w:val="en-GB"/>
              </w:rPr>
            </w:pPr>
          </w:p>
        </w:tc>
        <w:tc>
          <w:tcPr>
            <w:tcW w:w="510"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2016</w:t>
            </w:r>
          </w:p>
        </w:tc>
        <w:tc>
          <w:tcPr>
            <w:tcW w:w="96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21,783.84</w:t>
            </w:r>
          </w:p>
        </w:tc>
        <w:tc>
          <w:tcPr>
            <w:tcW w:w="130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BUH, CMH</w:t>
            </w:r>
          </w:p>
        </w:tc>
        <w:tc>
          <w:tcPr>
            <w:tcW w:w="993" w:type="dxa"/>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xx</w:t>
            </w:r>
          </w:p>
        </w:tc>
        <w:tc>
          <w:tcPr>
            <w:tcW w:w="1304" w:type="dxa"/>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xx</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0</w:t>
            </w:r>
          </w:p>
        </w:tc>
        <w:tc>
          <w:tcPr>
            <w:tcW w:w="737"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5D44DF">
            <w:pPr>
              <w:spacing w:before="20" w:after="20"/>
              <w:ind w:right="57"/>
              <w:jc w:val="right"/>
              <w:rPr>
                <w:rFonts w:ascii="Calibri" w:hAnsi="Calibri" w:cs="Calibri"/>
                <w:color w:val="000000"/>
                <w:sz w:val="18"/>
                <w:szCs w:val="18"/>
                <w:lang w:val="en-GB"/>
              </w:rPr>
            </w:pPr>
            <w:r w:rsidRPr="00563CF9">
              <w:rPr>
                <w:sz w:val="18"/>
                <w:lang w:val="en-GB" w:bidi="en-GB"/>
              </w:rPr>
              <w:t>0.00</w:t>
            </w:r>
          </w:p>
        </w:tc>
        <w:tc>
          <w:tcPr>
            <w:tcW w:w="850"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ind w:right="57"/>
              <w:jc w:val="right"/>
              <w:rPr>
                <w:rFonts w:ascii="Calibri" w:hAnsi="Calibri" w:cs="Calibri"/>
                <w:color w:val="000000"/>
                <w:sz w:val="18"/>
                <w:szCs w:val="18"/>
                <w:lang w:val="en-GB"/>
              </w:rPr>
            </w:pPr>
            <w:r w:rsidRPr="00563CF9">
              <w:rPr>
                <w:sz w:val="18"/>
                <w:lang w:val="en-GB" w:bidi="en-GB"/>
              </w:rPr>
              <w:t>2</w:t>
            </w:r>
          </w:p>
        </w:tc>
        <w:tc>
          <w:tcPr>
            <w:tcW w:w="96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ind w:right="57"/>
              <w:jc w:val="right"/>
              <w:rPr>
                <w:rFonts w:ascii="Calibri" w:hAnsi="Calibri" w:cs="Calibri"/>
                <w:color w:val="000000"/>
                <w:sz w:val="18"/>
                <w:szCs w:val="18"/>
                <w:lang w:val="en-GB"/>
              </w:rPr>
            </w:pPr>
            <w:r w:rsidRPr="00563CF9">
              <w:rPr>
                <w:sz w:val="18"/>
                <w:lang w:val="en-GB" w:bidi="en-GB"/>
              </w:rPr>
              <w:t>1</w:t>
            </w:r>
          </w:p>
        </w:tc>
      </w:tr>
      <w:tr w:rsidR="00260BC6" w:rsidRPr="00563CF9" w:rsidTr="009D6C3F">
        <w:trPr>
          <w:trHeight w:val="227"/>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ind w:left="-57" w:right="-57"/>
              <w:jc w:val="center"/>
              <w:rPr>
                <w:rFonts w:ascii="Calibri" w:hAnsi="Calibri" w:cs="Calibri"/>
                <w:color w:val="000000"/>
                <w:sz w:val="18"/>
                <w:szCs w:val="18"/>
                <w:lang w:val="en-GB"/>
              </w:rPr>
            </w:pPr>
            <w:r w:rsidRPr="00563CF9">
              <w:rPr>
                <w:sz w:val="18"/>
                <w:lang w:val="en-GB" w:bidi="en-GB"/>
              </w:rPr>
              <w:t>0167600</w:t>
            </w:r>
          </w:p>
        </w:tc>
        <w:tc>
          <w:tcPr>
            <w:tcW w:w="510"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2014</w:t>
            </w:r>
          </w:p>
        </w:tc>
        <w:tc>
          <w:tcPr>
            <w:tcW w:w="96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76,642.69</w:t>
            </w:r>
          </w:p>
        </w:tc>
        <w:tc>
          <w:tcPr>
            <w:tcW w:w="130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MUH, CMH</w:t>
            </w:r>
          </w:p>
        </w:tc>
        <w:tc>
          <w:tcPr>
            <w:tcW w:w="993" w:type="dxa"/>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76,642.70</w:t>
            </w:r>
          </w:p>
        </w:tc>
        <w:tc>
          <w:tcPr>
            <w:tcW w:w="1304" w:type="dxa"/>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BUH</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0.01</w:t>
            </w:r>
          </w:p>
        </w:tc>
        <w:tc>
          <w:tcPr>
            <w:tcW w:w="737"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5D44DF">
            <w:pPr>
              <w:spacing w:before="20" w:after="20"/>
              <w:ind w:right="57"/>
              <w:jc w:val="right"/>
              <w:rPr>
                <w:rFonts w:ascii="Calibri" w:hAnsi="Calibri" w:cs="Calibri"/>
                <w:color w:val="000000"/>
                <w:sz w:val="18"/>
                <w:szCs w:val="18"/>
                <w:lang w:val="en-GB"/>
              </w:rPr>
            </w:pPr>
            <w:r w:rsidRPr="00563CF9">
              <w:rPr>
                <w:sz w:val="18"/>
                <w:lang w:val="en-GB" w:bidi="en-GB"/>
              </w:rPr>
              <w:t>0.00</w:t>
            </w:r>
          </w:p>
        </w:tc>
        <w:tc>
          <w:tcPr>
            <w:tcW w:w="850"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ind w:right="57"/>
              <w:jc w:val="right"/>
              <w:rPr>
                <w:rFonts w:ascii="Calibri" w:hAnsi="Calibri" w:cs="Calibri"/>
                <w:color w:val="000000"/>
                <w:sz w:val="18"/>
                <w:szCs w:val="18"/>
                <w:lang w:val="en-GB"/>
              </w:rPr>
            </w:pPr>
            <w:r w:rsidRPr="00563CF9">
              <w:rPr>
                <w:sz w:val="18"/>
                <w:lang w:val="en-GB" w:bidi="en-GB"/>
              </w:rPr>
              <w:t>3</w:t>
            </w:r>
          </w:p>
        </w:tc>
        <w:tc>
          <w:tcPr>
            <w:tcW w:w="96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ind w:right="57"/>
              <w:jc w:val="right"/>
              <w:rPr>
                <w:rFonts w:ascii="Calibri" w:hAnsi="Calibri" w:cs="Calibri"/>
                <w:color w:val="000000"/>
                <w:sz w:val="18"/>
                <w:szCs w:val="18"/>
                <w:lang w:val="en-GB"/>
              </w:rPr>
            </w:pPr>
            <w:r w:rsidRPr="00563CF9">
              <w:rPr>
                <w:sz w:val="18"/>
                <w:lang w:val="en-GB" w:bidi="en-GB"/>
              </w:rPr>
              <w:t>1</w:t>
            </w:r>
          </w:p>
        </w:tc>
      </w:tr>
      <w:tr w:rsidR="00260BC6" w:rsidRPr="00563CF9" w:rsidTr="009D6C3F">
        <w:trPr>
          <w:trHeight w:val="227"/>
        </w:trPr>
        <w:tc>
          <w:tcPr>
            <w:tcW w:w="737" w:type="dxa"/>
            <w:vMerge/>
            <w:tcBorders>
              <w:top w:val="nil"/>
              <w:left w:val="single" w:sz="4" w:space="0" w:color="auto"/>
              <w:bottom w:val="single" w:sz="4" w:space="0" w:color="auto"/>
              <w:right w:val="single" w:sz="4" w:space="0" w:color="auto"/>
            </w:tcBorders>
            <w:vAlign w:val="center"/>
            <w:hideMark/>
          </w:tcPr>
          <w:p w:rsidR="0068280A" w:rsidRPr="00563CF9" w:rsidRDefault="0068280A" w:rsidP="004A6B9C">
            <w:pPr>
              <w:spacing w:before="20" w:after="20"/>
              <w:ind w:left="-57" w:right="-57"/>
              <w:rPr>
                <w:rFonts w:ascii="Calibri" w:hAnsi="Calibri" w:cs="Calibri"/>
                <w:color w:val="000000"/>
                <w:sz w:val="18"/>
                <w:szCs w:val="18"/>
                <w:lang w:val="en-GB"/>
              </w:rPr>
            </w:pPr>
          </w:p>
        </w:tc>
        <w:tc>
          <w:tcPr>
            <w:tcW w:w="510"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2015</w:t>
            </w:r>
          </w:p>
        </w:tc>
        <w:tc>
          <w:tcPr>
            <w:tcW w:w="96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73,310.40</w:t>
            </w:r>
          </w:p>
        </w:tc>
        <w:tc>
          <w:tcPr>
            <w:tcW w:w="130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BUH, MUH, CMH</w:t>
            </w:r>
          </w:p>
        </w:tc>
        <w:tc>
          <w:tcPr>
            <w:tcW w:w="993" w:type="dxa"/>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xx</w:t>
            </w:r>
          </w:p>
        </w:tc>
        <w:tc>
          <w:tcPr>
            <w:tcW w:w="1304" w:type="dxa"/>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xx</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0</w:t>
            </w:r>
          </w:p>
        </w:tc>
        <w:tc>
          <w:tcPr>
            <w:tcW w:w="737"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5D44DF">
            <w:pPr>
              <w:spacing w:before="20" w:after="20"/>
              <w:ind w:right="57"/>
              <w:jc w:val="right"/>
              <w:rPr>
                <w:rFonts w:ascii="Calibri" w:hAnsi="Calibri" w:cs="Calibri"/>
                <w:color w:val="000000"/>
                <w:sz w:val="18"/>
                <w:szCs w:val="18"/>
                <w:lang w:val="en-GB"/>
              </w:rPr>
            </w:pPr>
            <w:r w:rsidRPr="00563CF9">
              <w:rPr>
                <w:sz w:val="18"/>
                <w:lang w:val="en-GB" w:bidi="en-GB"/>
              </w:rPr>
              <w:t>0.00</w:t>
            </w:r>
          </w:p>
        </w:tc>
        <w:tc>
          <w:tcPr>
            <w:tcW w:w="850"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ind w:right="57"/>
              <w:jc w:val="right"/>
              <w:rPr>
                <w:rFonts w:ascii="Calibri" w:hAnsi="Calibri" w:cs="Calibri"/>
                <w:color w:val="000000"/>
                <w:sz w:val="18"/>
                <w:szCs w:val="18"/>
                <w:lang w:val="en-GB"/>
              </w:rPr>
            </w:pPr>
            <w:r w:rsidRPr="00563CF9">
              <w:rPr>
                <w:sz w:val="18"/>
                <w:lang w:val="en-GB" w:bidi="en-GB"/>
              </w:rPr>
              <w:t>3</w:t>
            </w:r>
          </w:p>
        </w:tc>
        <w:tc>
          <w:tcPr>
            <w:tcW w:w="96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ind w:right="57"/>
              <w:jc w:val="right"/>
              <w:rPr>
                <w:rFonts w:ascii="Calibri" w:hAnsi="Calibri" w:cs="Calibri"/>
                <w:color w:val="000000"/>
                <w:sz w:val="18"/>
                <w:szCs w:val="18"/>
                <w:lang w:val="en-GB"/>
              </w:rPr>
            </w:pPr>
            <w:r w:rsidRPr="00563CF9">
              <w:rPr>
                <w:sz w:val="18"/>
                <w:lang w:val="en-GB" w:bidi="en-GB"/>
              </w:rPr>
              <w:t>1</w:t>
            </w:r>
          </w:p>
        </w:tc>
      </w:tr>
      <w:tr w:rsidR="00260BC6" w:rsidRPr="00563CF9" w:rsidTr="009D6C3F">
        <w:trPr>
          <w:trHeight w:val="227"/>
        </w:trPr>
        <w:tc>
          <w:tcPr>
            <w:tcW w:w="737" w:type="dxa"/>
            <w:vMerge/>
            <w:tcBorders>
              <w:top w:val="nil"/>
              <w:left w:val="single" w:sz="4" w:space="0" w:color="auto"/>
              <w:bottom w:val="single" w:sz="4" w:space="0" w:color="auto"/>
              <w:right w:val="single" w:sz="4" w:space="0" w:color="auto"/>
            </w:tcBorders>
            <w:vAlign w:val="center"/>
            <w:hideMark/>
          </w:tcPr>
          <w:p w:rsidR="0068280A" w:rsidRPr="00563CF9" w:rsidRDefault="0068280A" w:rsidP="004A6B9C">
            <w:pPr>
              <w:spacing w:before="20" w:after="20"/>
              <w:ind w:left="-57" w:right="-57"/>
              <w:rPr>
                <w:rFonts w:ascii="Calibri" w:hAnsi="Calibri" w:cs="Calibri"/>
                <w:color w:val="000000"/>
                <w:sz w:val="18"/>
                <w:szCs w:val="18"/>
                <w:lang w:val="en-GB"/>
              </w:rPr>
            </w:pPr>
          </w:p>
        </w:tc>
        <w:tc>
          <w:tcPr>
            <w:tcW w:w="510"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2016</w:t>
            </w:r>
          </w:p>
        </w:tc>
        <w:tc>
          <w:tcPr>
            <w:tcW w:w="96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73,310.40</w:t>
            </w:r>
          </w:p>
        </w:tc>
        <w:tc>
          <w:tcPr>
            <w:tcW w:w="130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BUH, MUH, CMH</w:t>
            </w:r>
          </w:p>
        </w:tc>
        <w:tc>
          <w:tcPr>
            <w:tcW w:w="993" w:type="dxa"/>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xx</w:t>
            </w:r>
          </w:p>
        </w:tc>
        <w:tc>
          <w:tcPr>
            <w:tcW w:w="1304" w:type="dxa"/>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xx</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0</w:t>
            </w:r>
          </w:p>
        </w:tc>
        <w:tc>
          <w:tcPr>
            <w:tcW w:w="737"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5D44DF">
            <w:pPr>
              <w:spacing w:before="20" w:after="20"/>
              <w:ind w:right="57"/>
              <w:jc w:val="right"/>
              <w:rPr>
                <w:rFonts w:ascii="Calibri" w:hAnsi="Calibri" w:cs="Calibri"/>
                <w:color w:val="000000"/>
                <w:sz w:val="18"/>
                <w:szCs w:val="18"/>
                <w:lang w:val="en-GB"/>
              </w:rPr>
            </w:pPr>
            <w:r w:rsidRPr="00563CF9">
              <w:rPr>
                <w:sz w:val="18"/>
                <w:lang w:val="en-GB" w:bidi="en-GB"/>
              </w:rPr>
              <w:t>0.00</w:t>
            </w:r>
          </w:p>
        </w:tc>
        <w:tc>
          <w:tcPr>
            <w:tcW w:w="850"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ind w:right="57"/>
              <w:jc w:val="right"/>
              <w:rPr>
                <w:rFonts w:ascii="Calibri" w:hAnsi="Calibri" w:cs="Calibri"/>
                <w:color w:val="000000"/>
                <w:sz w:val="18"/>
                <w:szCs w:val="18"/>
                <w:lang w:val="en-GB"/>
              </w:rPr>
            </w:pPr>
            <w:r w:rsidRPr="00563CF9">
              <w:rPr>
                <w:sz w:val="18"/>
                <w:lang w:val="en-GB" w:bidi="en-GB"/>
              </w:rPr>
              <w:t>3</w:t>
            </w:r>
          </w:p>
        </w:tc>
        <w:tc>
          <w:tcPr>
            <w:tcW w:w="96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ind w:right="57"/>
              <w:jc w:val="right"/>
              <w:rPr>
                <w:rFonts w:ascii="Calibri" w:hAnsi="Calibri" w:cs="Calibri"/>
                <w:color w:val="000000"/>
                <w:sz w:val="18"/>
                <w:szCs w:val="18"/>
                <w:lang w:val="en-GB"/>
              </w:rPr>
            </w:pPr>
            <w:r w:rsidRPr="00563CF9">
              <w:rPr>
                <w:sz w:val="18"/>
                <w:lang w:val="en-GB" w:bidi="en-GB"/>
              </w:rPr>
              <w:t>1</w:t>
            </w:r>
          </w:p>
        </w:tc>
      </w:tr>
      <w:tr w:rsidR="00260BC6" w:rsidRPr="00563CF9" w:rsidTr="009D6C3F">
        <w:trPr>
          <w:trHeight w:val="227"/>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ind w:left="-57" w:right="-57"/>
              <w:jc w:val="center"/>
              <w:rPr>
                <w:rFonts w:ascii="Calibri" w:hAnsi="Calibri" w:cs="Calibri"/>
                <w:color w:val="000000"/>
                <w:sz w:val="18"/>
                <w:szCs w:val="18"/>
                <w:lang w:val="en-GB"/>
              </w:rPr>
            </w:pPr>
            <w:r w:rsidRPr="00563CF9">
              <w:rPr>
                <w:sz w:val="18"/>
                <w:lang w:val="en-GB" w:bidi="en-GB"/>
              </w:rPr>
              <w:t>0167756</w:t>
            </w:r>
          </w:p>
        </w:tc>
        <w:tc>
          <w:tcPr>
            <w:tcW w:w="510"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2014</w:t>
            </w:r>
          </w:p>
        </w:tc>
        <w:tc>
          <w:tcPr>
            <w:tcW w:w="96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27,686.79</w:t>
            </w:r>
          </w:p>
        </w:tc>
        <w:tc>
          <w:tcPr>
            <w:tcW w:w="130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BUH, CMH</w:t>
            </w:r>
          </w:p>
        </w:tc>
        <w:tc>
          <w:tcPr>
            <w:tcW w:w="993" w:type="dxa"/>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29,559.61</w:t>
            </w:r>
          </w:p>
        </w:tc>
        <w:tc>
          <w:tcPr>
            <w:tcW w:w="1304" w:type="dxa"/>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MUH</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1,872.82</w:t>
            </w:r>
          </w:p>
        </w:tc>
        <w:tc>
          <w:tcPr>
            <w:tcW w:w="737"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5D44DF">
            <w:pPr>
              <w:spacing w:before="20" w:after="20"/>
              <w:ind w:right="57"/>
              <w:jc w:val="right"/>
              <w:rPr>
                <w:rFonts w:ascii="Calibri" w:hAnsi="Calibri" w:cs="Calibri"/>
                <w:color w:val="000000"/>
                <w:sz w:val="18"/>
                <w:szCs w:val="18"/>
                <w:lang w:val="en-GB"/>
              </w:rPr>
            </w:pPr>
            <w:r w:rsidRPr="00563CF9">
              <w:rPr>
                <w:sz w:val="18"/>
                <w:lang w:val="en-GB" w:bidi="en-GB"/>
              </w:rPr>
              <w:t>6.76</w:t>
            </w:r>
          </w:p>
        </w:tc>
        <w:tc>
          <w:tcPr>
            <w:tcW w:w="850"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ind w:right="57"/>
              <w:jc w:val="right"/>
              <w:rPr>
                <w:rFonts w:ascii="Calibri" w:hAnsi="Calibri" w:cs="Calibri"/>
                <w:color w:val="000000"/>
                <w:sz w:val="18"/>
                <w:szCs w:val="18"/>
                <w:lang w:val="en-GB"/>
              </w:rPr>
            </w:pPr>
            <w:r w:rsidRPr="00563CF9">
              <w:rPr>
                <w:sz w:val="18"/>
                <w:lang w:val="en-GB" w:bidi="en-GB"/>
              </w:rPr>
              <w:t>3</w:t>
            </w:r>
          </w:p>
        </w:tc>
        <w:tc>
          <w:tcPr>
            <w:tcW w:w="96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ind w:right="57"/>
              <w:jc w:val="right"/>
              <w:rPr>
                <w:rFonts w:ascii="Calibri" w:hAnsi="Calibri" w:cs="Calibri"/>
                <w:color w:val="000000"/>
                <w:sz w:val="18"/>
                <w:szCs w:val="18"/>
                <w:lang w:val="en-GB"/>
              </w:rPr>
            </w:pPr>
            <w:r w:rsidRPr="00563CF9">
              <w:rPr>
                <w:sz w:val="18"/>
                <w:lang w:val="en-GB" w:bidi="en-GB"/>
              </w:rPr>
              <w:t>1</w:t>
            </w:r>
          </w:p>
        </w:tc>
      </w:tr>
      <w:tr w:rsidR="00260BC6" w:rsidRPr="00563CF9" w:rsidTr="009D6C3F">
        <w:trPr>
          <w:trHeight w:val="227"/>
        </w:trPr>
        <w:tc>
          <w:tcPr>
            <w:tcW w:w="737" w:type="dxa"/>
            <w:vMerge/>
            <w:tcBorders>
              <w:top w:val="nil"/>
              <w:left w:val="single" w:sz="4" w:space="0" w:color="auto"/>
              <w:bottom w:val="single" w:sz="4" w:space="0" w:color="auto"/>
              <w:right w:val="single" w:sz="4" w:space="0" w:color="auto"/>
            </w:tcBorders>
            <w:vAlign w:val="center"/>
            <w:hideMark/>
          </w:tcPr>
          <w:p w:rsidR="0068280A" w:rsidRPr="00563CF9" w:rsidRDefault="0068280A" w:rsidP="004A6B9C">
            <w:pPr>
              <w:spacing w:before="20" w:after="20"/>
              <w:ind w:left="-57" w:right="-57"/>
              <w:rPr>
                <w:rFonts w:ascii="Calibri" w:hAnsi="Calibri" w:cs="Calibri"/>
                <w:color w:val="000000"/>
                <w:sz w:val="18"/>
                <w:szCs w:val="18"/>
                <w:lang w:val="en-GB"/>
              </w:rPr>
            </w:pPr>
          </w:p>
        </w:tc>
        <w:tc>
          <w:tcPr>
            <w:tcW w:w="510"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2015</w:t>
            </w:r>
          </w:p>
        </w:tc>
        <w:tc>
          <w:tcPr>
            <w:tcW w:w="96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26,483.02</w:t>
            </w:r>
          </w:p>
        </w:tc>
        <w:tc>
          <w:tcPr>
            <w:tcW w:w="130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BUH, CMH</w:t>
            </w:r>
          </w:p>
        </w:tc>
        <w:tc>
          <w:tcPr>
            <w:tcW w:w="993" w:type="dxa"/>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28,277.90</w:t>
            </w:r>
          </w:p>
        </w:tc>
        <w:tc>
          <w:tcPr>
            <w:tcW w:w="1304" w:type="dxa"/>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MUH</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1,794.89</w:t>
            </w:r>
          </w:p>
        </w:tc>
        <w:tc>
          <w:tcPr>
            <w:tcW w:w="737"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5D44DF">
            <w:pPr>
              <w:spacing w:before="20" w:after="20"/>
              <w:ind w:right="57"/>
              <w:jc w:val="right"/>
              <w:rPr>
                <w:rFonts w:ascii="Calibri" w:hAnsi="Calibri" w:cs="Calibri"/>
                <w:color w:val="000000"/>
                <w:sz w:val="18"/>
                <w:szCs w:val="18"/>
                <w:lang w:val="en-GB"/>
              </w:rPr>
            </w:pPr>
            <w:r w:rsidRPr="00563CF9">
              <w:rPr>
                <w:sz w:val="18"/>
                <w:lang w:val="en-GB" w:bidi="en-GB"/>
              </w:rPr>
              <w:t>6.78</w:t>
            </w:r>
          </w:p>
        </w:tc>
        <w:tc>
          <w:tcPr>
            <w:tcW w:w="850"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ind w:right="57"/>
              <w:jc w:val="right"/>
              <w:rPr>
                <w:rFonts w:ascii="Calibri" w:hAnsi="Calibri" w:cs="Calibri"/>
                <w:color w:val="000000"/>
                <w:sz w:val="18"/>
                <w:szCs w:val="18"/>
                <w:lang w:val="en-GB"/>
              </w:rPr>
            </w:pPr>
            <w:r w:rsidRPr="00563CF9">
              <w:rPr>
                <w:sz w:val="18"/>
                <w:lang w:val="en-GB" w:bidi="en-GB"/>
              </w:rPr>
              <w:t>3</w:t>
            </w:r>
          </w:p>
        </w:tc>
        <w:tc>
          <w:tcPr>
            <w:tcW w:w="96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ind w:right="57"/>
              <w:jc w:val="right"/>
              <w:rPr>
                <w:rFonts w:ascii="Calibri" w:hAnsi="Calibri" w:cs="Calibri"/>
                <w:color w:val="000000"/>
                <w:sz w:val="18"/>
                <w:szCs w:val="18"/>
                <w:lang w:val="en-GB"/>
              </w:rPr>
            </w:pPr>
            <w:r w:rsidRPr="00563CF9">
              <w:rPr>
                <w:sz w:val="18"/>
                <w:lang w:val="en-GB" w:bidi="en-GB"/>
              </w:rPr>
              <w:t>1</w:t>
            </w:r>
          </w:p>
        </w:tc>
      </w:tr>
      <w:tr w:rsidR="00260BC6" w:rsidRPr="00563CF9" w:rsidTr="009D6C3F">
        <w:trPr>
          <w:trHeight w:val="227"/>
        </w:trPr>
        <w:tc>
          <w:tcPr>
            <w:tcW w:w="737" w:type="dxa"/>
            <w:vMerge/>
            <w:tcBorders>
              <w:top w:val="nil"/>
              <w:left w:val="single" w:sz="4" w:space="0" w:color="auto"/>
              <w:bottom w:val="single" w:sz="4" w:space="0" w:color="auto"/>
              <w:right w:val="single" w:sz="4" w:space="0" w:color="auto"/>
            </w:tcBorders>
            <w:vAlign w:val="center"/>
            <w:hideMark/>
          </w:tcPr>
          <w:p w:rsidR="0068280A" w:rsidRPr="00563CF9" w:rsidRDefault="0068280A" w:rsidP="004A6B9C">
            <w:pPr>
              <w:spacing w:before="20" w:after="20"/>
              <w:ind w:left="-57" w:right="-57"/>
              <w:rPr>
                <w:rFonts w:ascii="Calibri" w:hAnsi="Calibri" w:cs="Calibri"/>
                <w:color w:val="000000"/>
                <w:sz w:val="18"/>
                <w:szCs w:val="18"/>
                <w:lang w:val="en-GB"/>
              </w:rPr>
            </w:pPr>
          </w:p>
        </w:tc>
        <w:tc>
          <w:tcPr>
            <w:tcW w:w="510"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2016</w:t>
            </w:r>
          </w:p>
        </w:tc>
        <w:tc>
          <w:tcPr>
            <w:tcW w:w="96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26,483.02</w:t>
            </w:r>
          </w:p>
        </w:tc>
        <w:tc>
          <w:tcPr>
            <w:tcW w:w="130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CMH</w:t>
            </w:r>
          </w:p>
        </w:tc>
        <w:tc>
          <w:tcPr>
            <w:tcW w:w="993" w:type="dxa"/>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28,833.34</w:t>
            </w:r>
          </w:p>
        </w:tc>
        <w:tc>
          <w:tcPr>
            <w:tcW w:w="1304" w:type="dxa"/>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MUH</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2,350.32</w:t>
            </w:r>
          </w:p>
        </w:tc>
        <w:tc>
          <w:tcPr>
            <w:tcW w:w="737"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5D44DF">
            <w:pPr>
              <w:spacing w:before="20" w:after="20"/>
              <w:ind w:right="57"/>
              <w:jc w:val="right"/>
              <w:rPr>
                <w:rFonts w:ascii="Calibri" w:hAnsi="Calibri" w:cs="Calibri"/>
                <w:color w:val="000000"/>
                <w:sz w:val="18"/>
                <w:szCs w:val="18"/>
                <w:lang w:val="en-GB"/>
              </w:rPr>
            </w:pPr>
            <w:r w:rsidRPr="00563CF9">
              <w:rPr>
                <w:sz w:val="18"/>
                <w:lang w:val="en-GB" w:bidi="en-GB"/>
              </w:rPr>
              <w:t>8.87</w:t>
            </w:r>
          </w:p>
        </w:tc>
        <w:tc>
          <w:tcPr>
            <w:tcW w:w="850"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ind w:right="57"/>
              <w:jc w:val="right"/>
              <w:rPr>
                <w:rFonts w:ascii="Calibri" w:hAnsi="Calibri" w:cs="Calibri"/>
                <w:color w:val="000000"/>
                <w:sz w:val="18"/>
                <w:szCs w:val="18"/>
                <w:lang w:val="en-GB"/>
              </w:rPr>
            </w:pPr>
            <w:r w:rsidRPr="00563CF9">
              <w:rPr>
                <w:sz w:val="18"/>
                <w:lang w:val="en-GB" w:bidi="en-GB"/>
              </w:rPr>
              <w:t>3</w:t>
            </w:r>
          </w:p>
        </w:tc>
        <w:tc>
          <w:tcPr>
            <w:tcW w:w="96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ind w:right="57"/>
              <w:jc w:val="right"/>
              <w:rPr>
                <w:rFonts w:ascii="Calibri" w:hAnsi="Calibri" w:cs="Calibri"/>
                <w:color w:val="000000"/>
                <w:sz w:val="18"/>
                <w:szCs w:val="18"/>
                <w:lang w:val="en-GB"/>
              </w:rPr>
            </w:pPr>
            <w:r w:rsidRPr="00563CF9">
              <w:rPr>
                <w:sz w:val="18"/>
                <w:lang w:val="en-GB" w:bidi="en-GB"/>
              </w:rPr>
              <w:t>1</w:t>
            </w:r>
          </w:p>
        </w:tc>
      </w:tr>
      <w:tr w:rsidR="00260BC6" w:rsidRPr="00563CF9" w:rsidTr="009D6C3F">
        <w:trPr>
          <w:trHeight w:val="227"/>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ind w:left="-57" w:right="-57"/>
              <w:jc w:val="center"/>
              <w:rPr>
                <w:rFonts w:ascii="Calibri" w:hAnsi="Calibri" w:cs="Calibri"/>
                <w:color w:val="000000"/>
                <w:sz w:val="18"/>
                <w:szCs w:val="18"/>
                <w:lang w:val="en-GB"/>
              </w:rPr>
            </w:pPr>
            <w:r w:rsidRPr="00563CF9">
              <w:rPr>
                <w:sz w:val="18"/>
                <w:lang w:val="en-GB" w:bidi="en-GB"/>
              </w:rPr>
              <w:t>0193696</w:t>
            </w:r>
          </w:p>
        </w:tc>
        <w:tc>
          <w:tcPr>
            <w:tcW w:w="510"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2014</w:t>
            </w:r>
          </w:p>
        </w:tc>
        <w:tc>
          <w:tcPr>
            <w:tcW w:w="96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24,463.96</w:t>
            </w:r>
          </w:p>
        </w:tc>
        <w:tc>
          <w:tcPr>
            <w:tcW w:w="130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BUH, CMH</w:t>
            </w:r>
          </w:p>
        </w:tc>
        <w:tc>
          <w:tcPr>
            <w:tcW w:w="993" w:type="dxa"/>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xx</w:t>
            </w:r>
          </w:p>
        </w:tc>
        <w:tc>
          <w:tcPr>
            <w:tcW w:w="1304" w:type="dxa"/>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xx</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0</w:t>
            </w:r>
          </w:p>
        </w:tc>
        <w:tc>
          <w:tcPr>
            <w:tcW w:w="737"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5D44DF">
            <w:pPr>
              <w:spacing w:before="20" w:after="20"/>
              <w:ind w:right="57"/>
              <w:jc w:val="right"/>
              <w:rPr>
                <w:rFonts w:ascii="Calibri" w:hAnsi="Calibri" w:cs="Calibri"/>
                <w:color w:val="000000"/>
                <w:sz w:val="18"/>
                <w:szCs w:val="18"/>
                <w:lang w:val="en-GB"/>
              </w:rPr>
            </w:pPr>
            <w:r w:rsidRPr="00563CF9">
              <w:rPr>
                <w:sz w:val="18"/>
                <w:lang w:val="en-GB" w:bidi="en-GB"/>
              </w:rPr>
              <w:t>0.00</w:t>
            </w:r>
          </w:p>
        </w:tc>
        <w:tc>
          <w:tcPr>
            <w:tcW w:w="850"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ind w:right="57"/>
              <w:jc w:val="right"/>
              <w:rPr>
                <w:rFonts w:ascii="Calibri" w:hAnsi="Calibri" w:cs="Calibri"/>
                <w:color w:val="000000"/>
                <w:sz w:val="18"/>
                <w:szCs w:val="18"/>
                <w:lang w:val="en-GB"/>
              </w:rPr>
            </w:pPr>
            <w:r w:rsidRPr="00563CF9">
              <w:rPr>
                <w:sz w:val="18"/>
                <w:lang w:val="en-GB" w:bidi="en-GB"/>
              </w:rPr>
              <w:t>2</w:t>
            </w:r>
          </w:p>
        </w:tc>
        <w:tc>
          <w:tcPr>
            <w:tcW w:w="96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ind w:right="57"/>
              <w:jc w:val="right"/>
              <w:rPr>
                <w:rFonts w:ascii="Calibri" w:hAnsi="Calibri" w:cs="Calibri"/>
                <w:color w:val="000000"/>
                <w:sz w:val="18"/>
                <w:szCs w:val="18"/>
                <w:lang w:val="en-GB"/>
              </w:rPr>
            </w:pPr>
            <w:r w:rsidRPr="00563CF9">
              <w:rPr>
                <w:sz w:val="18"/>
                <w:lang w:val="en-GB" w:bidi="en-GB"/>
              </w:rPr>
              <w:t>1</w:t>
            </w:r>
          </w:p>
        </w:tc>
      </w:tr>
      <w:tr w:rsidR="00260BC6" w:rsidRPr="00563CF9" w:rsidTr="009D6C3F">
        <w:trPr>
          <w:trHeight w:val="227"/>
        </w:trPr>
        <w:tc>
          <w:tcPr>
            <w:tcW w:w="737" w:type="dxa"/>
            <w:vMerge/>
            <w:tcBorders>
              <w:top w:val="nil"/>
              <w:left w:val="single" w:sz="4" w:space="0" w:color="auto"/>
              <w:bottom w:val="single" w:sz="4" w:space="0" w:color="auto"/>
              <w:right w:val="single" w:sz="4" w:space="0" w:color="auto"/>
            </w:tcBorders>
            <w:vAlign w:val="center"/>
            <w:hideMark/>
          </w:tcPr>
          <w:p w:rsidR="0068280A" w:rsidRPr="00563CF9" w:rsidRDefault="0068280A" w:rsidP="004A6B9C">
            <w:pPr>
              <w:spacing w:before="20" w:after="20"/>
              <w:ind w:left="-57" w:right="-57"/>
              <w:rPr>
                <w:rFonts w:ascii="Calibri" w:hAnsi="Calibri" w:cs="Calibri"/>
                <w:color w:val="000000"/>
                <w:sz w:val="18"/>
                <w:szCs w:val="18"/>
                <w:lang w:val="en-GB"/>
              </w:rPr>
            </w:pPr>
          </w:p>
        </w:tc>
        <w:tc>
          <w:tcPr>
            <w:tcW w:w="510"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2015</w:t>
            </w:r>
          </w:p>
        </w:tc>
        <w:tc>
          <w:tcPr>
            <w:tcW w:w="96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22,643.16</w:t>
            </w:r>
          </w:p>
        </w:tc>
        <w:tc>
          <w:tcPr>
            <w:tcW w:w="130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CMH</w:t>
            </w:r>
          </w:p>
        </w:tc>
        <w:tc>
          <w:tcPr>
            <w:tcW w:w="993" w:type="dxa"/>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23,400.31</w:t>
            </w:r>
          </w:p>
        </w:tc>
        <w:tc>
          <w:tcPr>
            <w:tcW w:w="1304" w:type="dxa"/>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BUH</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757.15</w:t>
            </w:r>
          </w:p>
        </w:tc>
        <w:tc>
          <w:tcPr>
            <w:tcW w:w="737"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5D44DF">
            <w:pPr>
              <w:spacing w:before="20" w:after="20"/>
              <w:ind w:right="57"/>
              <w:jc w:val="right"/>
              <w:rPr>
                <w:rFonts w:ascii="Calibri" w:hAnsi="Calibri" w:cs="Calibri"/>
                <w:color w:val="000000"/>
                <w:sz w:val="18"/>
                <w:szCs w:val="18"/>
                <w:lang w:val="en-GB"/>
              </w:rPr>
            </w:pPr>
            <w:r w:rsidRPr="00563CF9">
              <w:rPr>
                <w:sz w:val="18"/>
                <w:lang w:val="en-GB" w:bidi="en-GB"/>
              </w:rPr>
              <w:t>3.34</w:t>
            </w:r>
          </w:p>
        </w:tc>
        <w:tc>
          <w:tcPr>
            <w:tcW w:w="850"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ind w:right="57"/>
              <w:jc w:val="right"/>
              <w:rPr>
                <w:rFonts w:ascii="Calibri" w:hAnsi="Calibri" w:cs="Calibri"/>
                <w:color w:val="000000"/>
                <w:sz w:val="18"/>
                <w:szCs w:val="18"/>
                <w:lang w:val="en-GB"/>
              </w:rPr>
            </w:pPr>
            <w:r w:rsidRPr="00563CF9">
              <w:rPr>
                <w:sz w:val="18"/>
                <w:lang w:val="en-GB" w:bidi="en-GB"/>
              </w:rPr>
              <w:t>2</w:t>
            </w:r>
          </w:p>
        </w:tc>
        <w:tc>
          <w:tcPr>
            <w:tcW w:w="96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ind w:right="57"/>
              <w:jc w:val="right"/>
              <w:rPr>
                <w:rFonts w:ascii="Calibri" w:hAnsi="Calibri" w:cs="Calibri"/>
                <w:color w:val="000000"/>
                <w:sz w:val="18"/>
                <w:szCs w:val="18"/>
                <w:lang w:val="en-GB"/>
              </w:rPr>
            </w:pPr>
            <w:r w:rsidRPr="00563CF9">
              <w:rPr>
                <w:sz w:val="18"/>
                <w:lang w:val="en-GB" w:bidi="en-GB"/>
              </w:rPr>
              <w:t>1</w:t>
            </w:r>
          </w:p>
        </w:tc>
      </w:tr>
      <w:tr w:rsidR="004A6B9C" w:rsidRPr="00563CF9" w:rsidTr="009D6C3F">
        <w:trPr>
          <w:trHeight w:val="227"/>
        </w:trPr>
        <w:tc>
          <w:tcPr>
            <w:tcW w:w="737" w:type="dxa"/>
            <w:vMerge/>
            <w:tcBorders>
              <w:top w:val="nil"/>
              <w:left w:val="single" w:sz="4" w:space="0" w:color="auto"/>
              <w:bottom w:val="single" w:sz="4" w:space="0" w:color="auto"/>
              <w:right w:val="single" w:sz="4" w:space="0" w:color="auto"/>
            </w:tcBorders>
            <w:vAlign w:val="center"/>
            <w:hideMark/>
          </w:tcPr>
          <w:p w:rsidR="0068280A" w:rsidRPr="00563CF9" w:rsidRDefault="0068280A" w:rsidP="004A6B9C">
            <w:pPr>
              <w:spacing w:before="20" w:after="20"/>
              <w:ind w:left="-57" w:right="-57"/>
              <w:rPr>
                <w:rFonts w:ascii="Calibri" w:hAnsi="Calibri" w:cs="Calibri"/>
                <w:color w:val="000000"/>
                <w:sz w:val="18"/>
                <w:szCs w:val="18"/>
                <w:lang w:val="en-GB"/>
              </w:rPr>
            </w:pPr>
          </w:p>
        </w:tc>
        <w:tc>
          <w:tcPr>
            <w:tcW w:w="510"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2016</w:t>
            </w:r>
          </w:p>
        </w:tc>
        <w:tc>
          <w:tcPr>
            <w:tcW w:w="96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21,649.11</w:t>
            </w:r>
          </w:p>
        </w:tc>
        <w:tc>
          <w:tcPr>
            <w:tcW w:w="130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BUH, MUH, CMH</w:t>
            </w:r>
          </w:p>
        </w:tc>
        <w:tc>
          <w:tcPr>
            <w:tcW w:w="993" w:type="dxa"/>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22,643.17</w:t>
            </w:r>
          </w:p>
        </w:tc>
        <w:tc>
          <w:tcPr>
            <w:tcW w:w="1304" w:type="dxa"/>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center"/>
              <w:rPr>
                <w:rFonts w:ascii="Calibri" w:hAnsi="Calibri" w:cs="Calibri"/>
                <w:color w:val="000000"/>
                <w:sz w:val="18"/>
                <w:szCs w:val="18"/>
                <w:lang w:val="en-GB"/>
              </w:rPr>
            </w:pPr>
            <w:r w:rsidRPr="00563CF9">
              <w:rPr>
                <w:sz w:val="18"/>
                <w:lang w:val="en-GB" w:bidi="en-GB"/>
              </w:rPr>
              <w:t>BUH, CMH</w:t>
            </w:r>
          </w:p>
        </w:tc>
        <w:tc>
          <w:tcPr>
            <w:tcW w:w="907" w:type="dxa"/>
            <w:gridSpan w:val="2"/>
            <w:tcBorders>
              <w:top w:val="nil"/>
              <w:left w:val="nil"/>
              <w:bottom w:val="single" w:sz="4" w:space="0" w:color="auto"/>
              <w:right w:val="single" w:sz="4" w:space="0" w:color="auto"/>
            </w:tcBorders>
            <w:shd w:val="clear" w:color="auto" w:fill="auto"/>
            <w:noWrap/>
            <w:vAlign w:val="bottom"/>
            <w:hideMark/>
          </w:tcPr>
          <w:p w:rsidR="0068280A" w:rsidRPr="00563CF9" w:rsidRDefault="0068280A" w:rsidP="004A6B9C">
            <w:pPr>
              <w:spacing w:before="20" w:after="20"/>
              <w:jc w:val="right"/>
              <w:rPr>
                <w:rFonts w:ascii="Calibri" w:hAnsi="Calibri" w:cs="Calibri"/>
                <w:color w:val="000000"/>
                <w:sz w:val="18"/>
                <w:szCs w:val="18"/>
                <w:lang w:val="en-GB"/>
              </w:rPr>
            </w:pPr>
            <w:r w:rsidRPr="00563CF9">
              <w:rPr>
                <w:sz w:val="18"/>
                <w:lang w:val="en-GB" w:bidi="en-GB"/>
              </w:rPr>
              <w:t>994.06</w:t>
            </w:r>
          </w:p>
        </w:tc>
        <w:tc>
          <w:tcPr>
            <w:tcW w:w="737"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5D44DF">
            <w:pPr>
              <w:spacing w:before="20" w:after="20"/>
              <w:ind w:right="57"/>
              <w:jc w:val="right"/>
              <w:rPr>
                <w:rFonts w:ascii="Calibri" w:hAnsi="Calibri" w:cs="Calibri"/>
                <w:color w:val="000000"/>
                <w:sz w:val="18"/>
                <w:szCs w:val="18"/>
                <w:lang w:val="en-GB"/>
              </w:rPr>
            </w:pPr>
            <w:r w:rsidRPr="00563CF9">
              <w:rPr>
                <w:sz w:val="18"/>
                <w:lang w:val="en-GB" w:bidi="en-GB"/>
              </w:rPr>
              <w:t>4.59</w:t>
            </w:r>
          </w:p>
        </w:tc>
        <w:tc>
          <w:tcPr>
            <w:tcW w:w="850"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ind w:right="57"/>
              <w:jc w:val="right"/>
              <w:rPr>
                <w:rFonts w:ascii="Calibri" w:hAnsi="Calibri" w:cs="Calibri"/>
                <w:color w:val="000000"/>
                <w:sz w:val="18"/>
                <w:szCs w:val="18"/>
                <w:lang w:val="en-GB"/>
              </w:rPr>
            </w:pPr>
            <w:r w:rsidRPr="00563CF9">
              <w:rPr>
                <w:sz w:val="18"/>
                <w:lang w:val="en-GB" w:bidi="en-GB"/>
              </w:rPr>
              <w:t>3</w:t>
            </w:r>
          </w:p>
        </w:tc>
        <w:tc>
          <w:tcPr>
            <w:tcW w:w="964" w:type="dxa"/>
            <w:tcBorders>
              <w:top w:val="nil"/>
              <w:left w:val="nil"/>
              <w:bottom w:val="single" w:sz="4" w:space="0" w:color="auto"/>
              <w:right w:val="single" w:sz="4" w:space="0" w:color="auto"/>
            </w:tcBorders>
            <w:shd w:val="clear" w:color="auto" w:fill="auto"/>
            <w:noWrap/>
            <w:vAlign w:val="center"/>
            <w:hideMark/>
          </w:tcPr>
          <w:p w:rsidR="0068280A" w:rsidRPr="00563CF9" w:rsidRDefault="0068280A" w:rsidP="004A6B9C">
            <w:pPr>
              <w:spacing w:before="20" w:after="20"/>
              <w:ind w:right="57"/>
              <w:jc w:val="right"/>
              <w:rPr>
                <w:rFonts w:ascii="Calibri" w:hAnsi="Calibri" w:cs="Calibri"/>
                <w:color w:val="000000"/>
                <w:sz w:val="18"/>
                <w:szCs w:val="18"/>
                <w:lang w:val="en-GB"/>
              </w:rPr>
            </w:pPr>
            <w:r w:rsidRPr="00563CF9">
              <w:rPr>
                <w:sz w:val="18"/>
                <w:lang w:val="en-GB" w:bidi="en-GB"/>
              </w:rPr>
              <w:t>1</w:t>
            </w:r>
          </w:p>
        </w:tc>
      </w:tr>
      <w:tr w:rsidR="004A6B9C" w:rsidRPr="00563CF9" w:rsidTr="009D6C3F">
        <w:trPr>
          <w:trHeight w:val="227"/>
        </w:trPr>
        <w:tc>
          <w:tcPr>
            <w:tcW w:w="737" w:type="dxa"/>
            <w:vMerge w:val="restart"/>
            <w:tcBorders>
              <w:top w:val="single" w:sz="4" w:space="0" w:color="auto"/>
              <w:left w:val="single" w:sz="4" w:space="0" w:color="auto"/>
              <w:right w:val="single" w:sz="4" w:space="0" w:color="auto"/>
            </w:tcBorders>
            <w:vAlign w:val="center"/>
          </w:tcPr>
          <w:p w:rsidR="004A6B9C" w:rsidRPr="00563CF9" w:rsidRDefault="004A6B9C" w:rsidP="004A6B9C">
            <w:pPr>
              <w:spacing w:before="20" w:after="20"/>
              <w:ind w:left="-57" w:right="-57"/>
              <w:rPr>
                <w:rFonts w:ascii="Calibri" w:hAnsi="Calibri" w:cs="Calibri"/>
                <w:color w:val="000000"/>
                <w:sz w:val="18"/>
                <w:szCs w:val="18"/>
                <w:lang w:val="en-GB"/>
              </w:rPr>
            </w:pPr>
            <w:r w:rsidRPr="00563CF9">
              <w:rPr>
                <w:sz w:val="18"/>
                <w:lang w:val="en-GB" w:bidi="en-GB"/>
              </w:rPr>
              <w:t>0194345</w:t>
            </w:r>
          </w:p>
        </w:tc>
        <w:tc>
          <w:tcPr>
            <w:tcW w:w="510"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center"/>
              <w:rPr>
                <w:rFonts w:ascii="Calibri" w:hAnsi="Calibri" w:cs="Calibri"/>
                <w:color w:val="000000"/>
                <w:sz w:val="18"/>
                <w:szCs w:val="18"/>
                <w:lang w:val="en-GB"/>
              </w:rPr>
            </w:pPr>
            <w:r w:rsidRPr="00563CF9">
              <w:rPr>
                <w:sz w:val="18"/>
                <w:lang w:val="en-GB" w:bidi="en-GB"/>
              </w:rPr>
              <w:t>2015</w:t>
            </w:r>
          </w:p>
        </w:tc>
        <w:tc>
          <w:tcPr>
            <w:tcW w:w="96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right"/>
              <w:rPr>
                <w:rFonts w:ascii="Calibri" w:hAnsi="Calibri" w:cs="Calibri"/>
                <w:color w:val="000000"/>
                <w:sz w:val="18"/>
                <w:szCs w:val="18"/>
                <w:lang w:val="en-GB"/>
              </w:rPr>
            </w:pPr>
            <w:r w:rsidRPr="00563CF9">
              <w:rPr>
                <w:sz w:val="18"/>
                <w:lang w:val="en-GB" w:bidi="en-GB"/>
              </w:rPr>
              <w:t>9,627.85</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center"/>
              <w:rPr>
                <w:rFonts w:ascii="Calibri" w:hAnsi="Calibri" w:cs="Calibri"/>
                <w:color w:val="000000"/>
                <w:sz w:val="18"/>
                <w:szCs w:val="18"/>
                <w:lang w:val="en-GB"/>
              </w:rPr>
            </w:pPr>
            <w:r w:rsidRPr="00563CF9">
              <w:rPr>
                <w:sz w:val="18"/>
                <w:lang w:val="en-GB" w:bidi="en-GB"/>
              </w:rPr>
              <w:t>MUH</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right"/>
              <w:rPr>
                <w:rFonts w:ascii="Calibri" w:hAnsi="Calibri" w:cs="Calibri"/>
                <w:color w:val="000000"/>
                <w:sz w:val="18"/>
                <w:szCs w:val="18"/>
                <w:lang w:val="en-GB"/>
              </w:rPr>
            </w:pPr>
            <w:r w:rsidRPr="00563CF9">
              <w:rPr>
                <w:sz w:val="18"/>
                <w:lang w:val="en-GB" w:bidi="en-GB"/>
              </w:rPr>
              <w:t>11,454.69</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center"/>
              <w:rPr>
                <w:rFonts w:ascii="Calibri" w:hAnsi="Calibri" w:cs="Calibri"/>
                <w:color w:val="000000"/>
                <w:sz w:val="18"/>
                <w:szCs w:val="18"/>
                <w:lang w:val="en-GB"/>
              </w:rPr>
            </w:pPr>
            <w:r w:rsidRPr="00563CF9">
              <w:rPr>
                <w:sz w:val="18"/>
                <w:lang w:val="en-GB" w:bidi="en-GB"/>
              </w:rPr>
              <w:t>MUH</w:t>
            </w:r>
          </w:p>
        </w:tc>
        <w:tc>
          <w:tcPr>
            <w:tcW w:w="907" w:type="dxa"/>
            <w:gridSpan w:val="2"/>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right"/>
              <w:rPr>
                <w:rFonts w:ascii="Calibri" w:hAnsi="Calibri" w:cs="Calibri"/>
                <w:color w:val="000000"/>
                <w:sz w:val="18"/>
                <w:szCs w:val="18"/>
                <w:lang w:val="en-GB"/>
              </w:rPr>
            </w:pPr>
            <w:r w:rsidRPr="00563CF9">
              <w:rPr>
                <w:sz w:val="18"/>
                <w:lang w:val="en-GB" w:bidi="en-GB"/>
              </w:rPr>
              <w:t>1,826.84</w:t>
            </w:r>
          </w:p>
        </w:tc>
        <w:tc>
          <w:tcPr>
            <w:tcW w:w="737"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5D44DF">
            <w:pPr>
              <w:spacing w:before="20" w:after="20"/>
              <w:ind w:right="57"/>
              <w:jc w:val="right"/>
              <w:rPr>
                <w:rFonts w:ascii="Calibri" w:hAnsi="Calibri" w:cs="Calibri"/>
                <w:color w:val="000000"/>
                <w:sz w:val="18"/>
                <w:szCs w:val="18"/>
                <w:lang w:val="en-GB"/>
              </w:rPr>
            </w:pPr>
            <w:r w:rsidRPr="00563CF9">
              <w:rPr>
                <w:sz w:val="18"/>
                <w:lang w:val="en-GB" w:bidi="en-GB"/>
              </w:rPr>
              <w:t>18.97</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ind w:right="57"/>
              <w:jc w:val="right"/>
              <w:rPr>
                <w:rFonts w:ascii="Calibri" w:hAnsi="Calibri" w:cs="Calibri"/>
                <w:color w:val="000000"/>
                <w:sz w:val="18"/>
                <w:szCs w:val="18"/>
                <w:lang w:val="en-GB"/>
              </w:rPr>
            </w:pPr>
            <w:r w:rsidRPr="00563CF9">
              <w:rPr>
                <w:sz w:val="18"/>
                <w:lang w:val="en-GB" w:bidi="en-GB"/>
              </w:rPr>
              <w:t>2</w:t>
            </w:r>
          </w:p>
        </w:tc>
        <w:tc>
          <w:tcPr>
            <w:tcW w:w="96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ind w:right="57"/>
              <w:jc w:val="right"/>
              <w:rPr>
                <w:rFonts w:ascii="Calibri" w:hAnsi="Calibri" w:cs="Calibri"/>
                <w:color w:val="000000"/>
                <w:sz w:val="18"/>
                <w:szCs w:val="18"/>
                <w:lang w:val="en-GB"/>
              </w:rPr>
            </w:pPr>
            <w:r w:rsidRPr="00563CF9">
              <w:rPr>
                <w:sz w:val="18"/>
                <w:lang w:val="en-GB" w:bidi="en-GB"/>
              </w:rPr>
              <w:t>1</w:t>
            </w:r>
          </w:p>
        </w:tc>
      </w:tr>
      <w:tr w:rsidR="004A6B9C" w:rsidRPr="00563CF9" w:rsidTr="009D6C3F">
        <w:trPr>
          <w:trHeight w:val="227"/>
        </w:trPr>
        <w:tc>
          <w:tcPr>
            <w:tcW w:w="737" w:type="dxa"/>
            <w:vMerge/>
            <w:tcBorders>
              <w:left w:val="single" w:sz="4" w:space="0" w:color="auto"/>
              <w:bottom w:val="single" w:sz="4" w:space="0" w:color="auto"/>
              <w:right w:val="single" w:sz="4" w:space="0" w:color="auto"/>
            </w:tcBorders>
            <w:vAlign w:val="center"/>
          </w:tcPr>
          <w:p w:rsidR="004A6B9C" w:rsidRPr="00563CF9" w:rsidRDefault="004A6B9C" w:rsidP="004A6B9C">
            <w:pPr>
              <w:spacing w:before="20" w:after="20"/>
              <w:ind w:left="-57" w:right="-57"/>
              <w:rPr>
                <w:rFonts w:ascii="Calibri" w:hAnsi="Calibri" w:cs="Calibri"/>
                <w:color w:val="000000"/>
                <w:sz w:val="18"/>
                <w:szCs w:val="18"/>
                <w:lang w:val="en-GB"/>
              </w:rPr>
            </w:pPr>
          </w:p>
        </w:tc>
        <w:tc>
          <w:tcPr>
            <w:tcW w:w="510"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center"/>
              <w:rPr>
                <w:rFonts w:ascii="Calibri" w:hAnsi="Calibri" w:cs="Calibri"/>
                <w:color w:val="000000"/>
                <w:sz w:val="18"/>
                <w:szCs w:val="18"/>
                <w:lang w:val="en-GB"/>
              </w:rPr>
            </w:pPr>
            <w:r w:rsidRPr="00563CF9">
              <w:rPr>
                <w:sz w:val="18"/>
                <w:lang w:val="en-GB" w:bidi="en-GB"/>
              </w:rPr>
              <w:t>2016</w:t>
            </w:r>
          </w:p>
        </w:tc>
        <w:tc>
          <w:tcPr>
            <w:tcW w:w="96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right"/>
              <w:rPr>
                <w:rFonts w:ascii="Calibri" w:hAnsi="Calibri" w:cs="Calibri"/>
                <w:color w:val="000000"/>
                <w:sz w:val="18"/>
                <w:szCs w:val="18"/>
                <w:lang w:val="en-GB"/>
              </w:rPr>
            </w:pPr>
            <w:r w:rsidRPr="00563CF9">
              <w:rPr>
                <w:sz w:val="18"/>
                <w:lang w:val="en-GB" w:bidi="en-GB"/>
              </w:rPr>
              <w:t>8,909.25</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center"/>
              <w:rPr>
                <w:rFonts w:ascii="Calibri" w:hAnsi="Calibri" w:cs="Calibri"/>
                <w:color w:val="000000"/>
                <w:sz w:val="18"/>
                <w:szCs w:val="18"/>
                <w:lang w:val="en-GB"/>
              </w:rPr>
            </w:pPr>
            <w:r w:rsidRPr="00563CF9">
              <w:rPr>
                <w:sz w:val="18"/>
                <w:lang w:val="en-GB" w:bidi="en-GB"/>
              </w:rPr>
              <w:t>MUH</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right"/>
              <w:rPr>
                <w:rFonts w:ascii="Calibri" w:hAnsi="Calibri" w:cs="Calibri"/>
                <w:color w:val="000000"/>
                <w:sz w:val="18"/>
                <w:szCs w:val="18"/>
                <w:lang w:val="en-GB"/>
              </w:rPr>
            </w:pPr>
            <w:r w:rsidRPr="00563CF9">
              <w:rPr>
                <w:sz w:val="18"/>
                <w:lang w:val="en-GB" w:bidi="en-GB"/>
              </w:rPr>
              <w:t>9,878.18</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center"/>
              <w:rPr>
                <w:rFonts w:ascii="Calibri" w:hAnsi="Calibri" w:cs="Calibri"/>
                <w:color w:val="000000"/>
                <w:sz w:val="18"/>
                <w:szCs w:val="18"/>
                <w:lang w:val="en-GB"/>
              </w:rPr>
            </w:pPr>
            <w:r w:rsidRPr="00563CF9">
              <w:rPr>
                <w:sz w:val="18"/>
                <w:lang w:val="en-GB" w:bidi="en-GB"/>
              </w:rPr>
              <w:t>BUH</w:t>
            </w:r>
          </w:p>
        </w:tc>
        <w:tc>
          <w:tcPr>
            <w:tcW w:w="907" w:type="dxa"/>
            <w:gridSpan w:val="2"/>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right"/>
              <w:rPr>
                <w:rFonts w:ascii="Calibri" w:hAnsi="Calibri" w:cs="Calibri"/>
                <w:color w:val="000000"/>
                <w:sz w:val="18"/>
                <w:szCs w:val="18"/>
                <w:lang w:val="en-GB"/>
              </w:rPr>
            </w:pPr>
            <w:r w:rsidRPr="00563CF9">
              <w:rPr>
                <w:sz w:val="18"/>
                <w:lang w:val="en-GB" w:bidi="en-GB"/>
              </w:rPr>
              <w:t>968.93</w:t>
            </w:r>
          </w:p>
        </w:tc>
        <w:tc>
          <w:tcPr>
            <w:tcW w:w="737"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5D44DF">
            <w:pPr>
              <w:spacing w:before="20" w:after="20"/>
              <w:ind w:right="57"/>
              <w:jc w:val="right"/>
              <w:rPr>
                <w:rFonts w:ascii="Calibri" w:hAnsi="Calibri" w:cs="Calibri"/>
                <w:color w:val="000000"/>
                <w:sz w:val="18"/>
                <w:szCs w:val="18"/>
                <w:lang w:val="en-GB"/>
              </w:rPr>
            </w:pPr>
            <w:r w:rsidRPr="00563CF9">
              <w:rPr>
                <w:sz w:val="18"/>
                <w:lang w:val="en-GB" w:bidi="en-GB"/>
              </w:rPr>
              <w:t>10.88</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ind w:right="57"/>
              <w:jc w:val="right"/>
              <w:rPr>
                <w:rFonts w:ascii="Calibri" w:hAnsi="Calibri" w:cs="Calibri"/>
                <w:color w:val="000000"/>
                <w:sz w:val="18"/>
                <w:szCs w:val="18"/>
                <w:lang w:val="en-GB"/>
              </w:rPr>
            </w:pPr>
            <w:r w:rsidRPr="00563CF9">
              <w:rPr>
                <w:sz w:val="18"/>
                <w:lang w:val="en-GB" w:bidi="en-GB"/>
              </w:rPr>
              <w:t>3</w:t>
            </w:r>
          </w:p>
        </w:tc>
        <w:tc>
          <w:tcPr>
            <w:tcW w:w="96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ind w:right="57"/>
              <w:jc w:val="right"/>
              <w:rPr>
                <w:rFonts w:ascii="Calibri" w:hAnsi="Calibri" w:cs="Calibri"/>
                <w:color w:val="000000"/>
                <w:sz w:val="18"/>
                <w:szCs w:val="18"/>
                <w:lang w:val="en-GB"/>
              </w:rPr>
            </w:pPr>
            <w:r w:rsidRPr="00563CF9">
              <w:rPr>
                <w:sz w:val="18"/>
                <w:lang w:val="en-GB" w:bidi="en-GB"/>
              </w:rPr>
              <w:t>3</w:t>
            </w:r>
          </w:p>
        </w:tc>
      </w:tr>
      <w:tr w:rsidR="004A6B9C" w:rsidRPr="00563CF9" w:rsidTr="009D6C3F">
        <w:trPr>
          <w:trHeight w:val="227"/>
        </w:trPr>
        <w:tc>
          <w:tcPr>
            <w:tcW w:w="737" w:type="dxa"/>
            <w:vMerge w:val="restart"/>
            <w:tcBorders>
              <w:top w:val="single" w:sz="4" w:space="0" w:color="auto"/>
              <w:left w:val="single" w:sz="4" w:space="0" w:color="auto"/>
              <w:right w:val="single" w:sz="4" w:space="0" w:color="auto"/>
            </w:tcBorders>
            <w:vAlign w:val="center"/>
          </w:tcPr>
          <w:p w:rsidR="004A6B9C" w:rsidRPr="00563CF9" w:rsidRDefault="004A6B9C" w:rsidP="004A6B9C">
            <w:pPr>
              <w:spacing w:before="20" w:after="20"/>
              <w:ind w:left="-57" w:right="-57"/>
              <w:rPr>
                <w:rFonts w:ascii="Calibri" w:hAnsi="Calibri" w:cs="Calibri"/>
                <w:color w:val="000000"/>
                <w:sz w:val="18"/>
                <w:szCs w:val="18"/>
                <w:lang w:val="en-GB"/>
              </w:rPr>
            </w:pPr>
            <w:r w:rsidRPr="00563CF9">
              <w:rPr>
                <w:sz w:val="18"/>
                <w:lang w:val="en-GB" w:bidi="en-GB"/>
              </w:rPr>
              <w:t>0194569</w:t>
            </w:r>
          </w:p>
        </w:tc>
        <w:tc>
          <w:tcPr>
            <w:tcW w:w="510"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center"/>
              <w:rPr>
                <w:rFonts w:ascii="Calibri" w:hAnsi="Calibri" w:cs="Calibri"/>
                <w:color w:val="000000"/>
                <w:sz w:val="18"/>
                <w:szCs w:val="18"/>
                <w:lang w:val="en-GB"/>
              </w:rPr>
            </w:pPr>
            <w:r w:rsidRPr="00563CF9">
              <w:rPr>
                <w:sz w:val="18"/>
                <w:lang w:val="en-GB" w:bidi="en-GB"/>
              </w:rPr>
              <w:t>2015</w:t>
            </w:r>
          </w:p>
        </w:tc>
        <w:tc>
          <w:tcPr>
            <w:tcW w:w="96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right"/>
              <w:rPr>
                <w:rFonts w:ascii="Calibri" w:hAnsi="Calibri" w:cs="Calibri"/>
                <w:color w:val="000000"/>
                <w:sz w:val="18"/>
                <w:szCs w:val="18"/>
                <w:lang w:val="en-GB"/>
              </w:rPr>
            </w:pPr>
            <w:r w:rsidRPr="00563CF9">
              <w:rPr>
                <w:sz w:val="18"/>
                <w:lang w:val="en-GB" w:bidi="en-GB"/>
              </w:rPr>
              <w:t>21,783.84</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center"/>
              <w:rPr>
                <w:rFonts w:ascii="Calibri" w:hAnsi="Calibri" w:cs="Calibri"/>
                <w:color w:val="000000"/>
                <w:sz w:val="18"/>
                <w:szCs w:val="18"/>
                <w:lang w:val="en-GB"/>
              </w:rPr>
            </w:pPr>
            <w:r w:rsidRPr="00563CF9">
              <w:rPr>
                <w:sz w:val="18"/>
                <w:lang w:val="en-GB" w:bidi="en-GB"/>
              </w:rPr>
              <w:t>BUH, MUH</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right"/>
              <w:rPr>
                <w:rFonts w:ascii="Calibri" w:hAnsi="Calibri" w:cs="Calibri"/>
                <w:color w:val="000000"/>
                <w:sz w:val="18"/>
                <w:szCs w:val="18"/>
                <w:lang w:val="en-GB"/>
              </w:rPr>
            </w:pPr>
            <w:r w:rsidRPr="00563CF9">
              <w:rPr>
                <w:sz w:val="18"/>
                <w:lang w:val="en-GB" w:bidi="en-GB"/>
              </w:rPr>
              <w:t>23,424.48</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center"/>
              <w:rPr>
                <w:rFonts w:ascii="Calibri" w:hAnsi="Calibri" w:cs="Calibri"/>
                <w:color w:val="000000"/>
                <w:sz w:val="18"/>
                <w:szCs w:val="18"/>
                <w:lang w:val="en-GB"/>
              </w:rPr>
            </w:pPr>
            <w:r w:rsidRPr="00563CF9">
              <w:rPr>
                <w:sz w:val="18"/>
                <w:lang w:val="en-GB" w:bidi="en-GB"/>
              </w:rPr>
              <w:t>BUH, MUH, CMH</w:t>
            </w:r>
          </w:p>
        </w:tc>
        <w:tc>
          <w:tcPr>
            <w:tcW w:w="907" w:type="dxa"/>
            <w:gridSpan w:val="2"/>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right"/>
              <w:rPr>
                <w:rFonts w:ascii="Calibri" w:hAnsi="Calibri" w:cs="Calibri"/>
                <w:color w:val="000000"/>
                <w:sz w:val="18"/>
                <w:szCs w:val="18"/>
                <w:lang w:val="en-GB"/>
              </w:rPr>
            </w:pPr>
            <w:r w:rsidRPr="00563CF9">
              <w:rPr>
                <w:sz w:val="18"/>
                <w:lang w:val="en-GB" w:bidi="en-GB"/>
              </w:rPr>
              <w:t>1,640.64</w:t>
            </w:r>
          </w:p>
        </w:tc>
        <w:tc>
          <w:tcPr>
            <w:tcW w:w="737"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5D44DF">
            <w:pPr>
              <w:spacing w:before="20" w:after="20"/>
              <w:ind w:right="57"/>
              <w:jc w:val="right"/>
              <w:rPr>
                <w:rFonts w:ascii="Calibri" w:hAnsi="Calibri" w:cs="Calibri"/>
                <w:color w:val="000000"/>
                <w:sz w:val="18"/>
                <w:szCs w:val="18"/>
                <w:lang w:val="en-GB"/>
              </w:rPr>
            </w:pPr>
            <w:r w:rsidRPr="00563CF9">
              <w:rPr>
                <w:sz w:val="18"/>
                <w:lang w:val="en-GB" w:bidi="en-GB"/>
              </w:rPr>
              <w:t>7.53</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ind w:right="57"/>
              <w:jc w:val="right"/>
              <w:rPr>
                <w:rFonts w:ascii="Calibri" w:hAnsi="Calibri" w:cs="Calibri"/>
                <w:color w:val="000000"/>
                <w:sz w:val="18"/>
                <w:szCs w:val="18"/>
                <w:lang w:val="en-GB"/>
              </w:rPr>
            </w:pPr>
            <w:r w:rsidRPr="00563CF9">
              <w:rPr>
                <w:sz w:val="18"/>
                <w:lang w:val="en-GB" w:bidi="en-GB"/>
              </w:rPr>
              <w:t>3</w:t>
            </w:r>
          </w:p>
        </w:tc>
        <w:tc>
          <w:tcPr>
            <w:tcW w:w="96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ind w:right="57"/>
              <w:jc w:val="right"/>
              <w:rPr>
                <w:rFonts w:ascii="Calibri" w:hAnsi="Calibri" w:cs="Calibri"/>
                <w:color w:val="000000"/>
                <w:sz w:val="18"/>
                <w:szCs w:val="18"/>
                <w:lang w:val="en-GB"/>
              </w:rPr>
            </w:pPr>
            <w:r w:rsidRPr="00563CF9">
              <w:rPr>
                <w:sz w:val="18"/>
                <w:lang w:val="en-GB" w:bidi="en-GB"/>
              </w:rPr>
              <w:t>1</w:t>
            </w:r>
          </w:p>
        </w:tc>
      </w:tr>
      <w:tr w:rsidR="004A6B9C" w:rsidRPr="00563CF9" w:rsidTr="009D6C3F">
        <w:trPr>
          <w:trHeight w:val="227"/>
        </w:trPr>
        <w:tc>
          <w:tcPr>
            <w:tcW w:w="737" w:type="dxa"/>
            <w:vMerge/>
            <w:tcBorders>
              <w:left w:val="single" w:sz="4" w:space="0" w:color="auto"/>
              <w:bottom w:val="single" w:sz="4" w:space="0" w:color="auto"/>
              <w:right w:val="single" w:sz="4" w:space="0" w:color="auto"/>
            </w:tcBorders>
            <w:vAlign w:val="center"/>
          </w:tcPr>
          <w:p w:rsidR="004A6B9C" w:rsidRPr="00563CF9" w:rsidRDefault="004A6B9C" w:rsidP="004A6B9C">
            <w:pPr>
              <w:spacing w:before="20" w:after="20"/>
              <w:ind w:left="-57" w:right="-57"/>
              <w:rPr>
                <w:rFonts w:ascii="Calibri" w:hAnsi="Calibri" w:cs="Calibri"/>
                <w:color w:val="000000"/>
                <w:sz w:val="18"/>
                <w:szCs w:val="18"/>
                <w:lang w:val="en-GB"/>
              </w:rPr>
            </w:pPr>
          </w:p>
        </w:tc>
        <w:tc>
          <w:tcPr>
            <w:tcW w:w="510"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center"/>
              <w:rPr>
                <w:rFonts w:ascii="Calibri" w:hAnsi="Calibri" w:cs="Calibri"/>
                <w:color w:val="000000"/>
                <w:sz w:val="18"/>
                <w:szCs w:val="18"/>
                <w:lang w:val="en-GB"/>
              </w:rPr>
            </w:pPr>
            <w:r w:rsidRPr="00563CF9">
              <w:rPr>
                <w:sz w:val="18"/>
                <w:lang w:val="en-GB" w:bidi="en-GB"/>
              </w:rPr>
              <w:t>2016</w:t>
            </w:r>
          </w:p>
        </w:tc>
        <w:tc>
          <w:tcPr>
            <w:tcW w:w="96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right"/>
              <w:rPr>
                <w:rFonts w:ascii="Calibri" w:hAnsi="Calibri" w:cs="Calibri"/>
                <w:color w:val="000000"/>
                <w:sz w:val="18"/>
                <w:szCs w:val="18"/>
                <w:lang w:val="en-GB"/>
              </w:rPr>
            </w:pPr>
            <w:r w:rsidRPr="00563CF9">
              <w:rPr>
                <w:sz w:val="18"/>
                <w:lang w:val="en-GB" w:bidi="en-GB"/>
              </w:rPr>
              <w:t>21,783.84</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center"/>
              <w:rPr>
                <w:rFonts w:ascii="Calibri" w:hAnsi="Calibri" w:cs="Calibri"/>
                <w:color w:val="000000"/>
                <w:sz w:val="18"/>
                <w:szCs w:val="18"/>
                <w:lang w:val="en-GB"/>
              </w:rPr>
            </w:pPr>
            <w:r w:rsidRPr="00563CF9">
              <w:rPr>
                <w:sz w:val="18"/>
                <w:lang w:val="en-GB" w:bidi="en-GB"/>
              </w:rPr>
              <w:t>BUH, MUH, CMH</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right"/>
              <w:rPr>
                <w:rFonts w:ascii="Calibri" w:hAnsi="Calibri" w:cs="Calibri"/>
                <w:color w:val="000000"/>
                <w:sz w:val="18"/>
                <w:szCs w:val="18"/>
                <w:lang w:val="en-GB"/>
              </w:rPr>
            </w:pPr>
            <w:r w:rsidRPr="00563CF9">
              <w:rPr>
                <w:sz w:val="18"/>
                <w:lang w:val="en-GB" w:bidi="en-GB"/>
              </w:rPr>
              <w:t>xx</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center"/>
              <w:rPr>
                <w:rFonts w:ascii="Calibri" w:hAnsi="Calibri" w:cs="Calibri"/>
                <w:color w:val="000000"/>
                <w:sz w:val="18"/>
                <w:szCs w:val="18"/>
                <w:lang w:val="en-GB"/>
              </w:rPr>
            </w:pPr>
            <w:r w:rsidRPr="00563CF9">
              <w:rPr>
                <w:sz w:val="18"/>
                <w:lang w:val="en-GB" w:bidi="en-GB"/>
              </w:rPr>
              <w:t>xx</w:t>
            </w:r>
          </w:p>
        </w:tc>
        <w:tc>
          <w:tcPr>
            <w:tcW w:w="907" w:type="dxa"/>
            <w:gridSpan w:val="2"/>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right"/>
              <w:rPr>
                <w:rFonts w:ascii="Calibri" w:hAnsi="Calibri" w:cs="Calibri"/>
                <w:color w:val="000000"/>
                <w:sz w:val="18"/>
                <w:szCs w:val="18"/>
                <w:lang w:val="en-GB"/>
              </w:rPr>
            </w:pPr>
            <w:r w:rsidRPr="00563CF9">
              <w:rPr>
                <w:sz w:val="18"/>
                <w:lang w:val="en-GB" w:bidi="en-GB"/>
              </w:rPr>
              <w:t>0</w:t>
            </w:r>
          </w:p>
        </w:tc>
        <w:tc>
          <w:tcPr>
            <w:tcW w:w="737"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5D44DF">
            <w:pPr>
              <w:spacing w:before="20" w:after="20"/>
              <w:ind w:right="57"/>
              <w:jc w:val="right"/>
              <w:rPr>
                <w:rFonts w:ascii="Calibri" w:hAnsi="Calibri" w:cs="Calibri"/>
                <w:color w:val="000000"/>
                <w:sz w:val="18"/>
                <w:szCs w:val="18"/>
                <w:lang w:val="en-GB"/>
              </w:rPr>
            </w:pPr>
            <w:r w:rsidRPr="00563CF9">
              <w:rPr>
                <w:sz w:val="18"/>
                <w:lang w:val="en-GB" w:bidi="en-GB"/>
              </w:rPr>
              <w:t>0.00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ind w:right="57"/>
              <w:jc w:val="right"/>
              <w:rPr>
                <w:rFonts w:ascii="Calibri" w:hAnsi="Calibri" w:cs="Calibri"/>
                <w:color w:val="000000"/>
                <w:sz w:val="18"/>
                <w:szCs w:val="18"/>
                <w:lang w:val="en-GB"/>
              </w:rPr>
            </w:pPr>
            <w:r w:rsidRPr="00563CF9">
              <w:rPr>
                <w:sz w:val="18"/>
                <w:lang w:val="en-GB" w:bidi="en-GB"/>
              </w:rPr>
              <w:t>3</w:t>
            </w:r>
          </w:p>
        </w:tc>
        <w:tc>
          <w:tcPr>
            <w:tcW w:w="96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ind w:right="57"/>
              <w:jc w:val="right"/>
              <w:rPr>
                <w:rFonts w:ascii="Calibri" w:hAnsi="Calibri" w:cs="Calibri"/>
                <w:color w:val="000000"/>
                <w:sz w:val="18"/>
                <w:szCs w:val="18"/>
                <w:lang w:val="en-GB"/>
              </w:rPr>
            </w:pPr>
            <w:r w:rsidRPr="00563CF9">
              <w:rPr>
                <w:sz w:val="18"/>
                <w:lang w:val="en-GB" w:bidi="en-GB"/>
              </w:rPr>
              <w:t>1</w:t>
            </w:r>
          </w:p>
        </w:tc>
      </w:tr>
      <w:tr w:rsidR="004A6B9C" w:rsidRPr="00563CF9" w:rsidTr="009D6C3F">
        <w:trPr>
          <w:trHeight w:val="227"/>
        </w:trPr>
        <w:tc>
          <w:tcPr>
            <w:tcW w:w="737" w:type="dxa"/>
            <w:vMerge w:val="restart"/>
            <w:tcBorders>
              <w:top w:val="single" w:sz="4" w:space="0" w:color="auto"/>
              <w:left w:val="single" w:sz="4" w:space="0" w:color="auto"/>
              <w:right w:val="single" w:sz="4" w:space="0" w:color="auto"/>
            </w:tcBorders>
            <w:vAlign w:val="center"/>
          </w:tcPr>
          <w:p w:rsidR="004A6B9C" w:rsidRPr="00563CF9" w:rsidRDefault="004A6B9C" w:rsidP="004A6B9C">
            <w:pPr>
              <w:spacing w:before="20" w:after="20"/>
              <w:ind w:left="-57" w:right="-57"/>
              <w:rPr>
                <w:rFonts w:ascii="Calibri" w:hAnsi="Calibri" w:cs="Calibri"/>
                <w:color w:val="000000"/>
                <w:sz w:val="18"/>
                <w:szCs w:val="18"/>
                <w:lang w:val="en-GB"/>
              </w:rPr>
            </w:pPr>
            <w:r w:rsidRPr="00563CF9">
              <w:rPr>
                <w:sz w:val="18"/>
                <w:lang w:val="en-GB" w:bidi="en-GB"/>
              </w:rPr>
              <w:t>0194770</w:t>
            </w:r>
          </w:p>
        </w:tc>
        <w:tc>
          <w:tcPr>
            <w:tcW w:w="510"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center"/>
              <w:rPr>
                <w:rFonts w:ascii="Calibri" w:hAnsi="Calibri" w:cs="Calibri"/>
                <w:color w:val="000000"/>
                <w:sz w:val="18"/>
                <w:szCs w:val="18"/>
                <w:lang w:val="en-GB"/>
              </w:rPr>
            </w:pPr>
            <w:r w:rsidRPr="00563CF9">
              <w:rPr>
                <w:sz w:val="18"/>
                <w:lang w:val="en-GB" w:bidi="en-GB"/>
              </w:rPr>
              <w:t>2015</w:t>
            </w:r>
          </w:p>
        </w:tc>
        <w:tc>
          <w:tcPr>
            <w:tcW w:w="96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right"/>
              <w:rPr>
                <w:rFonts w:ascii="Calibri" w:hAnsi="Calibri" w:cs="Calibri"/>
                <w:color w:val="000000"/>
                <w:sz w:val="18"/>
                <w:szCs w:val="18"/>
                <w:lang w:val="en-GB"/>
              </w:rPr>
            </w:pPr>
            <w:r w:rsidRPr="00563CF9">
              <w:rPr>
                <w:sz w:val="18"/>
                <w:lang w:val="en-GB" w:bidi="en-GB"/>
              </w:rPr>
              <w:t>337,003.04</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center"/>
              <w:rPr>
                <w:rFonts w:ascii="Calibri" w:hAnsi="Calibri" w:cs="Calibri"/>
                <w:color w:val="000000"/>
                <w:sz w:val="18"/>
                <w:szCs w:val="18"/>
                <w:lang w:val="en-GB"/>
              </w:rPr>
            </w:pPr>
            <w:r w:rsidRPr="00563CF9">
              <w:rPr>
                <w:sz w:val="18"/>
                <w:lang w:val="en-GB" w:bidi="en-GB"/>
              </w:rPr>
              <w:t>BUH, MUH</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right"/>
              <w:rPr>
                <w:rFonts w:ascii="Calibri" w:hAnsi="Calibri" w:cs="Calibri"/>
                <w:color w:val="000000"/>
                <w:sz w:val="18"/>
                <w:szCs w:val="18"/>
                <w:lang w:val="en-GB"/>
              </w:rPr>
            </w:pPr>
            <w:r w:rsidRPr="00563CF9">
              <w:rPr>
                <w:sz w:val="18"/>
                <w:lang w:val="en-GB" w:bidi="en-GB"/>
              </w:rPr>
              <w:t>421,253.80</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center"/>
              <w:rPr>
                <w:rFonts w:ascii="Calibri" w:hAnsi="Calibri" w:cs="Calibri"/>
                <w:color w:val="000000"/>
                <w:sz w:val="18"/>
                <w:szCs w:val="18"/>
                <w:lang w:val="en-GB"/>
              </w:rPr>
            </w:pPr>
            <w:r w:rsidRPr="00563CF9">
              <w:rPr>
                <w:sz w:val="18"/>
                <w:lang w:val="en-GB" w:bidi="en-GB"/>
              </w:rPr>
              <w:t>CMH</w:t>
            </w:r>
          </w:p>
        </w:tc>
        <w:tc>
          <w:tcPr>
            <w:tcW w:w="907" w:type="dxa"/>
            <w:gridSpan w:val="2"/>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right"/>
              <w:rPr>
                <w:rFonts w:ascii="Calibri" w:hAnsi="Calibri" w:cs="Calibri"/>
                <w:color w:val="000000"/>
                <w:sz w:val="18"/>
                <w:szCs w:val="18"/>
                <w:lang w:val="en-GB"/>
              </w:rPr>
            </w:pPr>
            <w:r w:rsidRPr="00563CF9">
              <w:rPr>
                <w:sz w:val="18"/>
                <w:lang w:val="en-GB" w:bidi="en-GB"/>
              </w:rPr>
              <w:t>84,250.76</w:t>
            </w:r>
          </w:p>
        </w:tc>
        <w:tc>
          <w:tcPr>
            <w:tcW w:w="737"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5D44DF">
            <w:pPr>
              <w:spacing w:before="20" w:after="20"/>
              <w:ind w:right="57"/>
              <w:jc w:val="right"/>
              <w:rPr>
                <w:rFonts w:ascii="Calibri" w:hAnsi="Calibri" w:cs="Calibri"/>
                <w:color w:val="000000"/>
                <w:sz w:val="18"/>
                <w:szCs w:val="18"/>
                <w:lang w:val="en-GB"/>
              </w:rPr>
            </w:pPr>
            <w:r w:rsidRPr="00563CF9">
              <w:rPr>
                <w:sz w:val="18"/>
                <w:lang w:val="en-GB" w:bidi="en-GB"/>
              </w:rPr>
              <w:t>25.00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ind w:right="57"/>
              <w:jc w:val="right"/>
              <w:rPr>
                <w:rFonts w:ascii="Calibri" w:hAnsi="Calibri" w:cs="Calibri"/>
                <w:color w:val="000000"/>
                <w:sz w:val="18"/>
                <w:szCs w:val="18"/>
                <w:lang w:val="en-GB"/>
              </w:rPr>
            </w:pPr>
            <w:r w:rsidRPr="00563CF9">
              <w:rPr>
                <w:sz w:val="18"/>
                <w:lang w:val="en-GB" w:bidi="en-GB"/>
              </w:rPr>
              <w:t>3</w:t>
            </w:r>
          </w:p>
        </w:tc>
        <w:tc>
          <w:tcPr>
            <w:tcW w:w="96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ind w:right="57"/>
              <w:jc w:val="right"/>
              <w:rPr>
                <w:rFonts w:ascii="Calibri" w:hAnsi="Calibri" w:cs="Calibri"/>
                <w:color w:val="000000"/>
                <w:sz w:val="18"/>
                <w:szCs w:val="18"/>
                <w:lang w:val="en-GB"/>
              </w:rPr>
            </w:pPr>
            <w:r w:rsidRPr="00563CF9">
              <w:rPr>
                <w:sz w:val="18"/>
                <w:lang w:val="en-GB" w:bidi="en-GB"/>
              </w:rPr>
              <w:t>1</w:t>
            </w:r>
          </w:p>
        </w:tc>
      </w:tr>
      <w:tr w:rsidR="004A6B9C" w:rsidRPr="00563CF9" w:rsidTr="009D6C3F">
        <w:trPr>
          <w:trHeight w:val="227"/>
        </w:trPr>
        <w:tc>
          <w:tcPr>
            <w:tcW w:w="737" w:type="dxa"/>
            <w:vMerge/>
            <w:tcBorders>
              <w:left w:val="single" w:sz="4" w:space="0" w:color="auto"/>
              <w:bottom w:val="single" w:sz="4" w:space="0" w:color="auto"/>
              <w:right w:val="single" w:sz="4" w:space="0" w:color="auto"/>
            </w:tcBorders>
            <w:vAlign w:val="center"/>
          </w:tcPr>
          <w:p w:rsidR="004A6B9C" w:rsidRPr="00563CF9" w:rsidRDefault="004A6B9C" w:rsidP="004A6B9C">
            <w:pPr>
              <w:spacing w:before="20" w:after="20"/>
              <w:ind w:left="-57" w:right="-57"/>
              <w:rPr>
                <w:rFonts w:ascii="Calibri" w:hAnsi="Calibri" w:cs="Calibri"/>
                <w:color w:val="000000"/>
                <w:sz w:val="18"/>
                <w:szCs w:val="18"/>
                <w:lang w:val="en-GB"/>
              </w:rPr>
            </w:pPr>
          </w:p>
        </w:tc>
        <w:tc>
          <w:tcPr>
            <w:tcW w:w="510"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center"/>
              <w:rPr>
                <w:rFonts w:ascii="Calibri" w:hAnsi="Calibri" w:cs="Calibri"/>
                <w:color w:val="000000"/>
                <w:sz w:val="18"/>
                <w:szCs w:val="18"/>
                <w:lang w:val="en-GB"/>
              </w:rPr>
            </w:pPr>
            <w:r w:rsidRPr="00563CF9">
              <w:rPr>
                <w:sz w:val="18"/>
                <w:lang w:val="en-GB" w:bidi="en-GB"/>
              </w:rPr>
              <w:t>2016</w:t>
            </w:r>
          </w:p>
        </w:tc>
        <w:tc>
          <w:tcPr>
            <w:tcW w:w="96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right"/>
              <w:rPr>
                <w:rFonts w:ascii="Calibri" w:hAnsi="Calibri" w:cs="Calibri"/>
                <w:color w:val="000000"/>
                <w:sz w:val="18"/>
                <w:szCs w:val="18"/>
                <w:lang w:val="en-GB"/>
              </w:rPr>
            </w:pPr>
            <w:r w:rsidRPr="00563CF9">
              <w:rPr>
                <w:sz w:val="18"/>
                <w:lang w:val="en-GB" w:bidi="en-GB"/>
              </w:rPr>
              <w:t>337,003.04</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center"/>
              <w:rPr>
                <w:rFonts w:ascii="Calibri" w:hAnsi="Calibri" w:cs="Calibri"/>
                <w:color w:val="000000"/>
                <w:sz w:val="18"/>
                <w:szCs w:val="18"/>
                <w:lang w:val="en-GB"/>
              </w:rPr>
            </w:pPr>
            <w:r w:rsidRPr="00563CF9">
              <w:rPr>
                <w:sz w:val="18"/>
                <w:lang w:val="en-GB" w:bidi="en-GB"/>
              </w:rPr>
              <w:t>CMH</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right"/>
              <w:rPr>
                <w:rFonts w:ascii="Calibri" w:hAnsi="Calibri" w:cs="Calibri"/>
                <w:color w:val="000000"/>
                <w:sz w:val="18"/>
                <w:szCs w:val="18"/>
                <w:lang w:val="en-GB"/>
              </w:rPr>
            </w:pPr>
            <w:r w:rsidRPr="00563CF9">
              <w:rPr>
                <w:sz w:val="18"/>
                <w:lang w:val="en-GB" w:bidi="en-GB"/>
              </w:rPr>
              <w:t>406,032.19</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center"/>
              <w:rPr>
                <w:rFonts w:ascii="Calibri" w:hAnsi="Calibri" w:cs="Calibri"/>
                <w:color w:val="000000"/>
                <w:sz w:val="18"/>
                <w:szCs w:val="18"/>
                <w:lang w:val="en-GB"/>
              </w:rPr>
            </w:pPr>
            <w:r w:rsidRPr="00563CF9">
              <w:rPr>
                <w:sz w:val="18"/>
                <w:lang w:val="en-GB" w:bidi="en-GB"/>
              </w:rPr>
              <w:t>MUH, CMH</w:t>
            </w:r>
          </w:p>
        </w:tc>
        <w:tc>
          <w:tcPr>
            <w:tcW w:w="907" w:type="dxa"/>
            <w:gridSpan w:val="2"/>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right"/>
              <w:rPr>
                <w:rFonts w:ascii="Calibri" w:hAnsi="Calibri" w:cs="Calibri"/>
                <w:color w:val="000000"/>
                <w:sz w:val="18"/>
                <w:szCs w:val="18"/>
                <w:lang w:val="en-GB"/>
              </w:rPr>
            </w:pPr>
            <w:r w:rsidRPr="00563CF9">
              <w:rPr>
                <w:sz w:val="18"/>
                <w:lang w:val="en-GB" w:bidi="en-GB"/>
              </w:rPr>
              <w:t>69,029.15</w:t>
            </w:r>
          </w:p>
        </w:tc>
        <w:tc>
          <w:tcPr>
            <w:tcW w:w="737"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5D44DF">
            <w:pPr>
              <w:spacing w:before="20" w:after="20"/>
              <w:ind w:right="57"/>
              <w:jc w:val="right"/>
              <w:rPr>
                <w:rFonts w:ascii="Calibri" w:hAnsi="Calibri" w:cs="Calibri"/>
                <w:color w:val="000000"/>
                <w:sz w:val="18"/>
                <w:szCs w:val="18"/>
                <w:lang w:val="en-GB"/>
              </w:rPr>
            </w:pPr>
            <w:r w:rsidRPr="00563CF9">
              <w:rPr>
                <w:sz w:val="18"/>
                <w:lang w:val="en-GB" w:bidi="en-GB"/>
              </w:rPr>
              <w:t>20.48</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ind w:right="57"/>
              <w:jc w:val="right"/>
              <w:rPr>
                <w:rFonts w:ascii="Calibri" w:hAnsi="Calibri" w:cs="Calibri"/>
                <w:color w:val="000000"/>
                <w:sz w:val="18"/>
                <w:szCs w:val="18"/>
                <w:lang w:val="en-GB"/>
              </w:rPr>
            </w:pPr>
            <w:r w:rsidRPr="00563CF9">
              <w:rPr>
                <w:sz w:val="18"/>
                <w:lang w:val="en-GB" w:bidi="en-GB"/>
              </w:rPr>
              <w:t>2</w:t>
            </w:r>
          </w:p>
        </w:tc>
        <w:tc>
          <w:tcPr>
            <w:tcW w:w="96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ind w:right="57"/>
              <w:jc w:val="right"/>
              <w:rPr>
                <w:rFonts w:ascii="Calibri" w:hAnsi="Calibri" w:cs="Calibri"/>
                <w:color w:val="000000"/>
                <w:sz w:val="18"/>
                <w:szCs w:val="18"/>
                <w:lang w:val="en-GB"/>
              </w:rPr>
            </w:pPr>
            <w:r w:rsidRPr="00563CF9">
              <w:rPr>
                <w:sz w:val="18"/>
                <w:lang w:val="en-GB" w:bidi="en-GB"/>
              </w:rPr>
              <w:t>1</w:t>
            </w:r>
          </w:p>
        </w:tc>
      </w:tr>
      <w:tr w:rsidR="004A6B9C" w:rsidRPr="00563CF9" w:rsidTr="009D6C3F">
        <w:trPr>
          <w:trHeight w:val="227"/>
        </w:trPr>
        <w:tc>
          <w:tcPr>
            <w:tcW w:w="737" w:type="dxa"/>
            <w:vMerge w:val="restart"/>
            <w:tcBorders>
              <w:top w:val="single" w:sz="4" w:space="0" w:color="auto"/>
              <w:left w:val="single" w:sz="4" w:space="0" w:color="auto"/>
              <w:right w:val="single" w:sz="4" w:space="0" w:color="auto"/>
            </w:tcBorders>
            <w:vAlign w:val="center"/>
          </w:tcPr>
          <w:p w:rsidR="004A6B9C" w:rsidRPr="00563CF9" w:rsidRDefault="004A6B9C" w:rsidP="004A6B9C">
            <w:pPr>
              <w:spacing w:before="20" w:after="20"/>
              <w:ind w:left="-57" w:right="-57"/>
              <w:rPr>
                <w:rFonts w:ascii="Calibri" w:hAnsi="Calibri" w:cs="Calibri"/>
                <w:color w:val="000000"/>
                <w:sz w:val="18"/>
                <w:szCs w:val="18"/>
                <w:lang w:val="en-GB"/>
              </w:rPr>
            </w:pPr>
            <w:r w:rsidRPr="00563CF9">
              <w:rPr>
                <w:sz w:val="18"/>
                <w:lang w:val="en-GB" w:bidi="en-GB"/>
              </w:rPr>
              <w:t>0210118</w:t>
            </w:r>
          </w:p>
        </w:tc>
        <w:tc>
          <w:tcPr>
            <w:tcW w:w="510"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center"/>
              <w:rPr>
                <w:rFonts w:ascii="Calibri" w:hAnsi="Calibri" w:cs="Calibri"/>
                <w:color w:val="000000"/>
                <w:sz w:val="18"/>
                <w:szCs w:val="18"/>
                <w:lang w:val="en-GB"/>
              </w:rPr>
            </w:pPr>
            <w:r w:rsidRPr="00563CF9">
              <w:rPr>
                <w:sz w:val="18"/>
                <w:lang w:val="en-GB" w:bidi="en-GB"/>
              </w:rPr>
              <w:t>2015</w:t>
            </w:r>
          </w:p>
        </w:tc>
        <w:tc>
          <w:tcPr>
            <w:tcW w:w="96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right"/>
              <w:rPr>
                <w:rFonts w:ascii="Calibri" w:hAnsi="Calibri" w:cs="Calibri"/>
                <w:color w:val="000000"/>
                <w:sz w:val="18"/>
                <w:szCs w:val="18"/>
                <w:lang w:val="en-GB"/>
              </w:rPr>
            </w:pPr>
            <w:r w:rsidRPr="00563CF9">
              <w:rPr>
                <w:sz w:val="18"/>
                <w:lang w:val="en-GB" w:bidi="en-GB"/>
              </w:rPr>
              <w:t>126,675.20</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center"/>
              <w:rPr>
                <w:rFonts w:ascii="Calibri" w:hAnsi="Calibri" w:cs="Calibri"/>
                <w:color w:val="000000"/>
                <w:sz w:val="18"/>
                <w:szCs w:val="18"/>
                <w:lang w:val="en-GB"/>
              </w:rPr>
            </w:pPr>
            <w:r w:rsidRPr="00563CF9">
              <w:rPr>
                <w:sz w:val="18"/>
                <w:lang w:val="en-GB" w:bidi="en-GB"/>
              </w:rPr>
              <w:t>BUH, MUH, CMH</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right"/>
              <w:rPr>
                <w:rFonts w:ascii="Calibri" w:hAnsi="Calibri" w:cs="Calibri"/>
                <w:color w:val="000000"/>
                <w:sz w:val="18"/>
                <w:szCs w:val="18"/>
                <w:lang w:val="en-GB"/>
              </w:rPr>
            </w:pPr>
            <w:r w:rsidRPr="00563CF9">
              <w:rPr>
                <w:sz w:val="18"/>
                <w:lang w:val="en-GB" w:bidi="en-GB"/>
              </w:rPr>
              <w:t>xx</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center"/>
              <w:rPr>
                <w:rFonts w:ascii="Calibri" w:hAnsi="Calibri" w:cs="Calibri"/>
                <w:color w:val="000000"/>
                <w:sz w:val="18"/>
                <w:szCs w:val="18"/>
                <w:lang w:val="en-GB"/>
              </w:rPr>
            </w:pPr>
            <w:r w:rsidRPr="00563CF9">
              <w:rPr>
                <w:sz w:val="18"/>
                <w:lang w:val="en-GB" w:bidi="en-GB"/>
              </w:rPr>
              <w:t>xx</w:t>
            </w:r>
          </w:p>
        </w:tc>
        <w:tc>
          <w:tcPr>
            <w:tcW w:w="907" w:type="dxa"/>
            <w:gridSpan w:val="2"/>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right"/>
              <w:rPr>
                <w:rFonts w:ascii="Calibri" w:hAnsi="Calibri" w:cs="Calibri"/>
                <w:color w:val="000000"/>
                <w:sz w:val="18"/>
                <w:szCs w:val="18"/>
                <w:lang w:val="en-GB"/>
              </w:rPr>
            </w:pPr>
            <w:r w:rsidRPr="00563CF9">
              <w:rPr>
                <w:sz w:val="18"/>
                <w:lang w:val="en-GB" w:bidi="en-GB"/>
              </w:rPr>
              <w:t>0</w:t>
            </w:r>
          </w:p>
        </w:tc>
        <w:tc>
          <w:tcPr>
            <w:tcW w:w="737"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5D44DF">
            <w:pPr>
              <w:spacing w:before="20" w:after="20"/>
              <w:ind w:right="57"/>
              <w:jc w:val="right"/>
              <w:rPr>
                <w:rFonts w:ascii="Calibri" w:hAnsi="Calibri" w:cs="Calibri"/>
                <w:color w:val="000000"/>
                <w:sz w:val="18"/>
                <w:szCs w:val="18"/>
                <w:lang w:val="en-GB"/>
              </w:rPr>
            </w:pPr>
            <w:r w:rsidRPr="00563CF9">
              <w:rPr>
                <w:sz w:val="18"/>
                <w:lang w:val="en-GB" w:bidi="en-GB"/>
              </w:rPr>
              <w:t>0.00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ind w:right="57"/>
              <w:jc w:val="right"/>
              <w:rPr>
                <w:rFonts w:ascii="Calibri" w:hAnsi="Calibri" w:cs="Calibri"/>
                <w:color w:val="000000"/>
                <w:sz w:val="18"/>
                <w:szCs w:val="18"/>
                <w:lang w:val="en-GB"/>
              </w:rPr>
            </w:pPr>
            <w:r w:rsidRPr="00563CF9">
              <w:rPr>
                <w:sz w:val="18"/>
                <w:lang w:val="en-GB" w:bidi="en-GB"/>
              </w:rPr>
              <w:t>3</w:t>
            </w:r>
          </w:p>
        </w:tc>
        <w:tc>
          <w:tcPr>
            <w:tcW w:w="96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ind w:right="57"/>
              <w:jc w:val="right"/>
              <w:rPr>
                <w:rFonts w:ascii="Calibri" w:hAnsi="Calibri" w:cs="Calibri"/>
                <w:color w:val="000000"/>
                <w:sz w:val="18"/>
                <w:szCs w:val="18"/>
                <w:lang w:val="en-GB"/>
              </w:rPr>
            </w:pPr>
            <w:r w:rsidRPr="00563CF9">
              <w:rPr>
                <w:sz w:val="18"/>
                <w:lang w:val="en-GB" w:bidi="en-GB"/>
              </w:rPr>
              <w:t>1</w:t>
            </w:r>
          </w:p>
        </w:tc>
      </w:tr>
      <w:tr w:rsidR="004A6B9C" w:rsidRPr="00563CF9" w:rsidTr="009D6C3F">
        <w:trPr>
          <w:trHeight w:val="227"/>
        </w:trPr>
        <w:tc>
          <w:tcPr>
            <w:tcW w:w="737" w:type="dxa"/>
            <w:vMerge/>
            <w:tcBorders>
              <w:left w:val="single" w:sz="4" w:space="0" w:color="auto"/>
              <w:bottom w:val="single" w:sz="4" w:space="0" w:color="auto"/>
              <w:right w:val="single" w:sz="4" w:space="0" w:color="auto"/>
            </w:tcBorders>
            <w:vAlign w:val="center"/>
          </w:tcPr>
          <w:p w:rsidR="004A6B9C" w:rsidRPr="00563CF9" w:rsidRDefault="004A6B9C" w:rsidP="004A6B9C">
            <w:pPr>
              <w:spacing w:before="20" w:after="20"/>
              <w:ind w:left="-57" w:right="-57"/>
              <w:rPr>
                <w:rFonts w:ascii="Calibri" w:hAnsi="Calibri" w:cs="Calibri"/>
                <w:color w:val="000000"/>
                <w:sz w:val="18"/>
                <w:szCs w:val="18"/>
                <w:lang w:val="en-GB"/>
              </w:rPr>
            </w:pPr>
          </w:p>
        </w:tc>
        <w:tc>
          <w:tcPr>
            <w:tcW w:w="510"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center"/>
              <w:rPr>
                <w:rFonts w:ascii="Calibri" w:hAnsi="Calibri" w:cs="Calibri"/>
                <w:color w:val="000000"/>
                <w:sz w:val="18"/>
                <w:szCs w:val="18"/>
                <w:lang w:val="en-GB"/>
              </w:rPr>
            </w:pPr>
            <w:r w:rsidRPr="00563CF9">
              <w:rPr>
                <w:sz w:val="18"/>
                <w:lang w:val="en-GB" w:bidi="en-GB"/>
              </w:rPr>
              <w:t>2016</w:t>
            </w:r>
          </w:p>
        </w:tc>
        <w:tc>
          <w:tcPr>
            <w:tcW w:w="96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right"/>
              <w:rPr>
                <w:rFonts w:ascii="Calibri" w:hAnsi="Calibri" w:cs="Calibri"/>
                <w:color w:val="000000"/>
                <w:sz w:val="18"/>
                <w:szCs w:val="18"/>
                <w:lang w:val="en-GB"/>
              </w:rPr>
            </w:pPr>
            <w:r w:rsidRPr="00563CF9">
              <w:rPr>
                <w:sz w:val="18"/>
                <w:lang w:val="en-GB" w:bidi="en-GB"/>
              </w:rPr>
              <w:t>101,338.91</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center"/>
              <w:rPr>
                <w:rFonts w:ascii="Calibri" w:hAnsi="Calibri" w:cs="Calibri"/>
                <w:color w:val="000000"/>
                <w:sz w:val="18"/>
                <w:szCs w:val="18"/>
                <w:lang w:val="en-GB"/>
              </w:rPr>
            </w:pPr>
            <w:r w:rsidRPr="00563CF9">
              <w:rPr>
                <w:sz w:val="18"/>
                <w:lang w:val="en-GB" w:bidi="en-GB"/>
              </w:rPr>
              <w:t>MUH</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right"/>
              <w:rPr>
                <w:rFonts w:ascii="Calibri" w:hAnsi="Calibri" w:cs="Calibri"/>
                <w:color w:val="000000"/>
                <w:sz w:val="18"/>
                <w:szCs w:val="18"/>
                <w:lang w:val="en-GB"/>
              </w:rPr>
            </w:pPr>
            <w:r w:rsidRPr="00563CF9">
              <w:rPr>
                <w:sz w:val="18"/>
                <w:lang w:val="en-GB" w:bidi="en-GB"/>
              </w:rPr>
              <w:t>126,675.20</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center"/>
              <w:rPr>
                <w:rFonts w:ascii="Calibri" w:hAnsi="Calibri" w:cs="Calibri"/>
                <w:color w:val="000000"/>
                <w:sz w:val="18"/>
                <w:szCs w:val="18"/>
                <w:lang w:val="en-GB"/>
              </w:rPr>
            </w:pPr>
            <w:r w:rsidRPr="00563CF9">
              <w:rPr>
                <w:sz w:val="18"/>
                <w:lang w:val="en-GB" w:bidi="en-GB"/>
              </w:rPr>
              <w:t>BUH</w:t>
            </w:r>
          </w:p>
        </w:tc>
        <w:tc>
          <w:tcPr>
            <w:tcW w:w="907" w:type="dxa"/>
            <w:gridSpan w:val="2"/>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right"/>
              <w:rPr>
                <w:rFonts w:ascii="Calibri" w:hAnsi="Calibri" w:cs="Calibri"/>
                <w:color w:val="000000"/>
                <w:sz w:val="18"/>
                <w:szCs w:val="18"/>
                <w:lang w:val="en-GB"/>
              </w:rPr>
            </w:pPr>
            <w:r w:rsidRPr="00563CF9">
              <w:rPr>
                <w:sz w:val="18"/>
                <w:lang w:val="en-GB" w:bidi="en-GB"/>
              </w:rPr>
              <w:t>25,336.29</w:t>
            </w:r>
          </w:p>
        </w:tc>
        <w:tc>
          <w:tcPr>
            <w:tcW w:w="737"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5D44DF">
            <w:pPr>
              <w:spacing w:before="20" w:after="20"/>
              <w:ind w:right="57"/>
              <w:jc w:val="right"/>
              <w:rPr>
                <w:rFonts w:ascii="Calibri" w:hAnsi="Calibri" w:cs="Calibri"/>
                <w:color w:val="000000"/>
                <w:sz w:val="18"/>
                <w:szCs w:val="18"/>
                <w:lang w:val="en-GB"/>
              </w:rPr>
            </w:pPr>
            <w:r w:rsidRPr="00563CF9">
              <w:rPr>
                <w:sz w:val="18"/>
                <w:lang w:val="en-GB" w:bidi="en-GB"/>
              </w:rPr>
              <w:t>25.00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ind w:right="57"/>
              <w:jc w:val="right"/>
              <w:rPr>
                <w:rFonts w:ascii="Calibri" w:hAnsi="Calibri" w:cs="Calibri"/>
                <w:color w:val="000000"/>
                <w:sz w:val="18"/>
                <w:szCs w:val="18"/>
                <w:lang w:val="en-GB"/>
              </w:rPr>
            </w:pPr>
            <w:r w:rsidRPr="00563CF9">
              <w:rPr>
                <w:sz w:val="18"/>
                <w:lang w:val="en-GB" w:bidi="en-GB"/>
              </w:rPr>
              <w:t>3</w:t>
            </w:r>
          </w:p>
        </w:tc>
        <w:tc>
          <w:tcPr>
            <w:tcW w:w="96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ind w:right="57"/>
              <w:jc w:val="right"/>
              <w:rPr>
                <w:rFonts w:ascii="Calibri" w:hAnsi="Calibri" w:cs="Calibri"/>
                <w:color w:val="000000"/>
                <w:sz w:val="18"/>
                <w:szCs w:val="18"/>
                <w:lang w:val="en-GB"/>
              </w:rPr>
            </w:pPr>
            <w:r w:rsidRPr="00563CF9">
              <w:rPr>
                <w:sz w:val="18"/>
                <w:lang w:val="en-GB" w:bidi="en-GB"/>
              </w:rPr>
              <w:t>2</w:t>
            </w:r>
          </w:p>
        </w:tc>
      </w:tr>
      <w:tr w:rsidR="004A6B9C" w:rsidRPr="00563CF9" w:rsidTr="009D6C3F">
        <w:trPr>
          <w:trHeight w:val="227"/>
        </w:trPr>
        <w:tc>
          <w:tcPr>
            <w:tcW w:w="737" w:type="dxa"/>
            <w:vMerge w:val="restart"/>
            <w:tcBorders>
              <w:top w:val="single" w:sz="4" w:space="0" w:color="auto"/>
              <w:left w:val="single" w:sz="4" w:space="0" w:color="auto"/>
              <w:right w:val="single" w:sz="4" w:space="0" w:color="auto"/>
            </w:tcBorders>
            <w:vAlign w:val="center"/>
          </w:tcPr>
          <w:p w:rsidR="004A6B9C" w:rsidRPr="00563CF9" w:rsidRDefault="004A6B9C" w:rsidP="004A6B9C">
            <w:pPr>
              <w:spacing w:before="20" w:after="20"/>
              <w:ind w:left="-57" w:right="-57"/>
              <w:rPr>
                <w:rFonts w:ascii="Calibri" w:hAnsi="Calibri" w:cs="Calibri"/>
                <w:color w:val="000000"/>
                <w:sz w:val="18"/>
                <w:szCs w:val="18"/>
                <w:lang w:val="en-GB"/>
              </w:rPr>
            </w:pPr>
            <w:r w:rsidRPr="00563CF9">
              <w:rPr>
                <w:sz w:val="18"/>
                <w:lang w:val="en-GB" w:bidi="en-GB"/>
              </w:rPr>
              <w:t>0210201</w:t>
            </w:r>
          </w:p>
        </w:tc>
        <w:tc>
          <w:tcPr>
            <w:tcW w:w="510"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center"/>
              <w:rPr>
                <w:rFonts w:ascii="Calibri" w:hAnsi="Calibri" w:cs="Calibri"/>
                <w:color w:val="000000"/>
                <w:sz w:val="18"/>
                <w:szCs w:val="18"/>
                <w:lang w:val="en-GB"/>
              </w:rPr>
            </w:pPr>
            <w:r w:rsidRPr="00563CF9">
              <w:rPr>
                <w:sz w:val="18"/>
                <w:lang w:val="en-GB" w:bidi="en-GB"/>
              </w:rPr>
              <w:t>2015</w:t>
            </w:r>
          </w:p>
        </w:tc>
        <w:tc>
          <w:tcPr>
            <w:tcW w:w="96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right"/>
              <w:rPr>
                <w:rFonts w:ascii="Calibri" w:hAnsi="Calibri" w:cs="Calibri"/>
                <w:color w:val="000000"/>
                <w:sz w:val="18"/>
                <w:szCs w:val="18"/>
                <w:lang w:val="en-GB"/>
              </w:rPr>
            </w:pPr>
            <w:r w:rsidRPr="00563CF9">
              <w:rPr>
                <w:sz w:val="18"/>
                <w:lang w:val="en-GB" w:bidi="en-GB"/>
              </w:rPr>
              <w:t>380,842.88</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center"/>
              <w:rPr>
                <w:rFonts w:ascii="Calibri" w:hAnsi="Calibri" w:cs="Calibri"/>
                <w:color w:val="000000"/>
                <w:sz w:val="18"/>
                <w:szCs w:val="18"/>
                <w:lang w:val="en-GB"/>
              </w:rPr>
            </w:pPr>
            <w:r w:rsidRPr="00563CF9">
              <w:rPr>
                <w:sz w:val="18"/>
                <w:lang w:val="en-GB" w:bidi="en-GB"/>
              </w:rPr>
              <w:t>BUH</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right"/>
              <w:rPr>
                <w:rFonts w:ascii="Calibri" w:hAnsi="Calibri" w:cs="Calibri"/>
                <w:color w:val="000000"/>
                <w:sz w:val="18"/>
                <w:szCs w:val="18"/>
                <w:lang w:val="en-GB"/>
              </w:rPr>
            </w:pPr>
            <w:r w:rsidRPr="00563CF9">
              <w:rPr>
                <w:sz w:val="18"/>
                <w:lang w:val="en-GB" w:bidi="en-GB"/>
              </w:rPr>
              <w:t>476,053.60</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center"/>
              <w:rPr>
                <w:rFonts w:ascii="Calibri" w:hAnsi="Calibri" w:cs="Calibri"/>
                <w:color w:val="000000"/>
                <w:sz w:val="18"/>
                <w:szCs w:val="18"/>
                <w:lang w:val="en-GB"/>
              </w:rPr>
            </w:pPr>
            <w:r w:rsidRPr="00563CF9">
              <w:rPr>
                <w:sz w:val="18"/>
                <w:lang w:val="en-GB" w:bidi="en-GB"/>
              </w:rPr>
              <w:t>CMH</w:t>
            </w:r>
          </w:p>
        </w:tc>
        <w:tc>
          <w:tcPr>
            <w:tcW w:w="907" w:type="dxa"/>
            <w:gridSpan w:val="2"/>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right"/>
              <w:rPr>
                <w:rFonts w:ascii="Calibri" w:hAnsi="Calibri" w:cs="Calibri"/>
                <w:color w:val="000000"/>
                <w:sz w:val="18"/>
                <w:szCs w:val="18"/>
                <w:lang w:val="en-GB"/>
              </w:rPr>
            </w:pPr>
            <w:r w:rsidRPr="00563CF9">
              <w:rPr>
                <w:sz w:val="18"/>
                <w:lang w:val="en-GB" w:bidi="en-GB"/>
              </w:rPr>
              <w:t>95,210.72</w:t>
            </w:r>
          </w:p>
        </w:tc>
        <w:tc>
          <w:tcPr>
            <w:tcW w:w="737"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5D44DF">
            <w:pPr>
              <w:spacing w:before="20" w:after="20"/>
              <w:ind w:right="57"/>
              <w:jc w:val="right"/>
              <w:rPr>
                <w:rFonts w:ascii="Calibri" w:hAnsi="Calibri" w:cs="Calibri"/>
                <w:color w:val="000000"/>
                <w:sz w:val="18"/>
                <w:szCs w:val="18"/>
                <w:lang w:val="en-GB"/>
              </w:rPr>
            </w:pPr>
            <w:r w:rsidRPr="00563CF9">
              <w:rPr>
                <w:sz w:val="18"/>
                <w:lang w:val="en-GB" w:bidi="en-GB"/>
              </w:rPr>
              <w:t>25.00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ind w:right="57"/>
              <w:jc w:val="right"/>
              <w:rPr>
                <w:rFonts w:ascii="Calibri" w:hAnsi="Calibri" w:cs="Calibri"/>
                <w:color w:val="000000"/>
                <w:sz w:val="18"/>
                <w:szCs w:val="18"/>
                <w:lang w:val="en-GB"/>
              </w:rPr>
            </w:pPr>
            <w:r w:rsidRPr="00563CF9">
              <w:rPr>
                <w:sz w:val="18"/>
                <w:lang w:val="en-GB" w:bidi="en-GB"/>
              </w:rPr>
              <w:t>2</w:t>
            </w:r>
          </w:p>
        </w:tc>
        <w:tc>
          <w:tcPr>
            <w:tcW w:w="96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ind w:right="57"/>
              <w:jc w:val="right"/>
              <w:rPr>
                <w:rFonts w:ascii="Calibri" w:hAnsi="Calibri" w:cs="Calibri"/>
                <w:color w:val="000000"/>
                <w:sz w:val="18"/>
                <w:szCs w:val="18"/>
                <w:lang w:val="en-GB"/>
              </w:rPr>
            </w:pPr>
            <w:r w:rsidRPr="00563CF9">
              <w:rPr>
                <w:sz w:val="18"/>
                <w:lang w:val="en-GB" w:bidi="en-GB"/>
              </w:rPr>
              <w:t>1</w:t>
            </w:r>
          </w:p>
        </w:tc>
      </w:tr>
      <w:tr w:rsidR="004A6B9C" w:rsidRPr="00563CF9" w:rsidTr="009D6C3F">
        <w:trPr>
          <w:trHeight w:val="227"/>
        </w:trPr>
        <w:tc>
          <w:tcPr>
            <w:tcW w:w="737" w:type="dxa"/>
            <w:vMerge/>
            <w:tcBorders>
              <w:left w:val="single" w:sz="4" w:space="0" w:color="auto"/>
              <w:bottom w:val="single" w:sz="4" w:space="0" w:color="auto"/>
              <w:right w:val="single" w:sz="4" w:space="0" w:color="auto"/>
            </w:tcBorders>
            <w:vAlign w:val="center"/>
          </w:tcPr>
          <w:p w:rsidR="004A6B9C" w:rsidRPr="00563CF9" w:rsidRDefault="004A6B9C" w:rsidP="004A6B9C">
            <w:pPr>
              <w:spacing w:before="20" w:after="20"/>
              <w:ind w:left="-57" w:right="-57"/>
              <w:rPr>
                <w:rFonts w:ascii="Calibri" w:hAnsi="Calibri" w:cs="Calibri"/>
                <w:color w:val="000000"/>
                <w:sz w:val="18"/>
                <w:szCs w:val="18"/>
                <w:lang w:val="en-GB"/>
              </w:rPr>
            </w:pPr>
          </w:p>
        </w:tc>
        <w:tc>
          <w:tcPr>
            <w:tcW w:w="510"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center"/>
              <w:rPr>
                <w:rFonts w:ascii="Calibri" w:hAnsi="Calibri" w:cs="Calibri"/>
                <w:color w:val="000000"/>
                <w:sz w:val="18"/>
                <w:szCs w:val="18"/>
                <w:lang w:val="en-GB"/>
              </w:rPr>
            </w:pPr>
            <w:r w:rsidRPr="00563CF9">
              <w:rPr>
                <w:sz w:val="18"/>
                <w:lang w:val="en-GB" w:bidi="en-GB"/>
              </w:rPr>
              <w:t>2016</w:t>
            </w:r>
          </w:p>
        </w:tc>
        <w:tc>
          <w:tcPr>
            <w:tcW w:w="96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right"/>
              <w:rPr>
                <w:rFonts w:ascii="Calibri" w:hAnsi="Calibri" w:cs="Calibri"/>
                <w:color w:val="000000"/>
                <w:sz w:val="18"/>
                <w:szCs w:val="18"/>
                <w:lang w:val="en-GB"/>
              </w:rPr>
            </w:pPr>
            <w:r w:rsidRPr="00563CF9">
              <w:rPr>
                <w:sz w:val="18"/>
                <w:lang w:val="en-GB" w:bidi="en-GB"/>
              </w:rPr>
              <w:t>483,112.67</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center"/>
              <w:rPr>
                <w:rFonts w:ascii="Calibri" w:hAnsi="Calibri" w:cs="Calibri"/>
                <w:color w:val="000000"/>
                <w:sz w:val="18"/>
                <w:szCs w:val="18"/>
                <w:lang w:val="en-GB"/>
              </w:rPr>
            </w:pPr>
            <w:r w:rsidRPr="00563CF9">
              <w:rPr>
                <w:sz w:val="18"/>
                <w:lang w:val="en-GB" w:bidi="en-GB"/>
              </w:rPr>
              <w:t>BUH, MUH</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right"/>
              <w:rPr>
                <w:rFonts w:ascii="Calibri" w:hAnsi="Calibri" w:cs="Calibri"/>
                <w:color w:val="000000"/>
                <w:sz w:val="18"/>
                <w:szCs w:val="18"/>
                <w:lang w:val="en-GB"/>
              </w:rPr>
            </w:pPr>
            <w:r w:rsidRPr="00563CF9">
              <w:rPr>
                <w:sz w:val="18"/>
                <w:lang w:val="en-GB" w:bidi="en-GB"/>
              </w:rPr>
              <w:t>xx</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center"/>
              <w:rPr>
                <w:rFonts w:ascii="Calibri" w:hAnsi="Calibri" w:cs="Calibri"/>
                <w:color w:val="000000"/>
                <w:sz w:val="18"/>
                <w:szCs w:val="18"/>
                <w:lang w:val="en-GB"/>
              </w:rPr>
            </w:pPr>
            <w:r w:rsidRPr="00563CF9">
              <w:rPr>
                <w:sz w:val="18"/>
                <w:lang w:val="en-GB" w:bidi="en-GB"/>
              </w:rPr>
              <w:t>xx</w:t>
            </w:r>
          </w:p>
        </w:tc>
        <w:tc>
          <w:tcPr>
            <w:tcW w:w="907" w:type="dxa"/>
            <w:gridSpan w:val="2"/>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right"/>
              <w:rPr>
                <w:rFonts w:ascii="Calibri" w:hAnsi="Calibri" w:cs="Calibri"/>
                <w:color w:val="000000"/>
                <w:sz w:val="18"/>
                <w:szCs w:val="18"/>
                <w:lang w:val="en-GB"/>
              </w:rPr>
            </w:pPr>
            <w:r w:rsidRPr="00563CF9">
              <w:rPr>
                <w:sz w:val="18"/>
                <w:lang w:val="en-GB" w:bidi="en-GB"/>
              </w:rPr>
              <w:t>0</w:t>
            </w:r>
          </w:p>
        </w:tc>
        <w:tc>
          <w:tcPr>
            <w:tcW w:w="737"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5D44DF">
            <w:pPr>
              <w:spacing w:before="20" w:after="20"/>
              <w:ind w:right="57"/>
              <w:jc w:val="right"/>
              <w:rPr>
                <w:rFonts w:ascii="Calibri" w:hAnsi="Calibri" w:cs="Calibri"/>
                <w:color w:val="000000"/>
                <w:sz w:val="18"/>
                <w:szCs w:val="18"/>
                <w:lang w:val="en-GB"/>
              </w:rPr>
            </w:pPr>
            <w:r w:rsidRPr="00563CF9">
              <w:rPr>
                <w:sz w:val="18"/>
                <w:lang w:val="en-GB" w:bidi="en-GB"/>
              </w:rPr>
              <w:t>0.00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ind w:right="57"/>
              <w:jc w:val="right"/>
              <w:rPr>
                <w:rFonts w:ascii="Calibri" w:hAnsi="Calibri" w:cs="Calibri"/>
                <w:color w:val="000000"/>
                <w:sz w:val="18"/>
                <w:szCs w:val="18"/>
                <w:lang w:val="en-GB"/>
              </w:rPr>
            </w:pPr>
            <w:r w:rsidRPr="00563CF9">
              <w:rPr>
                <w:sz w:val="18"/>
                <w:lang w:val="en-GB" w:bidi="en-GB"/>
              </w:rPr>
              <w:t>2</w:t>
            </w:r>
          </w:p>
        </w:tc>
        <w:tc>
          <w:tcPr>
            <w:tcW w:w="96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ind w:right="57"/>
              <w:jc w:val="right"/>
              <w:rPr>
                <w:rFonts w:ascii="Calibri" w:hAnsi="Calibri" w:cs="Calibri"/>
                <w:color w:val="000000"/>
                <w:sz w:val="18"/>
                <w:szCs w:val="18"/>
                <w:lang w:val="en-GB"/>
              </w:rPr>
            </w:pPr>
            <w:r w:rsidRPr="00563CF9">
              <w:rPr>
                <w:sz w:val="18"/>
                <w:lang w:val="en-GB" w:bidi="en-GB"/>
              </w:rPr>
              <w:t>1</w:t>
            </w:r>
          </w:p>
        </w:tc>
      </w:tr>
      <w:tr w:rsidR="004A6B9C" w:rsidRPr="00563CF9" w:rsidTr="009D6C3F">
        <w:trPr>
          <w:trHeight w:val="227"/>
        </w:trPr>
        <w:tc>
          <w:tcPr>
            <w:tcW w:w="737" w:type="dxa"/>
            <w:tcBorders>
              <w:top w:val="single" w:sz="4" w:space="0" w:color="auto"/>
              <w:left w:val="single" w:sz="4" w:space="0" w:color="auto"/>
              <w:bottom w:val="single" w:sz="4" w:space="0" w:color="auto"/>
              <w:right w:val="single" w:sz="4" w:space="0" w:color="auto"/>
            </w:tcBorders>
            <w:vAlign w:val="center"/>
          </w:tcPr>
          <w:p w:rsidR="004A6B9C" w:rsidRPr="00563CF9" w:rsidRDefault="004A6B9C" w:rsidP="004A6B9C">
            <w:pPr>
              <w:spacing w:before="20" w:after="20"/>
              <w:ind w:left="-57" w:right="-57"/>
              <w:rPr>
                <w:rFonts w:ascii="Calibri" w:hAnsi="Calibri" w:cs="Calibri"/>
                <w:color w:val="000000"/>
                <w:sz w:val="18"/>
                <w:szCs w:val="18"/>
                <w:lang w:val="en-GB"/>
              </w:rPr>
            </w:pPr>
            <w:r w:rsidRPr="00563CF9">
              <w:rPr>
                <w:sz w:val="18"/>
                <w:lang w:val="en-GB" w:bidi="en-GB"/>
              </w:rPr>
              <w:t>0210291</w:t>
            </w:r>
          </w:p>
        </w:tc>
        <w:tc>
          <w:tcPr>
            <w:tcW w:w="510"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center"/>
              <w:rPr>
                <w:rFonts w:ascii="Calibri" w:hAnsi="Calibri" w:cs="Calibri"/>
                <w:color w:val="000000"/>
                <w:sz w:val="18"/>
                <w:szCs w:val="18"/>
                <w:lang w:val="en-GB"/>
              </w:rPr>
            </w:pPr>
            <w:r w:rsidRPr="00563CF9">
              <w:rPr>
                <w:sz w:val="18"/>
                <w:lang w:val="en-GB" w:bidi="en-GB"/>
              </w:rPr>
              <w:t>2016</w:t>
            </w:r>
          </w:p>
        </w:tc>
        <w:tc>
          <w:tcPr>
            <w:tcW w:w="96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right"/>
              <w:rPr>
                <w:rFonts w:ascii="Calibri" w:hAnsi="Calibri" w:cs="Calibri"/>
                <w:color w:val="000000"/>
                <w:sz w:val="18"/>
                <w:szCs w:val="18"/>
                <w:lang w:val="en-GB"/>
              </w:rPr>
            </w:pPr>
            <w:r w:rsidRPr="00563CF9">
              <w:rPr>
                <w:sz w:val="18"/>
                <w:lang w:val="en-GB" w:bidi="en-GB"/>
              </w:rPr>
              <w:t>30,633.14</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center"/>
              <w:rPr>
                <w:rFonts w:ascii="Calibri" w:hAnsi="Calibri" w:cs="Calibri"/>
                <w:color w:val="000000"/>
                <w:sz w:val="18"/>
                <w:szCs w:val="18"/>
                <w:lang w:val="en-GB"/>
              </w:rPr>
            </w:pPr>
            <w:r w:rsidRPr="00563CF9">
              <w:rPr>
                <w:sz w:val="18"/>
                <w:lang w:val="en-GB" w:bidi="en-GB"/>
              </w:rPr>
              <w:t>BUH, MUH, CMH</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right"/>
              <w:rPr>
                <w:rFonts w:ascii="Calibri" w:hAnsi="Calibri" w:cs="Calibri"/>
                <w:color w:val="000000"/>
                <w:sz w:val="18"/>
                <w:szCs w:val="18"/>
                <w:lang w:val="en-GB"/>
              </w:rPr>
            </w:pPr>
            <w:r w:rsidRPr="00563CF9">
              <w:rPr>
                <w:sz w:val="18"/>
                <w:lang w:val="en-GB" w:bidi="en-GB"/>
              </w:rPr>
              <w:t>30,785.55</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center"/>
              <w:rPr>
                <w:rFonts w:ascii="Calibri" w:hAnsi="Calibri" w:cs="Calibri"/>
                <w:color w:val="000000"/>
                <w:sz w:val="18"/>
                <w:szCs w:val="18"/>
                <w:lang w:val="en-GB"/>
              </w:rPr>
            </w:pPr>
            <w:r w:rsidRPr="00563CF9">
              <w:rPr>
                <w:sz w:val="18"/>
                <w:lang w:val="en-GB" w:bidi="en-GB"/>
              </w:rPr>
              <w:t>BUH</w:t>
            </w:r>
          </w:p>
        </w:tc>
        <w:tc>
          <w:tcPr>
            <w:tcW w:w="907" w:type="dxa"/>
            <w:gridSpan w:val="2"/>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right"/>
              <w:rPr>
                <w:rFonts w:ascii="Calibri" w:hAnsi="Calibri" w:cs="Calibri"/>
                <w:color w:val="000000"/>
                <w:sz w:val="18"/>
                <w:szCs w:val="18"/>
                <w:lang w:val="en-GB"/>
              </w:rPr>
            </w:pPr>
            <w:r w:rsidRPr="00563CF9">
              <w:rPr>
                <w:sz w:val="18"/>
                <w:lang w:val="en-GB" w:bidi="en-GB"/>
              </w:rPr>
              <w:t>152.41</w:t>
            </w:r>
          </w:p>
        </w:tc>
        <w:tc>
          <w:tcPr>
            <w:tcW w:w="737"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5D44DF">
            <w:pPr>
              <w:spacing w:before="20" w:after="20"/>
              <w:ind w:right="57"/>
              <w:jc w:val="right"/>
              <w:rPr>
                <w:rFonts w:ascii="Calibri" w:hAnsi="Calibri" w:cs="Calibri"/>
                <w:color w:val="000000"/>
                <w:sz w:val="18"/>
                <w:szCs w:val="18"/>
                <w:lang w:val="en-GB"/>
              </w:rPr>
            </w:pPr>
            <w:r w:rsidRPr="00563CF9">
              <w:rPr>
                <w:sz w:val="18"/>
                <w:lang w:val="en-GB" w:bidi="en-GB"/>
              </w:rPr>
              <w:t>0.50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ind w:right="57"/>
              <w:jc w:val="right"/>
              <w:rPr>
                <w:rFonts w:ascii="Calibri" w:hAnsi="Calibri" w:cs="Calibri"/>
                <w:color w:val="000000"/>
                <w:sz w:val="18"/>
                <w:szCs w:val="18"/>
                <w:lang w:val="en-GB"/>
              </w:rPr>
            </w:pPr>
            <w:r w:rsidRPr="00563CF9">
              <w:rPr>
                <w:sz w:val="18"/>
                <w:lang w:val="en-GB" w:bidi="en-GB"/>
              </w:rPr>
              <w:t>3</w:t>
            </w:r>
          </w:p>
        </w:tc>
        <w:tc>
          <w:tcPr>
            <w:tcW w:w="96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ind w:right="57"/>
              <w:jc w:val="right"/>
              <w:rPr>
                <w:rFonts w:ascii="Calibri" w:hAnsi="Calibri" w:cs="Calibri"/>
                <w:color w:val="000000"/>
                <w:sz w:val="18"/>
                <w:szCs w:val="18"/>
                <w:lang w:val="en-GB"/>
              </w:rPr>
            </w:pPr>
            <w:r w:rsidRPr="00563CF9">
              <w:rPr>
                <w:sz w:val="18"/>
                <w:lang w:val="en-GB" w:bidi="en-GB"/>
              </w:rPr>
              <w:t>3</w:t>
            </w:r>
          </w:p>
        </w:tc>
      </w:tr>
      <w:tr w:rsidR="004A6B9C" w:rsidRPr="00563CF9" w:rsidTr="009D6C3F">
        <w:trPr>
          <w:trHeight w:val="227"/>
        </w:trPr>
        <w:tc>
          <w:tcPr>
            <w:tcW w:w="737" w:type="dxa"/>
            <w:tcBorders>
              <w:top w:val="single" w:sz="4" w:space="0" w:color="auto"/>
              <w:left w:val="single" w:sz="4" w:space="0" w:color="auto"/>
              <w:bottom w:val="single" w:sz="4" w:space="0" w:color="auto"/>
              <w:right w:val="single" w:sz="4" w:space="0" w:color="auto"/>
            </w:tcBorders>
            <w:vAlign w:val="center"/>
          </w:tcPr>
          <w:p w:rsidR="004A6B9C" w:rsidRPr="00563CF9" w:rsidRDefault="004A6B9C" w:rsidP="004A6B9C">
            <w:pPr>
              <w:spacing w:before="20" w:after="20"/>
              <w:ind w:left="-57" w:right="-57"/>
              <w:rPr>
                <w:rFonts w:ascii="Calibri" w:hAnsi="Calibri" w:cs="Calibri"/>
                <w:color w:val="000000"/>
                <w:sz w:val="18"/>
                <w:szCs w:val="18"/>
                <w:lang w:val="en-GB"/>
              </w:rPr>
            </w:pPr>
            <w:r w:rsidRPr="00563CF9">
              <w:rPr>
                <w:sz w:val="18"/>
                <w:lang w:val="en-GB" w:bidi="en-GB"/>
              </w:rPr>
              <w:t>0210292</w:t>
            </w:r>
          </w:p>
        </w:tc>
        <w:tc>
          <w:tcPr>
            <w:tcW w:w="510"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center"/>
              <w:rPr>
                <w:rFonts w:ascii="Calibri" w:hAnsi="Calibri" w:cs="Calibri"/>
                <w:color w:val="000000"/>
                <w:sz w:val="18"/>
                <w:szCs w:val="18"/>
                <w:lang w:val="en-GB"/>
              </w:rPr>
            </w:pPr>
            <w:r w:rsidRPr="00563CF9">
              <w:rPr>
                <w:sz w:val="18"/>
                <w:lang w:val="en-GB" w:bidi="en-GB"/>
              </w:rPr>
              <w:t>2016</w:t>
            </w:r>
          </w:p>
        </w:tc>
        <w:tc>
          <w:tcPr>
            <w:tcW w:w="96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right"/>
              <w:rPr>
                <w:rFonts w:ascii="Calibri" w:hAnsi="Calibri" w:cs="Calibri"/>
                <w:color w:val="000000"/>
                <w:sz w:val="18"/>
                <w:szCs w:val="18"/>
                <w:lang w:val="en-GB"/>
              </w:rPr>
            </w:pPr>
            <w:r w:rsidRPr="00563CF9">
              <w:rPr>
                <w:sz w:val="18"/>
                <w:lang w:val="en-GB" w:bidi="en-GB"/>
              </w:rPr>
              <w:t>344,401.64</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center"/>
              <w:rPr>
                <w:rFonts w:ascii="Calibri" w:hAnsi="Calibri" w:cs="Calibri"/>
                <w:color w:val="000000"/>
                <w:sz w:val="18"/>
                <w:szCs w:val="18"/>
                <w:lang w:val="en-GB"/>
              </w:rPr>
            </w:pPr>
            <w:r w:rsidRPr="00563CF9">
              <w:rPr>
                <w:sz w:val="18"/>
                <w:lang w:val="en-GB" w:bidi="en-GB"/>
              </w:rPr>
              <w:t>BUH, MUH, CMH</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right"/>
              <w:rPr>
                <w:rFonts w:ascii="Calibri" w:hAnsi="Calibri" w:cs="Calibri"/>
                <w:color w:val="000000"/>
                <w:sz w:val="18"/>
                <w:szCs w:val="18"/>
                <w:lang w:val="en-GB"/>
              </w:rPr>
            </w:pPr>
            <w:r w:rsidRPr="00563CF9">
              <w:rPr>
                <w:sz w:val="18"/>
                <w:lang w:val="en-GB" w:bidi="en-GB"/>
              </w:rPr>
              <w:t>346,115.09</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center"/>
              <w:rPr>
                <w:rFonts w:ascii="Calibri" w:hAnsi="Calibri" w:cs="Calibri"/>
                <w:color w:val="000000"/>
                <w:sz w:val="18"/>
                <w:szCs w:val="18"/>
                <w:lang w:val="en-GB"/>
              </w:rPr>
            </w:pPr>
            <w:r w:rsidRPr="00563CF9">
              <w:rPr>
                <w:sz w:val="18"/>
                <w:lang w:val="en-GB" w:bidi="en-GB"/>
              </w:rPr>
              <w:t>BUH</w:t>
            </w:r>
          </w:p>
        </w:tc>
        <w:tc>
          <w:tcPr>
            <w:tcW w:w="907" w:type="dxa"/>
            <w:gridSpan w:val="2"/>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right"/>
              <w:rPr>
                <w:rFonts w:ascii="Calibri" w:hAnsi="Calibri" w:cs="Calibri"/>
                <w:color w:val="000000"/>
                <w:sz w:val="18"/>
                <w:szCs w:val="18"/>
                <w:lang w:val="en-GB"/>
              </w:rPr>
            </w:pPr>
            <w:r w:rsidRPr="00563CF9">
              <w:rPr>
                <w:sz w:val="18"/>
                <w:lang w:val="en-GB" w:bidi="en-GB"/>
              </w:rPr>
              <w:t>1,713.45</w:t>
            </w:r>
          </w:p>
        </w:tc>
        <w:tc>
          <w:tcPr>
            <w:tcW w:w="737"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5D44DF">
            <w:pPr>
              <w:spacing w:before="20" w:after="20"/>
              <w:ind w:right="57"/>
              <w:jc w:val="right"/>
              <w:rPr>
                <w:rFonts w:ascii="Calibri" w:hAnsi="Calibri" w:cs="Calibri"/>
                <w:color w:val="000000"/>
                <w:sz w:val="18"/>
                <w:szCs w:val="18"/>
                <w:lang w:val="en-GB"/>
              </w:rPr>
            </w:pPr>
            <w:r w:rsidRPr="00563CF9">
              <w:rPr>
                <w:sz w:val="18"/>
                <w:lang w:val="en-GB" w:bidi="en-GB"/>
              </w:rPr>
              <w:t>0.50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ind w:right="57"/>
              <w:jc w:val="right"/>
              <w:rPr>
                <w:rFonts w:ascii="Calibri" w:hAnsi="Calibri" w:cs="Calibri"/>
                <w:color w:val="000000"/>
                <w:sz w:val="18"/>
                <w:szCs w:val="18"/>
                <w:lang w:val="en-GB"/>
              </w:rPr>
            </w:pPr>
            <w:r w:rsidRPr="00563CF9">
              <w:rPr>
                <w:sz w:val="18"/>
                <w:lang w:val="en-GB" w:bidi="en-GB"/>
              </w:rPr>
              <w:t>3</w:t>
            </w:r>
          </w:p>
        </w:tc>
        <w:tc>
          <w:tcPr>
            <w:tcW w:w="96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ind w:right="57"/>
              <w:jc w:val="right"/>
              <w:rPr>
                <w:rFonts w:ascii="Calibri" w:hAnsi="Calibri" w:cs="Calibri"/>
                <w:color w:val="000000"/>
                <w:sz w:val="18"/>
                <w:szCs w:val="18"/>
                <w:lang w:val="en-GB"/>
              </w:rPr>
            </w:pPr>
            <w:r w:rsidRPr="00563CF9">
              <w:rPr>
                <w:sz w:val="18"/>
                <w:lang w:val="en-GB" w:bidi="en-GB"/>
              </w:rPr>
              <w:t>2</w:t>
            </w:r>
          </w:p>
        </w:tc>
      </w:tr>
      <w:tr w:rsidR="004A6B9C" w:rsidRPr="00563CF9" w:rsidTr="009D6C3F">
        <w:trPr>
          <w:trHeight w:val="227"/>
        </w:trPr>
        <w:tc>
          <w:tcPr>
            <w:tcW w:w="737" w:type="dxa"/>
            <w:tcBorders>
              <w:top w:val="single" w:sz="4" w:space="0" w:color="auto"/>
              <w:left w:val="single" w:sz="4" w:space="0" w:color="auto"/>
              <w:bottom w:val="single" w:sz="4" w:space="0" w:color="auto"/>
              <w:right w:val="single" w:sz="4" w:space="0" w:color="auto"/>
            </w:tcBorders>
            <w:vAlign w:val="center"/>
          </w:tcPr>
          <w:p w:rsidR="004A6B9C" w:rsidRPr="00563CF9" w:rsidRDefault="004A6B9C" w:rsidP="004A6B9C">
            <w:pPr>
              <w:spacing w:before="20" w:after="20"/>
              <w:ind w:left="-57" w:right="-57"/>
              <w:rPr>
                <w:rFonts w:ascii="Calibri" w:hAnsi="Calibri" w:cs="Calibri"/>
                <w:color w:val="000000"/>
                <w:sz w:val="18"/>
                <w:szCs w:val="18"/>
                <w:lang w:val="en-GB"/>
              </w:rPr>
            </w:pPr>
            <w:r w:rsidRPr="00563CF9">
              <w:rPr>
                <w:sz w:val="18"/>
                <w:lang w:val="en-GB" w:bidi="en-GB"/>
              </w:rPr>
              <w:t>0210317</w:t>
            </w:r>
          </w:p>
        </w:tc>
        <w:tc>
          <w:tcPr>
            <w:tcW w:w="510"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center"/>
              <w:rPr>
                <w:rFonts w:ascii="Calibri" w:hAnsi="Calibri" w:cs="Calibri"/>
                <w:color w:val="000000"/>
                <w:sz w:val="18"/>
                <w:szCs w:val="18"/>
                <w:lang w:val="en-GB"/>
              </w:rPr>
            </w:pPr>
            <w:r w:rsidRPr="00563CF9">
              <w:rPr>
                <w:sz w:val="18"/>
                <w:lang w:val="en-GB" w:bidi="en-GB"/>
              </w:rPr>
              <w:t>2016</w:t>
            </w:r>
          </w:p>
        </w:tc>
        <w:tc>
          <w:tcPr>
            <w:tcW w:w="96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right"/>
              <w:rPr>
                <w:rFonts w:ascii="Calibri" w:hAnsi="Calibri" w:cs="Calibri"/>
                <w:color w:val="000000"/>
                <w:sz w:val="18"/>
                <w:szCs w:val="18"/>
                <w:lang w:val="en-GB"/>
              </w:rPr>
            </w:pPr>
            <w:r w:rsidRPr="00563CF9">
              <w:rPr>
                <w:sz w:val="18"/>
                <w:lang w:val="en-GB" w:bidi="en-GB"/>
              </w:rPr>
              <w:t>26,544.88</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center"/>
              <w:rPr>
                <w:rFonts w:ascii="Calibri" w:hAnsi="Calibri" w:cs="Calibri"/>
                <w:color w:val="000000"/>
                <w:sz w:val="18"/>
                <w:szCs w:val="18"/>
                <w:lang w:val="en-GB"/>
              </w:rPr>
            </w:pPr>
            <w:r w:rsidRPr="00563CF9">
              <w:rPr>
                <w:sz w:val="18"/>
                <w:lang w:val="en-GB" w:bidi="en-GB"/>
              </w:rPr>
              <w:t>BUH, CMH</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right"/>
              <w:rPr>
                <w:rFonts w:ascii="Calibri" w:hAnsi="Calibri" w:cs="Calibri"/>
                <w:color w:val="000000"/>
                <w:sz w:val="18"/>
                <w:szCs w:val="18"/>
                <w:lang w:val="en-GB"/>
              </w:rPr>
            </w:pPr>
            <w:r w:rsidRPr="00563CF9">
              <w:rPr>
                <w:sz w:val="18"/>
                <w:lang w:val="en-GB" w:bidi="en-GB"/>
              </w:rPr>
              <w:t>26,545.20</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center"/>
              <w:rPr>
                <w:rFonts w:ascii="Calibri" w:hAnsi="Calibri" w:cs="Calibri"/>
                <w:color w:val="000000"/>
                <w:sz w:val="18"/>
                <w:szCs w:val="18"/>
                <w:lang w:val="en-GB"/>
              </w:rPr>
            </w:pPr>
            <w:r w:rsidRPr="00563CF9">
              <w:rPr>
                <w:sz w:val="18"/>
                <w:lang w:val="en-GB" w:bidi="en-GB"/>
              </w:rPr>
              <w:t>BUH, MUH</w:t>
            </w:r>
          </w:p>
        </w:tc>
        <w:tc>
          <w:tcPr>
            <w:tcW w:w="907" w:type="dxa"/>
            <w:gridSpan w:val="2"/>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right"/>
              <w:rPr>
                <w:rFonts w:ascii="Calibri" w:hAnsi="Calibri" w:cs="Calibri"/>
                <w:color w:val="000000"/>
                <w:sz w:val="18"/>
                <w:szCs w:val="18"/>
                <w:lang w:val="en-GB"/>
              </w:rPr>
            </w:pPr>
            <w:r w:rsidRPr="00563CF9">
              <w:rPr>
                <w:sz w:val="18"/>
                <w:lang w:val="en-GB" w:bidi="en-GB"/>
              </w:rPr>
              <w:t>0.32</w:t>
            </w:r>
          </w:p>
        </w:tc>
        <w:tc>
          <w:tcPr>
            <w:tcW w:w="737"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5D44DF">
            <w:pPr>
              <w:spacing w:before="20" w:after="20"/>
              <w:ind w:right="57"/>
              <w:jc w:val="right"/>
              <w:rPr>
                <w:rFonts w:ascii="Calibri" w:hAnsi="Calibri" w:cs="Calibri"/>
                <w:color w:val="000000"/>
                <w:sz w:val="18"/>
                <w:szCs w:val="18"/>
                <w:lang w:val="en-GB"/>
              </w:rPr>
            </w:pPr>
            <w:r w:rsidRPr="00563CF9">
              <w:rPr>
                <w:sz w:val="18"/>
                <w:lang w:val="en-GB" w:bidi="en-GB"/>
              </w:rPr>
              <w:t>0.00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ind w:right="57"/>
              <w:jc w:val="right"/>
              <w:rPr>
                <w:rFonts w:ascii="Calibri" w:hAnsi="Calibri" w:cs="Calibri"/>
                <w:color w:val="000000"/>
                <w:sz w:val="18"/>
                <w:szCs w:val="18"/>
                <w:lang w:val="en-GB"/>
              </w:rPr>
            </w:pPr>
            <w:r w:rsidRPr="00563CF9">
              <w:rPr>
                <w:sz w:val="18"/>
                <w:lang w:val="en-GB" w:bidi="en-GB"/>
              </w:rPr>
              <w:t>3</w:t>
            </w:r>
          </w:p>
        </w:tc>
        <w:tc>
          <w:tcPr>
            <w:tcW w:w="96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ind w:right="57"/>
              <w:jc w:val="right"/>
              <w:rPr>
                <w:rFonts w:ascii="Calibri" w:hAnsi="Calibri" w:cs="Calibri"/>
                <w:color w:val="000000"/>
                <w:sz w:val="18"/>
                <w:szCs w:val="18"/>
                <w:lang w:val="en-GB"/>
              </w:rPr>
            </w:pPr>
            <w:r w:rsidRPr="00563CF9">
              <w:rPr>
                <w:sz w:val="18"/>
                <w:lang w:val="en-GB" w:bidi="en-GB"/>
              </w:rPr>
              <w:t>2</w:t>
            </w:r>
          </w:p>
        </w:tc>
      </w:tr>
      <w:tr w:rsidR="004A6B9C" w:rsidRPr="00563CF9" w:rsidTr="009D6C3F">
        <w:trPr>
          <w:trHeight w:val="227"/>
        </w:trPr>
        <w:tc>
          <w:tcPr>
            <w:tcW w:w="737" w:type="dxa"/>
            <w:tcBorders>
              <w:top w:val="single" w:sz="4" w:space="0" w:color="auto"/>
              <w:left w:val="single" w:sz="4" w:space="0" w:color="auto"/>
              <w:bottom w:val="single" w:sz="4" w:space="0" w:color="auto"/>
              <w:right w:val="single" w:sz="4" w:space="0" w:color="auto"/>
            </w:tcBorders>
            <w:vAlign w:val="center"/>
          </w:tcPr>
          <w:p w:rsidR="004A6B9C" w:rsidRPr="00563CF9" w:rsidRDefault="004A6B9C" w:rsidP="004A6B9C">
            <w:pPr>
              <w:spacing w:before="20" w:after="20"/>
              <w:ind w:left="-57" w:right="-57"/>
              <w:rPr>
                <w:rFonts w:ascii="Calibri" w:hAnsi="Calibri" w:cs="Calibri"/>
                <w:color w:val="000000"/>
                <w:sz w:val="18"/>
                <w:szCs w:val="18"/>
                <w:lang w:val="en-GB"/>
              </w:rPr>
            </w:pPr>
            <w:r w:rsidRPr="00563CF9">
              <w:rPr>
                <w:sz w:val="18"/>
                <w:lang w:val="en-GB" w:bidi="en-GB"/>
              </w:rPr>
              <w:t>0210935</w:t>
            </w:r>
          </w:p>
        </w:tc>
        <w:tc>
          <w:tcPr>
            <w:tcW w:w="510"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center"/>
              <w:rPr>
                <w:rFonts w:ascii="Calibri" w:hAnsi="Calibri" w:cs="Calibri"/>
                <w:color w:val="000000"/>
                <w:sz w:val="18"/>
                <w:szCs w:val="18"/>
                <w:lang w:val="en-GB"/>
              </w:rPr>
            </w:pPr>
            <w:r w:rsidRPr="00563CF9">
              <w:rPr>
                <w:sz w:val="18"/>
                <w:lang w:val="en-GB" w:bidi="en-GB"/>
              </w:rPr>
              <w:t>2016</w:t>
            </w:r>
          </w:p>
        </w:tc>
        <w:tc>
          <w:tcPr>
            <w:tcW w:w="96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right"/>
              <w:rPr>
                <w:rFonts w:ascii="Calibri" w:hAnsi="Calibri" w:cs="Calibri"/>
                <w:color w:val="000000"/>
                <w:sz w:val="18"/>
                <w:szCs w:val="18"/>
                <w:lang w:val="en-GB"/>
              </w:rPr>
            </w:pPr>
            <w:r w:rsidRPr="00563CF9">
              <w:rPr>
                <w:sz w:val="18"/>
                <w:lang w:val="en-GB" w:bidi="en-GB"/>
              </w:rPr>
              <w:t>20,933.00</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center"/>
              <w:rPr>
                <w:rFonts w:ascii="Calibri" w:hAnsi="Calibri" w:cs="Calibri"/>
                <w:color w:val="000000"/>
                <w:sz w:val="18"/>
                <w:szCs w:val="18"/>
                <w:lang w:val="en-GB"/>
              </w:rPr>
            </w:pPr>
            <w:r w:rsidRPr="00563CF9">
              <w:rPr>
                <w:sz w:val="18"/>
                <w:lang w:val="en-GB" w:bidi="en-GB"/>
              </w:rPr>
              <w:t>MUH</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right"/>
              <w:rPr>
                <w:rFonts w:ascii="Calibri" w:hAnsi="Calibri" w:cs="Calibri"/>
                <w:color w:val="000000"/>
                <w:sz w:val="18"/>
                <w:szCs w:val="18"/>
                <w:lang w:val="en-GB"/>
              </w:rPr>
            </w:pPr>
            <w:r w:rsidRPr="00563CF9">
              <w:rPr>
                <w:sz w:val="18"/>
                <w:lang w:val="en-GB" w:bidi="en-GB"/>
              </w:rPr>
              <w:t>21,142.33</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center"/>
              <w:rPr>
                <w:rFonts w:ascii="Calibri" w:hAnsi="Calibri" w:cs="Calibri"/>
                <w:color w:val="000000"/>
                <w:sz w:val="18"/>
                <w:szCs w:val="18"/>
                <w:lang w:val="en-GB"/>
              </w:rPr>
            </w:pPr>
            <w:r w:rsidRPr="00563CF9">
              <w:rPr>
                <w:sz w:val="18"/>
                <w:lang w:val="en-GB" w:bidi="en-GB"/>
              </w:rPr>
              <w:t>BUH, CMH</w:t>
            </w:r>
          </w:p>
        </w:tc>
        <w:tc>
          <w:tcPr>
            <w:tcW w:w="907" w:type="dxa"/>
            <w:gridSpan w:val="2"/>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jc w:val="right"/>
              <w:rPr>
                <w:rFonts w:ascii="Calibri" w:hAnsi="Calibri" w:cs="Calibri"/>
                <w:color w:val="000000"/>
                <w:sz w:val="18"/>
                <w:szCs w:val="18"/>
                <w:lang w:val="en-GB"/>
              </w:rPr>
            </w:pPr>
            <w:r w:rsidRPr="00563CF9">
              <w:rPr>
                <w:sz w:val="18"/>
                <w:lang w:val="en-GB" w:bidi="en-GB"/>
              </w:rPr>
              <w:t>209.33</w:t>
            </w:r>
          </w:p>
        </w:tc>
        <w:tc>
          <w:tcPr>
            <w:tcW w:w="737"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5D44DF">
            <w:pPr>
              <w:spacing w:before="20" w:after="20"/>
              <w:ind w:right="57"/>
              <w:jc w:val="right"/>
              <w:rPr>
                <w:rFonts w:ascii="Calibri" w:hAnsi="Calibri" w:cs="Calibri"/>
                <w:color w:val="000000"/>
                <w:sz w:val="18"/>
                <w:szCs w:val="18"/>
                <w:lang w:val="en-GB"/>
              </w:rPr>
            </w:pPr>
            <w:r w:rsidRPr="00563CF9">
              <w:rPr>
                <w:sz w:val="18"/>
                <w:lang w:val="en-GB" w:bidi="en-GB"/>
              </w:rPr>
              <w:t>1.00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ind w:right="57"/>
              <w:jc w:val="right"/>
              <w:rPr>
                <w:rFonts w:ascii="Calibri" w:hAnsi="Calibri" w:cs="Calibri"/>
                <w:color w:val="000000"/>
                <w:sz w:val="18"/>
                <w:szCs w:val="18"/>
                <w:lang w:val="en-GB"/>
              </w:rPr>
            </w:pPr>
            <w:r w:rsidRPr="00563CF9">
              <w:rPr>
                <w:sz w:val="18"/>
                <w:lang w:val="en-GB" w:bidi="en-GB"/>
              </w:rPr>
              <w:t>3</w:t>
            </w:r>
          </w:p>
        </w:tc>
        <w:tc>
          <w:tcPr>
            <w:tcW w:w="964" w:type="dxa"/>
            <w:tcBorders>
              <w:top w:val="single" w:sz="4" w:space="0" w:color="auto"/>
              <w:left w:val="nil"/>
              <w:bottom w:val="single" w:sz="4" w:space="0" w:color="auto"/>
              <w:right w:val="single" w:sz="4" w:space="0" w:color="auto"/>
            </w:tcBorders>
            <w:shd w:val="clear" w:color="auto" w:fill="auto"/>
            <w:noWrap/>
            <w:vAlign w:val="bottom"/>
          </w:tcPr>
          <w:p w:rsidR="004A6B9C" w:rsidRPr="00563CF9" w:rsidRDefault="004A6B9C" w:rsidP="004A6B9C">
            <w:pPr>
              <w:spacing w:before="20" w:after="20"/>
              <w:ind w:right="57"/>
              <w:jc w:val="right"/>
              <w:rPr>
                <w:rFonts w:ascii="Calibri" w:hAnsi="Calibri" w:cs="Calibri"/>
                <w:color w:val="000000"/>
                <w:sz w:val="18"/>
                <w:szCs w:val="18"/>
                <w:lang w:val="en-GB"/>
              </w:rPr>
            </w:pPr>
            <w:r w:rsidRPr="00563CF9">
              <w:rPr>
                <w:sz w:val="18"/>
                <w:lang w:val="en-GB" w:bidi="en-GB"/>
              </w:rPr>
              <w:t>2</w:t>
            </w:r>
          </w:p>
        </w:tc>
      </w:tr>
    </w:tbl>
    <w:p w:rsidR="00260BC6" w:rsidRPr="00563CF9" w:rsidRDefault="00260BC6" w:rsidP="00260BC6">
      <w:pPr>
        <w:spacing w:before="40"/>
        <w:rPr>
          <w:sz w:val="20"/>
          <w:lang w:val="en-GB"/>
        </w:rPr>
      </w:pPr>
      <w:r w:rsidRPr="00563CF9">
        <w:rPr>
          <w:b/>
          <w:sz w:val="20"/>
          <w:lang w:val="en-GB" w:bidi="en-GB"/>
        </w:rPr>
        <w:t xml:space="preserve">Source: </w:t>
      </w:r>
      <w:r w:rsidRPr="00563CF9">
        <w:rPr>
          <w:sz w:val="20"/>
          <w:lang w:val="en-GB" w:bidi="en-GB"/>
        </w:rPr>
        <w:t>annexes to individual audit protocols of university hospitals (according to invoices).</w:t>
      </w:r>
    </w:p>
    <w:p w:rsidR="001945E1" w:rsidRPr="00563CF9" w:rsidRDefault="001945E1" w:rsidP="0068280A">
      <w:pPr>
        <w:jc w:val="right"/>
        <w:rPr>
          <w:rFonts w:cstheme="minorHAnsi"/>
          <w:b/>
          <w:noProof/>
          <w:color w:val="000000" w:themeColor="text1"/>
          <w:szCs w:val="28"/>
          <w:lang w:val="en-GB"/>
        </w:rPr>
        <w:sectPr w:rsidR="001945E1" w:rsidRPr="00563CF9" w:rsidSect="009F4E3E">
          <w:pgSz w:w="11906" w:h="16838" w:code="9"/>
          <w:pgMar w:top="1418" w:right="1418" w:bottom="1418" w:left="1418" w:header="709" w:footer="709" w:gutter="0"/>
          <w:cols w:space="708"/>
          <w:docGrid w:linePitch="360"/>
        </w:sectPr>
      </w:pPr>
    </w:p>
    <w:p w:rsidR="0068280A" w:rsidRPr="00563CF9" w:rsidRDefault="00260BC6" w:rsidP="0068280A">
      <w:pPr>
        <w:jc w:val="right"/>
        <w:rPr>
          <w:rFonts w:cstheme="minorHAnsi"/>
          <w:b/>
          <w:noProof/>
          <w:color w:val="000000" w:themeColor="text1"/>
          <w:szCs w:val="28"/>
          <w:lang w:val="en-GB"/>
        </w:rPr>
      </w:pPr>
      <w:r w:rsidRPr="00563CF9">
        <w:rPr>
          <w:b/>
          <w:noProof/>
          <w:lang w:val="en-GB" w:bidi="en-GB"/>
        </w:rPr>
        <w:t>Annex 2</w:t>
      </w:r>
    </w:p>
    <w:p w:rsidR="0068280A" w:rsidRPr="00563CF9" w:rsidRDefault="001945E1" w:rsidP="0068280A">
      <w:pPr>
        <w:spacing w:before="120" w:after="40"/>
        <w:rPr>
          <w:rFonts w:cstheme="minorHAnsi"/>
          <w:b/>
          <w:noProof/>
          <w:color w:val="000000" w:themeColor="text1"/>
          <w:szCs w:val="28"/>
          <w:lang w:val="en-GB"/>
        </w:rPr>
      </w:pPr>
      <w:r w:rsidRPr="00563CF9">
        <w:rPr>
          <w:b/>
          <w:noProof/>
          <w:lang w:val="en-GB" w:bidi="en-GB"/>
        </w:rPr>
        <w:t>Price differences of unit prices of ATC – J pharmaceuticals</w:t>
      </w:r>
    </w:p>
    <w:tbl>
      <w:tblPr>
        <w:tblW w:w="9437" w:type="dxa"/>
        <w:tblLayout w:type="fixed"/>
        <w:tblCellMar>
          <w:left w:w="70" w:type="dxa"/>
          <w:right w:w="70" w:type="dxa"/>
        </w:tblCellMar>
        <w:tblLook w:val="04A0" w:firstRow="1" w:lastRow="0" w:firstColumn="1" w:lastColumn="0" w:noHBand="0" w:noVBand="1"/>
      </w:tblPr>
      <w:tblGrid>
        <w:gridCol w:w="794"/>
        <w:gridCol w:w="573"/>
        <w:gridCol w:w="1020"/>
        <w:gridCol w:w="1134"/>
        <w:gridCol w:w="1077"/>
        <w:gridCol w:w="1134"/>
        <w:gridCol w:w="899"/>
        <w:gridCol w:w="879"/>
        <w:gridCol w:w="907"/>
        <w:gridCol w:w="1020"/>
      </w:tblGrid>
      <w:tr w:rsidR="00FE37EA" w:rsidRPr="00563CF9" w:rsidTr="009D6C3F">
        <w:trPr>
          <w:trHeight w:val="283"/>
          <w:tblHeader/>
        </w:trPr>
        <w:tc>
          <w:tcPr>
            <w:tcW w:w="794" w:type="dxa"/>
            <w:tcBorders>
              <w:top w:val="single" w:sz="4" w:space="0" w:color="auto"/>
              <w:left w:val="single" w:sz="4" w:space="0" w:color="auto"/>
              <w:bottom w:val="single" w:sz="4" w:space="0" w:color="auto"/>
              <w:right w:val="single" w:sz="4" w:space="0" w:color="auto"/>
            </w:tcBorders>
            <w:shd w:val="clear" w:color="000000" w:fill="E5F1FF"/>
            <w:noWrap/>
            <w:vAlign w:val="center"/>
            <w:hideMark/>
          </w:tcPr>
          <w:p w:rsidR="001945E1" w:rsidRPr="00563CF9" w:rsidRDefault="001945E1" w:rsidP="009D6C3F">
            <w:pPr>
              <w:spacing w:before="40" w:after="40"/>
              <w:ind w:left="-57" w:right="-57"/>
              <w:jc w:val="center"/>
              <w:rPr>
                <w:rFonts w:cstheme="minorHAnsi"/>
                <w:b/>
                <w:bCs/>
                <w:color w:val="000000"/>
                <w:sz w:val="20"/>
                <w:vertAlign w:val="superscript"/>
                <w:lang w:val="en-GB"/>
              </w:rPr>
            </w:pPr>
            <w:r w:rsidRPr="00563CF9">
              <w:rPr>
                <w:b/>
                <w:sz w:val="20"/>
                <w:lang w:val="en-GB" w:bidi="en-GB"/>
              </w:rPr>
              <w:t>SÚKL code</w:t>
            </w:r>
            <w:r w:rsidRPr="00563CF9">
              <w:rPr>
                <w:b/>
                <w:sz w:val="20"/>
                <w:vertAlign w:val="superscript"/>
                <w:lang w:val="en-GB" w:bidi="en-GB"/>
              </w:rPr>
              <w:t>58</w:t>
            </w:r>
          </w:p>
        </w:tc>
        <w:tc>
          <w:tcPr>
            <w:tcW w:w="573" w:type="dxa"/>
            <w:tcBorders>
              <w:top w:val="single" w:sz="4" w:space="0" w:color="auto"/>
              <w:left w:val="nil"/>
              <w:bottom w:val="single" w:sz="4" w:space="0" w:color="auto"/>
              <w:right w:val="single" w:sz="4" w:space="0" w:color="auto"/>
            </w:tcBorders>
            <w:shd w:val="clear" w:color="000000" w:fill="E5F1FF"/>
            <w:noWrap/>
            <w:vAlign w:val="center"/>
            <w:hideMark/>
          </w:tcPr>
          <w:p w:rsidR="001945E1" w:rsidRPr="00563CF9" w:rsidRDefault="001945E1" w:rsidP="009D6C3F">
            <w:pPr>
              <w:spacing w:before="40" w:after="40"/>
              <w:jc w:val="center"/>
              <w:rPr>
                <w:rFonts w:cstheme="minorHAnsi"/>
                <w:b/>
                <w:bCs/>
                <w:color w:val="000000"/>
                <w:sz w:val="20"/>
                <w:lang w:val="en-GB"/>
              </w:rPr>
            </w:pPr>
            <w:r w:rsidRPr="00563CF9">
              <w:rPr>
                <w:b/>
                <w:sz w:val="20"/>
                <w:lang w:val="en-GB" w:bidi="en-GB"/>
              </w:rPr>
              <w:t>Year</w:t>
            </w:r>
          </w:p>
        </w:tc>
        <w:tc>
          <w:tcPr>
            <w:tcW w:w="1020" w:type="dxa"/>
            <w:tcBorders>
              <w:top w:val="single" w:sz="4" w:space="0" w:color="auto"/>
              <w:left w:val="nil"/>
              <w:bottom w:val="single" w:sz="4" w:space="0" w:color="auto"/>
              <w:right w:val="single" w:sz="4" w:space="0" w:color="auto"/>
            </w:tcBorders>
            <w:shd w:val="clear" w:color="000000" w:fill="E5F1FF"/>
            <w:noWrap/>
            <w:vAlign w:val="center"/>
            <w:hideMark/>
          </w:tcPr>
          <w:p w:rsidR="001945E1" w:rsidRPr="00563CF9" w:rsidRDefault="001945E1" w:rsidP="009373D3">
            <w:pPr>
              <w:spacing w:before="40" w:after="40"/>
              <w:ind w:left="-57" w:right="-57"/>
              <w:jc w:val="center"/>
              <w:rPr>
                <w:rFonts w:cstheme="minorHAnsi"/>
                <w:b/>
                <w:bCs/>
                <w:color w:val="000000"/>
                <w:sz w:val="20"/>
                <w:lang w:val="en-GB"/>
              </w:rPr>
            </w:pPr>
            <w:r w:rsidRPr="00563CF9">
              <w:rPr>
                <w:b/>
                <w:sz w:val="20"/>
                <w:lang w:val="en-GB" w:bidi="en-GB"/>
              </w:rPr>
              <w:t>Minimum unit price in CZK</w:t>
            </w:r>
          </w:p>
        </w:tc>
        <w:tc>
          <w:tcPr>
            <w:tcW w:w="1134" w:type="dxa"/>
            <w:tcBorders>
              <w:top w:val="single" w:sz="4" w:space="0" w:color="auto"/>
              <w:left w:val="nil"/>
              <w:bottom w:val="single" w:sz="4" w:space="0" w:color="auto"/>
              <w:right w:val="single" w:sz="4" w:space="0" w:color="auto"/>
            </w:tcBorders>
            <w:shd w:val="clear" w:color="000000" w:fill="E5F1FF"/>
            <w:vAlign w:val="center"/>
            <w:hideMark/>
          </w:tcPr>
          <w:p w:rsidR="001945E1" w:rsidRPr="00563CF9" w:rsidRDefault="001945E1" w:rsidP="009D6C3F">
            <w:pPr>
              <w:spacing w:before="40" w:after="40"/>
              <w:ind w:left="-57" w:right="-57"/>
              <w:jc w:val="center"/>
              <w:rPr>
                <w:rFonts w:cstheme="minorHAnsi"/>
                <w:b/>
                <w:bCs/>
                <w:color w:val="000000"/>
                <w:sz w:val="20"/>
                <w:lang w:val="en-GB"/>
              </w:rPr>
            </w:pPr>
            <w:r w:rsidRPr="00563CF9">
              <w:rPr>
                <w:b/>
                <w:sz w:val="20"/>
                <w:lang w:val="en-GB" w:bidi="en-GB"/>
              </w:rPr>
              <w:t>Hospitals with minimum unit price</w:t>
            </w:r>
          </w:p>
        </w:tc>
        <w:tc>
          <w:tcPr>
            <w:tcW w:w="1077" w:type="dxa"/>
            <w:tcBorders>
              <w:top w:val="single" w:sz="4" w:space="0" w:color="auto"/>
              <w:left w:val="nil"/>
              <w:bottom w:val="single" w:sz="4" w:space="0" w:color="auto"/>
              <w:right w:val="single" w:sz="4" w:space="0" w:color="auto"/>
            </w:tcBorders>
            <w:shd w:val="clear" w:color="000000" w:fill="E5F1FF"/>
            <w:noWrap/>
            <w:vAlign w:val="center"/>
            <w:hideMark/>
          </w:tcPr>
          <w:p w:rsidR="001945E1" w:rsidRPr="00563CF9" w:rsidRDefault="001945E1" w:rsidP="009D6C3F">
            <w:pPr>
              <w:spacing w:before="40" w:after="40"/>
              <w:ind w:left="-57" w:right="-57"/>
              <w:jc w:val="center"/>
              <w:rPr>
                <w:rFonts w:cstheme="minorHAnsi"/>
                <w:b/>
                <w:bCs/>
                <w:color w:val="000000"/>
                <w:sz w:val="20"/>
                <w:lang w:val="en-GB"/>
              </w:rPr>
            </w:pPr>
            <w:r w:rsidRPr="00563CF9">
              <w:rPr>
                <w:b/>
                <w:sz w:val="20"/>
                <w:lang w:val="en-GB" w:bidi="en-GB"/>
              </w:rPr>
              <w:t>Maximum unit price in CZK</w:t>
            </w:r>
          </w:p>
        </w:tc>
        <w:tc>
          <w:tcPr>
            <w:tcW w:w="1134" w:type="dxa"/>
            <w:tcBorders>
              <w:top w:val="single" w:sz="4" w:space="0" w:color="auto"/>
              <w:left w:val="nil"/>
              <w:bottom w:val="single" w:sz="4" w:space="0" w:color="auto"/>
              <w:right w:val="single" w:sz="4" w:space="0" w:color="auto"/>
            </w:tcBorders>
            <w:shd w:val="clear" w:color="000000" w:fill="E5F1FF"/>
            <w:vAlign w:val="center"/>
            <w:hideMark/>
          </w:tcPr>
          <w:p w:rsidR="001945E1" w:rsidRPr="00563CF9" w:rsidRDefault="001945E1" w:rsidP="009D6C3F">
            <w:pPr>
              <w:spacing w:before="40" w:after="40"/>
              <w:ind w:left="-57" w:right="-57"/>
              <w:jc w:val="center"/>
              <w:rPr>
                <w:rFonts w:cstheme="minorHAnsi"/>
                <w:b/>
                <w:bCs/>
                <w:color w:val="000000"/>
                <w:sz w:val="20"/>
                <w:lang w:val="en-GB"/>
              </w:rPr>
            </w:pPr>
            <w:r w:rsidRPr="00563CF9">
              <w:rPr>
                <w:b/>
                <w:sz w:val="20"/>
                <w:lang w:val="en-GB" w:bidi="en-GB"/>
              </w:rPr>
              <w:t>Hospitals with maximum unit price</w:t>
            </w:r>
          </w:p>
        </w:tc>
        <w:tc>
          <w:tcPr>
            <w:tcW w:w="899" w:type="dxa"/>
            <w:tcBorders>
              <w:top w:val="single" w:sz="4" w:space="0" w:color="auto"/>
              <w:left w:val="nil"/>
              <w:bottom w:val="single" w:sz="4" w:space="0" w:color="auto"/>
              <w:right w:val="single" w:sz="4" w:space="0" w:color="auto"/>
            </w:tcBorders>
            <w:shd w:val="clear" w:color="000000" w:fill="E5F1FF"/>
            <w:noWrap/>
            <w:vAlign w:val="center"/>
            <w:hideMark/>
          </w:tcPr>
          <w:p w:rsidR="001945E1" w:rsidRPr="00563CF9" w:rsidRDefault="001945E1" w:rsidP="009D6C3F">
            <w:pPr>
              <w:spacing w:before="40" w:after="40"/>
              <w:jc w:val="center"/>
              <w:rPr>
                <w:rFonts w:cstheme="minorHAnsi"/>
                <w:b/>
                <w:bCs/>
                <w:color w:val="000000"/>
                <w:sz w:val="14"/>
                <w:szCs w:val="14"/>
                <w:lang w:val="en-GB"/>
              </w:rPr>
            </w:pPr>
            <w:r w:rsidRPr="00563CF9">
              <w:rPr>
                <w:b/>
                <w:sz w:val="14"/>
                <w:szCs w:val="14"/>
                <w:lang w:val="en-GB" w:bidi="en-GB"/>
              </w:rPr>
              <w:t>Difference in CZK</w:t>
            </w:r>
          </w:p>
        </w:tc>
        <w:tc>
          <w:tcPr>
            <w:tcW w:w="879" w:type="dxa"/>
            <w:tcBorders>
              <w:top w:val="single" w:sz="4" w:space="0" w:color="auto"/>
              <w:left w:val="nil"/>
              <w:bottom w:val="single" w:sz="4" w:space="0" w:color="auto"/>
              <w:right w:val="single" w:sz="4" w:space="0" w:color="auto"/>
            </w:tcBorders>
            <w:shd w:val="clear" w:color="000000" w:fill="E5F1FF"/>
            <w:noWrap/>
            <w:vAlign w:val="center"/>
            <w:hideMark/>
          </w:tcPr>
          <w:p w:rsidR="001945E1" w:rsidRPr="00563CF9" w:rsidRDefault="009373D3" w:rsidP="009373D3">
            <w:pPr>
              <w:spacing w:before="40" w:after="40"/>
              <w:jc w:val="center"/>
              <w:rPr>
                <w:rFonts w:cstheme="minorHAnsi"/>
                <w:b/>
                <w:bCs/>
                <w:color w:val="000000"/>
                <w:sz w:val="14"/>
                <w:szCs w:val="14"/>
                <w:lang w:val="en-GB"/>
              </w:rPr>
            </w:pPr>
            <w:r w:rsidRPr="00563CF9">
              <w:rPr>
                <w:b/>
                <w:sz w:val="14"/>
                <w:szCs w:val="14"/>
                <w:lang w:val="en-GB" w:bidi="en-GB"/>
              </w:rPr>
              <w:t>Difference in %</w:t>
            </w:r>
          </w:p>
        </w:tc>
        <w:tc>
          <w:tcPr>
            <w:tcW w:w="907" w:type="dxa"/>
            <w:tcBorders>
              <w:top w:val="single" w:sz="4" w:space="0" w:color="auto"/>
              <w:left w:val="nil"/>
              <w:bottom w:val="single" w:sz="4" w:space="0" w:color="auto"/>
              <w:right w:val="single" w:sz="4" w:space="0" w:color="auto"/>
            </w:tcBorders>
            <w:shd w:val="clear" w:color="000000" w:fill="E5F1FF"/>
            <w:vAlign w:val="center"/>
            <w:hideMark/>
          </w:tcPr>
          <w:p w:rsidR="001945E1" w:rsidRPr="00563CF9" w:rsidRDefault="001945E1" w:rsidP="009D6C3F">
            <w:pPr>
              <w:spacing w:before="40" w:after="40"/>
              <w:ind w:left="-57" w:right="-12"/>
              <w:jc w:val="center"/>
              <w:rPr>
                <w:rFonts w:cstheme="minorHAnsi"/>
                <w:b/>
                <w:bCs/>
                <w:color w:val="000000"/>
                <w:sz w:val="20"/>
                <w:lang w:val="en-GB"/>
              </w:rPr>
            </w:pPr>
            <w:r w:rsidRPr="00563CF9">
              <w:rPr>
                <w:b/>
                <w:sz w:val="20"/>
                <w:lang w:val="en-GB" w:bidi="en-GB"/>
              </w:rPr>
              <w:t>Number of hospitals in the sample</w:t>
            </w:r>
          </w:p>
        </w:tc>
        <w:tc>
          <w:tcPr>
            <w:tcW w:w="1020" w:type="dxa"/>
            <w:tcBorders>
              <w:top w:val="single" w:sz="4" w:space="0" w:color="auto"/>
              <w:left w:val="nil"/>
              <w:bottom w:val="single" w:sz="4" w:space="0" w:color="auto"/>
              <w:right w:val="single" w:sz="4" w:space="0" w:color="auto"/>
            </w:tcBorders>
            <w:shd w:val="clear" w:color="000000" w:fill="E5F1FF"/>
            <w:vAlign w:val="center"/>
            <w:hideMark/>
          </w:tcPr>
          <w:p w:rsidR="001945E1" w:rsidRPr="00563CF9" w:rsidRDefault="001945E1" w:rsidP="009D6C3F">
            <w:pPr>
              <w:spacing w:before="40" w:after="40"/>
              <w:ind w:left="-57" w:right="-57"/>
              <w:jc w:val="center"/>
              <w:rPr>
                <w:rFonts w:cstheme="minorHAnsi"/>
                <w:b/>
                <w:bCs/>
                <w:color w:val="000000"/>
                <w:sz w:val="20"/>
                <w:lang w:val="en-GB"/>
              </w:rPr>
            </w:pPr>
            <w:r w:rsidRPr="00563CF9">
              <w:rPr>
                <w:b/>
                <w:sz w:val="20"/>
                <w:lang w:val="en-GB" w:bidi="en-GB"/>
              </w:rPr>
              <w:t>Number of suppliers in the sample</w:t>
            </w:r>
          </w:p>
        </w:tc>
      </w:tr>
      <w:tr w:rsidR="00FE37EA" w:rsidRPr="00563CF9" w:rsidTr="009D6C3F">
        <w:trPr>
          <w:trHeight w:val="283"/>
        </w:trPr>
        <w:tc>
          <w:tcPr>
            <w:tcW w:w="7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ind w:left="-57" w:right="-57"/>
              <w:jc w:val="center"/>
              <w:rPr>
                <w:rFonts w:cstheme="minorHAnsi"/>
                <w:color w:val="000000"/>
                <w:sz w:val="20"/>
                <w:lang w:val="en-GB"/>
              </w:rPr>
            </w:pPr>
            <w:r w:rsidRPr="00563CF9">
              <w:rPr>
                <w:sz w:val="20"/>
                <w:lang w:val="en-GB" w:bidi="en-GB"/>
              </w:rPr>
              <w:t>0003708</w:t>
            </w:r>
          </w:p>
        </w:tc>
        <w:tc>
          <w:tcPr>
            <w:tcW w:w="573"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2014</w:t>
            </w:r>
          </w:p>
        </w:tc>
        <w:tc>
          <w:tcPr>
            <w:tcW w:w="1020"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sz w:val="20"/>
                <w:lang w:val="en-GB"/>
              </w:rPr>
            </w:pPr>
            <w:r w:rsidRPr="00563CF9">
              <w:rPr>
                <w:sz w:val="20"/>
                <w:lang w:val="en-GB" w:bidi="en-GB"/>
              </w:rPr>
              <w:t>10,349.09</w:t>
            </w:r>
          </w:p>
        </w:tc>
        <w:tc>
          <w:tcPr>
            <w:tcW w:w="1134"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MUH</w:t>
            </w:r>
          </w:p>
        </w:tc>
        <w:tc>
          <w:tcPr>
            <w:tcW w:w="1077"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color w:val="000000"/>
                <w:sz w:val="20"/>
                <w:lang w:val="en-GB"/>
              </w:rPr>
            </w:pPr>
            <w:r w:rsidRPr="00563CF9">
              <w:rPr>
                <w:sz w:val="20"/>
                <w:lang w:val="en-GB" w:bidi="en-GB"/>
              </w:rPr>
              <w:t>12,139.38</w:t>
            </w:r>
          </w:p>
        </w:tc>
        <w:tc>
          <w:tcPr>
            <w:tcW w:w="1134" w:type="dxa"/>
            <w:tcBorders>
              <w:top w:val="nil"/>
              <w:left w:val="nil"/>
              <w:bottom w:val="single" w:sz="4" w:space="0" w:color="auto"/>
              <w:right w:val="single" w:sz="4" w:space="0" w:color="auto"/>
            </w:tcBorders>
            <w:shd w:val="clear" w:color="auto" w:fill="auto"/>
            <w:noWrap/>
            <w:vAlign w:val="bottom"/>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BUH</w:t>
            </w:r>
          </w:p>
        </w:tc>
        <w:tc>
          <w:tcPr>
            <w:tcW w:w="899"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color w:val="000000"/>
                <w:sz w:val="20"/>
                <w:lang w:val="en-GB"/>
              </w:rPr>
            </w:pPr>
            <w:r w:rsidRPr="00563CF9">
              <w:rPr>
                <w:sz w:val="20"/>
                <w:lang w:val="en-GB" w:bidi="en-GB"/>
              </w:rPr>
              <w:t>1,790.29</w:t>
            </w:r>
          </w:p>
        </w:tc>
        <w:tc>
          <w:tcPr>
            <w:tcW w:w="879"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373D3">
            <w:pPr>
              <w:spacing w:before="40" w:after="40"/>
              <w:jc w:val="right"/>
              <w:rPr>
                <w:rFonts w:cstheme="minorHAnsi"/>
                <w:color w:val="000000"/>
                <w:sz w:val="20"/>
                <w:lang w:val="en-GB"/>
              </w:rPr>
            </w:pPr>
            <w:r w:rsidRPr="00563CF9">
              <w:rPr>
                <w:sz w:val="20"/>
                <w:lang w:val="en-GB" w:bidi="en-GB"/>
              </w:rPr>
              <w:t>17.30</w:t>
            </w:r>
          </w:p>
        </w:tc>
        <w:tc>
          <w:tcPr>
            <w:tcW w:w="907"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ind w:right="-12"/>
              <w:jc w:val="right"/>
              <w:rPr>
                <w:rFonts w:cstheme="minorHAnsi"/>
                <w:color w:val="000000"/>
                <w:sz w:val="20"/>
                <w:lang w:val="en-GB"/>
              </w:rPr>
            </w:pPr>
            <w:r w:rsidRPr="00563CF9">
              <w:rPr>
                <w:sz w:val="20"/>
                <w:lang w:val="en-GB" w:bidi="en-GB"/>
              </w:rPr>
              <w:t>3</w:t>
            </w:r>
          </w:p>
        </w:tc>
        <w:tc>
          <w:tcPr>
            <w:tcW w:w="1020"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ind w:right="117"/>
              <w:jc w:val="right"/>
              <w:rPr>
                <w:rFonts w:cstheme="minorHAnsi"/>
                <w:color w:val="000000"/>
                <w:sz w:val="20"/>
                <w:lang w:val="en-GB"/>
              </w:rPr>
            </w:pPr>
            <w:r w:rsidRPr="00563CF9">
              <w:rPr>
                <w:sz w:val="20"/>
                <w:lang w:val="en-GB" w:bidi="en-GB"/>
              </w:rPr>
              <w:t>4</w:t>
            </w:r>
          </w:p>
        </w:tc>
      </w:tr>
      <w:tr w:rsidR="00FE37EA" w:rsidRPr="00563CF9" w:rsidTr="009D6C3F">
        <w:trPr>
          <w:trHeight w:val="283"/>
        </w:trPr>
        <w:tc>
          <w:tcPr>
            <w:tcW w:w="794" w:type="dxa"/>
            <w:vMerge/>
            <w:tcBorders>
              <w:top w:val="nil"/>
              <w:left w:val="single" w:sz="4" w:space="0" w:color="auto"/>
              <w:bottom w:val="single" w:sz="4" w:space="0" w:color="auto"/>
              <w:right w:val="single" w:sz="4" w:space="0" w:color="auto"/>
            </w:tcBorders>
            <w:vAlign w:val="center"/>
            <w:hideMark/>
          </w:tcPr>
          <w:p w:rsidR="001945E1" w:rsidRPr="00563CF9" w:rsidRDefault="001945E1" w:rsidP="009D6C3F">
            <w:pPr>
              <w:spacing w:before="40" w:after="40"/>
              <w:ind w:left="-57" w:right="-57"/>
              <w:jc w:val="center"/>
              <w:rPr>
                <w:rFonts w:cstheme="minorHAnsi"/>
                <w:color w:val="000000"/>
                <w:sz w:val="20"/>
                <w:lang w:val="en-GB"/>
              </w:rPr>
            </w:pPr>
          </w:p>
        </w:tc>
        <w:tc>
          <w:tcPr>
            <w:tcW w:w="573"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2015</w:t>
            </w:r>
          </w:p>
        </w:tc>
        <w:tc>
          <w:tcPr>
            <w:tcW w:w="1020"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sz w:val="20"/>
                <w:lang w:val="en-GB"/>
              </w:rPr>
            </w:pPr>
            <w:r w:rsidRPr="00563CF9">
              <w:rPr>
                <w:sz w:val="20"/>
                <w:lang w:val="en-GB" w:bidi="en-GB"/>
              </w:rPr>
              <w:t>2,115.30</w:t>
            </w:r>
          </w:p>
        </w:tc>
        <w:tc>
          <w:tcPr>
            <w:tcW w:w="1134"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MUH</w:t>
            </w:r>
          </w:p>
        </w:tc>
        <w:tc>
          <w:tcPr>
            <w:tcW w:w="1077"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sz w:val="20"/>
                <w:lang w:val="en-GB"/>
              </w:rPr>
            </w:pPr>
            <w:r w:rsidRPr="00563CF9">
              <w:rPr>
                <w:sz w:val="20"/>
                <w:lang w:val="en-GB" w:bidi="en-GB"/>
              </w:rPr>
              <w:t>11,611.58</w:t>
            </w:r>
          </w:p>
        </w:tc>
        <w:tc>
          <w:tcPr>
            <w:tcW w:w="1134" w:type="dxa"/>
            <w:tcBorders>
              <w:top w:val="nil"/>
              <w:left w:val="nil"/>
              <w:bottom w:val="single" w:sz="4" w:space="0" w:color="auto"/>
              <w:right w:val="single" w:sz="4" w:space="0" w:color="auto"/>
            </w:tcBorders>
            <w:shd w:val="clear" w:color="auto" w:fill="auto"/>
            <w:noWrap/>
            <w:vAlign w:val="bottom"/>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BUH</w:t>
            </w:r>
          </w:p>
        </w:tc>
        <w:tc>
          <w:tcPr>
            <w:tcW w:w="899"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color w:val="000000"/>
                <w:sz w:val="20"/>
                <w:lang w:val="en-GB"/>
              </w:rPr>
            </w:pPr>
            <w:r w:rsidRPr="00563CF9">
              <w:rPr>
                <w:sz w:val="20"/>
                <w:lang w:val="en-GB" w:bidi="en-GB"/>
              </w:rPr>
              <w:t>9,496.28</w:t>
            </w:r>
          </w:p>
        </w:tc>
        <w:tc>
          <w:tcPr>
            <w:tcW w:w="879"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373D3">
            <w:pPr>
              <w:spacing w:before="40" w:after="40"/>
              <w:jc w:val="right"/>
              <w:rPr>
                <w:rFonts w:cstheme="minorHAnsi"/>
                <w:color w:val="000000"/>
                <w:sz w:val="20"/>
                <w:lang w:val="en-GB"/>
              </w:rPr>
            </w:pPr>
            <w:r w:rsidRPr="00563CF9">
              <w:rPr>
                <w:sz w:val="20"/>
                <w:lang w:val="en-GB" w:bidi="en-GB"/>
              </w:rPr>
              <w:t>448.93</w:t>
            </w:r>
          </w:p>
        </w:tc>
        <w:tc>
          <w:tcPr>
            <w:tcW w:w="907"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ind w:right="-12"/>
              <w:jc w:val="right"/>
              <w:rPr>
                <w:rFonts w:cstheme="minorHAnsi"/>
                <w:color w:val="000000"/>
                <w:sz w:val="20"/>
                <w:lang w:val="en-GB"/>
              </w:rPr>
            </w:pPr>
            <w:r w:rsidRPr="00563CF9">
              <w:rPr>
                <w:sz w:val="20"/>
                <w:lang w:val="en-GB" w:bidi="en-GB"/>
              </w:rPr>
              <w:t>3</w:t>
            </w:r>
          </w:p>
        </w:tc>
        <w:tc>
          <w:tcPr>
            <w:tcW w:w="1020"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ind w:right="117"/>
              <w:jc w:val="right"/>
              <w:rPr>
                <w:rFonts w:cstheme="minorHAnsi"/>
                <w:color w:val="000000"/>
                <w:sz w:val="20"/>
                <w:lang w:val="en-GB"/>
              </w:rPr>
            </w:pPr>
            <w:r w:rsidRPr="00563CF9">
              <w:rPr>
                <w:sz w:val="20"/>
                <w:lang w:val="en-GB" w:bidi="en-GB"/>
              </w:rPr>
              <w:t>4</w:t>
            </w:r>
          </w:p>
        </w:tc>
      </w:tr>
      <w:tr w:rsidR="00FE37EA" w:rsidRPr="00563CF9" w:rsidTr="009D6C3F">
        <w:trPr>
          <w:trHeight w:val="283"/>
        </w:trPr>
        <w:tc>
          <w:tcPr>
            <w:tcW w:w="794" w:type="dxa"/>
            <w:vMerge/>
            <w:tcBorders>
              <w:top w:val="nil"/>
              <w:left w:val="single" w:sz="4" w:space="0" w:color="auto"/>
              <w:bottom w:val="single" w:sz="4" w:space="0" w:color="auto"/>
              <w:right w:val="single" w:sz="4" w:space="0" w:color="auto"/>
            </w:tcBorders>
            <w:vAlign w:val="center"/>
            <w:hideMark/>
          </w:tcPr>
          <w:p w:rsidR="001945E1" w:rsidRPr="00563CF9" w:rsidRDefault="001945E1" w:rsidP="009D6C3F">
            <w:pPr>
              <w:spacing w:before="40" w:after="40"/>
              <w:ind w:left="-57" w:right="-57"/>
              <w:jc w:val="center"/>
              <w:rPr>
                <w:rFonts w:cstheme="minorHAnsi"/>
                <w:color w:val="000000"/>
                <w:sz w:val="20"/>
                <w:lang w:val="en-GB"/>
              </w:rPr>
            </w:pPr>
          </w:p>
        </w:tc>
        <w:tc>
          <w:tcPr>
            <w:tcW w:w="573"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2016</w:t>
            </w:r>
          </w:p>
        </w:tc>
        <w:tc>
          <w:tcPr>
            <w:tcW w:w="1020"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sz w:val="20"/>
                <w:lang w:val="en-GB"/>
              </w:rPr>
            </w:pPr>
            <w:r w:rsidRPr="00563CF9">
              <w:rPr>
                <w:sz w:val="20"/>
                <w:lang w:val="en-GB" w:bidi="en-GB"/>
              </w:rPr>
              <w:t>2,115.30</w:t>
            </w:r>
          </w:p>
        </w:tc>
        <w:tc>
          <w:tcPr>
            <w:tcW w:w="1134"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MUH</w:t>
            </w:r>
          </w:p>
        </w:tc>
        <w:tc>
          <w:tcPr>
            <w:tcW w:w="1077"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color w:val="000000"/>
                <w:sz w:val="20"/>
                <w:lang w:val="en-GB"/>
              </w:rPr>
            </w:pPr>
            <w:r w:rsidRPr="00563CF9">
              <w:rPr>
                <w:sz w:val="20"/>
                <w:lang w:val="en-GB" w:bidi="en-GB"/>
              </w:rPr>
              <w:t>7,098.00</w:t>
            </w:r>
          </w:p>
        </w:tc>
        <w:tc>
          <w:tcPr>
            <w:tcW w:w="1134" w:type="dxa"/>
            <w:tcBorders>
              <w:top w:val="nil"/>
              <w:left w:val="nil"/>
              <w:bottom w:val="single" w:sz="4" w:space="0" w:color="auto"/>
              <w:right w:val="single" w:sz="4" w:space="0" w:color="auto"/>
            </w:tcBorders>
            <w:shd w:val="clear" w:color="auto" w:fill="auto"/>
            <w:noWrap/>
            <w:vAlign w:val="bottom"/>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CMH</w:t>
            </w:r>
          </w:p>
        </w:tc>
        <w:tc>
          <w:tcPr>
            <w:tcW w:w="899"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color w:val="000000"/>
                <w:sz w:val="20"/>
                <w:lang w:val="en-GB"/>
              </w:rPr>
            </w:pPr>
            <w:r w:rsidRPr="00563CF9">
              <w:rPr>
                <w:sz w:val="20"/>
                <w:lang w:val="en-GB" w:bidi="en-GB"/>
              </w:rPr>
              <w:t>4,982.70</w:t>
            </w:r>
          </w:p>
        </w:tc>
        <w:tc>
          <w:tcPr>
            <w:tcW w:w="879"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373D3">
            <w:pPr>
              <w:spacing w:before="40" w:after="40"/>
              <w:jc w:val="right"/>
              <w:rPr>
                <w:rFonts w:cstheme="minorHAnsi"/>
                <w:color w:val="000000"/>
                <w:sz w:val="20"/>
                <w:lang w:val="en-GB"/>
              </w:rPr>
            </w:pPr>
            <w:r w:rsidRPr="00563CF9">
              <w:rPr>
                <w:sz w:val="20"/>
                <w:lang w:val="en-GB" w:bidi="en-GB"/>
              </w:rPr>
              <w:t>235.56</w:t>
            </w:r>
          </w:p>
        </w:tc>
        <w:tc>
          <w:tcPr>
            <w:tcW w:w="907"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ind w:right="-12"/>
              <w:jc w:val="right"/>
              <w:rPr>
                <w:rFonts w:cstheme="minorHAnsi"/>
                <w:color w:val="000000"/>
                <w:sz w:val="20"/>
                <w:lang w:val="en-GB"/>
              </w:rPr>
            </w:pPr>
            <w:r w:rsidRPr="00563CF9">
              <w:rPr>
                <w:sz w:val="20"/>
                <w:lang w:val="en-GB" w:bidi="en-GB"/>
              </w:rPr>
              <w:t>3</w:t>
            </w:r>
          </w:p>
        </w:tc>
        <w:tc>
          <w:tcPr>
            <w:tcW w:w="1020"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ind w:right="117"/>
              <w:jc w:val="right"/>
              <w:rPr>
                <w:rFonts w:cstheme="minorHAnsi"/>
                <w:color w:val="000000"/>
                <w:sz w:val="20"/>
                <w:lang w:val="en-GB"/>
              </w:rPr>
            </w:pPr>
            <w:r w:rsidRPr="00563CF9">
              <w:rPr>
                <w:sz w:val="20"/>
                <w:lang w:val="en-GB" w:bidi="en-GB"/>
              </w:rPr>
              <w:t>2</w:t>
            </w:r>
          </w:p>
        </w:tc>
      </w:tr>
      <w:tr w:rsidR="00FE37EA" w:rsidRPr="00563CF9" w:rsidTr="009D6C3F">
        <w:trPr>
          <w:trHeight w:val="283"/>
        </w:trPr>
        <w:tc>
          <w:tcPr>
            <w:tcW w:w="7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ind w:left="-57" w:right="-57"/>
              <w:jc w:val="center"/>
              <w:rPr>
                <w:rFonts w:cstheme="minorHAnsi"/>
                <w:color w:val="000000"/>
                <w:sz w:val="20"/>
                <w:lang w:val="en-GB"/>
              </w:rPr>
            </w:pPr>
            <w:r w:rsidRPr="00563CF9">
              <w:rPr>
                <w:sz w:val="20"/>
                <w:lang w:val="en-GB" w:bidi="en-GB"/>
              </w:rPr>
              <w:t>0005113</w:t>
            </w:r>
          </w:p>
        </w:tc>
        <w:tc>
          <w:tcPr>
            <w:tcW w:w="573"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2014</w:t>
            </w:r>
          </w:p>
        </w:tc>
        <w:tc>
          <w:tcPr>
            <w:tcW w:w="1020"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color w:val="000000"/>
                <w:sz w:val="20"/>
                <w:lang w:val="en-GB"/>
              </w:rPr>
            </w:pPr>
            <w:r w:rsidRPr="00563CF9">
              <w:rPr>
                <w:sz w:val="20"/>
                <w:lang w:val="en-GB" w:bidi="en-GB"/>
              </w:rPr>
              <w:t>769.33</w:t>
            </w:r>
          </w:p>
        </w:tc>
        <w:tc>
          <w:tcPr>
            <w:tcW w:w="1134"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BUH</w:t>
            </w:r>
          </w:p>
        </w:tc>
        <w:tc>
          <w:tcPr>
            <w:tcW w:w="1077"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color w:val="000000"/>
                <w:sz w:val="20"/>
                <w:lang w:val="en-GB"/>
              </w:rPr>
            </w:pPr>
            <w:r w:rsidRPr="00563CF9">
              <w:rPr>
                <w:sz w:val="20"/>
                <w:lang w:val="en-GB" w:bidi="en-GB"/>
              </w:rPr>
              <w:t>1,584.11</w:t>
            </w:r>
          </w:p>
        </w:tc>
        <w:tc>
          <w:tcPr>
            <w:tcW w:w="1134" w:type="dxa"/>
            <w:tcBorders>
              <w:top w:val="nil"/>
              <w:left w:val="nil"/>
              <w:bottom w:val="single" w:sz="4" w:space="0" w:color="auto"/>
              <w:right w:val="single" w:sz="4" w:space="0" w:color="auto"/>
            </w:tcBorders>
            <w:shd w:val="clear" w:color="auto" w:fill="auto"/>
            <w:noWrap/>
            <w:vAlign w:val="bottom"/>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CMH</w:t>
            </w:r>
          </w:p>
        </w:tc>
        <w:tc>
          <w:tcPr>
            <w:tcW w:w="899"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color w:val="000000"/>
                <w:sz w:val="20"/>
                <w:lang w:val="en-GB"/>
              </w:rPr>
            </w:pPr>
            <w:r w:rsidRPr="00563CF9">
              <w:rPr>
                <w:sz w:val="20"/>
                <w:lang w:val="en-GB" w:bidi="en-GB"/>
              </w:rPr>
              <w:t>814.78</w:t>
            </w:r>
          </w:p>
        </w:tc>
        <w:tc>
          <w:tcPr>
            <w:tcW w:w="879"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373D3">
            <w:pPr>
              <w:spacing w:before="40" w:after="40"/>
              <w:jc w:val="right"/>
              <w:rPr>
                <w:rFonts w:cstheme="minorHAnsi"/>
                <w:color w:val="000000"/>
                <w:sz w:val="20"/>
                <w:lang w:val="en-GB"/>
              </w:rPr>
            </w:pPr>
            <w:r w:rsidRPr="00563CF9">
              <w:rPr>
                <w:sz w:val="20"/>
                <w:lang w:val="en-GB" w:bidi="en-GB"/>
              </w:rPr>
              <w:t>105.91</w:t>
            </w:r>
          </w:p>
        </w:tc>
        <w:tc>
          <w:tcPr>
            <w:tcW w:w="907"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ind w:right="-12"/>
              <w:jc w:val="right"/>
              <w:rPr>
                <w:rFonts w:cstheme="minorHAnsi"/>
                <w:color w:val="000000"/>
                <w:sz w:val="20"/>
                <w:lang w:val="en-GB"/>
              </w:rPr>
            </w:pPr>
            <w:r w:rsidRPr="00563CF9">
              <w:rPr>
                <w:sz w:val="20"/>
                <w:lang w:val="en-GB" w:bidi="en-GB"/>
              </w:rPr>
              <w:t>3</w:t>
            </w:r>
          </w:p>
        </w:tc>
        <w:tc>
          <w:tcPr>
            <w:tcW w:w="1020"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ind w:right="117"/>
              <w:jc w:val="right"/>
              <w:rPr>
                <w:rFonts w:cstheme="minorHAnsi"/>
                <w:color w:val="000000"/>
                <w:sz w:val="20"/>
                <w:lang w:val="en-GB"/>
              </w:rPr>
            </w:pPr>
            <w:r w:rsidRPr="00563CF9">
              <w:rPr>
                <w:sz w:val="20"/>
                <w:lang w:val="en-GB" w:bidi="en-GB"/>
              </w:rPr>
              <w:t>3</w:t>
            </w:r>
          </w:p>
        </w:tc>
      </w:tr>
      <w:tr w:rsidR="00FE37EA" w:rsidRPr="00563CF9" w:rsidTr="009D6C3F">
        <w:trPr>
          <w:trHeight w:val="283"/>
        </w:trPr>
        <w:tc>
          <w:tcPr>
            <w:tcW w:w="794" w:type="dxa"/>
            <w:vMerge/>
            <w:tcBorders>
              <w:top w:val="nil"/>
              <w:left w:val="single" w:sz="4" w:space="0" w:color="auto"/>
              <w:bottom w:val="single" w:sz="4" w:space="0" w:color="auto"/>
              <w:right w:val="single" w:sz="4" w:space="0" w:color="auto"/>
            </w:tcBorders>
            <w:vAlign w:val="center"/>
            <w:hideMark/>
          </w:tcPr>
          <w:p w:rsidR="001945E1" w:rsidRPr="00563CF9" w:rsidRDefault="001945E1" w:rsidP="009D6C3F">
            <w:pPr>
              <w:spacing w:before="40" w:after="40"/>
              <w:ind w:left="-57" w:right="-57"/>
              <w:jc w:val="center"/>
              <w:rPr>
                <w:rFonts w:cstheme="minorHAnsi"/>
                <w:color w:val="000000"/>
                <w:sz w:val="20"/>
                <w:lang w:val="en-GB"/>
              </w:rPr>
            </w:pPr>
          </w:p>
        </w:tc>
        <w:tc>
          <w:tcPr>
            <w:tcW w:w="573"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2015</w:t>
            </w:r>
          </w:p>
        </w:tc>
        <w:tc>
          <w:tcPr>
            <w:tcW w:w="1020"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sz w:val="20"/>
                <w:lang w:val="en-GB"/>
              </w:rPr>
            </w:pPr>
            <w:r w:rsidRPr="00563CF9">
              <w:rPr>
                <w:sz w:val="20"/>
                <w:lang w:val="en-GB" w:bidi="en-GB"/>
              </w:rPr>
              <w:t>680.45</w:t>
            </w:r>
          </w:p>
        </w:tc>
        <w:tc>
          <w:tcPr>
            <w:tcW w:w="1134"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MUH</w:t>
            </w:r>
          </w:p>
        </w:tc>
        <w:tc>
          <w:tcPr>
            <w:tcW w:w="1077"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color w:val="000000"/>
                <w:sz w:val="20"/>
                <w:lang w:val="en-GB"/>
              </w:rPr>
            </w:pPr>
            <w:r w:rsidRPr="00563CF9">
              <w:rPr>
                <w:sz w:val="20"/>
                <w:lang w:val="en-GB" w:bidi="en-GB"/>
              </w:rPr>
              <w:t>849.53</w:t>
            </w:r>
          </w:p>
        </w:tc>
        <w:tc>
          <w:tcPr>
            <w:tcW w:w="1134" w:type="dxa"/>
            <w:tcBorders>
              <w:top w:val="nil"/>
              <w:left w:val="nil"/>
              <w:bottom w:val="single" w:sz="4" w:space="0" w:color="auto"/>
              <w:right w:val="single" w:sz="4" w:space="0" w:color="auto"/>
            </w:tcBorders>
            <w:shd w:val="clear" w:color="auto" w:fill="auto"/>
            <w:noWrap/>
            <w:vAlign w:val="bottom"/>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BUH</w:t>
            </w:r>
          </w:p>
        </w:tc>
        <w:tc>
          <w:tcPr>
            <w:tcW w:w="899"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color w:val="000000"/>
                <w:sz w:val="20"/>
                <w:lang w:val="en-GB"/>
              </w:rPr>
            </w:pPr>
            <w:r w:rsidRPr="00563CF9">
              <w:rPr>
                <w:sz w:val="20"/>
                <w:lang w:val="en-GB" w:bidi="en-GB"/>
              </w:rPr>
              <w:t>169.08</w:t>
            </w:r>
          </w:p>
        </w:tc>
        <w:tc>
          <w:tcPr>
            <w:tcW w:w="879"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373D3">
            <w:pPr>
              <w:spacing w:before="40" w:after="40"/>
              <w:jc w:val="right"/>
              <w:rPr>
                <w:rFonts w:cstheme="minorHAnsi"/>
                <w:color w:val="000000"/>
                <w:sz w:val="20"/>
                <w:lang w:val="en-GB"/>
              </w:rPr>
            </w:pPr>
            <w:r w:rsidRPr="00563CF9">
              <w:rPr>
                <w:sz w:val="20"/>
                <w:lang w:val="en-GB" w:bidi="en-GB"/>
              </w:rPr>
              <w:t>24.85</w:t>
            </w:r>
          </w:p>
        </w:tc>
        <w:tc>
          <w:tcPr>
            <w:tcW w:w="907"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ind w:right="-12"/>
              <w:jc w:val="right"/>
              <w:rPr>
                <w:rFonts w:cstheme="minorHAnsi"/>
                <w:color w:val="000000"/>
                <w:sz w:val="20"/>
                <w:lang w:val="en-GB"/>
              </w:rPr>
            </w:pPr>
            <w:r w:rsidRPr="00563CF9">
              <w:rPr>
                <w:sz w:val="20"/>
                <w:lang w:val="en-GB" w:bidi="en-GB"/>
              </w:rPr>
              <w:t>3</w:t>
            </w:r>
          </w:p>
        </w:tc>
        <w:tc>
          <w:tcPr>
            <w:tcW w:w="1020"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ind w:right="117"/>
              <w:jc w:val="right"/>
              <w:rPr>
                <w:rFonts w:cstheme="minorHAnsi"/>
                <w:color w:val="000000"/>
                <w:sz w:val="20"/>
                <w:lang w:val="en-GB"/>
              </w:rPr>
            </w:pPr>
            <w:r w:rsidRPr="00563CF9">
              <w:rPr>
                <w:sz w:val="20"/>
                <w:lang w:val="en-GB" w:bidi="en-GB"/>
              </w:rPr>
              <w:t>2</w:t>
            </w:r>
          </w:p>
        </w:tc>
      </w:tr>
      <w:tr w:rsidR="00FE37EA" w:rsidRPr="00563CF9" w:rsidTr="009D6C3F">
        <w:trPr>
          <w:trHeight w:val="283"/>
        </w:trPr>
        <w:tc>
          <w:tcPr>
            <w:tcW w:w="794" w:type="dxa"/>
            <w:vMerge/>
            <w:tcBorders>
              <w:top w:val="nil"/>
              <w:left w:val="single" w:sz="4" w:space="0" w:color="auto"/>
              <w:bottom w:val="single" w:sz="4" w:space="0" w:color="auto"/>
              <w:right w:val="single" w:sz="4" w:space="0" w:color="auto"/>
            </w:tcBorders>
            <w:vAlign w:val="center"/>
            <w:hideMark/>
          </w:tcPr>
          <w:p w:rsidR="001945E1" w:rsidRPr="00563CF9" w:rsidRDefault="001945E1" w:rsidP="009D6C3F">
            <w:pPr>
              <w:spacing w:before="40" w:after="40"/>
              <w:ind w:left="-57" w:right="-57"/>
              <w:jc w:val="center"/>
              <w:rPr>
                <w:rFonts w:cstheme="minorHAnsi"/>
                <w:color w:val="000000"/>
                <w:sz w:val="20"/>
                <w:lang w:val="en-GB"/>
              </w:rPr>
            </w:pPr>
          </w:p>
        </w:tc>
        <w:tc>
          <w:tcPr>
            <w:tcW w:w="573"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2016</w:t>
            </w:r>
          </w:p>
        </w:tc>
        <w:tc>
          <w:tcPr>
            <w:tcW w:w="1020"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sz w:val="20"/>
                <w:lang w:val="en-GB"/>
              </w:rPr>
            </w:pPr>
            <w:r w:rsidRPr="00563CF9">
              <w:rPr>
                <w:sz w:val="20"/>
                <w:lang w:val="en-GB" w:bidi="en-GB"/>
              </w:rPr>
              <w:t>681.05</w:t>
            </w:r>
          </w:p>
        </w:tc>
        <w:tc>
          <w:tcPr>
            <w:tcW w:w="1134"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MUH</w:t>
            </w:r>
          </w:p>
        </w:tc>
        <w:tc>
          <w:tcPr>
            <w:tcW w:w="1077"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color w:val="000000"/>
                <w:sz w:val="20"/>
                <w:lang w:val="en-GB"/>
              </w:rPr>
            </w:pPr>
            <w:r w:rsidRPr="00563CF9">
              <w:rPr>
                <w:sz w:val="20"/>
                <w:lang w:val="en-GB" w:bidi="en-GB"/>
              </w:rPr>
              <w:t>689.83</w:t>
            </w:r>
          </w:p>
        </w:tc>
        <w:tc>
          <w:tcPr>
            <w:tcW w:w="1134" w:type="dxa"/>
            <w:tcBorders>
              <w:top w:val="nil"/>
              <w:left w:val="nil"/>
              <w:bottom w:val="single" w:sz="4" w:space="0" w:color="auto"/>
              <w:right w:val="single" w:sz="4" w:space="0" w:color="auto"/>
            </w:tcBorders>
            <w:shd w:val="clear" w:color="auto" w:fill="auto"/>
            <w:noWrap/>
            <w:vAlign w:val="bottom"/>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BUH</w:t>
            </w:r>
          </w:p>
        </w:tc>
        <w:tc>
          <w:tcPr>
            <w:tcW w:w="899"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color w:val="000000"/>
                <w:sz w:val="20"/>
                <w:lang w:val="en-GB"/>
              </w:rPr>
            </w:pPr>
            <w:r w:rsidRPr="00563CF9">
              <w:rPr>
                <w:sz w:val="20"/>
                <w:lang w:val="en-GB" w:bidi="en-GB"/>
              </w:rPr>
              <w:t>8.78</w:t>
            </w:r>
          </w:p>
        </w:tc>
        <w:tc>
          <w:tcPr>
            <w:tcW w:w="879"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373D3">
            <w:pPr>
              <w:spacing w:before="40" w:after="40"/>
              <w:jc w:val="right"/>
              <w:rPr>
                <w:rFonts w:cstheme="minorHAnsi"/>
                <w:color w:val="000000"/>
                <w:sz w:val="20"/>
                <w:lang w:val="en-GB"/>
              </w:rPr>
            </w:pPr>
            <w:r w:rsidRPr="00563CF9">
              <w:rPr>
                <w:sz w:val="20"/>
                <w:lang w:val="en-GB" w:bidi="en-GB"/>
              </w:rPr>
              <w:t>1.29</w:t>
            </w:r>
          </w:p>
        </w:tc>
        <w:tc>
          <w:tcPr>
            <w:tcW w:w="907"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ind w:right="-12"/>
              <w:jc w:val="right"/>
              <w:rPr>
                <w:rFonts w:cstheme="minorHAnsi"/>
                <w:color w:val="000000"/>
                <w:sz w:val="20"/>
                <w:lang w:val="en-GB"/>
              </w:rPr>
            </w:pPr>
            <w:r w:rsidRPr="00563CF9">
              <w:rPr>
                <w:sz w:val="20"/>
                <w:lang w:val="en-GB" w:bidi="en-GB"/>
              </w:rPr>
              <w:t>2</w:t>
            </w:r>
          </w:p>
        </w:tc>
        <w:tc>
          <w:tcPr>
            <w:tcW w:w="1020"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ind w:right="117"/>
              <w:jc w:val="right"/>
              <w:rPr>
                <w:rFonts w:cstheme="minorHAnsi"/>
                <w:color w:val="000000"/>
                <w:sz w:val="20"/>
                <w:lang w:val="en-GB"/>
              </w:rPr>
            </w:pPr>
            <w:r w:rsidRPr="00563CF9">
              <w:rPr>
                <w:sz w:val="20"/>
                <w:lang w:val="en-GB" w:bidi="en-GB"/>
              </w:rPr>
              <w:t>2</w:t>
            </w:r>
          </w:p>
        </w:tc>
      </w:tr>
      <w:tr w:rsidR="00FE37EA" w:rsidRPr="00563CF9" w:rsidTr="009D6C3F">
        <w:trPr>
          <w:trHeight w:val="283"/>
        </w:trPr>
        <w:tc>
          <w:tcPr>
            <w:tcW w:w="7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ind w:left="-57" w:right="-57"/>
              <w:jc w:val="center"/>
              <w:rPr>
                <w:rFonts w:cstheme="minorHAnsi"/>
                <w:color w:val="000000"/>
                <w:sz w:val="20"/>
                <w:lang w:val="en-GB"/>
              </w:rPr>
            </w:pPr>
            <w:r w:rsidRPr="00563CF9">
              <w:rPr>
                <w:sz w:val="20"/>
                <w:lang w:val="en-GB" w:bidi="en-GB"/>
              </w:rPr>
              <w:t>0011592</w:t>
            </w:r>
          </w:p>
        </w:tc>
        <w:tc>
          <w:tcPr>
            <w:tcW w:w="573"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2014</w:t>
            </w:r>
          </w:p>
        </w:tc>
        <w:tc>
          <w:tcPr>
            <w:tcW w:w="1020"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sz w:val="20"/>
                <w:lang w:val="en-GB"/>
              </w:rPr>
            </w:pPr>
            <w:r w:rsidRPr="00563CF9">
              <w:rPr>
                <w:sz w:val="20"/>
                <w:lang w:val="en-GB" w:bidi="en-GB"/>
              </w:rPr>
              <w:t>299.00</w:t>
            </w:r>
          </w:p>
        </w:tc>
        <w:tc>
          <w:tcPr>
            <w:tcW w:w="1134"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MUH</w:t>
            </w:r>
          </w:p>
        </w:tc>
        <w:tc>
          <w:tcPr>
            <w:tcW w:w="1077"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color w:val="000000"/>
                <w:sz w:val="20"/>
                <w:lang w:val="en-GB"/>
              </w:rPr>
            </w:pPr>
            <w:r w:rsidRPr="00563CF9">
              <w:rPr>
                <w:sz w:val="20"/>
                <w:lang w:val="en-GB" w:bidi="en-GB"/>
              </w:rPr>
              <w:t>403.51</w:t>
            </w:r>
          </w:p>
        </w:tc>
        <w:tc>
          <w:tcPr>
            <w:tcW w:w="1134" w:type="dxa"/>
            <w:tcBorders>
              <w:top w:val="nil"/>
              <w:left w:val="nil"/>
              <w:bottom w:val="single" w:sz="4" w:space="0" w:color="auto"/>
              <w:right w:val="single" w:sz="4" w:space="0" w:color="auto"/>
            </w:tcBorders>
            <w:shd w:val="clear" w:color="auto" w:fill="auto"/>
            <w:noWrap/>
            <w:vAlign w:val="bottom"/>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BUH</w:t>
            </w:r>
          </w:p>
        </w:tc>
        <w:tc>
          <w:tcPr>
            <w:tcW w:w="899"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color w:val="000000"/>
                <w:sz w:val="20"/>
                <w:lang w:val="en-GB"/>
              </w:rPr>
            </w:pPr>
            <w:r w:rsidRPr="00563CF9">
              <w:rPr>
                <w:sz w:val="20"/>
                <w:lang w:val="en-GB" w:bidi="en-GB"/>
              </w:rPr>
              <w:t>104.51</w:t>
            </w:r>
          </w:p>
        </w:tc>
        <w:tc>
          <w:tcPr>
            <w:tcW w:w="879"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373D3">
            <w:pPr>
              <w:spacing w:before="40" w:after="40"/>
              <w:jc w:val="right"/>
              <w:rPr>
                <w:rFonts w:cstheme="minorHAnsi"/>
                <w:color w:val="000000"/>
                <w:sz w:val="20"/>
                <w:lang w:val="en-GB"/>
              </w:rPr>
            </w:pPr>
            <w:r w:rsidRPr="00563CF9">
              <w:rPr>
                <w:sz w:val="20"/>
                <w:lang w:val="en-GB" w:bidi="en-GB"/>
              </w:rPr>
              <w:t>34.95</w:t>
            </w:r>
          </w:p>
        </w:tc>
        <w:tc>
          <w:tcPr>
            <w:tcW w:w="907"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ind w:right="-12"/>
              <w:jc w:val="right"/>
              <w:rPr>
                <w:rFonts w:cstheme="minorHAnsi"/>
                <w:color w:val="000000"/>
                <w:sz w:val="20"/>
                <w:lang w:val="en-GB"/>
              </w:rPr>
            </w:pPr>
            <w:r w:rsidRPr="00563CF9">
              <w:rPr>
                <w:sz w:val="20"/>
                <w:lang w:val="en-GB" w:bidi="en-GB"/>
              </w:rPr>
              <w:t>3</w:t>
            </w:r>
          </w:p>
        </w:tc>
        <w:tc>
          <w:tcPr>
            <w:tcW w:w="1020"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ind w:right="117"/>
              <w:jc w:val="right"/>
              <w:rPr>
                <w:rFonts w:cstheme="minorHAnsi"/>
                <w:color w:val="000000"/>
                <w:sz w:val="20"/>
                <w:lang w:val="en-GB"/>
              </w:rPr>
            </w:pPr>
            <w:r w:rsidRPr="00563CF9">
              <w:rPr>
                <w:sz w:val="20"/>
                <w:lang w:val="en-GB" w:bidi="en-GB"/>
              </w:rPr>
              <w:t>1</w:t>
            </w:r>
          </w:p>
        </w:tc>
      </w:tr>
      <w:tr w:rsidR="00FE37EA" w:rsidRPr="00563CF9" w:rsidTr="009D6C3F">
        <w:trPr>
          <w:trHeight w:val="283"/>
        </w:trPr>
        <w:tc>
          <w:tcPr>
            <w:tcW w:w="794" w:type="dxa"/>
            <w:vMerge/>
            <w:tcBorders>
              <w:top w:val="nil"/>
              <w:left w:val="single" w:sz="4" w:space="0" w:color="auto"/>
              <w:bottom w:val="single" w:sz="4" w:space="0" w:color="auto"/>
              <w:right w:val="single" w:sz="4" w:space="0" w:color="auto"/>
            </w:tcBorders>
            <w:shd w:val="clear" w:color="auto" w:fill="auto"/>
            <w:vAlign w:val="center"/>
            <w:hideMark/>
          </w:tcPr>
          <w:p w:rsidR="001945E1" w:rsidRPr="00563CF9" w:rsidRDefault="001945E1" w:rsidP="009D6C3F">
            <w:pPr>
              <w:spacing w:before="40" w:after="40"/>
              <w:ind w:left="-57" w:right="-57"/>
              <w:jc w:val="center"/>
              <w:rPr>
                <w:rFonts w:cstheme="minorHAnsi"/>
                <w:color w:val="000000"/>
                <w:sz w:val="20"/>
                <w:lang w:val="en-GB"/>
              </w:rPr>
            </w:pPr>
          </w:p>
        </w:tc>
        <w:tc>
          <w:tcPr>
            <w:tcW w:w="573"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2015</w:t>
            </w:r>
          </w:p>
        </w:tc>
        <w:tc>
          <w:tcPr>
            <w:tcW w:w="1020"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color w:val="000000"/>
                <w:sz w:val="20"/>
                <w:lang w:val="en-GB"/>
              </w:rPr>
            </w:pPr>
            <w:r w:rsidRPr="00563CF9">
              <w:rPr>
                <w:sz w:val="20"/>
                <w:lang w:val="en-GB" w:bidi="en-GB"/>
              </w:rPr>
              <w:t>226.60</w:t>
            </w:r>
          </w:p>
        </w:tc>
        <w:tc>
          <w:tcPr>
            <w:tcW w:w="1134"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BUH</w:t>
            </w:r>
          </w:p>
        </w:tc>
        <w:tc>
          <w:tcPr>
            <w:tcW w:w="1077"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color w:val="000000"/>
                <w:sz w:val="20"/>
                <w:lang w:val="en-GB"/>
              </w:rPr>
            </w:pPr>
            <w:r w:rsidRPr="00563CF9">
              <w:rPr>
                <w:sz w:val="20"/>
                <w:lang w:val="en-GB" w:bidi="en-GB"/>
              </w:rPr>
              <w:t>432.48</w:t>
            </w:r>
          </w:p>
        </w:tc>
        <w:tc>
          <w:tcPr>
            <w:tcW w:w="1134" w:type="dxa"/>
            <w:tcBorders>
              <w:top w:val="nil"/>
              <w:left w:val="nil"/>
              <w:bottom w:val="single" w:sz="4" w:space="0" w:color="auto"/>
              <w:right w:val="single" w:sz="4" w:space="0" w:color="auto"/>
            </w:tcBorders>
            <w:shd w:val="clear" w:color="auto" w:fill="auto"/>
            <w:noWrap/>
            <w:vAlign w:val="bottom"/>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BUH</w:t>
            </w:r>
          </w:p>
        </w:tc>
        <w:tc>
          <w:tcPr>
            <w:tcW w:w="899"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color w:val="000000"/>
                <w:sz w:val="20"/>
                <w:lang w:val="en-GB"/>
              </w:rPr>
            </w:pPr>
            <w:r w:rsidRPr="00563CF9">
              <w:rPr>
                <w:sz w:val="20"/>
                <w:lang w:val="en-GB" w:bidi="en-GB"/>
              </w:rPr>
              <w:t>205.88</w:t>
            </w:r>
          </w:p>
        </w:tc>
        <w:tc>
          <w:tcPr>
            <w:tcW w:w="879"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373D3">
            <w:pPr>
              <w:spacing w:before="40" w:after="40"/>
              <w:jc w:val="right"/>
              <w:rPr>
                <w:rFonts w:cstheme="minorHAnsi"/>
                <w:color w:val="000000"/>
                <w:sz w:val="20"/>
                <w:lang w:val="en-GB"/>
              </w:rPr>
            </w:pPr>
            <w:r w:rsidRPr="00563CF9">
              <w:rPr>
                <w:sz w:val="20"/>
                <w:lang w:val="en-GB" w:bidi="en-GB"/>
              </w:rPr>
              <w:t>90.86</w:t>
            </w:r>
          </w:p>
        </w:tc>
        <w:tc>
          <w:tcPr>
            <w:tcW w:w="907"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ind w:right="-12"/>
              <w:jc w:val="right"/>
              <w:rPr>
                <w:rFonts w:cstheme="minorHAnsi"/>
                <w:color w:val="000000"/>
                <w:sz w:val="20"/>
                <w:lang w:val="en-GB"/>
              </w:rPr>
            </w:pPr>
            <w:r w:rsidRPr="00563CF9">
              <w:rPr>
                <w:sz w:val="20"/>
                <w:lang w:val="en-GB" w:bidi="en-GB"/>
              </w:rPr>
              <w:t>3</w:t>
            </w:r>
          </w:p>
        </w:tc>
        <w:tc>
          <w:tcPr>
            <w:tcW w:w="1020"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ind w:right="117"/>
              <w:jc w:val="right"/>
              <w:rPr>
                <w:rFonts w:cstheme="minorHAnsi"/>
                <w:color w:val="000000"/>
                <w:sz w:val="20"/>
                <w:lang w:val="en-GB"/>
              </w:rPr>
            </w:pPr>
            <w:r w:rsidRPr="00563CF9">
              <w:rPr>
                <w:sz w:val="20"/>
                <w:lang w:val="en-GB" w:bidi="en-GB"/>
              </w:rPr>
              <w:t>2</w:t>
            </w:r>
          </w:p>
        </w:tc>
      </w:tr>
      <w:tr w:rsidR="00FE37EA" w:rsidRPr="00563CF9" w:rsidTr="009D6C3F">
        <w:trPr>
          <w:trHeight w:val="283"/>
        </w:trPr>
        <w:tc>
          <w:tcPr>
            <w:tcW w:w="794" w:type="dxa"/>
            <w:vMerge/>
            <w:tcBorders>
              <w:top w:val="nil"/>
              <w:left w:val="single" w:sz="4" w:space="0" w:color="auto"/>
              <w:bottom w:val="single" w:sz="4" w:space="0" w:color="auto"/>
              <w:right w:val="single" w:sz="4" w:space="0" w:color="auto"/>
            </w:tcBorders>
            <w:shd w:val="clear" w:color="auto" w:fill="auto"/>
            <w:vAlign w:val="center"/>
            <w:hideMark/>
          </w:tcPr>
          <w:p w:rsidR="001945E1" w:rsidRPr="00563CF9" w:rsidRDefault="001945E1" w:rsidP="009D6C3F">
            <w:pPr>
              <w:spacing w:before="40" w:after="40"/>
              <w:ind w:left="-57" w:right="-57"/>
              <w:jc w:val="center"/>
              <w:rPr>
                <w:rFonts w:cstheme="minorHAnsi"/>
                <w:color w:val="000000"/>
                <w:sz w:val="20"/>
                <w:lang w:val="en-GB"/>
              </w:rPr>
            </w:pPr>
          </w:p>
        </w:tc>
        <w:tc>
          <w:tcPr>
            <w:tcW w:w="573"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2016</w:t>
            </w:r>
          </w:p>
        </w:tc>
        <w:tc>
          <w:tcPr>
            <w:tcW w:w="1020"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color w:val="000000"/>
                <w:sz w:val="20"/>
                <w:lang w:val="en-GB"/>
              </w:rPr>
            </w:pPr>
            <w:r w:rsidRPr="00563CF9">
              <w:rPr>
                <w:sz w:val="20"/>
                <w:lang w:val="en-GB" w:bidi="en-GB"/>
              </w:rPr>
              <w:t>226.60</w:t>
            </w:r>
          </w:p>
        </w:tc>
        <w:tc>
          <w:tcPr>
            <w:tcW w:w="1134"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BUH</w:t>
            </w:r>
          </w:p>
        </w:tc>
        <w:tc>
          <w:tcPr>
            <w:tcW w:w="1077"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sz w:val="20"/>
                <w:lang w:val="en-GB"/>
              </w:rPr>
            </w:pPr>
            <w:r w:rsidRPr="00563CF9">
              <w:rPr>
                <w:sz w:val="20"/>
                <w:lang w:val="en-GB" w:bidi="en-GB"/>
              </w:rPr>
              <w:t>286.00</w:t>
            </w:r>
          </w:p>
        </w:tc>
        <w:tc>
          <w:tcPr>
            <w:tcW w:w="1134" w:type="dxa"/>
            <w:tcBorders>
              <w:top w:val="nil"/>
              <w:left w:val="nil"/>
              <w:bottom w:val="single" w:sz="4" w:space="0" w:color="auto"/>
              <w:right w:val="single" w:sz="4" w:space="0" w:color="auto"/>
            </w:tcBorders>
            <w:shd w:val="clear" w:color="auto" w:fill="auto"/>
            <w:noWrap/>
            <w:vAlign w:val="bottom"/>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MUH</w:t>
            </w:r>
          </w:p>
        </w:tc>
        <w:tc>
          <w:tcPr>
            <w:tcW w:w="899"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color w:val="000000"/>
                <w:sz w:val="20"/>
                <w:lang w:val="en-GB"/>
              </w:rPr>
            </w:pPr>
            <w:r w:rsidRPr="00563CF9">
              <w:rPr>
                <w:sz w:val="20"/>
                <w:lang w:val="en-GB" w:bidi="en-GB"/>
              </w:rPr>
              <w:t>59.40</w:t>
            </w:r>
          </w:p>
        </w:tc>
        <w:tc>
          <w:tcPr>
            <w:tcW w:w="879"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373D3">
            <w:pPr>
              <w:spacing w:before="40" w:after="40"/>
              <w:jc w:val="right"/>
              <w:rPr>
                <w:rFonts w:cstheme="minorHAnsi"/>
                <w:color w:val="000000"/>
                <w:sz w:val="20"/>
                <w:lang w:val="en-GB"/>
              </w:rPr>
            </w:pPr>
            <w:r w:rsidRPr="00563CF9">
              <w:rPr>
                <w:sz w:val="20"/>
                <w:lang w:val="en-GB" w:bidi="en-GB"/>
              </w:rPr>
              <w:t>26.21</w:t>
            </w:r>
          </w:p>
        </w:tc>
        <w:tc>
          <w:tcPr>
            <w:tcW w:w="907"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ind w:right="-12"/>
              <w:jc w:val="right"/>
              <w:rPr>
                <w:rFonts w:cstheme="minorHAnsi"/>
                <w:color w:val="000000"/>
                <w:sz w:val="20"/>
                <w:lang w:val="en-GB"/>
              </w:rPr>
            </w:pPr>
            <w:r w:rsidRPr="00563CF9">
              <w:rPr>
                <w:sz w:val="20"/>
                <w:lang w:val="en-GB" w:bidi="en-GB"/>
              </w:rPr>
              <w:t>2</w:t>
            </w:r>
          </w:p>
        </w:tc>
        <w:tc>
          <w:tcPr>
            <w:tcW w:w="1020"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ind w:right="117"/>
              <w:jc w:val="right"/>
              <w:rPr>
                <w:rFonts w:cstheme="minorHAnsi"/>
                <w:color w:val="000000"/>
                <w:sz w:val="20"/>
                <w:lang w:val="en-GB"/>
              </w:rPr>
            </w:pPr>
            <w:r w:rsidRPr="00563CF9">
              <w:rPr>
                <w:sz w:val="20"/>
                <w:lang w:val="en-GB" w:bidi="en-GB"/>
              </w:rPr>
              <w:t>1</w:t>
            </w:r>
          </w:p>
        </w:tc>
      </w:tr>
      <w:tr w:rsidR="00FE37EA" w:rsidRPr="00563CF9" w:rsidTr="009D6C3F">
        <w:trPr>
          <w:trHeight w:val="283"/>
        </w:trPr>
        <w:tc>
          <w:tcPr>
            <w:tcW w:w="7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ind w:left="-57" w:right="-57"/>
              <w:jc w:val="center"/>
              <w:rPr>
                <w:rFonts w:cstheme="minorHAnsi"/>
                <w:color w:val="000000"/>
                <w:sz w:val="20"/>
                <w:lang w:val="en-GB"/>
              </w:rPr>
            </w:pPr>
            <w:r w:rsidRPr="00563CF9">
              <w:rPr>
                <w:sz w:val="20"/>
                <w:lang w:val="en-GB" w:bidi="en-GB"/>
              </w:rPr>
              <w:t>0016600</w:t>
            </w:r>
          </w:p>
        </w:tc>
        <w:tc>
          <w:tcPr>
            <w:tcW w:w="573"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2014</w:t>
            </w:r>
          </w:p>
        </w:tc>
        <w:tc>
          <w:tcPr>
            <w:tcW w:w="1020"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color w:val="000000"/>
                <w:sz w:val="20"/>
                <w:lang w:val="en-GB"/>
              </w:rPr>
            </w:pPr>
            <w:r w:rsidRPr="00563CF9">
              <w:rPr>
                <w:sz w:val="20"/>
                <w:lang w:val="en-GB" w:bidi="en-GB"/>
              </w:rPr>
              <w:t>25.17</w:t>
            </w:r>
          </w:p>
        </w:tc>
        <w:tc>
          <w:tcPr>
            <w:tcW w:w="1134"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CMH</w:t>
            </w:r>
          </w:p>
        </w:tc>
        <w:tc>
          <w:tcPr>
            <w:tcW w:w="1077"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color w:val="000000"/>
                <w:sz w:val="20"/>
                <w:lang w:val="en-GB"/>
              </w:rPr>
            </w:pPr>
            <w:r w:rsidRPr="00563CF9">
              <w:rPr>
                <w:sz w:val="20"/>
                <w:lang w:val="en-GB" w:bidi="en-GB"/>
              </w:rPr>
              <w:t>45.94</w:t>
            </w:r>
          </w:p>
        </w:tc>
        <w:tc>
          <w:tcPr>
            <w:tcW w:w="1134" w:type="dxa"/>
            <w:tcBorders>
              <w:top w:val="nil"/>
              <w:left w:val="nil"/>
              <w:bottom w:val="single" w:sz="4" w:space="0" w:color="auto"/>
              <w:right w:val="single" w:sz="4" w:space="0" w:color="auto"/>
            </w:tcBorders>
            <w:shd w:val="clear" w:color="auto" w:fill="auto"/>
            <w:noWrap/>
            <w:vAlign w:val="bottom"/>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BUH</w:t>
            </w:r>
          </w:p>
        </w:tc>
        <w:tc>
          <w:tcPr>
            <w:tcW w:w="899"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color w:val="000000"/>
                <w:sz w:val="20"/>
                <w:lang w:val="en-GB"/>
              </w:rPr>
            </w:pPr>
            <w:r w:rsidRPr="00563CF9">
              <w:rPr>
                <w:sz w:val="20"/>
                <w:lang w:val="en-GB" w:bidi="en-GB"/>
              </w:rPr>
              <w:t>20.77</w:t>
            </w:r>
          </w:p>
        </w:tc>
        <w:tc>
          <w:tcPr>
            <w:tcW w:w="879"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373D3">
            <w:pPr>
              <w:spacing w:before="40" w:after="40"/>
              <w:jc w:val="right"/>
              <w:rPr>
                <w:rFonts w:cstheme="minorHAnsi"/>
                <w:color w:val="000000"/>
                <w:sz w:val="20"/>
                <w:lang w:val="en-GB"/>
              </w:rPr>
            </w:pPr>
            <w:r w:rsidRPr="00563CF9">
              <w:rPr>
                <w:sz w:val="20"/>
                <w:lang w:val="en-GB" w:bidi="en-GB"/>
              </w:rPr>
              <w:t>82.52</w:t>
            </w:r>
          </w:p>
        </w:tc>
        <w:tc>
          <w:tcPr>
            <w:tcW w:w="907"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ind w:right="-12"/>
              <w:jc w:val="right"/>
              <w:rPr>
                <w:rFonts w:cstheme="minorHAnsi"/>
                <w:color w:val="000000"/>
                <w:sz w:val="20"/>
                <w:lang w:val="en-GB"/>
              </w:rPr>
            </w:pPr>
            <w:r w:rsidRPr="00563CF9">
              <w:rPr>
                <w:sz w:val="20"/>
                <w:lang w:val="en-GB" w:bidi="en-GB"/>
              </w:rPr>
              <w:t>3</w:t>
            </w:r>
          </w:p>
        </w:tc>
        <w:tc>
          <w:tcPr>
            <w:tcW w:w="1020"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ind w:right="117"/>
              <w:jc w:val="right"/>
              <w:rPr>
                <w:rFonts w:cstheme="minorHAnsi"/>
                <w:color w:val="000000"/>
                <w:sz w:val="20"/>
                <w:lang w:val="en-GB"/>
              </w:rPr>
            </w:pPr>
            <w:r w:rsidRPr="00563CF9">
              <w:rPr>
                <w:sz w:val="20"/>
                <w:lang w:val="en-GB" w:bidi="en-GB"/>
              </w:rPr>
              <w:t>4</w:t>
            </w:r>
          </w:p>
        </w:tc>
      </w:tr>
      <w:tr w:rsidR="00FE37EA" w:rsidRPr="00563CF9" w:rsidTr="009D6C3F">
        <w:trPr>
          <w:trHeight w:val="283"/>
        </w:trPr>
        <w:tc>
          <w:tcPr>
            <w:tcW w:w="794" w:type="dxa"/>
            <w:vMerge/>
            <w:tcBorders>
              <w:top w:val="nil"/>
              <w:left w:val="single" w:sz="4" w:space="0" w:color="auto"/>
              <w:bottom w:val="single" w:sz="4" w:space="0" w:color="auto"/>
              <w:right w:val="single" w:sz="4" w:space="0" w:color="auto"/>
            </w:tcBorders>
            <w:shd w:val="clear" w:color="auto" w:fill="auto"/>
            <w:vAlign w:val="center"/>
            <w:hideMark/>
          </w:tcPr>
          <w:p w:rsidR="001945E1" w:rsidRPr="00563CF9" w:rsidRDefault="001945E1" w:rsidP="009D6C3F">
            <w:pPr>
              <w:spacing w:before="40" w:after="40"/>
              <w:ind w:left="-57" w:right="-57"/>
              <w:jc w:val="center"/>
              <w:rPr>
                <w:rFonts w:cstheme="minorHAnsi"/>
                <w:color w:val="000000"/>
                <w:sz w:val="20"/>
                <w:lang w:val="en-GB"/>
              </w:rPr>
            </w:pPr>
          </w:p>
        </w:tc>
        <w:tc>
          <w:tcPr>
            <w:tcW w:w="573"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2015</w:t>
            </w:r>
          </w:p>
        </w:tc>
        <w:tc>
          <w:tcPr>
            <w:tcW w:w="1020"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color w:val="000000"/>
                <w:sz w:val="20"/>
                <w:lang w:val="en-GB"/>
              </w:rPr>
            </w:pPr>
            <w:r w:rsidRPr="00563CF9">
              <w:rPr>
                <w:sz w:val="20"/>
                <w:lang w:val="en-GB" w:bidi="en-GB"/>
              </w:rPr>
              <w:t>21.32</w:t>
            </w:r>
          </w:p>
        </w:tc>
        <w:tc>
          <w:tcPr>
            <w:tcW w:w="1134"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BUH</w:t>
            </w:r>
          </w:p>
        </w:tc>
        <w:tc>
          <w:tcPr>
            <w:tcW w:w="1077"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color w:val="000000"/>
                <w:sz w:val="20"/>
                <w:lang w:val="en-GB"/>
              </w:rPr>
            </w:pPr>
            <w:r w:rsidRPr="00563CF9">
              <w:rPr>
                <w:sz w:val="20"/>
                <w:lang w:val="en-GB" w:bidi="en-GB"/>
              </w:rPr>
              <w:t>43.86</w:t>
            </w:r>
          </w:p>
        </w:tc>
        <w:tc>
          <w:tcPr>
            <w:tcW w:w="1134" w:type="dxa"/>
            <w:tcBorders>
              <w:top w:val="nil"/>
              <w:left w:val="nil"/>
              <w:bottom w:val="single" w:sz="4" w:space="0" w:color="auto"/>
              <w:right w:val="single" w:sz="4" w:space="0" w:color="auto"/>
            </w:tcBorders>
            <w:shd w:val="clear" w:color="auto" w:fill="auto"/>
            <w:noWrap/>
            <w:vAlign w:val="bottom"/>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BUH</w:t>
            </w:r>
          </w:p>
        </w:tc>
        <w:tc>
          <w:tcPr>
            <w:tcW w:w="899"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color w:val="000000"/>
                <w:sz w:val="20"/>
                <w:lang w:val="en-GB"/>
              </w:rPr>
            </w:pPr>
            <w:r w:rsidRPr="00563CF9">
              <w:rPr>
                <w:sz w:val="20"/>
                <w:lang w:val="en-GB" w:bidi="en-GB"/>
              </w:rPr>
              <w:t>22.54</w:t>
            </w:r>
          </w:p>
        </w:tc>
        <w:tc>
          <w:tcPr>
            <w:tcW w:w="879"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373D3">
            <w:pPr>
              <w:spacing w:before="40" w:after="40"/>
              <w:jc w:val="right"/>
              <w:rPr>
                <w:rFonts w:cstheme="minorHAnsi"/>
                <w:color w:val="000000"/>
                <w:sz w:val="20"/>
                <w:lang w:val="en-GB"/>
              </w:rPr>
            </w:pPr>
            <w:r w:rsidRPr="00563CF9">
              <w:rPr>
                <w:sz w:val="20"/>
                <w:lang w:val="en-GB" w:bidi="en-GB"/>
              </w:rPr>
              <w:t>105.71</w:t>
            </w:r>
          </w:p>
        </w:tc>
        <w:tc>
          <w:tcPr>
            <w:tcW w:w="907"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ind w:right="-12"/>
              <w:jc w:val="right"/>
              <w:rPr>
                <w:rFonts w:cstheme="minorHAnsi"/>
                <w:color w:val="000000"/>
                <w:sz w:val="20"/>
                <w:lang w:val="en-GB"/>
              </w:rPr>
            </w:pPr>
            <w:r w:rsidRPr="00563CF9">
              <w:rPr>
                <w:sz w:val="20"/>
                <w:lang w:val="en-GB" w:bidi="en-GB"/>
              </w:rPr>
              <w:t>3</w:t>
            </w:r>
          </w:p>
        </w:tc>
        <w:tc>
          <w:tcPr>
            <w:tcW w:w="1020"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ind w:right="117"/>
              <w:jc w:val="right"/>
              <w:rPr>
                <w:rFonts w:cstheme="minorHAnsi"/>
                <w:color w:val="000000"/>
                <w:sz w:val="20"/>
                <w:lang w:val="en-GB"/>
              </w:rPr>
            </w:pPr>
            <w:r w:rsidRPr="00563CF9">
              <w:rPr>
                <w:sz w:val="20"/>
                <w:lang w:val="en-GB" w:bidi="en-GB"/>
              </w:rPr>
              <w:t>4</w:t>
            </w:r>
          </w:p>
        </w:tc>
      </w:tr>
      <w:tr w:rsidR="00FE37EA" w:rsidRPr="00563CF9" w:rsidTr="009D6C3F">
        <w:trPr>
          <w:trHeight w:val="283"/>
        </w:trPr>
        <w:tc>
          <w:tcPr>
            <w:tcW w:w="794" w:type="dxa"/>
            <w:vMerge/>
            <w:tcBorders>
              <w:top w:val="nil"/>
              <w:left w:val="single" w:sz="4" w:space="0" w:color="auto"/>
              <w:bottom w:val="single" w:sz="4" w:space="0" w:color="auto"/>
              <w:right w:val="single" w:sz="4" w:space="0" w:color="auto"/>
            </w:tcBorders>
            <w:shd w:val="clear" w:color="auto" w:fill="auto"/>
            <w:vAlign w:val="center"/>
            <w:hideMark/>
          </w:tcPr>
          <w:p w:rsidR="001945E1" w:rsidRPr="00563CF9" w:rsidRDefault="001945E1" w:rsidP="009D6C3F">
            <w:pPr>
              <w:spacing w:before="40" w:after="40"/>
              <w:ind w:left="-57" w:right="-57"/>
              <w:jc w:val="center"/>
              <w:rPr>
                <w:rFonts w:cstheme="minorHAnsi"/>
                <w:color w:val="000000"/>
                <w:sz w:val="20"/>
                <w:lang w:val="en-GB"/>
              </w:rPr>
            </w:pPr>
          </w:p>
        </w:tc>
        <w:tc>
          <w:tcPr>
            <w:tcW w:w="573"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2016</w:t>
            </w:r>
          </w:p>
        </w:tc>
        <w:tc>
          <w:tcPr>
            <w:tcW w:w="1020"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sz w:val="20"/>
                <w:lang w:val="en-GB"/>
              </w:rPr>
            </w:pPr>
            <w:r w:rsidRPr="00563CF9">
              <w:rPr>
                <w:sz w:val="20"/>
                <w:lang w:val="en-GB" w:bidi="en-GB"/>
              </w:rPr>
              <w:t>39.61</w:t>
            </w:r>
          </w:p>
        </w:tc>
        <w:tc>
          <w:tcPr>
            <w:tcW w:w="1134"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MUH</w:t>
            </w:r>
          </w:p>
        </w:tc>
        <w:tc>
          <w:tcPr>
            <w:tcW w:w="1077"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color w:val="000000"/>
                <w:sz w:val="20"/>
                <w:lang w:val="en-GB"/>
              </w:rPr>
            </w:pPr>
            <w:r w:rsidRPr="00563CF9">
              <w:rPr>
                <w:sz w:val="20"/>
                <w:lang w:val="en-GB" w:bidi="en-GB"/>
              </w:rPr>
              <w:t>43.48</w:t>
            </w:r>
          </w:p>
        </w:tc>
        <w:tc>
          <w:tcPr>
            <w:tcW w:w="1134" w:type="dxa"/>
            <w:tcBorders>
              <w:top w:val="nil"/>
              <w:left w:val="nil"/>
              <w:bottom w:val="single" w:sz="4" w:space="0" w:color="auto"/>
              <w:right w:val="single" w:sz="4" w:space="0" w:color="auto"/>
            </w:tcBorders>
            <w:shd w:val="clear" w:color="auto" w:fill="auto"/>
            <w:noWrap/>
            <w:vAlign w:val="bottom"/>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BUH</w:t>
            </w:r>
          </w:p>
        </w:tc>
        <w:tc>
          <w:tcPr>
            <w:tcW w:w="899"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color w:val="000000"/>
                <w:sz w:val="20"/>
                <w:lang w:val="en-GB"/>
              </w:rPr>
            </w:pPr>
            <w:r w:rsidRPr="00563CF9">
              <w:rPr>
                <w:sz w:val="20"/>
                <w:lang w:val="en-GB" w:bidi="en-GB"/>
              </w:rPr>
              <w:t>3.87</w:t>
            </w:r>
          </w:p>
        </w:tc>
        <w:tc>
          <w:tcPr>
            <w:tcW w:w="879"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373D3">
            <w:pPr>
              <w:spacing w:before="40" w:after="40"/>
              <w:jc w:val="right"/>
              <w:rPr>
                <w:rFonts w:cstheme="minorHAnsi"/>
                <w:color w:val="000000"/>
                <w:sz w:val="20"/>
                <w:lang w:val="en-GB"/>
              </w:rPr>
            </w:pPr>
            <w:r w:rsidRPr="00563CF9">
              <w:rPr>
                <w:sz w:val="20"/>
                <w:lang w:val="en-GB" w:bidi="en-GB"/>
              </w:rPr>
              <w:t>9.77</w:t>
            </w:r>
          </w:p>
        </w:tc>
        <w:tc>
          <w:tcPr>
            <w:tcW w:w="907"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ind w:right="-12"/>
              <w:jc w:val="right"/>
              <w:rPr>
                <w:rFonts w:cstheme="minorHAnsi"/>
                <w:color w:val="000000"/>
                <w:sz w:val="20"/>
                <w:lang w:val="en-GB"/>
              </w:rPr>
            </w:pPr>
            <w:r w:rsidRPr="00563CF9">
              <w:rPr>
                <w:sz w:val="20"/>
                <w:lang w:val="en-GB" w:bidi="en-GB"/>
              </w:rPr>
              <w:t>3</w:t>
            </w:r>
          </w:p>
        </w:tc>
        <w:tc>
          <w:tcPr>
            <w:tcW w:w="1020"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ind w:right="117"/>
              <w:jc w:val="right"/>
              <w:rPr>
                <w:rFonts w:cstheme="minorHAnsi"/>
                <w:color w:val="000000"/>
                <w:sz w:val="20"/>
                <w:lang w:val="en-GB"/>
              </w:rPr>
            </w:pPr>
            <w:r w:rsidRPr="00563CF9">
              <w:rPr>
                <w:sz w:val="20"/>
                <w:lang w:val="en-GB" w:bidi="en-GB"/>
              </w:rPr>
              <w:t>4</w:t>
            </w:r>
          </w:p>
        </w:tc>
      </w:tr>
      <w:tr w:rsidR="00FE37EA" w:rsidRPr="00563CF9" w:rsidTr="009D6C3F">
        <w:trPr>
          <w:trHeight w:val="283"/>
        </w:trPr>
        <w:tc>
          <w:tcPr>
            <w:tcW w:w="7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ind w:left="-57" w:right="-57"/>
              <w:jc w:val="center"/>
              <w:rPr>
                <w:rFonts w:cstheme="minorHAnsi"/>
                <w:color w:val="000000"/>
                <w:sz w:val="20"/>
                <w:lang w:val="en-GB"/>
              </w:rPr>
            </w:pPr>
            <w:r w:rsidRPr="00563CF9">
              <w:rPr>
                <w:sz w:val="20"/>
                <w:lang w:val="en-GB" w:bidi="en-GB"/>
              </w:rPr>
              <w:t>0026127</w:t>
            </w:r>
          </w:p>
        </w:tc>
        <w:tc>
          <w:tcPr>
            <w:tcW w:w="573"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2014</w:t>
            </w:r>
          </w:p>
        </w:tc>
        <w:tc>
          <w:tcPr>
            <w:tcW w:w="1020"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sz w:val="20"/>
                <w:lang w:val="en-GB"/>
              </w:rPr>
            </w:pPr>
            <w:r w:rsidRPr="00563CF9">
              <w:rPr>
                <w:sz w:val="20"/>
                <w:lang w:val="en-GB" w:bidi="en-GB"/>
              </w:rPr>
              <w:t>12,309.80</w:t>
            </w:r>
          </w:p>
        </w:tc>
        <w:tc>
          <w:tcPr>
            <w:tcW w:w="1134"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MUH</w:t>
            </w:r>
          </w:p>
        </w:tc>
        <w:tc>
          <w:tcPr>
            <w:tcW w:w="1077"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color w:val="000000"/>
                <w:sz w:val="20"/>
                <w:lang w:val="en-GB"/>
              </w:rPr>
            </w:pPr>
            <w:r w:rsidRPr="00563CF9">
              <w:rPr>
                <w:sz w:val="20"/>
                <w:lang w:val="en-GB" w:bidi="en-GB"/>
              </w:rPr>
              <w:t>12,580.25</w:t>
            </w:r>
          </w:p>
        </w:tc>
        <w:tc>
          <w:tcPr>
            <w:tcW w:w="1134" w:type="dxa"/>
            <w:tcBorders>
              <w:top w:val="nil"/>
              <w:left w:val="nil"/>
              <w:bottom w:val="single" w:sz="4" w:space="0" w:color="auto"/>
              <w:right w:val="single" w:sz="4" w:space="0" w:color="auto"/>
            </w:tcBorders>
            <w:shd w:val="clear" w:color="auto" w:fill="auto"/>
            <w:noWrap/>
            <w:vAlign w:val="bottom"/>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BUH</w:t>
            </w:r>
          </w:p>
        </w:tc>
        <w:tc>
          <w:tcPr>
            <w:tcW w:w="899"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color w:val="000000"/>
                <w:sz w:val="20"/>
                <w:lang w:val="en-GB"/>
              </w:rPr>
            </w:pPr>
            <w:r w:rsidRPr="00563CF9">
              <w:rPr>
                <w:sz w:val="20"/>
                <w:lang w:val="en-GB" w:bidi="en-GB"/>
              </w:rPr>
              <w:t>270.45</w:t>
            </w:r>
          </w:p>
        </w:tc>
        <w:tc>
          <w:tcPr>
            <w:tcW w:w="879"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373D3">
            <w:pPr>
              <w:spacing w:before="40" w:after="40"/>
              <w:jc w:val="right"/>
              <w:rPr>
                <w:rFonts w:cstheme="minorHAnsi"/>
                <w:color w:val="000000"/>
                <w:sz w:val="20"/>
                <w:lang w:val="en-GB"/>
              </w:rPr>
            </w:pPr>
            <w:r w:rsidRPr="00563CF9">
              <w:rPr>
                <w:sz w:val="20"/>
                <w:lang w:val="en-GB" w:bidi="en-GB"/>
              </w:rPr>
              <w:t>2.20</w:t>
            </w:r>
          </w:p>
        </w:tc>
        <w:tc>
          <w:tcPr>
            <w:tcW w:w="907"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ind w:right="-12"/>
              <w:jc w:val="right"/>
              <w:rPr>
                <w:rFonts w:cstheme="minorHAnsi"/>
                <w:color w:val="000000"/>
                <w:sz w:val="20"/>
                <w:lang w:val="en-GB"/>
              </w:rPr>
            </w:pPr>
            <w:r w:rsidRPr="00563CF9">
              <w:rPr>
                <w:sz w:val="20"/>
                <w:lang w:val="en-GB" w:bidi="en-GB"/>
              </w:rPr>
              <w:t>3</w:t>
            </w:r>
          </w:p>
        </w:tc>
        <w:tc>
          <w:tcPr>
            <w:tcW w:w="1020"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ind w:right="117"/>
              <w:jc w:val="right"/>
              <w:rPr>
                <w:rFonts w:cstheme="minorHAnsi"/>
                <w:color w:val="000000"/>
                <w:sz w:val="20"/>
                <w:lang w:val="en-GB"/>
              </w:rPr>
            </w:pPr>
            <w:r w:rsidRPr="00563CF9">
              <w:rPr>
                <w:sz w:val="20"/>
                <w:lang w:val="en-GB" w:bidi="en-GB"/>
              </w:rPr>
              <w:t>3</w:t>
            </w:r>
          </w:p>
        </w:tc>
      </w:tr>
      <w:tr w:rsidR="00FE37EA" w:rsidRPr="00563CF9" w:rsidTr="009D6C3F">
        <w:trPr>
          <w:trHeight w:val="283"/>
        </w:trPr>
        <w:tc>
          <w:tcPr>
            <w:tcW w:w="794" w:type="dxa"/>
            <w:vMerge/>
            <w:tcBorders>
              <w:top w:val="nil"/>
              <w:left w:val="single" w:sz="4" w:space="0" w:color="auto"/>
              <w:bottom w:val="single" w:sz="4" w:space="0" w:color="auto"/>
              <w:right w:val="single" w:sz="4" w:space="0" w:color="auto"/>
            </w:tcBorders>
            <w:shd w:val="clear" w:color="auto" w:fill="auto"/>
            <w:vAlign w:val="center"/>
            <w:hideMark/>
          </w:tcPr>
          <w:p w:rsidR="001945E1" w:rsidRPr="00563CF9" w:rsidRDefault="001945E1" w:rsidP="009D6C3F">
            <w:pPr>
              <w:spacing w:before="40" w:after="40"/>
              <w:ind w:left="-57" w:right="-57"/>
              <w:jc w:val="center"/>
              <w:rPr>
                <w:rFonts w:cstheme="minorHAnsi"/>
                <w:color w:val="000000"/>
                <w:sz w:val="20"/>
                <w:lang w:val="en-GB"/>
              </w:rPr>
            </w:pPr>
          </w:p>
        </w:tc>
        <w:tc>
          <w:tcPr>
            <w:tcW w:w="573"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2015</w:t>
            </w:r>
          </w:p>
        </w:tc>
        <w:tc>
          <w:tcPr>
            <w:tcW w:w="1020"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color w:val="000000"/>
                <w:sz w:val="20"/>
                <w:lang w:val="en-GB"/>
              </w:rPr>
            </w:pPr>
            <w:r w:rsidRPr="00563CF9">
              <w:rPr>
                <w:sz w:val="20"/>
                <w:lang w:val="en-GB" w:bidi="en-GB"/>
              </w:rPr>
              <w:t>11,869.41</w:t>
            </w:r>
          </w:p>
        </w:tc>
        <w:tc>
          <w:tcPr>
            <w:tcW w:w="1134"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BUH</w:t>
            </w:r>
          </w:p>
        </w:tc>
        <w:tc>
          <w:tcPr>
            <w:tcW w:w="1077"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color w:val="000000"/>
                <w:sz w:val="20"/>
                <w:lang w:val="en-GB"/>
              </w:rPr>
            </w:pPr>
            <w:r w:rsidRPr="00563CF9">
              <w:rPr>
                <w:sz w:val="20"/>
                <w:lang w:val="en-GB" w:bidi="en-GB"/>
              </w:rPr>
              <w:t>13,007.56</w:t>
            </w:r>
          </w:p>
        </w:tc>
        <w:tc>
          <w:tcPr>
            <w:tcW w:w="1134" w:type="dxa"/>
            <w:tcBorders>
              <w:top w:val="nil"/>
              <w:left w:val="nil"/>
              <w:bottom w:val="single" w:sz="4" w:space="0" w:color="auto"/>
              <w:right w:val="single" w:sz="4" w:space="0" w:color="auto"/>
            </w:tcBorders>
            <w:shd w:val="clear" w:color="auto" w:fill="auto"/>
            <w:noWrap/>
            <w:vAlign w:val="bottom"/>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CMH</w:t>
            </w:r>
          </w:p>
        </w:tc>
        <w:tc>
          <w:tcPr>
            <w:tcW w:w="899"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color w:val="000000"/>
                <w:sz w:val="20"/>
                <w:lang w:val="en-GB"/>
              </w:rPr>
            </w:pPr>
            <w:r w:rsidRPr="00563CF9">
              <w:rPr>
                <w:sz w:val="20"/>
                <w:lang w:val="en-GB" w:bidi="en-GB"/>
              </w:rPr>
              <w:t>1,138.15</w:t>
            </w:r>
          </w:p>
        </w:tc>
        <w:tc>
          <w:tcPr>
            <w:tcW w:w="879"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373D3">
            <w:pPr>
              <w:spacing w:before="40" w:after="40"/>
              <w:jc w:val="right"/>
              <w:rPr>
                <w:rFonts w:cstheme="minorHAnsi"/>
                <w:color w:val="000000"/>
                <w:sz w:val="20"/>
                <w:lang w:val="en-GB"/>
              </w:rPr>
            </w:pPr>
            <w:r w:rsidRPr="00563CF9">
              <w:rPr>
                <w:sz w:val="20"/>
                <w:lang w:val="en-GB" w:bidi="en-GB"/>
              </w:rPr>
              <w:t>9.59</w:t>
            </w:r>
          </w:p>
        </w:tc>
        <w:tc>
          <w:tcPr>
            <w:tcW w:w="907"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ind w:right="-12"/>
              <w:jc w:val="right"/>
              <w:rPr>
                <w:rFonts w:cstheme="minorHAnsi"/>
                <w:color w:val="000000"/>
                <w:sz w:val="20"/>
                <w:lang w:val="en-GB"/>
              </w:rPr>
            </w:pPr>
            <w:r w:rsidRPr="00563CF9">
              <w:rPr>
                <w:sz w:val="20"/>
                <w:lang w:val="en-GB" w:bidi="en-GB"/>
              </w:rPr>
              <w:t>3</w:t>
            </w:r>
          </w:p>
        </w:tc>
        <w:tc>
          <w:tcPr>
            <w:tcW w:w="1020"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ind w:right="117"/>
              <w:jc w:val="right"/>
              <w:rPr>
                <w:rFonts w:cstheme="minorHAnsi"/>
                <w:color w:val="000000"/>
                <w:sz w:val="20"/>
                <w:lang w:val="en-GB"/>
              </w:rPr>
            </w:pPr>
            <w:r w:rsidRPr="00563CF9">
              <w:rPr>
                <w:sz w:val="20"/>
                <w:lang w:val="en-GB" w:bidi="en-GB"/>
              </w:rPr>
              <w:t>4</w:t>
            </w:r>
          </w:p>
        </w:tc>
      </w:tr>
      <w:tr w:rsidR="00FE37EA" w:rsidRPr="00563CF9" w:rsidTr="009D6C3F">
        <w:trPr>
          <w:trHeight w:val="283"/>
        </w:trPr>
        <w:tc>
          <w:tcPr>
            <w:tcW w:w="794" w:type="dxa"/>
            <w:vMerge/>
            <w:tcBorders>
              <w:top w:val="nil"/>
              <w:left w:val="single" w:sz="4" w:space="0" w:color="auto"/>
              <w:bottom w:val="single" w:sz="4" w:space="0" w:color="auto"/>
              <w:right w:val="single" w:sz="4" w:space="0" w:color="auto"/>
            </w:tcBorders>
            <w:shd w:val="clear" w:color="auto" w:fill="auto"/>
            <w:vAlign w:val="center"/>
            <w:hideMark/>
          </w:tcPr>
          <w:p w:rsidR="001945E1" w:rsidRPr="00563CF9" w:rsidRDefault="001945E1" w:rsidP="009D6C3F">
            <w:pPr>
              <w:spacing w:before="40" w:after="40"/>
              <w:ind w:left="-57" w:right="-57"/>
              <w:jc w:val="center"/>
              <w:rPr>
                <w:rFonts w:cstheme="minorHAnsi"/>
                <w:color w:val="000000"/>
                <w:sz w:val="20"/>
                <w:lang w:val="en-GB"/>
              </w:rPr>
            </w:pPr>
          </w:p>
        </w:tc>
        <w:tc>
          <w:tcPr>
            <w:tcW w:w="573"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2016</w:t>
            </w:r>
          </w:p>
        </w:tc>
        <w:tc>
          <w:tcPr>
            <w:tcW w:w="1020"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sz w:val="20"/>
                <w:lang w:val="en-GB"/>
              </w:rPr>
            </w:pPr>
            <w:r w:rsidRPr="00563CF9">
              <w:rPr>
                <w:sz w:val="20"/>
                <w:lang w:val="en-GB" w:bidi="en-GB"/>
              </w:rPr>
              <w:t>12,241.36</w:t>
            </w:r>
          </w:p>
        </w:tc>
        <w:tc>
          <w:tcPr>
            <w:tcW w:w="1134"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MUH</w:t>
            </w:r>
          </w:p>
        </w:tc>
        <w:tc>
          <w:tcPr>
            <w:tcW w:w="1077"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color w:val="000000"/>
                <w:sz w:val="20"/>
                <w:lang w:val="en-GB"/>
              </w:rPr>
            </w:pPr>
            <w:r w:rsidRPr="00563CF9">
              <w:rPr>
                <w:sz w:val="20"/>
                <w:lang w:val="en-GB" w:bidi="en-GB"/>
              </w:rPr>
              <w:t>12,522.48</w:t>
            </w:r>
          </w:p>
        </w:tc>
        <w:tc>
          <w:tcPr>
            <w:tcW w:w="1134" w:type="dxa"/>
            <w:tcBorders>
              <w:top w:val="nil"/>
              <w:left w:val="nil"/>
              <w:bottom w:val="single" w:sz="4" w:space="0" w:color="auto"/>
              <w:right w:val="single" w:sz="4" w:space="0" w:color="auto"/>
            </w:tcBorders>
            <w:shd w:val="clear" w:color="auto" w:fill="auto"/>
            <w:noWrap/>
            <w:vAlign w:val="bottom"/>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BUH</w:t>
            </w:r>
          </w:p>
        </w:tc>
        <w:tc>
          <w:tcPr>
            <w:tcW w:w="899"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color w:val="000000"/>
                <w:sz w:val="20"/>
                <w:lang w:val="en-GB"/>
              </w:rPr>
            </w:pPr>
            <w:r w:rsidRPr="00563CF9">
              <w:rPr>
                <w:sz w:val="20"/>
                <w:lang w:val="en-GB" w:bidi="en-GB"/>
              </w:rPr>
              <w:t>281.12</w:t>
            </w:r>
          </w:p>
        </w:tc>
        <w:tc>
          <w:tcPr>
            <w:tcW w:w="879"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373D3">
            <w:pPr>
              <w:spacing w:before="40" w:after="40"/>
              <w:jc w:val="right"/>
              <w:rPr>
                <w:rFonts w:cstheme="minorHAnsi"/>
                <w:color w:val="000000"/>
                <w:sz w:val="20"/>
                <w:lang w:val="en-GB"/>
              </w:rPr>
            </w:pPr>
            <w:r w:rsidRPr="00563CF9">
              <w:rPr>
                <w:sz w:val="20"/>
                <w:lang w:val="en-GB" w:bidi="en-GB"/>
              </w:rPr>
              <w:t>2.30</w:t>
            </w:r>
          </w:p>
        </w:tc>
        <w:tc>
          <w:tcPr>
            <w:tcW w:w="907"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ind w:right="-12"/>
              <w:jc w:val="right"/>
              <w:rPr>
                <w:rFonts w:cstheme="minorHAnsi"/>
                <w:color w:val="000000"/>
                <w:sz w:val="20"/>
                <w:lang w:val="en-GB"/>
              </w:rPr>
            </w:pPr>
            <w:r w:rsidRPr="00563CF9">
              <w:rPr>
                <w:sz w:val="20"/>
                <w:lang w:val="en-GB" w:bidi="en-GB"/>
              </w:rPr>
              <w:t>3</w:t>
            </w:r>
          </w:p>
        </w:tc>
        <w:tc>
          <w:tcPr>
            <w:tcW w:w="1020"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ind w:right="117"/>
              <w:jc w:val="right"/>
              <w:rPr>
                <w:rFonts w:cstheme="minorHAnsi"/>
                <w:color w:val="000000"/>
                <w:sz w:val="20"/>
                <w:lang w:val="en-GB"/>
              </w:rPr>
            </w:pPr>
            <w:r w:rsidRPr="00563CF9">
              <w:rPr>
                <w:sz w:val="20"/>
                <w:lang w:val="en-GB" w:bidi="en-GB"/>
              </w:rPr>
              <w:t>3</w:t>
            </w:r>
          </w:p>
        </w:tc>
      </w:tr>
      <w:tr w:rsidR="00FE37EA" w:rsidRPr="00563CF9" w:rsidTr="009D6C3F">
        <w:trPr>
          <w:trHeight w:val="283"/>
        </w:trPr>
        <w:tc>
          <w:tcPr>
            <w:tcW w:w="7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ind w:left="-57" w:right="-57"/>
              <w:jc w:val="center"/>
              <w:rPr>
                <w:rFonts w:cstheme="minorHAnsi"/>
                <w:color w:val="000000"/>
                <w:sz w:val="20"/>
                <w:lang w:val="en-GB"/>
              </w:rPr>
            </w:pPr>
            <w:r w:rsidRPr="00563CF9">
              <w:rPr>
                <w:sz w:val="20"/>
                <w:lang w:val="en-GB" w:bidi="en-GB"/>
              </w:rPr>
              <w:t>0026889</w:t>
            </w:r>
          </w:p>
        </w:tc>
        <w:tc>
          <w:tcPr>
            <w:tcW w:w="573"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2014</w:t>
            </w:r>
          </w:p>
        </w:tc>
        <w:tc>
          <w:tcPr>
            <w:tcW w:w="1020"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sz w:val="20"/>
                <w:lang w:val="en-GB"/>
              </w:rPr>
            </w:pPr>
            <w:r w:rsidRPr="00563CF9">
              <w:rPr>
                <w:sz w:val="20"/>
                <w:lang w:val="en-GB" w:bidi="en-GB"/>
              </w:rPr>
              <w:t>13,316.25</w:t>
            </w:r>
          </w:p>
        </w:tc>
        <w:tc>
          <w:tcPr>
            <w:tcW w:w="1134"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MUH</w:t>
            </w:r>
          </w:p>
        </w:tc>
        <w:tc>
          <w:tcPr>
            <w:tcW w:w="1077"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sz w:val="20"/>
                <w:lang w:val="en-GB"/>
              </w:rPr>
            </w:pPr>
            <w:r w:rsidRPr="00563CF9">
              <w:rPr>
                <w:sz w:val="20"/>
                <w:lang w:val="en-GB" w:bidi="en-GB"/>
              </w:rPr>
              <w:t>15,704.53</w:t>
            </w:r>
          </w:p>
        </w:tc>
        <w:tc>
          <w:tcPr>
            <w:tcW w:w="1134" w:type="dxa"/>
            <w:tcBorders>
              <w:top w:val="nil"/>
              <w:left w:val="nil"/>
              <w:bottom w:val="single" w:sz="4" w:space="0" w:color="auto"/>
              <w:right w:val="single" w:sz="4" w:space="0" w:color="auto"/>
            </w:tcBorders>
            <w:shd w:val="clear" w:color="auto" w:fill="auto"/>
            <w:noWrap/>
            <w:vAlign w:val="bottom"/>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MUH</w:t>
            </w:r>
          </w:p>
        </w:tc>
        <w:tc>
          <w:tcPr>
            <w:tcW w:w="899"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color w:val="000000"/>
                <w:sz w:val="20"/>
                <w:lang w:val="en-GB"/>
              </w:rPr>
            </w:pPr>
            <w:r w:rsidRPr="00563CF9">
              <w:rPr>
                <w:sz w:val="20"/>
                <w:lang w:val="en-GB" w:bidi="en-GB"/>
              </w:rPr>
              <w:t>2,388.28</w:t>
            </w:r>
          </w:p>
        </w:tc>
        <w:tc>
          <w:tcPr>
            <w:tcW w:w="879"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373D3">
            <w:pPr>
              <w:spacing w:before="40" w:after="40"/>
              <w:jc w:val="right"/>
              <w:rPr>
                <w:rFonts w:cstheme="minorHAnsi"/>
                <w:color w:val="000000"/>
                <w:sz w:val="20"/>
                <w:lang w:val="en-GB"/>
              </w:rPr>
            </w:pPr>
            <w:r w:rsidRPr="00563CF9">
              <w:rPr>
                <w:sz w:val="20"/>
                <w:lang w:val="en-GB" w:bidi="en-GB"/>
              </w:rPr>
              <w:t>17.94</w:t>
            </w:r>
          </w:p>
        </w:tc>
        <w:tc>
          <w:tcPr>
            <w:tcW w:w="907"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ind w:right="-12"/>
              <w:jc w:val="right"/>
              <w:rPr>
                <w:rFonts w:cstheme="minorHAnsi"/>
                <w:color w:val="000000"/>
                <w:sz w:val="20"/>
                <w:lang w:val="en-GB"/>
              </w:rPr>
            </w:pPr>
            <w:r w:rsidRPr="00563CF9">
              <w:rPr>
                <w:sz w:val="20"/>
                <w:lang w:val="en-GB" w:bidi="en-GB"/>
              </w:rPr>
              <w:t>2</w:t>
            </w:r>
          </w:p>
        </w:tc>
        <w:tc>
          <w:tcPr>
            <w:tcW w:w="1020"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ind w:right="117"/>
              <w:jc w:val="right"/>
              <w:rPr>
                <w:rFonts w:cstheme="minorHAnsi"/>
                <w:color w:val="000000"/>
                <w:sz w:val="20"/>
                <w:lang w:val="en-GB"/>
              </w:rPr>
            </w:pPr>
            <w:r w:rsidRPr="00563CF9">
              <w:rPr>
                <w:sz w:val="20"/>
                <w:lang w:val="en-GB" w:bidi="en-GB"/>
              </w:rPr>
              <w:t>3</w:t>
            </w:r>
          </w:p>
        </w:tc>
      </w:tr>
      <w:tr w:rsidR="00FE37EA" w:rsidRPr="00563CF9" w:rsidTr="009D6C3F">
        <w:trPr>
          <w:trHeight w:val="283"/>
        </w:trPr>
        <w:tc>
          <w:tcPr>
            <w:tcW w:w="794" w:type="dxa"/>
            <w:vMerge/>
            <w:tcBorders>
              <w:top w:val="nil"/>
              <w:left w:val="single" w:sz="4" w:space="0" w:color="auto"/>
              <w:bottom w:val="single" w:sz="4" w:space="0" w:color="auto"/>
              <w:right w:val="single" w:sz="4" w:space="0" w:color="auto"/>
            </w:tcBorders>
            <w:vAlign w:val="center"/>
            <w:hideMark/>
          </w:tcPr>
          <w:p w:rsidR="001945E1" w:rsidRPr="00563CF9" w:rsidRDefault="001945E1" w:rsidP="009D6C3F">
            <w:pPr>
              <w:spacing w:before="40" w:after="40"/>
              <w:ind w:left="-57" w:right="-57"/>
              <w:jc w:val="center"/>
              <w:rPr>
                <w:rFonts w:cstheme="minorHAnsi"/>
                <w:color w:val="000000"/>
                <w:sz w:val="20"/>
                <w:lang w:val="en-GB"/>
              </w:rPr>
            </w:pPr>
          </w:p>
        </w:tc>
        <w:tc>
          <w:tcPr>
            <w:tcW w:w="573"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2015</w:t>
            </w:r>
          </w:p>
        </w:tc>
        <w:tc>
          <w:tcPr>
            <w:tcW w:w="1020"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sz w:val="20"/>
                <w:lang w:val="en-GB"/>
              </w:rPr>
            </w:pPr>
            <w:r w:rsidRPr="00563CF9">
              <w:rPr>
                <w:sz w:val="20"/>
                <w:lang w:val="en-GB" w:bidi="en-GB"/>
              </w:rPr>
              <w:t>12,737.29</w:t>
            </w:r>
          </w:p>
        </w:tc>
        <w:tc>
          <w:tcPr>
            <w:tcW w:w="1134"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MUH</w:t>
            </w:r>
          </w:p>
        </w:tc>
        <w:tc>
          <w:tcPr>
            <w:tcW w:w="1077"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color w:val="000000"/>
                <w:sz w:val="20"/>
                <w:lang w:val="en-GB"/>
              </w:rPr>
            </w:pPr>
            <w:r w:rsidRPr="00563CF9">
              <w:rPr>
                <w:sz w:val="20"/>
                <w:lang w:val="en-GB" w:bidi="en-GB"/>
              </w:rPr>
              <w:t>13,675.32</w:t>
            </w:r>
          </w:p>
        </w:tc>
        <w:tc>
          <w:tcPr>
            <w:tcW w:w="1134" w:type="dxa"/>
            <w:tcBorders>
              <w:top w:val="nil"/>
              <w:left w:val="nil"/>
              <w:bottom w:val="single" w:sz="4" w:space="0" w:color="auto"/>
              <w:right w:val="single" w:sz="4" w:space="0" w:color="auto"/>
            </w:tcBorders>
            <w:shd w:val="clear" w:color="auto" w:fill="auto"/>
            <w:noWrap/>
            <w:vAlign w:val="bottom"/>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BUH, CMH</w:t>
            </w:r>
          </w:p>
        </w:tc>
        <w:tc>
          <w:tcPr>
            <w:tcW w:w="899"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color w:val="000000"/>
                <w:sz w:val="20"/>
                <w:lang w:val="en-GB"/>
              </w:rPr>
            </w:pPr>
            <w:r w:rsidRPr="00563CF9">
              <w:rPr>
                <w:sz w:val="20"/>
                <w:lang w:val="en-GB" w:bidi="en-GB"/>
              </w:rPr>
              <w:t>938.03</w:t>
            </w:r>
          </w:p>
        </w:tc>
        <w:tc>
          <w:tcPr>
            <w:tcW w:w="879"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373D3">
            <w:pPr>
              <w:spacing w:before="40" w:after="40"/>
              <w:jc w:val="right"/>
              <w:rPr>
                <w:rFonts w:cstheme="minorHAnsi"/>
                <w:color w:val="000000"/>
                <w:sz w:val="20"/>
                <w:lang w:val="en-GB"/>
              </w:rPr>
            </w:pPr>
            <w:r w:rsidRPr="00563CF9">
              <w:rPr>
                <w:sz w:val="20"/>
                <w:lang w:val="en-GB" w:bidi="en-GB"/>
              </w:rPr>
              <w:t>7.36</w:t>
            </w:r>
          </w:p>
        </w:tc>
        <w:tc>
          <w:tcPr>
            <w:tcW w:w="907"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ind w:right="-12"/>
              <w:jc w:val="right"/>
              <w:rPr>
                <w:rFonts w:cstheme="minorHAnsi"/>
                <w:color w:val="000000"/>
                <w:sz w:val="20"/>
                <w:lang w:val="en-GB"/>
              </w:rPr>
            </w:pPr>
            <w:r w:rsidRPr="00563CF9">
              <w:rPr>
                <w:sz w:val="20"/>
                <w:lang w:val="en-GB" w:bidi="en-GB"/>
              </w:rPr>
              <w:t>3</w:t>
            </w:r>
          </w:p>
        </w:tc>
        <w:tc>
          <w:tcPr>
            <w:tcW w:w="1020"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ind w:right="117"/>
              <w:jc w:val="right"/>
              <w:rPr>
                <w:rFonts w:cstheme="minorHAnsi"/>
                <w:color w:val="000000"/>
                <w:sz w:val="20"/>
                <w:lang w:val="en-GB"/>
              </w:rPr>
            </w:pPr>
            <w:r w:rsidRPr="00563CF9">
              <w:rPr>
                <w:sz w:val="20"/>
                <w:lang w:val="en-GB" w:bidi="en-GB"/>
              </w:rPr>
              <w:t>1</w:t>
            </w:r>
          </w:p>
        </w:tc>
      </w:tr>
      <w:tr w:rsidR="00FE37EA" w:rsidRPr="00563CF9" w:rsidTr="009D6C3F">
        <w:trPr>
          <w:trHeight w:val="283"/>
        </w:trPr>
        <w:tc>
          <w:tcPr>
            <w:tcW w:w="794" w:type="dxa"/>
            <w:vMerge/>
            <w:tcBorders>
              <w:top w:val="nil"/>
              <w:left w:val="single" w:sz="4" w:space="0" w:color="auto"/>
              <w:bottom w:val="single" w:sz="4" w:space="0" w:color="auto"/>
              <w:right w:val="single" w:sz="4" w:space="0" w:color="auto"/>
            </w:tcBorders>
            <w:vAlign w:val="center"/>
            <w:hideMark/>
          </w:tcPr>
          <w:p w:rsidR="001945E1" w:rsidRPr="00563CF9" w:rsidRDefault="001945E1" w:rsidP="009D6C3F">
            <w:pPr>
              <w:spacing w:before="40" w:after="40"/>
              <w:ind w:left="-57" w:right="-57"/>
              <w:jc w:val="center"/>
              <w:rPr>
                <w:rFonts w:cstheme="minorHAnsi"/>
                <w:color w:val="000000"/>
                <w:sz w:val="20"/>
                <w:lang w:val="en-GB"/>
              </w:rPr>
            </w:pPr>
          </w:p>
        </w:tc>
        <w:tc>
          <w:tcPr>
            <w:tcW w:w="573"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2016</w:t>
            </w:r>
          </w:p>
        </w:tc>
        <w:tc>
          <w:tcPr>
            <w:tcW w:w="1020"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sz w:val="20"/>
                <w:lang w:val="en-GB"/>
              </w:rPr>
            </w:pPr>
            <w:r w:rsidRPr="00563CF9">
              <w:rPr>
                <w:sz w:val="20"/>
                <w:lang w:val="en-GB" w:bidi="en-GB"/>
              </w:rPr>
              <w:t>7,438.43</w:t>
            </w:r>
          </w:p>
        </w:tc>
        <w:tc>
          <w:tcPr>
            <w:tcW w:w="1134"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MUH</w:t>
            </w:r>
          </w:p>
        </w:tc>
        <w:tc>
          <w:tcPr>
            <w:tcW w:w="1077"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color w:val="000000"/>
                <w:sz w:val="20"/>
                <w:lang w:val="en-GB"/>
              </w:rPr>
            </w:pPr>
            <w:r w:rsidRPr="00563CF9">
              <w:rPr>
                <w:sz w:val="20"/>
                <w:lang w:val="en-GB" w:bidi="en-GB"/>
              </w:rPr>
              <w:t>13,661.85</w:t>
            </w:r>
          </w:p>
        </w:tc>
        <w:tc>
          <w:tcPr>
            <w:tcW w:w="1134" w:type="dxa"/>
            <w:tcBorders>
              <w:top w:val="nil"/>
              <w:left w:val="nil"/>
              <w:bottom w:val="single" w:sz="4" w:space="0" w:color="auto"/>
              <w:right w:val="single" w:sz="4" w:space="0" w:color="auto"/>
            </w:tcBorders>
            <w:shd w:val="clear" w:color="auto" w:fill="auto"/>
            <w:noWrap/>
            <w:vAlign w:val="bottom"/>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CMH</w:t>
            </w:r>
          </w:p>
        </w:tc>
        <w:tc>
          <w:tcPr>
            <w:tcW w:w="899"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color w:val="000000"/>
                <w:sz w:val="20"/>
                <w:lang w:val="en-GB"/>
              </w:rPr>
            </w:pPr>
            <w:r w:rsidRPr="00563CF9">
              <w:rPr>
                <w:sz w:val="20"/>
                <w:lang w:val="en-GB" w:bidi="en-GB"/>
              </w:rPr>
              <w:t>6,223.42</w:t>
            </w:r>
          </w:p>
        </w:tc>
        <w:tc>
          <w:tcPr>
            <w:tcW w:w="879"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373D3">
            <w:pPr>
              <w:spacing w:before="40" w:after="40"/>
              <w:jc w:val="right"/>
              <w:rPr>
                <w:rFonts w:cstheme="minorHAnsi"/>
                <w:color w:val="000000"/>
                <w:sz w:val="20"/>
                <w:lang w:val="en-GB"/>
              </w:rPr>
            </w:pPr>
            <w:r w:rsidRPr="00563CF9">
              <w:rPr>
                <w:sz w:val="20"/>
                <w:lang w:val="en-GB" w:bidi="en-GB"/>
              </w:rPr>
              <w:t>83.67</w:t>
            </w:r>
          </w:p>
        </w:tc>
        <w:tc>
          <w:tcPr>
            <w:tcW w:w="907"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ind w:right="-12"/>
              <w:jc w:val="right"/>
              <w:rPr>
                <w:rFonts w:cstheme="minorHAnsi"/>
                <w:color w:val="000000"/>
                <w:sz w:val="20"/>
                <w:lang w:val="en-GB"/>
              </w:rPr>
            </w:pPr>
            <w:r w:rsidRPr="00563CF9">
              <w:rPr>
                <w:sz w:val="20"/>
                <w:lang w:val="en-GB" w:bidi="en-GB"/>
              </w:rPr>
              <w:t>2</w:t>
            </w:r>
          </w:p>
        </w:tc>
        <w:tc>
          <w:tcPr>
            <w:tcW w:w="1020"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ind w:right="117"/>
              <w:jc w:val="right"/>
              <w:rPr>
                <w:rFonts w:cstheme="minorHAnsi"/>
                <w:color w:val="000000"/>
                <w:sz w:val="20"/>
                <w:lang w:val="en-GB"/>
              </w:rPr>
            </w:pPr>
            <w:r w:rsidRPr="00563CF9">
              <w:rPr>
                <w:sz w:val="20"/>
                <w:lang w:val="en-GB" w:bidi="en-GB"/>
              </w:rPr>
              <w:t>3</w:t>
            </w:r>
          </w:p>
        </w:tc>
      </w:tr>
      <w:tr w:rsidR="00FE37EA" w:rsidRPr="00563CF9" w:rsidTr="009D6C3F">
        <w:trPr>
          <w:trHeight w:val="283"/>
        </w:trPr>
        <w:tc>
          <w:tcPr>
            <w:tcW w:w="7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ind w:left="-57" w:right="-57"/>
              <w:jc w:val="center"/>
              <w:rPr>
                <w:rFonts w:cstheme="minorHAnsi"/>
                <w:color w:val="000000"/>
                <w:sz w:val="20"/>
                <w:lang w:val="en-GB"/>
              </w:rPr>
            </w:pPr>
            <w:r w:rsidRPr="00563CF9">
              <w:rPr>
                <w:sz w:val="20"/>
                <w:lang w:val="en-GB" w:bidi="en-GB"/>
              </w:rPr>
              <w:t>0026902</w:t>
            </w:r>
          </w:p>
        </w:tc>
        <w:tc>
          <w:tcPr>
            <w:tcW w:w="573"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2014</w:t>
            </w:r>
          </w:p>
        </w:tc>
        <w:tc>
          <w:tcPr>
            <w:tcW w:w="1020"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sz w:val="20"/>
                <w:lang w:val="en-GB"/>
              </w:rPr>
            </w:pPr>
            <w:r w:rsidRPr="00563CF9">
              <w:rPr>
                <w:sz w:val="20"/>
                <w:lang w:val="en-GB" w:bidi="en-GB"/>
              </w:rPr>
              <w:t>2,933.01</w:t>
            </w:r>
          </w:p>
        </w:tc>
        <w:tc>
          <w:tcPr>
            <w:tcW w:w="1134"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MUH</w:t>
            </w:r>
          </w:p>
        </w:tc>
        <w:tc>
          <w:tcPr>
            <w:tcW w:w="1077"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color w:val="000000"/>
                <w:sz w:val="20"/>
                <w:lang w:val="en-GB"/>
              </w:rPr>
            </w:pPr>
            <w:r w:rsidRPr="00563CF9">
              <w:rPr>
                <w:sz w:val="20"/>
                <w:lang w:val="en-GB" w:bidi="en-GB"/>
              </w:rPr>
              <w:t>2,963.88</w:t>
            </w:r>
          </w:p>
        </w:tc>
        <w:tc>
          <w:tcPr>
            <w:tcW w:w="1134" w:type="dxa"/>
            <w:tcBorders>
              <w:top w:val="nil"/>
              <w:left w:val="nil"/>
              <w:bottom w:val="single" w:sz="4" w:space="0" w:color="auto"/>
              <w:right w:val="single" w:sz="4" w:space="0" w:color="auto"/>
            </w:tcBorders>
            <w:shd w:val="clear" w:color="auto" w:fill="auto"/>
            <w:noWrap/>
            <w:vAlign w:val="bottom"/>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CMH</w:t>
            </w:r>
          </w:p>
        </w:tc>
        <w:tc>
          <w:tcPr>
            <w:tcW w:w="899"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color w:val="000000"/>
                <w:sz w:val="20"/>
                <w:lang w:val="en-GB"/>
              </w:rPr>
            </w:pPr>
            <w:r w:rsidRPr="00563CF9">
              <w:rPr>
                <w:sz w:val="20"/>
                <w:lang w:val="en-GB" w:bidi="en-GB"/>
              </w:rPr>
              <w:t>30.87</w:t>
            </w:r>
          </w:p>
        </w:tc>
        <w:tc>
          <w:tcPr>
            <w:tcW w:w="879"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373D3">
            <w:pPr>
              <w:spacing w:before="40" w:after="40"/>
              <w:jc w:val="right"/>
              <w:rPr>
                <w:rFonts w:cstheme="minorHAnsi"/>
                <w:color w:val="000000"/>
                <w:sz w:val="20"/>
                <w:lang w:val="en-GB"/>
              </w:rPr>
            </w:pPr>
            <w:r w:rsidRPr="00563CF9">
              <w:rPr>
                <w:sz w:val="20"/>
                <w:lang w:val="en-GB" w:bidi="en-GB"/>
              </w:rPr>
              <w:t>1.05</w:t>
            </w:r>
          </w:p>
        </w:tc>
        <w:tc>
          <w:tcPr>
            <w:tcW w:w="907"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ind w:right="-12"/>
              <w:jc w:val="right"/>
              <w:rPr>
                <w:rFonts w:cstheme="minorHAnsi"/>
                <w:color w:val="000000"/>
                <w:sz w:val="20"/>
                <w:lang w:val="en-GB"/>
              </w:rPr>
            </w:pPr>
            <w:r w:rsidRPr="00563CF9">
              <w:rPr>
                <w:sz w:val="20"/>
                <w:lang w:val="en-GB" w:bidi="en-GB"/>
              </w:rPr>
              <w:t>3</w:t>
            </w:r>
          </w:p>
        </w:tc>
        <w:tc>
          <w:tcPr>
            <w:tcW w:w="1020"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ind w:right="117"/>
              <w:jc w:val="right"/>
              <w:rPr>
                <w:rFonts w:cstheme="minorHAnsi"/>
                <w:color w:val="000000"/>
                <w:sz w:val="20"/>
                <w:lang w:val="en-GB"/>
              </w:rPr>
            </w:pPr>
            <w:r w:rsidRPr="00563CF9">
              <w:rPr>
                <w:sz w:val="20"/>
                <w:lang w:val="en-GB" w:bidi="en-GB"/>
              </w:rPr>
              <w:t>3</w:t>
            </w:r>
          </w:p>
        </w:tc>
      </w:tr>
      <w:tr w:rsidR="00FE37EA" w:rsidRPr="00563CF9" w:rsidTr="009D6C3F">
        <w:trPr>
          <w:trHeight w:val="283"/>
        </w:trPr>
        <w:tc>
          <w:tcPr>
            <w:tcW w:w="794" w:type="dxa"/>
            <w:vMerge/>
            <w:tcBorders>
              <w:top w:val="nil"/>
              <w:left w:val="single" w:sz="4" w:space="0" w:color="auto"/>
              <w:bottom w:val="single" w:sz="4" w:space="0" w:color="auto"/>
              <w:right w:val="single" w:sz="4" w:space="0" w:color="auto"/>
            </w:tcBorders>
            <w:vAlign w:val="center"/>
            <w:hideMark/>
          </w:tcPr>
          <w:p w:rsidR="001945E1" w:rsidRPr="00563CF9" w:rsidRDefault="001945E1" w:rsidP="009D6C3F">
            <w:pPr>
              <w:spacing w:before="40" w:after="40"/>
              <w:ind w:left="-57" w:right="-57"/>
              <w:jc w:val="center"/>
              <w:rPr>
                <w:rFonts w:cstheme="minorHAnsi"/>
                <w:color w:val="000000"/>
                <w:sz w:val="20"/>
                <w:lang w:val="en-GB"/>
              </w:rPr>
            </w:pPr>
          </w:p>
        </w:tc>
        <w:tc>
          <w:tcPr>
            <w:tcW w:w="573"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2015</w:t>
            </w:r>
          </w:p>
        </w:tc>
        <w:tc>
          <w:tcPr>
            <w:tcW w:w="1020"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sz w:val="20"/>
                <w:lang w:val="en-GB"/>
              </w:rPr>
            </w:pPr>
            <w:r w:rsidRPr="00563CF9">
              <w:rPr>
                <w:sz w:val="20"/>
                <w:lang w:val="en-GB" w:bidi="en-GB"/>
              </w:rPr>
              <w:t>2,805.48</w:t>
            </w:r>
          </w:p>
        </w:tc>
        <w:tc>
          <w:tcPr>
            <w:tcW w:w="1134"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MUH</w:t>
            </w:r>
          </w:p>
        </w:tc>
        <w:tc>
          <w:tcPr>
            <w:tcW w:w="1077"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color w:val="000000"/>
                <w:sz w:val="20"/>
                <w:lang w:val="en-GB"/>
              </w:rPr>
            </w:pPr>
            <w:r w:rsidRPr="00563CF9">
              <w:rPr>
                <w:sz w:val="20"/>
                <w:lang w:val="en-GB" w:bidi="en-GB"/>
              </w:rPr>
              <w:t>2,850.34</w:t>
            </w:r>
          </w:p>
        </w:tc>
        <w:tc>
          <w:tcPr>
            <w:tcW w:w="1134" w:type="dxa"/>
            <w:tcBorders>
              <w:top w:val="nil"/>
              <w:left w:val="nil"/>
              <w:bottom w:val="single" w:sz="4" w:space="0" w:color="auto"/>
              <w:right w:val="single" w:sz="4" w:space="0" w:color="auto"/>
            </w:tcBorders>
            <w:shd w:val="clear" w:color="auto" w:fill="auto"/>
            <w:noWrap/>
            <w:vAlign w:val="bottom"/>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CMH</w:t>
            </w:r>
          </w:p>
        </w:tc>
        <w:tc>
          <w:tcPr>
            <w:tcW w:w="899"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color w:val="000000"/>
                <w:sz w:val="20"/>
                <w:lang w:val="en-GB"/>
              </w:rPr>
            </w:pPr>
            <w:r w:rsidRPr="00563CF9">
              <w:rPr>
                <w:sz w:val="20"/>
                <w:lang w:val="en-GB" w:bidi="en-GB"/>
              </w:rPr>
              <w:t>44.86</w:t>
            </w:r>
          </w:p>
        </w:tc>
        <w:tc>
          <w:tcPr>
            <w:tcW w:w="879"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373D3">
            <w:pPr>
              <w:spacing w:before="40" w:after="40"/>
              <w:jc w:val="right"/>
              <w:rPr>
                <w:rFonts w:cstheme="minorHAnsi"/>
                <w:color w:val="000000"/>
                <w:sz w:val="20"/>
                <w:lang w:val="en-GB"/>
              </w:rPr>
            </w:pPr>
            <w:r w:rsidRPr="00563CF9">
              <w:rPr>
                <w:sz w:val="20"/>
                <w:lang w:val="en-GB" w:bidi="en-GB"/>
              </w:rPr>
              <w:t>1.60</w:t>
            </w:r>
          </w:p>
        </w:tc>
        <w:tc>
          <w:tcPr>
            <w:tcW w:w="907"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ind w:right="-12"/>
              <w:jc w:val="right"/>
              <w:rPr>
                <w:rFonts w:cstheme="minorHAnsi"/>
                <w:color w:val="000000"/>
                <w:sz w:val="20"/>
                <w:lang w:val="en-GB"/>
              </w:rPr>
            </w:pPr>
            <w:r w:rsidRPr="00563CF9">
              <w:rPr>
                <w:sz w:val="20"/>
                <w:lang w:val="en-GB" w:bidi="en-GB"/>
              </w:rPr>
              <w:t>3</w:t>
            </w:r>
          </w:p>
        </w:tc>
        <w:tc>
          <w:tcPr>
            <w:tcW w:w="1020"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ind w:right="117"/>
              <w:jc w:val="right"/>
              <w:rPr>
                <w:rFonts w:cstheme="minorHAnsi"/>
                <w:color w:val="000000"/>
                <w:sz w:val="20"/>
                <w:lang w:val="en-GB"/>
              </w:rPr>
            </w:pPr>
            <w:r w:rsidRPr="00563CF9">
              <w:rPr>
                <w:sz w:val="20"/>
                <w:lang w:val="en-GB" w:bidi="en-GB"/>
              </w:rPr>
              <w:t>4</w:t>
            </w:r>
          </w:p>
        </w:tc>
      </w:tr>
      <w:tr w:rsidR="00FE37EA" w:rsidRPr="00563CF9" w:rsidTr="009D6C3F">
        <w:trPr>
          <w:trHeight w:val="283"/>
        </w:trPr>
        <w:tc>
          <w:tcPr>
            <w:tcW w:w="794" w:type="dxa"/>
            <w:vMerge/>
            <w:tcBorders>
              <w:top w:val="nil"/>
              <w:left w:val="single" w:sz="4" w:space="0" w:color="auto"/>
              <w:bottom w:val="single" w:sz="4" w:space="0" w:color="auto"/>
              <w:right w:val="single" w:sz="4" w:space="0" w:color="auto"/>
            </w:tcBorders>
            <w:vAlign w:val="center"/>
            <w:hideMark/>
          </w:tcPr>
          <w:p w:rsidR="001945E1" w:rsidRPr="00563CF9" w:rsidRDefault="001945E1" w:rsidP="009D6C3F">
            <w:pPr>
              <w:spacing w:before="40" w:after="40"/>
              <w:ind w:left="-57" w:right="-57"/>
              <w:jc w:val="center"/>
              <w:rPr>
                <w:rFonts w:cstheme="minorHAnsi"/>
                <w:color w:val="000000"/>
                <w:sz w:val="20"/>
                <w:lang w:val="en-GB"/>
              </w:rPr>
            </w:pPr>
          </w:p>
        </w:tc>
        <w:tc>
          <w:tcPr>
            <w:tcW w:w="573"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2016</w:t>
            </w:r>
          </w:p>
        </w:tc>
        <w:tc>
          <w:tcPr>
            <w:tcW w:w="1020"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sz w:val="20"/>
                <w:lang w:val="en-GB"/>
              </w:rPr>
            </w:pPr>
            <w:r w:rsidRPr="00563CF9">
              <w:rPr>
                <w:sz w:val="20"/>
                <w:lang w:val="en-GB" w:bidi="en-GB"/>
              </w:rPr>
              <w:t>1,537.04</w:t>
            </w:r>
          </w:p>
        </w:tc>
        <w:tc>
          <w:tcPr>
            <w:tcW w:w="1134"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MUH</w:t>
            </w:r>
          </w:p>
        </w:tc>
        <w:tc>
          <w:tcPr>
            <w:tcW w:w="1077"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color w:val="000000"/>
                <w:sz w:val="20"/>
                <w:lang w:val="en-GB"/>
              </w:rPr>
            </w:pPr>
            <w:r w:rsidRPr="00563CF9">
              <w:rPr>
                <w:sz w:val="20"/>
                <w:lang w:val="en-GB" w:bidi="en-GB"/>
              </w:rPr>
              <w:t>2,828.05</w:t>
            </w:r>
          </w:p>
        </w:tc>
        <w:tc>
          <w:tcPr>
            <w:tcW w:w="1134" w:type="dxa"/>
            <w:tcBorders>
              <w:top w:val="nil"/>
              <w:left w:val="nil"/>
              <w:bottom w:val="single" w:sz="4" w:space="0" w:color="auto"/>
              <w:right w:val="single" w:sz="4" w:space="0" w:color="auto"/>
            </w:tcBorders>
            <w:shd w:val="clear" w:color="auto" w:fill="auto"/>
            <w:noWrap/>
            <w:vAlign w:val="bottom"/>
            <w:hideMark/>
          </w:tcPr>
          <w:p w:rsidR="001945E1" w:rsidRPr="00563CF9" w:rsidRDefault="001945E1" w:rsidP="009D6C3F">
            <w:pPr>
              <w:spacing w:before="40" w:after="40"/>
              <w:jc w:val="center"/>
              <w:rPr>
                <w:rFonts w:cstheme="minorHAnsi"/>
                <w:color w:val="000000"/>
                <w:sz w:val="20"/>
                <w:lang w:val="en-GB"/>
              </w:rPr>
            </w:pPr>
            <w:r w:rsidRPr="00563CF9">
              <w:rPr>
                <w:sz w:val="20"/>
                <w:lang w:val="en-GB" w:bidi="en-GB"/>
              </w:rPr>
              <w:t>BUH</w:t>
            </w:r>
          </w:p>
        </w:tc>
        <w:tc>
          <w:tcPr>
            <w:tcW w:w="899"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jc w:val="right"/>
              <w:rPr>
                <w:rFonts w:cstheme="minorHAnsi"/>
                <w:color w:val="000000"/>
                <w:sz w:val="20"/>
                <w:lang w:val="en-GB"/>
              </w:rPr>
            </w:pPr>
            <w:r w:rsidRPr="00563CF9">
              <w:rPr>
                <w:sz w:val="20"/>
                <w:lang w:val="en-GB" w:bidi="en-GB"/>
              </w:rPr>
              <w:t>1,291.01</w:t>
            </w:r>
          </w:p>
        </w:tc>
        <w:tc>
          <w:tcPr>
            <w:tcW w:w="879"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373D3">
            <w:pPr>
              <w:spacing w:before="40" w:after="40"/>
              <w:jc w:val="right"/>
              <w:rPr>
                <w:rFonts w:cstheme="minorHAnsi"/>
                <w:color w:val="000000"/>
                <w:sz w:val="20"/>
                <w:lang w:val="en-GB"/>
              </w:rPr>
            </w:pPr>
            <w:r w:rsidRPr="00563CF9">
              <w:rPr>
                <w:sz w:val="20"/>
                <w:lang w:val="en-GB" w:bidi="en-GB"/>
              </w:rPr>
              <w:t>83.99</w:t>
            </w:r>
          </w:p>
        </w:tc>
        <w:tc>
          <w:tcPr>
            <w:tcW w:w="907"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ind w:right="-12"/>
              <w:jc w:val="right"/>
              <w:rPr>
                <w:rFonts w:cstheme="minorHAnsi"/>
                <w:color w:val="000000"/>
                <w:sz w:val="20"/>
                <w:lang w:val="en-GB"/>
              </w:rPr>
            </w:pPr>
            <w:r w:rsidRPr="00563CF9">
              <w:rPr>
                <w:sz w:val="20"/>
                <w:lang w:val="en-GB" w:bidi="en-GB"/>
              </w:rPr>
              <w:t>3</w:t>
            </w:r>
          </w:p>
        </w:tc>
        <w:tc>
          <w:tcPr>
            <w:tcW w:w="1020" w:type="dxa"/>
            <w:tcBorders>
              <w:top w:val="nil"/>
              <w:left w:val="nil"/>
              <w:bottom w:val="single" w:sz="4" w:space="0" w:color="auto"/>
              <w:right w:val="single" w:sz="4" w:space="0" w:color="auto"/>
            </w:tcBorders>
            <w:shd w:val="clear" w:color="auto" w:fill="auto"/>
            <w:noWrap/>
            <w:vAlign w:val="center"/>
            <w:hideMark/>
          </w:tcPr>
          <w:p w:rsidR="001945E1" w:rsidRPr="00563CF9" w:rsidRDefault="001945E1" w:rsidP="009D6C3F">
            <w:pPr>
              <w:spacing w:before="40" w:after="40"/>
              <w:ind w:right="117"/>
              <w:jc w:val="right"/>
              <w:rPr>
                <w:rFonts w:cstheme="minorHAnsi"/>
                <w:color w:val="000000"/>
                <w:sz w:val="20"/>
                <w:lang w:val="en-GB"/>
              </w:rPr>
            </w:pPr>
            <w:r w:rsidRPr="00563CF9">
              <w:rPr>
                <w:sz w:val="20"/>
                <w:lang w:val="en-GB" w:bidi="en-GB"/>
              </w:rPr>
              <w:t>2</w:t>
            </w:r>
          </w:p>
        </w:tc>
      </w:tr>
      <w:tr w:rsidR="009D6C3F" w:rsidRPr="00563CF9" w:rsidTr="009D6C3F">
        <w:trPr>
          <w:trHeight w:val="283"/>
        </w:trPr>
        <w:tc>
          <w:tcPr>
            <w:tcW w:w="794" w:type="dxa"/>
            <w:vMerge w:val="restart"/>
            <w:tcBorders>
              <w:top w:val="single" w:sz="4" w:space="0" w:color="auto"/>
              <w:left w:val="single" w:sz="4" w:space="0" w:color="auto"/>
              <w:right w:val="single" w:sz="4" w:space="0" w:color="auto"/>
            </w:tcBorders>
            <w:vAlign w:val="center"/>
          </w:tcPr>
          <w:p w:rsidR="009D6C3F" w:rsidRPr="00563CF9" w:rsidRDefault="009D6C3F" w:rsidP="009D6C3F">
            <w:pPr>
              <w:spacing w:before="40" w:after="40"/>
              <w:ind w:left="-57" w:right="-57"/>
              <w:jc w:val="center"/>
              <w:rPr>
                <w:rFonts w:cstheme="minorHAnsi"/>
                <w:color w:val="000000"/>
                <w:sz w:val="18"/>
                <w:szCs w:val="18"/>
                <w:lang w:val="en-GB"/>
              </w:rPr>
            </w:pPr>
            <w:r w:rsidRPr="00563CF9">
              <w:rPr>
                <w:sz w:val="18"/>
                <w:lang w:val="en-GB" w:bidi="en-GB"/>
              </w:rPr>
              <w:t>0029464</w:t>
            </w:r>
          </w:p>
        </w:tc>
        <w:tc>
          <w:tcPr>
            <w:tcW w:w="573"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2014</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sz w:val="18"/>
                <w:szCs w:val="18"/>
                <w:lang w:val="en-GB"/>
              </w:rPr>
            </w:pPr>
            <w:r w:rsidRPr="00563CF9">
              <w:rPr>
                <w:sz w:val="18"/>
                <w:lang w:val="en-GB" w:bidi="en-GB"/>
              </w:rPr>
              <w:t>11,500.00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MUH</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color w:val="000000"/>
                <w:sz w:val="18"/>
                <w:szCs w:val="18"/>
                <w:lang w:val="en-GB"/>
              </w:rPr>
            </w:pPr>
            <w:r w:rsidRPr="00563CF9">
              <w:rPr>
                <w:sz w:val="18"/>
                <w:lang w:val="en-GB" w:bidi="en-GB"/>
              </w:rPr>
              <w:t>12,043.95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BUH</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color w:val="000000"/>
                <w:sz w:val="18"/>
                <w:szCs w:val="18"/>
                <w:lang w:val="en-GB"/>
              </w:rPr>
            </w:pPr>
            <w:r w:rsidRPr="00563CF9">
              <w:rPr>
                <w:sz w:val="18"/>
                <w:lang w:val="en-GB" w:bidi="en-GB"/>
              </w:rPr>
              <w:t>543.95</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373D3">
            <w:pPr>
              <w:spacing w:before="40" w:after="40"/>
              <w:jc w:val="right"/>
              <w:rPr>
                <w:rFonts w:ascii="Calibri" w:hAnsi="Calibri" w:cs="Calibri"/>
                <w:color w:val="000000"/>
                <w:sz w:val="18"/>
                <w:szCs w:val="18"/>
                <w:lang w:val="en-GB"/>
              </w:rPr>
            </w:pPr>
            <w:r w:rsidRPr="00563CF9">
              <w:rPr>
                <w:sz w:val="18"/>
                <w:lang w:val="en-GB" w:bidi="en-GB"/>
              </w:rPr>
              <w:t>4.73</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ind w:right="-12"/>
              <w:jc w:val="right"/>
              <w:rPr>
                <w:rFonts w:ascii="Calibri" w:hAnsi="Calibri" w:cs="Calibri"/>
                <w:color w:val="000000"/>
                <w:sz w:val="18"/>
                <w:szCs w:val="18"/>
                <w:lang w:val="en-GB"/>
              </w:rPr>
            </w:pPr>
            <w:r w:rsidRPr="00563CF9">
              <w:rPr>
                <w:sz w:val="18"/>
                <w:lang w:val="en-GB" w:bidi="en-GB"/>
              </w:rPr>
              <w:t>2</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ind w:right="117"/>
              <w:jc w:val="right"/>
              <w:rPr>
                <w:rFonts w:ascii="Calibri" w:hAnsi="Calibri" w:cs="Calibri"/>
                <w:color w:val="000000"/>
                <w:sz w:val="18"/>
                <w:szCs w:val="18"/>
                <w:lang w:val="en-GB"/>
              </w:rPr>
            </w:pPr>
            <w:r w:rsidRPr="00563CF9">
              <w:rPr>
                <w:sz w:val="18"/>
                <w:lang w:val="en-GB" w:bidi="en-GB"/>
              </w:rPr>
              <w:t>1</w:t>
            </w:r>
          </w:p>
        </w:tc>
      </w:tr>
      <w:tr w:rsidR="009D6C3F" w:rsidRPr="00563CF9" w:rsidTr="009D6C3F">
        <w:trPr>
          <w:trHeight w:val="283"/>
        </w:trPr>
        <w:tc>
          <w:tcPr>
            <w:tcW w:w="794" w:type="dxa"/>
            <w:vMerge/>
            <w:tcBorders>
              <w:left w:val="single" w:sz="4" w:space="0" w:color="auto"/>
              <w:right w:val="single" w:sz="4" w:space="0" w:color="auto"/>
            </w:tcBorders>
            <w:vAlign w:val="center"/>
          </w:tcPr>
          <w:p w:rsidR="009D6C3F" w:rsidRPr="00563CF9" w:rsidRDefault="009D6C3F" w:rsidP="009D6C3F">
            <w:pPr>
              <w:spacing w:before="40" w:after="40"/>
              <w:ind w:left="-57" w:right="-57"/>
              <w:jc w:val="center"/>
              <w:rPr>
                <w:rFonts w:cstheme="minorHAnsi"/>
                <w:color w:val="000000"/>
                <w:sz w:val="18"/>
                <w:szCs w:val="18"/>
                <w:lang w:val="en-GB"/>
              </w:rPr>
            </w:pPr>
          </w:p>
        </w:tc>
        <w:tc>
          <w:tcPr>
            <w:tcW w:w="573"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2015</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sz w:val="18"/>
                <w:szCs w:val="18"/>
                <w:lang w:val="en-GB"/>
              </w:rPr>
            </w:pPr>
            <w:r w:rsidRPr="00563CF9">
              <w:rPr>
                <w:sz w:val="18"/>
                <w:lang w:val="en-GB" w:bidi="en-GB"/>
              </w:rPr>
              <w:t>11,000.00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MUH</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color w:val="000000"/>
                <w:sz w:val="18"/>
                <w:szCs w:val="18"/>
                <w:lang w:val="en-GB"/>
              </w:rPr>
            </w:pPr>
            <w:r w:rsidRPr="00563CF9">
              <w:rPr>
                <w:sz w:val="18"/>
                <w:lang w:val="en-GB" w:bidi="en-GB"/>
              </w:rPr>
              <w:t>11,520.30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BUH</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color w:val="000000"/>
                <w:sz w:val="18"/>
                <w:szCs w:val="18"/>
                <w:lang w:val="en-GB"/>
              </w:rPr>
            </w:pPr>
            <w:r w:rsidRPr="00563CF9">
              <w:rPr>
                <w:sz w:val="18"/>
                <w:lang w:val="en-GB" w:bidi="en-GB"/>
              </w:rPr>
              <w:t>520.30</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373D3">
            <w:pPr>
              <w:spacing w:before="40" w:after="40"/>
              <w:jc w:val="right"/>
              <w:rPr>
                <w:rFonts w:ascii="Calibri" w:hAnsi="Calibri" w:cs="Calibri"/>
                <w:color w:val="000000"/>
                <w:sz w:val="18"/>
                <w:szCs w:val="18"/>
                <w:lang w:val="en-GB"/>
              </w:rPr>
            </w:pPr>
            <w:r w:rsidRPr="00563CF9">
              <w:rPr>
                <w:sz w:val="18"/>
                <w:lang w:val="en-GB" w:bidi="en-GB"/>
              </w:rPr>
              <w:t>4.73</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ind w:right="-12"/>
              <w:jc w:val="right"/>
              <w:rPr>
                <w:rFonts w:ascii="Calibri" w:hAnsi="Calibri" w:cs="Calibri"/>
                <w:color w:val="000000"/>
                <w:sz w:val="18"/>
                <w:szCs w:val="18"/>
                <w:lang w:val="en-GB"/>
              </w:rPr>
            </w:pPr>
            <w:r w:rsidRPr="00563CF9">
              <w:rPr>
                <w:sz w:val="18"/>
                <w:lang w:val="en-GB" w:bidi="en-GB"/>
              </w:rPr>
              <w:t>2</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ind w:right="117"/>
              <w:jc w:val="right"/>
              <w:rPr>
                <w:rFonts w:ascii="Calibri" w:hAnsi="Calibri" w:cs="Calibri"/>
                <w:color w:val="000000"/>
                <w:sz w:val="18"/>
                <w:szCs w:val="18"/>
                <w:lang w:val="en-GB"/>
              </w:rPr>
            </w:pPr>
            <w:r w:rsidRPr="00563CF9">
              <w:rPr>
                <w:sz w:val="18"/>
                <w:lang w:val="en-GB" w:bidi="en-GB"/>
              </w:rPr>
              <w:t>1</w:t>
            </w:r>
          </w:p>
        </w:tc>
      </w:tr>
      <w:tr w:rsidR="009D6C3F" w:rsidRPr="00563CF9" w:rsidTr="009D6C3F">
        <w:trPr>
          <w:trHeight w:val="283"/>
        </w:trPr>
        <w:tc>
          <w:tcPr>
            <w:tcW w:w="794" w:type="dxa"/>
            <w:vMerge/>
            <w:tcBorders>
              <w:left w:val="single" w:sz="4" w:space="0" w:color="auto"/>
              <w:bottom w:val="single" w:sz="4" w:space="0" w:color="auto"/>
              <w:right w:val="single" w:sz="4" w:space="0" w:color="auto"/>
            </w:tcBorders>
            <w:vAlign w:val="center"/>
          </w:tcPr>
          <w:p w:rsidR="009D6C3F" w:rsidRPr="00563CF9" w:rsidRDefault="009D6C3F" w:rsidP="009D6C3F">
            <w:pPr>
              <w:spacing w:before="40" w:after="40"/>
              <w:ind w:left="-57" w:right="-57"/>
              <w:jc w:val="center"/>
              <w:rPr>
                <w:rFonts w:cstheme="minorHAnsi"/>
                <w:color w:val="000000"/>
                <w:sz w:val="18"/>
                <w:szCs w:val="18"/>
                <w:lang w:val="en-GB"/>
              </w:rPr>
            </w:pPr>
          </w:p>
        </w:tc>
        <w:tc>
          <w:tcPr>
            <w:tcW w:w="573"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2016</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sz w:val="18"/>
                <w:szCs w:val="18"/>
                <w:lang w:val="en-GB"/>
              </w:rPr>
            </w:pPr>
            <w:r w:rsidRPr="00563CF9">
              <w:rPr>
                <w:sz w:val="18"/>
                <w:lang w:val="en-GB" w:bidi="en-GB"/>
              </w:rPr>
              <w:t>11,000.00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MUH</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color w:val="000000"/>
                <w:sz w:val="18"/>
                <w:szCs w:val="18"/>
                <w:lang w:val="en-GB"/>
              </w:rPr>
            </w:pPr>
            <w:r w:rsidRPr="00563CF9">
              <w:rPr>
                <w:sz w:val="18"/>
                <w:lang w:val="en-GB" w:bidi="en-GB"/>
              </w:rPr>
              <w:t>11,521.33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BUH</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color w:val="000000"/>
                <w:sz w:val="18"/>
                <w:szCs w:val="18"/>
                <w:lang w:val="en-GB"/>
              </w:rPr>
            </w:pPr>
            <w:r w:rsidRPr="00563CF9">
              <w:rPr>
                <w:sz w:val="18"/>
                <w:lang w:val="en-GB" w:bidi="en-GB"/>
              </w:rPr>
              <w:t>521.33</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373D3">
            <w:pPr>
              <w:spacing w:before="40" w:after="40"/>
              <w:jc w:val="right"/>
              <w:rPr>
                <w:rFonts w:ascii="Calibri" w:hAnsi="Calibri" w:cs="Calibri"/>
                <w:color w:val="000000"/>
                <w:sz w:val="18"/>
                <w:szCs w:val="18"/>
                <w:lang w:val="en-GB"/>
              </w:rPr>
            </w:pPr>
            <w:r w:rsidRPr="00563CF9">
              <w:rPr>
                <w:sz w:val="18"/>
                <w:lang w:val="en-GB" w:bidi="en-GB"/>
              </w:rPr>
              <w:t>4.74</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ind w:right="-12"/>
              <w:jc w:val="right"/>
              <w:rPr>
                <w:rFonts w:ascii="Calibri" w:hAnsi="Calibri" w:cs="Calibri"/>
                <w:color w:val="000000"/>
                <w:sz w:val="18"/>
                <w:szCs w:val="18"/>
                <w:lang w:val="en-GB"/>
              </w:rPr>
            </w:pPr>
            <w:r w:rsidRPr="00563CF9">
              <w:rPr>
                <w:sz w:val="18"/>
                <w:lang w:val="en-GB" w:bidi="en-GB"/>
              </w:rPr>
              <w:t>2</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ind w:right="117"/>
              <w:jc w:val="right"/>
              <w:rPr>
                <w:rFonts w:ascii="Calibri" w:hAnsi="Calibri" w:cs="Calibri"/>
                <w:color w:val="000000"/>
                <w:sz w:val="18"/>
                <w:szCs w:val="18"/>
                <w:lang w:val="en-GB"/>
              </w:rPr>
            </w:pPr>
            <w:r w:rsidRPr="00563CF9">
              <w:rPr>
                <w:sz w:val="18"/>
                <w:lang w:val="en-GB" w:bidi="en-GB"/>
              </w:rPr>
              <w:t>1</w:t>
            </w:r>
          </w:p>
        </w:tc>
      </w:tr>
      <w:tr w:rsidR="009D6C3F" w:rsidRPr="00563CF9" w:rsidTr="009D6C3F">
        <w:trPr>
          <w:trHeight w:val="283"/>
        </w:trPr>
        <w:tc>
          <w:tcPr>
            <w:tcW w:w="794" w:type="dxa"/>
            <w:tcBorders>
              <w:top w:val="single" w:sz="4" w:space="0" w:color="auto"/>
              <w:left w:val="single" w:sz="4" w:space="0" w:color="auto"/>
              <w:bottom w:val="single" w:sz="4" w:space="0" w:color="auto"/>
              <w:right w:val="single" w:sz="4" w:space="0" w:color="auto"/>
            </w:tcBorders>
            <w:vAlign w:val="center"/>
          </w:tcPr>
          <w:p w:rsidR="009D6C3F" w:rsidRPr="00563CF9" w:rsidRDefault="009D6C3F" w:rsidP="009D6C3F">
            <w:pPr>
              <w:spacing w:before="40" w:after="40"/>
              <w:ind w:left="-57" w:right="-57"/>
              <w:jc w:val="center"/>
              <w:rPr>
                <w:rFonts w:cstheme="minorHAnsi"/>
                <w:color w:val="000000"/>
                <w:sz w:val="18"/>
                <w:szCs w:val="18"/>
                <w:lang w:val="en-GB"/>
              </w:rPr>
            </w:pPr>
            <w:r w:rsidRPr="00563CF9">
              <w:rPr>
                <w:sz w:val="18"/>
                <w:lang w:val="en-GB" w:bidi="en-GB"/>
              </w:rPr>
              <w:t>0066036</w:t>
            </w:r>
          </w:p>
        </w:tc>
        <w:tc>
          <w:tcPr>
            <w:tcW w:w="573"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2015</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sz w:val="18"/>
                <w:szCs w:val="18"/>
                <w:lang w:val="en-GB"/>
              </w:rPr>
            </w:pPr>
            <w:r w:rsidRPr="00563CF9">
              <w:rPr>
                <w:sz w:val="18"/>
                <w:lang w:val="en-GB" w:bidi="en-GB"/>
              </w:rPr>
              <w:t>377.70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MUH</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color w:val="000000"/>
                <w:sz w:val="18"/>
                <w:szCs w:val="18"/>
                <w:lang w:val="en-GB"/>
              </w:rPr>
            </w:pPr>
            <w:r w:rsidRPr="00563CF9">
              <w:rPr>
                <w:sz w:val="18"/>
                <w:lang w:val="en-GB" w:bidi="en-GB"/>
              </w:rPr>
              <w:t>911.19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BUH</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color w:val="000000"/>
                <w:sz w:val="18"/>
                <w:szCs w:val="18"/>
                <w:lang w:val="en-GB"/>
              </w:rPr>
            </w:pPr>
            <w:r w:rsidRPr="00563CF9">
              <w:rPr>
                <w:sz w:val="18"/>
                <w:lang w:val="en-GB" w:bidi="en-GB"/>
              </w:rPr>
              <w:t>533.49</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373D3">
            <w:pPr>
              <w:spacing w:before="40" w:after="40"/>
              <w:jc w:val="right"/>
              <w:rPr>
                <w:rFonts w:ascii="Calibri" w:hAnsi="Calibri" w:cs="Calibri"/>
                <w:color w:val="000000"/>
                <w:sz w:val="18"/>
                <w:szCs w:val="18"/>
                <w:lang w:val="en-GB"/>
              </w:rPr>
            </w:pPr>
            <w:r w:rsidRPr="00563CF9">
              <w:rPr>
                <w:sz w:val="18"/>
                <w:lang w:val="en-GB" w:bidi="en-GB"/>
              </w:rPr>
              <w:t>141.25</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ind w:right="-12"/>
              <w:jc w:val="right"/>
              <w:rPr>
                <w:rFonts w:ascii="Calibri" w:hAnsi="Calibri" w:cs="Calibri"/>
                <w:color w:val="000000"/>
                <w:sz w:val="18"/>
                <w:szCs w:val="18"/>
                <w:lang w:val="en-GB"/>
              </w:rPr>
            </w:pPr>
            <w:r w:rsidRPr="00563CF9">
              <w:rPr>
                <w:sz w:val="18"/>
                <w:lang w:val="en-GB" w:bidi="en-GB"/>
              </w:rPr>
              <w:t>2</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ind w:right="117"/>
              <w:jc w:val="right"/>
              <w:rPr>
                <w:rFonts w:ascii="Calibri" w:hAnsi="Calibri" w:cs="Calibri"/>
                <w:color w:val="000000"/>
                <w:sz w:val="18"/>
                <w:szCs w:val="18"/>
                <w:lang w:val="en-GB"/>
              </w:rPr>
            </w:pPr>
            <w:r w:rsidRPr="00563CF9">
              <w:rPr>
                <w:sz w:val="18"/>
                <w:lang w:val="en-GB" w:bidi="en-GB"/>
              </w:rPr>
              <w:t>2</w:t>
            </w:r>
          </w:p>
        </w:tc>
      </w:tr>
      <w:tr w:rsidR="009D6C3F" w:rsidRPr="00563CF9" w:rsidTr="009D6C3F">
        <w:trPr>
          <w:trHeight w:val="283"/>
        </w:trPr>
        <w:tc>
          <w:tcPr>
            <w:tcW w:w="794" w:type="dxa"/>
            <w:vMerge w:val="restart"/>
            <w:tcBorders>
              <w:top w:val="single" w:sz="4" w:space="0" w:color="auto"/>
              <w:left w:val="single" w:sz="4" w:space="0" w:color="auto"/>
              <w:right w:val="single" w:sz="4" w:space="0" w:color="auto"/>
            </w:tcBorders>
            <w:vAlign w:val="center"/>
          </w:tcPr>
          <w:p w:rsidR="009D6C3F" w:rsidRPr="00563CF9" w:rsidRDefault="009D6C3F" w:rsidP="009D6C3F">
            <w:pPr>
              <w:spacing w:before="40" w:after="40"/>
              <w:ind w:left="-57" w:right="-57"/>
              <w:jc w:val="center"/>
              <w:rPr>
                <w:rFonts w:cstheme="minorHAnsi"/>
                <w:color w:val="000000"/>
                <w:sz w:val="18"/>
                <w:szCs w:val="18"/>
                <w:lang w:val="en-GB"/>
              </w:rPr>
            </w:pPr>
            <w:r w:rsidRPr="00563CF9">
              <w:rPr>
                <w:sz w:val="18"/>
                <w:lang w:val="en-GB" w:bidi="en-GB"/>
              </w:rPr>
              <w:t>0072972</w:t>
            </w:r>
          </w:p>
        </w:tc>
        <w:tc>
          <w:tcPr>
            <w:tcW w:w="573"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2014</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sz w:val="18"/>
                <w:szCs w:val="18"/>
                <w:lang w:val="en-GB"/>
              </w:rPr>
            </w:pPr>
            <w:r w:rsidRPr="00563CF9">
              <w:rPr>
                <w:sz w:val="18"/>
                <w:lang w:val="en-GB" w:bidi="en-GB"/>
              </w:rPr>
              <w:t>77.91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MUH</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color w:val="000000"/>
                <w:sz w:val="18"/>
                <w:szCs w:val="18"/>
                <w:lang w:val="en-GB"/>
              </w:rPr>
            </w:pPr>
            <w:r w:rsidRPr="00563CF9">
              <w:rPr>
                <w:sz w:val="18"/>
                <w:lang w:val="en-GB" w:bidi="en-GB"/>
              </w:rPr>
              <w:t>109.25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MUH</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color w:val="000000"/>
                <w:sz w:val="18"/>
                <w:szCs w:val="18"/>
                <w:lang w:val="en-GB"/>
              </w:rPr>
            </w:pPr>
            <w:r w:rsidRPr="00563CF9">
              <w:rPr>
                <w:sz w:val="18"/>
                <w:lang w:val="en-GB" w:bidi="en-GB"/>
              </w:rPr>
              <w:t>31.34</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373D3">
            <w:pPr>
              <w:spacing w:before="40" w:after="40"/>
              <w:jc w:val="right"/>
              <w:rPr>
                <w:rFonts w:ascii="Calibri" w:hAnsi="Calibri" w:cs="Calibri"/>
                <w:color w:val="000000"/>
                <w:sz w:val="18"/>
                <w:szCs w:val="18"/>
                <w:lang w:val="en-GB"/>
              </w:rPr>
            </w:pPr>
            <w:r w:rsidRPr="00563CF9">
              <w:rPr>
                <w:sz w:val="18"/>
                <w:lang w:val="en-GB" w:bidi="en-GB"/>
              </w:rPr>
              <w:t>40.23</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ind w:right="-12"/>
              <w:jc w:val="right"/>
              <w:rPr>
                <w:rFonts w:ascii="Calibri" w:hAnsi="Calibri" w:cs="Calibri"/>
                <w:color w:val="000000"/>
                <w:sz w:val="18"/>
                <w:szCs w:val="18"/>
                <w:lang w:val="en-GB"/>
              </w:rPr>
            </w:pPr>
            <w:r w:rsidRPr="00563CF9">
              <w:rPr>
                <w:sz w:val="18"/>
                <w:lang w:val="en-GB" w:bidi="en-GB"/>
              </w:rPr>
              <w:t>2</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ind w:right="117"/>
              <w:jc w:val="right"/>
              <w:rPr>
                <w:rFonts w:ascii="Calibri" w:hAnsi="Calibri" w:cs="Calibri"/>
                <w:color w:val="000000"/>
                <w:sz w:val="18"/>
                <w:szCs w:val="18"/>
                <w:lang w:val="en-GB"/>
              </w:rPr>
            </w:pPr>
            <w:r w:rsidRPr="00563CF9">
              <w:rPr>
                <w:sz w:val="18"/>
                <w:lang w:val="en-GB" w:bidi="en-GB"/>
              </w:rPr>
              <w:t>2</w:t>
            </w:r>
          </w:p>
        </w:tc>
      </w:tr>
      <w:tr w:rsidR="009D6C3F" w:rsidRPr="00563CF9" w:rsidTr="009D6C3F">
        <w:trPr>
          <w:trHeight w:val="283"/>
        </w:trPr>
        <w:tc>
          <w:tcPr>
            <w:tcW w:w="794" w:type="dxa"/>
            <w:vMerge/>
            <w:tcBorders>
              <w:left w:val="single" w:sz="4" w:space="0" w:color="auto"/>
              <w:right w:val="single" w:sz="4" w:space="0" w:color="auto"/>
            </w:tcBorders>
            <w:vAlign w:val="center"/>
          </w:tcPr>
          <w:p w:rsidR="009D6C3F" w:rsidRPr="00563CF9" w:rsidRDefault="009D6C3F" w:rsidP="009D6C3F">
            <w:pPr>
              <w:spacing w:before="40" w:after="40"/>
              <w:ind w:left="-57" w:right="-57"/>
              <w:jc w:val="center"/>
              <w:rPr>
                <w:rFonts w:cstheme="minorHAnsi"/>
                <w:color w:val="000000"/>
                <w:sz w:val="18"/>
                <w:szCs w:val="18"/>
                <w:lang w:val="en-GB"/>
              </w:rPr>
            </w:pPr>
          </w:p>
        </w:tc>
        <w:tc>
          <w:tcPr>
            <w:tcW w:w="573"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2015</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sz w:val="18"/>
                <w:szCs w:val="18"/>
                <w:lang w:val="en-GB"/>
              </w:rPr>
            </w:pPr>
            <w:r w:rsidRPr="00563CF9">
              <w:rPr>
                <w:sz w:val="18"/>
                <w:lang w:val="en-GB" w:bidi="en-GB"/>
              </w:rPr>
              <w:t>74.53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MUH</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color w:val="000000"/>
                <w:sz w:val="18"/>
                <w:szCs w:val="18"/>
                <w:lang w:val="en-GB"/>
              </w:rPr>
            </w:pPr>
            <w:r w:rsidRPr="00563CF9">
              <w:rPr>
                <w:sz w:val="18"/>
                <w:lang w:val="en-GB" w:bidi="en-GB"/>
              </w:rPr>
              <w:t>138.60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CMH</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color w:val="000000"/>
                <w:sz w:val="18"/>
                <w:szCs w:val="18"/>
                <w:lang w:val="en-GB"/>
              </w:rPr>
            </w:pPr>
            <w:r w:rsidRPr="00563CF9">
              <w:rPr>
                <w:sz w:val="18"/>
                <w:lang w:val="en-GB" w:bidi="en-GB"/>
              </w:rPr>
              <w:t>64.07</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373D3">
            <w:pPr>
              <w:spacing w:before="40" w:after="40"/>
              <w:jc w:val="right"/>
              <w:rPr>
                <w:rFonts w:ascii="Calibri" w:hAnsi="Calibri" w:cs="Calibri"/>
                <w:color w:val="000000"/>
                <w:sz w:val="18"/>
                <w:szCs w:val="18"/>
                <w:lang w:val="en-GB"/>
              </w:rPr>
            </w:pPr>
            <w:r w:rsidRPr="00563CF9">
              <w:rPr>
                <w:sz w:val="18"/>
                <w:lang w:val="en-GB" w:bidi="en-GB"/>
              </w:rPr>
              <w:t>85.97</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ind w:right="-12"/>
              <w:jc w:val="right"/>
              <w:rPr>
                <w:rFonts w:ascii="Calibri" w:hAnsi="Calibri" w:cs="Calibri"/>
                <w:color w:val="000000"/>
                <w:sz w:val="18"/>
                <w:szCs w:val="18"/>
                <w:lang w:val="en-GB"/>
              </w:rPr>
            </w:pPr>
            <w:r w:rsidRPr="00563CF9">
              <w:rPr>
                <w:sz w:val="18"/>
                <w:lang w:val="en-GB" w:bidi="en-GB"/>
              </w:rPr>
              <w:t>3</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ind w:right="117"/>
              <w:jc w:val="right"/>
              <w:rPr>
                <w:rFonts w:ascii="Calibri" w:hAnsi="Calibri" w:cs="Calibri"/>
                <w:color w:val="000000"/>
                <w:sz w:val="18"/>
                <w:szCs w:val="18"/>
                <w:lang w:val="en-GB"/>
              </w:rPr>
            </w:pPr>
            <w:r w:rsidRPr="00563CF9">
              <w:rPr>
                <w:sz w:val="18"/>
                <w:lang w:val="en-GB" w:bidi="en-GB"/>
              </w:rPr>
              <w:t>3</w:t>
            </w:r>
          </w:p>
        </w:tc>
      </w:tr>
      <w:tr w:rsidR="009D6C3F" w:rsidRPr="00563CF9" w:rsidTr="009D6C3F">
        <w:trPr>
          <w:trHeight w:val="283"/>
        </w:trPr>
        <w:tc>
          <w:tcPr>
            <w:tcW w:w="794" w:type="dxa"/>
            <w:vMerge/>
            <w:tcBorders>
              <w:left w:val="single" w:sz="4" w:space="0" w:color="auto"/>
              <w:bottom w:val="single" w:sz="4" w:space="0" w:color="auto"/>
              <w:right w:val="single" w:sz="4" w:space="0" w:color="auto"/>
            </w:tcBorders>
            <w:vAlign w:val="center"/>
          </w:tcPr>
          <w:p w:rsidR="009D6C3F" w:rsidRPr="00563CF9" w:rsidRDefault="009D6C3F" w:rsidP="009D6C3F">
            <w:pPr>
              <w:spacing w:before="40" w:after="40"/>
              <w:ind w:left="-57" w:right="-57"/>
              <w:jc w:val="center"/>
              <w:rPr>
                <w:rFonts w:cstheme="minorHAnsi"/>
                <w:color w:val="000000"/>
                <w:sz w:val="18"/>
                <w:szCs w:val="18"/>
                <w:lang w:val="en-GB"/>
              </w:rPr>
            </w:pPr>
          </w:p>
        </w:tc>
        <w:tc>
          <w:tcPr>
            <w:tcW w:w="573"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2016</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sz w:val="18"/>
                <w:szCs w:val="18"/>
                <w:lang w:val="en-GB"/>
              </w:rPr>
            </w:pPr>
            <w:r w:rsidRPr="00563CF9">
              <w:rPr>
                <w:sz w:val="18"/>
                <w:lang w:val="en-GB" w:bidi="en-GB"/>
              </w:rPr>
              <w:t>104.21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BUH</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color w:val="000000"/>
                <w:sz w:val="18"/>
                <w:szCs w:val="18"/>
                <w:lang w:val="en-GB"/>
              </w:rPr>
            </w:pPr>
            <w:r w:rsidRPr="00563CF9">
              <w:rPr>
                <w:sz w:val="18"/>
                <w:lang w:val="en-GB" w:bidi="en-GB"/>
              </w:rPr>
              <w:t>181.50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MUH, CMH</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color w:val="000000"/>
                <w:sz w:val="18"/>
                <w:szCs w:val="18"/>
                <w:lang w:val="en-GB"/>
              </w:rPr>
            </w:pPr>
            <w:r w:rsidRPr="00563CF9">
              <w:rPr>
                <w:sz w:val="18"/>
                <w:lang w:val="en-GB" w:bidi="en-GB"/>
              </w:rPr>
              <w:t>77.29</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373D3">
            <w:pPr>
              <w:spacing w:before="40" w:after="40"/>
              <w:jc w:val="right"/>
              <w:rPr>
                <w:rFonts w:ascii="Calibri" w:hAnsi="Calibri" w:cs="Calibri"/>
                <w:color w:val="000000"/>
                <w:sz w:val="18"/>
                <w:szCs w:val="18"/>
                <w:lang w:val="en-GB"/>
              </w:rPr>
            </w:pPr>
            <w:r w:rsidRPr="00563CF9">
              <w:rPr>
                <w:sz w:val="18"/>
                <w:lang w:val="en-GB" w:bidi="en-GB"/>
              </w:rPr>
              <w:t>74.17</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ind w:right="-12"/>
              <w:jc w:val="right"/>
              <w:rPr>
                <w:rFonts w:ascii="Calibri" w:hAnsi="Calibri" w:cs="Calibri"/>
                <w:color w:val="000000"/>
                <w:sz w:val="18"/>
                <w:szCs w:val="18"/>
                <w:lang w:val="en-GB"/>
              </w:rPr>
            </w:pPr>
            <w:r w:rsidRPr="00563CF9">
              <w:rPr>
                <w:sz w:val="18"/>
                <w:lang w:val="en-GB" w:bidi="en-GB"/>
              </w:rPr>
              <w:t>3</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ind w:right="117"/>
              <w:jc w:val="right"/>
              <w:rPr>
                <w:rFonts w:ascii="Calibri" w:hAnsi="Calibri" w:cs="Calibri"/>
                <w:color w:val="000000"/>
                <w:sz w:val="18"/>
                <w:szCs w:val="18"/>
                <w:lang w:val="en-GB"/>
              </w:rPr>
            </w:pPr>
            <w:r w:rsidRPr="00563CF9">
              <w:rPr>
                <w:sz w:val="18"/>
                <w:lang w:val="en-GB" w:bidi="en-GB"/>
              </w:rPr>
              <w:t>4</w:t>
            </w:r>
          </w:p>
        </w:tc>
      </w:tr>
      <w:tr w:rsidR="009D6C3F" w:rsidRPr="00563CF9" w:rsidTr="009D6C3F">
        <w:trPr>
          <w:trHeight w:val="283"/>
        </w:trPr>
        <w:tc>
          <w:tcPr>
            <w:tcW w:w="794" w:type="dxa"/>
            <w:vMerge w:val="restart"/>
            <w:tcBorders>
              <w:top w:val="single" w:sz="4" w:space="0" w:color="auto"/>
              <w:left w:val="single" w:sz="4" w:space="0" w:color="auto"/>
              <w:right w:val="single" w:sz="4" w:space="0" w:color="auto"/>
            </w:tcBorders>
            <w:vAlign w:val="center"/>
          </w:tcPr>
          <w:p w:rsidR="009D6C3F" w:rsidRPr="00563CF9" w:rsidRDefault="009D6C3F" w:rsidP="009D6C3F">
            <w:pPr>
              <w:spacing w:before="40" w:after="40"/>
              <w:ind w:left="-57" w:right="-57"/>
              <w:jc w:val="center"/>
              <w:rPr>
                <w:rFonts w:cstheme="minorHAnsi"/>
                <w:color w:val="000000"/>
                <w:sz w:val="18"/>
                <w:szCs w:val="18"/>
                <w:lang w:val="en-GB"/>
              </w:rPr>
            </w:pPr>
            <w:r w:rsidRPr="00563CF9">
              <w:rPr>
                <w:sz w:val="18"/>
                <w:lang w:val="en-GB" w:bidi="en-GB"/>
              </w:rPr>
              <w:t>0083417</w:t>
            </w:r>
          </w:p>
        </w:tc>
        <w:tc>
          <w:tcPr>
            <w:tcW w:w="573"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2014</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sz w:val="18"/>
                <w:szCs w:val="18"/>
                <w:lang w:val="en-GB"/>
              </w:rPr>
            </w:pPr>
            <w:r w:rsidRPr="00563CF9">
              <w:rPr>
                <w:sz w:val="18"/>
                <w:lang w:val="en-GB" w:bidi="en-GB"/>
              </w:rPr>
              <w:t>2,873.85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MUH</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color w:val="000000"/>
                <w:sz w:val="18"/>
                <w:szCs w:val="18"/>
                <w:lang w:val="en-GB"/>
              </w:rPr>
            </w:pPr>
            <w:r w:rsidRPr="00563CF9">
              <w:rPr>
                <w:sz w:val="18"/>
                <w:lang w:val="en-GB" w:bidi="en-GB"/>
              </w:rPr>
              <w:t>5,666.04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MUH</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color w:val="000000"/>
                <w:sz w:val="18"/>
                <w:szCs w:val="18"/>
                <w:lang w:val="en-GB"/>
              </w:rPr>
            </w:pPr>
            <w:r w:rsidRPr="00563CF9">
              <w:rPr>
                <w:sz w:val="18"/>
                <w:lang w:val="en-GB" w:bidi="en-GB"/>
              </w:rPr>
              <w:t>2,792.19</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373D3">
            <w:pPr>
              <w:spacing w:before="40" w:after="40"/>
              <w:jc w:val="right"/>
              <w:rPr>
                <w:rFonts w:ascii="Calibri" w:hAnsi="Calibri" w:cs="Calibri"/>
                <w:color w:val="000000"/>
                <w:sz w:val="18"/>
                <w:szCs w:val="18"/>
                <w:lang w:val="en-GB"/>
              </w:rPr>
            </w:pPr>
            <w:r w:rsidRPr="00563CF9">
              <w:rPr>
                <w:sz w:val="18"/>
                <w:lang w:val="en-GB" w:bidi="en-GB"/>
              </w:rPr>
              <w:t>97.16</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ind w:right="-12"/>
              <w:jc w:val="right"/>
              <w:rPr>
                <w:rFonts w:ascii="Calibri" w:hAnsi="Calibri" w:cs="Calibri"/>
                <w:color w:val="000000"/>
                <w:sz w:val="18"/>
                <w:szCs w:val="18"/>
                <w:lang w:val="en-GB"/>
              </w:rPr>
            </w:pPr>
            <w:r w:rsidRPr="00563CF9">
              <w:rPr>
                <w:sz w:val="18"/>
                <w:lang w:val="en-GB" w:bidi="en-GB"/>
              </w:rPr>
              <w:t>2</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ind w:right="117"/>
              <w:jc w:val="right"/>
              <w:rPr>
                <w:rFonts w:ascii="Calibri" w:hAnsi="Calibri" w:cs="Calibri"/>
                <w:color w:val="000000"/>
                <w:sz w:val="18"/>
                <w:szCs w:val="18"/>
                <w:lang w:val="en-GB"/>
              </w:rPr>
            </w:pPr>
            <w:r w:rsidRPr="00563CF9">
              <w:rPr>
                <w:sz w:val="18"/>
                <w:lang w:val="en-GB" w:bidi="en-GB"/>
              </w:rPr>
              <w:t>3</w:t>
            </w:r>
          </w:p>
        </w:tc>
      </w:tr>
      <w:tr w:rsidR="009D6C3F" w:rsidRPr="00563CF9" w:rsidTr="009D6C3F">
        <w:trPr>
          <w:trHeight w:val="283"/>
        </w:trPr>
        <w:tc>
          <w:tcPr>
            <w:tcW w:w="794" w:type="dxa"/>
            <w:vMerge/>
            <w:tcBorders>
              <w:left w:val="single" w:sz="4" w:space="0" w:color="auto"/>
              <w:right w:val="single" w:sz="4" w:space="0" w:color="auto"/>
            </w:tcBorders>
            <w:vAlign w:val="center"/>
          </w:tcPr>
          <w:p w:rsidR="009D6C3F" w:rsidRPr="00563CF9" w:rsidRDefault="009D6C3F" w:rsidP="009D6C3F">
            <w:pPr>
              <w:spacing w:before="40" w:after="40"/>
              <w:ind w:left="-57" w:right="-57"/>
              <w:jc w:val="center"/>
              <w:rPr>
                <w:rFonts w:cstheme="minorHAnsi"/>
                <w:color w:val="000000"/>
                <w:sz w:val="18"/>
                <w:szCs w:val="18"/>
                <w:lang w:val="en-GB"/>
              </w:rPr>
            </w:pPr>
          </w:p>
        </w:tc>
        <w:tc>
          <w:tcPr>
            <w:tcW w:w="573"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2015</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sz w:val="18"/>
                <w:szCs w:val="18"/>
                <w:lang w:val="en-GB"/>
              </w:rPr>
            </w:pPr>
            <w:r w:rsidRPr="00563CF9">
              <w:rPr>
                <w:sz w:val="18"/>
                <w:lang w:val="en-GB" w:bidi="en-GB"/>
              </w:rPr>
              <w:t>2,748.90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MUH</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color w:val="000000"/>
                <w:sz w:val="18"/>
                <w:szCs w:val="18"/>
                <w:lang w:val="en-GB"/>
              </w:rPr>
            </w:pPr>
            <w:r w:rsidRPr="00563CF9">
              <w:rPr>
                <w:sz w:val="18"/>
                <w:lang w:val="en-GB" w:bidi="en-GB"/>
              </w:rPr>
              <w:t>3,780.55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BUH</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color w:val="000000"/>
                <w:sz w:val="18"/>
                <w:szCs w:val="18"/>
                <w:lang w:val="en-GB"/>
              </w:rPr>
            </w:pPr>
            <w:r w:rsidRPr="00563CF9">
              <w:rPr>
                <w:sz w:val="18"/>
                <w:lang w:val="en-GB" w:bidi="en-GB"/>
              </w:rPr>
              <w:t>1,031.65</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373D3">
            <w:pPr>
              <w:spacing w:before="40" w:after="40"/>
              <w:jc w:val="right"/>
              <w:rPr>
                <w:rFonts w:ascii="Calibri" w:hAnsi="Calibri" w:cs="Calibri"/>
                <w:color w:val="000000"/>
                <w:sz w:val="18"/>
                <w:szCs w:val="18"/>
                <w:lang w:val="en-GB"/>
              </w:rPr>
            </w:pPr>
            <w:r w:rsidRPr="00563CF9">
              <w:rPr>
                <w:sz w:val="18"/>
                <w:lang w:val="en-GB" w:bidi="en-GB"/>
              </w:rPr>
              <w:t>37.53</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ind w:right="-12"/>
              <w:jc w:val="right"/>
              <w:rPr>
                <w:rFonts w:ascii="Calibri" w:hAnsi="Calibri" w:cs="Calibri"/>
                <w:color w:val="000000"/>
                <w:sz w:val="18"/>
                <w:szCs w:val="18"/>
                <w:lang w:val="en-GB"/>
              </w:rPr>
            </w:pPr>
            <w:r w:rsidRPr="00563CF9">
              <w:rPr>
                <w:sz w:val="18"/>
                <w:lang w:val="en-GB" w:bidi="en-GB"/>
              </w:rPr>
              <w:t>2</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ind w:right="117"/>
              <w:jc w:val="right"/>
              <w:rPr>
                <w:rFonts w:ascii="Calibri" w:hAnsi="Calibri" w:cs="Calibri"/>
                <w:color w:val="000000"/>
                <w:sz w:val="18"/>
                <w:szCs w:val="18"/>
                <w:lang w:val="en-GB"/>
              </w:rPr>
            </w:pPr>
            <w:r w:rsidRPr="00563CF9">
              <w:rPr>
                <w:sz w:val="18"/>
                <w:lang w:val="en-GB" w:bidi="en-GB"/>
              </w:rPr>
              <w:t>3</w:t>
            </w:r>
          </w:p>
        </w:tc>
      </w:tr>
      <w:tr w:rsidR="009D6C3F" w:rsidRPr="00563CF9" w:rsidTr="009D6C3F">
        <w:trPr>
          <w:trHeight w:val="283"/>
        </w:trPr>
        <w:tc>
          <w:tcPr>
            <w:tcW w:w="794" w:type="dxa"/>
            <w:vMerge/>
            <w:tcBorders>
              <w:left w:val="single" w:sz="4" w:space="0" w:color="auto"/>
              <w:bottom w:val="single" w:sz="4" w:space="0" w:color="auto"/>
              <w:right w:val="single" w:sz="4" w:space="0" w:color="auto"/>
            </w:tcBorders>
            <w:vAlign w:val="center"/>
          </w:tcPr>
          <w:p w:rsidR="009D6C3F" w:rsidRPr="00563CF9" w:rsidRDefault="009D6C3F" w:rsidP="009D6C3F">
            <w:pPr>
              <w:spacing w:before="40" w:after="40"/>
              <w:ind w:left="-57" w:right="-57"/>
              <w:jc w:val="center"/>
              <w:rPr>
                <w:rFonts w:cstheme="minorHAnsi"/>
                <w:color w:val="000000"/>
                <w:sz w:val="18"/>
                <w:szCs w:val="18"/>
                <w:lang w:val="en-GB"/>
              </w:rPr>
            </w:pPr>
          </w:p>
        </w:tc>
        <w:tc>
          <w:tcPr>
            <w:tcW w:w="573"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2016</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sz w:val="18"/>
                <w:szCs w:val="18"/>
                <w:lang w:val="en-GB"/>
              </w:rPr>
            </w:pPr>
            <w:r w:rsidRPr="00563CF9">
              <w:rPr>
                <w:sz w:val="18"/>
                <w:lang w:val="en-GB" w:bidi="en-GB"/>
              </w:rPr>
              <w:t>2,748.90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MUH</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color w:val="000000"/>
                <w:sz w:val="18"/>
                <w:szCs w:val="18"/>
                <w:lang w:val="en-GB"/>
              </w:rPr>
            </w:pPr>
            <w:r w:rsidRPr="00563CF9">
              <w:rPr>
                <w:sz w:val="18"/>
                <w:lang w:val="en-GB" w:bidi="en-GB"/>
              </w:rPr>
              <w:t>5,356.42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MUH</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color w:val="000000"/>
                <w:sz w:val="18"/>
                <w:szCs w:val="18"/>
                <w:lang w:val="en-GB"/>
              </w:rPr>
            </w:pPr>
            <w:r w:rsidRPr="00563CF9">
              <w:rPr>
                <w:sz w:val="18"/>
                <w:lang w:val="en-GB" w:bidi="en-GB"/>
              </w:rPr>
              <w:t>2,607.52</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373D3">
            <w:pPr>
              <w:spacing w:before="40" w:after="40"/>
              <w:jc w:val="right"/>
              <w:rPr>
                <w:rFonts w:ascii="Calibri" w:hAnsi="Calibri" w:cs="Calibri"/>
                <w:color w:val="000000"/>
                <w:sz w:val="18"/>
                <w:szCs w:val="18"/>
                <w:lang w:val="en-GB"/>
              </w:rPr>
            </w:pPr>
            <w:r w:rsidRPr="00563CF9">
              <w:rPr>
                <w:sz w:val="18"/>
                <w:lang w:val="en-GB" w:bidi="en-GB"/>
              </w:rPr>
              <w:t>94.86</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ind w:right="-12"/>
              <w:jc w:val="right"/>
              <w:rPr>
                <w:rFonts w:ascii="Calibri" w:hAnsi="Calibri" w:cs="Calibri"/>
                <w:color w:val="000000"/>
                <w:sz w:val="18"/>
                <w:szCs w:val="18"/>
                <w:lang w:val="en-GB"/>
              </w:rPr>
            </w:pPr>
            <w:r w:rsidRPr="00563CF9">
              <w:rPr>
                <w:sz w:val="18"/>
                <w:lang w:val="en-GB" w:bidi="en-GB"/>
              </w:rPr>
              <w:t>3</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ind w:right="117"/>
              <w:jc w:val="right"/>
              <w:rPr>
                <w:rFonts w:ascii="Calibri" w:hAnsi="Calibri" w:cs="Calibri"/>
                <w:color w:val="000000"/>
                <w:sz w:val="18"/>
                <w:szCs w:val="18"/>
                <w:lang w:val="en-GB"/>
              </w:rPr>
            </w:pPr>
            <w:r w:rsidRPr="00563CF9">
              <w:rPr>
                <w:sz w:val="18"/>
                <w:lang w:val="en-GB" w:bidi="en-GB"/>
              </w:rPr>
              <w:t>4</w:t>
            </w:r>
          </w:p>
        </w:tc>
      </w:tr>
      <w:tr w:rsidR="009D6C3F" w:rsidRPr="00563CF9" w:rsidTr="009D6C3F">
        <w:trPr>
          <w:trHeight w:val="283"/>
        </w:trPr>
        <w:tc>
          <w:tcPr>
            <w:tcW w:w="794" w:type="dxa"/>
            <w:vMerge w:val="restart"/>
            <w:tcBorders>
              <w:top w:val="single" w:sz="4" w:space="0" w:color="auto"/>
              <w:left w:val="single" w:sz="4" w:space="0" w:color="auto"/>
              <w:right w:val="single" w:sz="4" w:space="0" w:color="auto"/>
            </w:tcBorders>
            <w:vAlign w:val="center"/>
          </w:tcPr>
          <w:p w:rsidR="009D6C3F" w:rsidRPr="00563CF9" w:rsidRDefault="009D6C3F" w:rsidP="009D6C3F">
            <w:pPr>
              <w:spacing w:before="40" w:after="40"/>
              <w:ind w:left="-57" w:right="-57"/>
              <w:jc w:val="center"/>
              <w:rPr>
                <w:rFonts w:cstheme="minorHAnsi"/>
                <w:color w:val="000000"/>
                <w:sz w:val="18"/>
                <w:szCs w:val="18"/>
                <w:lang w:val="en-GB"/>
              </w:rPr>
            </w:pPr>
            <w:r w:rsidRPr="00563CF9">
              <w:rPr>
                <w:sz w:val="18"/>
                <w:lang w:val="en-GB" w:bidi="en-GB"/>
              </w:rPr>
              <w:t>0087200</w:t>
            </w:r>
          </w:p>
        </w:tc>
        <w:tc>
          <w:tcPr>
            <w:tcW w:w="573"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2014</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sz w:val="18"/>
                <w:szCs w:val="18"/>
                <w:lang w:val="en-GB"/>
              </w:rPr>
            </w:pPr>
            <w:r w:rsidRPr="00563CF9">
              <w:rPr>
                <w:sz w:val="18"/>
                <w:lang w:val="en-GB" w:bidi="en-GB"/>
              </w:rPr>
              <w:t>532.74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BUH</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color w:val="000000"/>
                <w:sz w:val="18"/>
                <w:szCs w:val="18"/>
                <w:lang w:val="en-GB"/>
              </w:rPr>
            </w:pPr>
            <w:r w:rsidRPr="00563CF9">
              <w:rPr>
                <w:sz w:val="18"/>
                <w:lang w:val="en-GB" w:bidi="en-GB"/>
              </w:rPr>
              <w:t>633.97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BUH</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color w:val="000000"/>
                <w:sz w:val="18"/>
                <w:szCs w:val="18"/>
                <w:lang w:val="en-GB"/>
              </w:rPr>
            </w:pPr>
            <w:r w:rsidRPr="00563CF9">
              <w:rPr>
                <w:sz w:val="18"/>
                <w:lang w:val="en-GB" w:bidi="en-GB"/>
              </w:rPr>
              <w:t>101.23</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373D3">
            <w:pPr>
              <w:spacing w:before="40" w:after="40"/>
              <w:jc w:val="right"/>
              <w:rPr>
                <w:rFonts w:ascii="Calibri" w:hAnsi="Calibri" w:cs="Calibri"/>
                <w:color w:val="000000"/>
                <w:sz w:val="18"/>
                <w:szCs w:val="18"/>
                <w:lang w:val="en-GB"/>
              </w:rPr>
            </w:pPr>
            <w:r w:rsidRPr="00563CF9">
              <w:rPr>
                <w:sz w:val="18"/>
                <w:lang w:val="en-GB" w:bidi="en-GB"/>
              </w:rPr>
              <w:t>19.00</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ind w:right="-12"/>
              <w:jc w:val="right"/>
              <w:rPr>
                <w:rFonts w:ascii="Calibri" w:hAnsi="Calibri" w:cs="Calibri"/>
                <w:color w:val="000000"/>
                <w:sz w:val="18"/>
                <w:szCs w:val="18"/>
                <w:lang w:val="en-GB"/>
              </w:rPr>
            </w:pPr>
            <w:r w:rsidRPr="00563CF9">
              <w:rPr>
                <w:sz w:val="18"/>
                <w:lang w:val="en-GB" w:bidi="en-GB"/>
              </w:rPr>
              <w:t>2</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ind w:right="117"/>
              <w:jc w:val="right"/>
              <w:rPr>
                <w:rFonts w:ascii="Calibri" w:hAnsi="Calibri" w:cs="Calibri"/>
                <w:color w:val="000000"/>
                <w:sz w:val="18"/>
                <w:szCs w:val="18"/>
                <w:lang w:val="en-GB"/>
              </w:rPr>
            </w:pPr>
            <w:r w:rsidRPr="00563CF9">
              <w:rPr>
                <w:sz w:val="18"/>
                <w:lang w:val="en-GB" w:bidi="en-GB"/>
              </w:rPr>
              <w:t>3</w:t>
            </w:r>
          </w:p>
        </w:tc>
      </w:tr>
      <w:tr w:rsidR="009D6C3F" w:rsidRPr="00563CF9" w:rsidTr="009D6C3F">
        <w:trPr>
          <w:trHeight w:val="283"/>
        </w:trPr>
        <w:tc>
          <w:tcPr>
            <w:tcW w:w="794" w:type="dxa"/>
            <w:vMerge/>
            <w:tcBorders>
              <w:left w:val="single" w:sz="4" w:space="0" w:color="auto"/>
              <w:right w:val="single" w:sz="4" w:space="0" w:color="auto"/>
            </w:tcBorders>
            <w:vAlign w:val="center"/>
          </w:tcPr>
          <w:p w:rsidR="009D6C3F" w:rsidRPr="00563CF9" w:rsidRDefault="009D6C3F" w:rsidP="009D6C3F">
            <w:pPr>
              <w:spacing w:before="40" w:after="40"/>
              <w:ind w:left="-57" w:right="-57"/>
              <w:jc w:val="center"/>
              <w:rPr>
                <w:rFonts w:cstheme="minorHAnsi"/>
                <w:color w:val="000000"/>
                <w:sz w:val="18"/>
                <w:szCs w:val="18"/>
                <w:lang w:val="en-GB"/>
              </w:rPr>
            </w:pPr>
          </w:p>
        </w:tc>
        <w:tc>
          <w:tcPr>
            <w:tcW w:w="573"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2015</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sz w:val="18"/>
                <w:szCs w:val="18"/>
                <w:lang w:val="en-GB"/>
              </w:rPr>
            </w:pPr>
            <w:r w:rsidRPr="00563CF9">
              <w:rPr>
                <w:sz w:val="18"/>
                <w:lang w:val="en-GB" w:bidi="en-GB"/>
              </w:rPr>
              <w:t>513.89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BUH</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color w:val="000000"/>
                <w:sz w:val="18"/>
                <w:szCs w:val="18"/>
                <w:lang w:val="en-GB"/>
              </w:rPr>
            </w:pPr>
            <w:r w:rsidRPr="00563CF9">
              <w:rPr>
                <w:sz w:val="18"/>
                <w:lang w:val="en-GB" w:bidi="en-GB"/>
              </w:rPr>
              <w:t>605.23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BUH</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color w:val="000000"/>
                <w:sz w:val="18"/>
                <w:szCs w:val="18"/>
                <w:lang w:val="en-GB"/>
              </w:rPr>
            </w:pPr>
            <w:r w:rsidRPr="00563CF9">
              <w:rPr>
                <w:sz w:val="18"/>
                <w:lang w:val="en-GB" w:bidi="en-GB"/>
              </w:rPr>
              <w:t>91.34</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373D3">
            <w:pPr>
              <w:spacing w:before="40" w:after="40"/>
              <w:jc w:val="right"/>
              <w:rPr>
                <w:rFonts w:ascii="Calibri" w:hAnsi="Calibri" w:cs="Calibri"/>
                <w:color w:val="000000"/>
                <w:sz w:val="18"/>
                <w:szCs w:val="18"/>
                <w:lang w:val="en-GB"/>
              </w:rPr>
            </w:pPr>
            <w:r w:rsidRPr="00563CF9">
              <w:rPr>
                <w:sz w:val="18"/>
                <w:lang w:val="en-GB" w:bidi="en-GB"/>
              </w:rPr>
              <w:t>17.77</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ind w:right="-12"/>
              <w:jc w:val="right"/>
              <w:rPr>
                <w:rFonts w:ascii="Calibri" w:hAnsi="Calibri" w:cs="Calibri"/>
                <w:color w:val="000000"/>
                <w:sz w:val="18"/>
                <w:szCs w:val="18"/>
                <w:lang w:val="en-GB"/>
              </w:rPr>
            </w:pPr>
            <w:r w:rsidRPr="00563CF9">
              <w:rPr>
                <w:sz w:val="18"/>
                <w:lang w:val="en-GB" w:bidi="en-GB"/>
              </w:rPr>
              <w:t>2</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ind w:right="117"/>
              <w:jc w:val="right"/>
              <w:rPr>
                <w:rFonts w:ascii="Calibri" w:hAnsi="Calibri" w:cs="Calibri"/>
                <w:color w:val="000000"/>
                <w:sz w:val="18"/>
                <w:szCs w:val="18"/>
                <w:lang w:val="en-GB"/>
              </w:rPr>
            </w:pPr>
            <w:r w:rsidRPr="00563CF9">
              <w:rPr>
                <w:sz w:val="18"/>
                <w:lang w:val="en-GB" w:bidi="en-GB"/>
              </w:rPr>
              <w:t>4</w:t>
            </w:r>
          </w:p>
        </w:tc>
      </w:tr>
      <w:tr w:rsidR="009D6C3F" w:rsidRPr="00563CF9" w:rsidTr="009D6C3F">
        <w:trPr>
          <w:trHeight w:val="283"/>
        </w:trPr>
        <w:tc>
          <w:tcPr>
            <w:tcW w:w="794" w:type="dxa"/>
            <w:vMerge/>
            <w:tcBorders>
              <w:left w:val="single" w:sz="4" w:space="0" w:color="auto"/>
              <w:bottom w:val="single" w:sz="4" w:space="0" w:color="auto"/>
              <w:right w:val="single" w:sz="4" w:space="0" w:color="auto"/>
            </w:tcBorders>
            <w:vAlign w:val="center"/>
          </w:tcPr>
          <w:p w:rsidR="009D6C3F" w:rsidRPr="00563CF9" w:rsidRDefault="009D6C3F" w:rsidP="009D6C3F">
            <w:pPr>
              <w:spacing w:before="40" w:after="40"/>
              <w:ind w:left="-57" w:right="-57"/>
              <w:jc w:val="center"/>
              <w:rPr>
                <w:rFonts w:cstheme="minorHAnsi"/>
                <w:color w:val="000000"/>
                <w:sz w:val="18"/>
                <w:szCs w:val="18"/>
                <w:lang w:val="en-GB"/>
              </w:rPr>
            </w:pPr>
          </w:p>
        </w:tc>
        <w:tc>
          <w:tcPr>
            <w:tcW w:w="573"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2016</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sz w:val="18"/>
                <w:szCs w:val="18"/>
                <w:lang w:val="en-GB"/>
              </w:rPr>
            </w:pPr>
            <w:r w:rsidRPr="00563CF9">
              <w:rPr>
                <w:sz w:val="18"/>
                <w:lang w:val="en-GB" w:bidi="en-GB"/>
              </w:rPr>
              <w:t>507.87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CMH</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color w:val="000000"/>
                <w:sz w:val="18"/>
                <w:szCs w:val="18"/>
                <w:lang w:val="en-GB"/>
              </w:rPr>
            </w:pPr>
            <w:r w:rsidRPr="00563CF9">
              <w:rPr>
                <w:sz w:val="18"/>
                <w:lang w:val="en-GB" w:bidi="en-GB"/>
              </w:rPr>
              <w:t>605.23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BUH</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color w:val="000000"/>
                <w:sz w:val="18"/>
                <w:szCs w:val="18"/>
                <w:lang w:val="en-GB"/>
              </w:rPr>
            </w:pPr>
            <w:r w:rsidRPr="00563CF9">
              <w:rPr>
                <w:sz w:val="18"/>
                <w:lang w:val="en-GB" w:bidi="en-GB"/>
              </w:rPr>
              <w:t>97.36</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373D3">
            <w:pPr>
              <w:spacing w:before="40" w:after="40"/>
              <w:jc w:val="right"/>
              <w:rPr>
                <w:rFonts w:ascii="Calibri" w:hAnsi="Calibri" w:cs="Calibri"/>
                <w:color w:val="000000"/>
                <w:sz w:val="18"/>
                <w:szCs w:val="18"/>
                <w:lang w:val="en-GB"/>
              </w:rPr>
            </w:pPr>
            <w:r w:rsidRPr="00563CF9">
              <w:rPr>
                <w:sz w:val="18"/>
                <w:lang w:val="en-GB" w:bidi="en-GB"/>
              </w:rPr>
              <w:t>19.17</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ind w:right="-12"/>
              <w:jc w:val="right"/>
              <w:rPr>
                <w:rFonts w:ascii="Calibri" w:hAnsi="Calibri" w:cs="Calibri"/>
                <w:color w:val="000000"/>
                <w:sz w:val="18"/>
                <w:szCs w:val="18"/>
                <w:lang w:val="en-GB"/>
              </w:rPr>
            </w:pPr>
            <w:r w:rsidRPr="00563CF9">
              <w:rPr>
                <w:sz w:val="18"/>
                <w:lang w:val="en-GB" w:bidi="en-GB"/>
              </w:rPr>
              <w:t>3</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ind w:right="117"/>
              <w:jc w:val="right"/>
              <w:rPr>
                <w:rFonts w:ascii="Calibri" w:hAnsi="Calibri" w:cs="Calibri"/>
                <w:color w:val="000000"/>
                <w:sz w:val="18"/>
                <w:szCs w:val="18"/>
                <w:lang w:val="en-GB"/>
              </w:rPr>
            </w:pPr>
            <w:r w:rsidRPr="00563CF9">
              <w:rPr>
                <w:sz w:val="18"/>
                <w:lang w:val="en-GB" w:bidi="en-GB"/>
              </w:rPr>
              <w:t>3</w:t>
            </w:r>
          </w:p>
        </w:tc>
      </w:tr>
      <w:tr w:rsidR="009D6C3F" w:rsidRPr="00563CF9" w:rsidTr="009D6C3F">
        <w:trPr>
          <w:trHeight w:val="283"/>
        </w:trPr>
        <w:tc>
          <w:tcPr>
            <w:tcW w:w="794" w:type="dxa"/>
            <w:vMerge w:val="restart"/>
            <w:tcBorders>
              <w:top w:val="single" w:sz="4" w:space="0" w:color="auto"/>
              <w:left w:val="single" w:sz="4" w:space="0" w:color="auto"/>
              <w:right w:val="single" w:sz="4" w:space="0" w:color="auto"/>
            </w:tcBorders>
            <w:vAlign w:val="center"/>
          </w:tcPr>
          <w:p w:rsidR="009D6C3F" w:rsidRPr="00563CF9" w:rsidRDefault="009D6C3F" w:rsidP="009D6C3F">
            <w:pPr>
              <w:spacing w:before="40" w:after="40"/>
              <w:ind w:left="-57" w:right="-57"/>
              <w:jc w:val="center"/>
              <w:rPr>
                <w:rFonts w:cstheme="minorHAnsi"/>
                <w:color w:val="000000"/>
                <w:sz w:val="18"/>
                <w:szCs w:val="18"/>
                <w:lang w:val="en-GB"/>
              </w:rPr>
            </w:pPr>
            <w:r w:rsidRPr="00563CF9">
              <w:rPr>
                <w:sz w:val="18"/>
                <w:lang w:val="en-GB" w:bidi="en-GB"/>
              </w:rPr>
              <w:t>0092359</w:t>
            </w:r>
          </w:p>
        </w:tc>
        <w:tc>
          <w:tcPr>
            <w:tcW w:w="573"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2014</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sz w:val="18"/>
                <w:szCs w:val="18"/>
                <w:lang w:val="en-GB"/>
              </w:rPr>
            </w:pPr>
            <w:r w:rsidRPr="00563CF9">
              <w:rPr>
                <w:sz w:val="18"/>
                <w:lang w:val="en-GB" w:bidi="en-GB"/>
              </w:rPr>
              <w:t>36.93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CMH</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color w:val="000000"/>
                <w:sz w:val="18"/>
                <w:szCs w:val="18"/>
                <w:lang w:val="en-GB"/>
              </w:rPr>
            </w:pPr>
            <w:r w:rsidRPr="00563CF9">
              <w:rPr>
                <w:sz w:val="18"/>
                <w:lang w:val="en-GB" w:bidi="en-GB"/>
              </w:rPr>
              <w:t>37.70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BUH</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color w:val="000000"/>
                <w:sz w:val="18"/>
                <w:szCs w:val="18"/>
                <w:lang w:val="en-GB"/>
              </w:rPr>
            </w:pPr>
            <w:r w:rsidRPr="00563CF9">
              <w:rPr>
                <w:sz w:val="18"/>
                <w:lang w:val="en-GB" w:bidi="en-GB"/>
              </w:rPr>
              <w:t>0.77</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373D3">
            <w:pPr>
              <w:spacing w:before="40" w:after="40"/>
              <w:jc w:val="right"/>
              <w:rPr>
                <w:rFonts w:ascii="Calibri" w:hAnsi="Calibri" w:cs="Calibri"/>
                <w:color w:val="000000"/>
                <w:sz w:val="18"/>
                <w:szCs w:val="18"/>
                <w:lang w:val="en-GB"/>
              </w:rPr>
            </w:pPr>
            <w:r w:rsidRPr="00563CF9">
              <w:rPr>
                <w:sz w:val="18"/>
                <w:lang w:val="en-GB" w:bidi="en-GB"/>
              </w:rPr>
              <w:t>2.08</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ind w:right="-12"/>
              <w:jc w:val="right"/>
              <w:rPr>
                <w:rFonts w:ascii="Calibri" w:hAnsi="Calibri" w:cs="Calibri"/>
                <w:color w:val="000000"/>
                <w:sz w:val="18"/>
                <w:szCs w:val="18"/>
                <w:lang w:val="en-GB"/>
              </w:rPr>
            </w:pPr>
            <w:r w:rsidRPr="00563CF9">
              <w:rPr>
                <w:sz w:val="18"/>
                <w:lang w:val="en-GB" w:bidi="en-GB"/>
              </w:rPr>
              <w:t>3</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ind w:right="117"/>
              <w:jc w:val="right"/>
              <w:rPr>
                <w:rFonts w:ascii="Calibri" w:hAnsi="Calibri" w:cs="Calibri"/>
                <w:color w:val="000000"/>
                <w:sz w:val="18"/>
                <w:szCs w:val="18"/>
                <w:lang w:val="en-GB"/>
              </w:rPr>
            </w:pPr>
            <w:r w:rsidRPr="00563CF9">
              <w:rPr>
                <w:sz w:val="18"/>
                <w:lang w:val="en-GB" w:bidi="en-GB"/>
              </w:rPr>
              <w:t>4</w:t>
            </w:r>
          </w:p>
        </w:tc>
      </w:tr>
      <w:tr w:rsidR="009D6C3F" w:rsidRPr="00563CF9" w:rsidTr="009D6C3F">
        <w:trPr>
          <w:trHeight w:val="283"/>
        </w:trPr>
        <w:tc>
          <w:tcPr>
            <w:tcW w:w="794" w:type="dxa"/>
            <w:vMerge/>
            <w:tcBorders>
              <w:left w:val="single" w:sz="4" w:space="0" w:color="auto"/>
              <w:right w:val="single" w:sz="4" w:space="0" w:color="auto"/>
            </w:tcBorders>
            <w:vAlign w:val="center"/>
          </w:tcPr>
          <w:p w:rsidR="009D6C3F" w:rsidRPr="00563CF9" w:rsidRDefault="009D6C3F" w:rsidP="009D6C3F">
            <w:pPr>
              <w:spacing w:before="40" w:after="40"/>
              <w:ind w:left="-57" w:right="-57"/>
              <w:jc w:val="center"/>
              <w:rPr>
                <w:rFonts w:cstheme="minorHAnsi"/>
                <w:color w:val="000000"/>
                <w:sz w:val="18"/>
                <w:szCs w:val="18"/>
                <w:lang w:val="en-GB"/>
              </w:rPr>
            </w:pPr>
          </w:p>
        </w:tc>
        <w:tc>
          <w:tcPr>
            <w:tcW w:w="573"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2015</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sz w:val="18"/>
                <w:szCs w:val="18"/>
                <w:lang w:val="en-GB"/>
              </w:rPr>
            </w:pPr>
            <w:r w:rsidRPr="00563CF9">
              <w:rPr>
                <w:sz w:val="18"/>
                <w:lang w:val="en-GB" w:bidi="en-GB"/>
              </w:rPr>
              <w:t>35.37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CMH</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color w:val="000000"/>
                <w:sz w:val="18"/>
                <w:szCs w:val="18"/>
                <w:lang w:val="en-GB"/>
              </w:rPr>
            </w:pPr>
            <w:r w:rsidRPr="00563CF9">
              <w:rPr>
                <w:sz w:val="18"/>
                <w:lang w:val="en-GB" w:bidi="en-GB"/>
              </w:rPr>
              <w:t>35.98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BUH</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color w:val="000000"/>
                <w:sz w:val="18"/>
                <w:szCs w:val="18"/>
                <w:lang w:val="en-GB"/>
              </w:rPr>
            </w:pPr>
            <w:r w:rsidRPr="00563CF9">
              <w:rPr>
                <w:sz w:val="18"/>
                <w:lang w:val="en-GB" w:bidi="en-GB"/>
              </w:rPr>
              <w:t>0.61</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373D3">
            <w:pPr>
              <w:spacing w:before="40" w:after="40"/>
              <w:jc w:val="right"/>
              <w:rPr>
                <w:rFonts w:ascii="Calibri" w:hAnsi="Calibri" w:cs="Calibri"/>
                <w:color w:val="000000"/>
                <w:sz w:val="18"/>
                <w:szCs w:val="18"/>
                <w:lang w:val="en-GB"/>
              </w:rPr>
            </w:pPr>
            <w:r w:rsidRPr="00563CF9">
              <w:rPr>
                <w:sz w:val="18"/>
                <w:lang w:val="en-GB" w:bidi="en-GB"/>
              </w:rPr>
              <w:t>1.72</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ind w:right="-12"/>
              <w:jc w:val="right"/>
              <w:rPr>
                <w:rFonts w:ascii="Calibri" w:hAnsi="Calibri" w:cs="Calibri"/>
                <w:color w:val="000000"/>
                <w:sz w:val="18"/>
                <w:szCs w:val="18"/>
                <w:lang w:val="en-GB"/>
              </w:rPr>
            </w:pPr>
            <w:r w:rsidRPr="00563CF9">
              <w:rPr>
                <w:sz w:val="18"/>
                <w:lang w:val="en-GB" w:bidi="en-GB"/>
              </w:rPr>
              <w:t>3</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ind w:right="117"/>
              <w:jc w:val="right"/>
              <w:rPr>
                <w:rFonts w:ascii="Calibri" w:hAnsi="Calibri" w:cs="Calibri"/>
                <w:color w:val="000000"/>
                <w:sz w:val="18"/>
                <w:szCs w:val="18"/>
                <w:lang w:val="en-GB"/>
              </w:rPr>
            </w:pPr>
            <w:r w:rsidRPr="00563CF9">
              <w:rPr>
                <w:sz w:val="18"/>
                <w:lang w:val="en-GB" w:bidi="en-GB"/>
              </w:rPr>
              <w:t>4</w:t>
            </w:r>
          </w:p>
        </w:tc>
      </w:tr>
      <w:tr w:rsidR="009D6C3F" w:rsidRPr="00563CF9" w:rsidTr="009D6C3F">
        <w:trPr>
          <w:trHeight w:val="283"/>
        </w:trPr>
        <w:tc>
          <w:tcPr>
            <w:tcW w:w="794" w:type="dxa"/>
            <w:vMerge/>
            <w:tcBorders>
              <w:left w:val="single" w:sz="4" w:space="0" w:color="auto"/>
              <w:bottom w:val="single" w:sz="4" w:space="0" w:color="auto"/>
              <w:right w:val="single" w:sz="4" w:space="0" w:color="auto"/>
            </w:tcBorders>
            <w:vAlign w:val="center"/>
          </w:tcPr>
          <w:p w:rsidR="009D6C3F" w:rsidRPr="00563CF9" w:rsidRDefault="009D6C3F" w:rsidP="009D6C3F">
            <w:pPr>
              <w:spacing w:before="40" w:after="40"/>
              <w:ind w:left="-57" w:right="-57"/>
              <w:jc w:val="center"/>
              <w:rPr>
                <w:rFonts w:cstheme="minorHAnsi"/>
                <w:color w:val="000000"/>
                <w:sz w:val="18"/>
                <w:szCs w:val="18"/>
                <w:lang w:val="en-GB"/>
              </w:rPr>
            </w:pPr>
          </w:p>
        </w:tc>
        <w:tc>
          <w:tcPr>
            <w:tcW w:w="573"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2016</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sz w:val="18"/>
                <w:szCs w:val="18"/>
                <w:lang w:val="en-GB"/>
              </w:rPr>
            </w:pPr>
            <w:r w:rsidRPr="00563CF9">
              <w:rPr>
                <w:sz w:val="18"/>
                <w:lang w:val="en-GB" w:bidi="en-GB"/>
              </w:rPr>
              <w:t>35.37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CMH</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color w:val="000000"/>
                <w:sz w:val="18"/>
                <w:szCs w:val="18"/>
                <w:lang w:val="en-GB"/>
              </w:rPr>
            </w:pPr>
            <w:r w:rsidRPr="00563CF9">
              <w:rPr>
                <w:sz w:val="18"/>
                <w:lang w:val="en-GB" w:bidi="en-GB"/>
              </w:rPr>
              <w:t>35.77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BUH</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color w:val="000000"/>
                <w:sz w:val="18"/>
                <w:szCs w:val="18"/>
                <w:lang w:val="en-GB"/>
              </w:rPr>
            </w:pPr>
            <w:r w:rsidRPr="00563CF9">
              <w:rPr>
                <w:sz w:val="18"/>
                <w:lang w:val="en-GB" w:bidi="en-GB"/>
              </w:rPr>
              <w:t>0.40</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373D3">
            <w:pPr>
              <w:spacing w:before="40" w:after="40"/>
              <w:jc w:val="right"/>
              <w:rPr>
                <w:rFonts w:ascii="Calibri" w:hAnsi="Calibri" w:cs="Calibri"/>
                <w:color w:val="000000"/>
                <w:sz w:val="18"/>
                <w:szCs w:val="18"/>
                <w:lang w:val="en-GB"/>
              </w:rPr>
            </w:pPr>
            <w:r w:rsidRPr="00563CF9">
              <w:rPr>
                <w:sz w:val="18"/>
                <w:lang w:val="en-GB" w:bidi="en-GB"/>
              </w:rPr>
              <w:t>1.14</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ind w:right="-12"/>
              <w:jc w:val="right"/>
              <w:rPr>
                <w:rFonts w:ascii="Calibri" w:hAnsi="Calibri" w:cs="Calibri"/>
                <w:color w:val="000000"/>
                <w:sz w:val="18"/>
                <w:szCs w:val="18"/>
                <w:lang w:val="en-GB"/>
              </w:rPr>
            </w:pPr>
            <w:r w:rsidRPr="00563CF9">
              <w:rPr>
                <w:sz w:val="18"/>
                <w:lang w:val="en-GB" w:bidi="en-GB"/>
              </w:rPr>
              <w:t>3</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ind w:right="117"/>
              <w:jc w:val="right"/>
              <w:rPr>
                <w:rFonts w:ascii="Calibri" w:hAnsi="Calibri" w:cs="Calibri"/>
                <w:color w:val="000000"/>
                <w:sz w:val="18"/>
                <w:szCs w:val="18"/>
                <w:lang w:val="en-GB"/>
              </w:rPr>
            </w:pPr>
            <w:r w:rsidRPr="00563CF9">
              <w:rPr>
                <w:sz w:val="18"/>
                <w:lang w:val="en-GB" w:bidi="en-GB"/>
              </w:rPr>
              <w:t>2</w:t>
            </w:r>
          </w:p>
        </w:tc>
      </w:tr>
      <w:tr w:rsidR="009D6C3F" w:rsidRPr="00563CF9" w:rsidTr="009D6C3F">
        <w:trPr>
          <w:trHeight w:val="283"/>
        </w:trPr>
        <w:tc>
          <w:tcPr>
            <w:tcW w:w="794" w:type="dxa"/>
            <w:vMerge w:val="restart"/>
            <w:tcBorders>
              <w:top w:val="single" w:sz="4" w:space="0" w:color="auto"/>
              <w:left w:val="single" w:sz="4" w:space="0" w:color="auto"/>
              <w:right w:val="single" w:sz="4" w:space="0" w:color="auto"/>
            </w:tcBorders>
            <w:vAlign w:val="center"/>
          </w:tcPr>
          <w:p w:rsidR="009D6C3F" w:rsidRPr="00563CF9" w:rsidRDefault="009D6C3F" w:rsidP="009D6C3F">
            <w:pPr>
              <w:spacing w:before="40" w:after="40"/>
              <w:ind w:left="-57" w:right="-57"/>
              <w:jc w:val="center"/>
              <w:rPr>
                <w:rFonts w:cstheme="minorHAnsi"/>
                <w:color w:val="000000"/>
                <w:sz w:val="18"/>
                <w:szCs w:val="18"/>
                <w:lang w:val="en-GB"/>
              </w:rPr>
            </w:pPr>
            <w:r w:rsidRPr="00563CF9">
              <w:rPr>
                <w:sz w:val="18"/>
                <w:lang w:val="en-GB" w:bidi="en-GB"/>
              </w:rPr>
              <w:t>0113453</w:t>
            </w:r>
          </w:p>
        </w:tc>
        <w:tc>
          <w:tcPr>
            <w:tcW w:w="573"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2014</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sz w:val="18"/>
                <w:szCs w:val="18"/>
                <w:lang w:val="en-GB"/>
              </w:rPr>
            </w:pPr>
            <w:r w:rsidRPr="00563CF9">
              <w:rPr>
                <w:sz w:val="18"/>
                <w:lang w:val="en-GB" w:bidi="en-GB"/>
              </w:rPr>
              <w:t>352.02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MUH</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color w:val="000000"/>
                <w:sz w:val="18"/>
                <w:szCs w:val="18"/>
                <w:lang w:val="en-GB"/>
              </w:rPr>
            </w:pPr>
            <w:r w:rsidRPr="00563CF9">
              <w:rPr>
                <w:sz w:val="18"/>
                <w:lang w:val="en-GB" w:bidi="en-GB"/>
              </w:rPr>
              <w:t>529.00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CMH</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color w:val="000000"/>
                <w:sz w:val="18"/>
                <w:szCs w:val="18"/>
                <w:lang w:val="en-GB"/>
              </w:rPr>
            </w:pPr>
            <w:r w:rsidRPr="00563CF9">
              <w:rPr>
                <w:sz w:val="18"/>
                <w:lang w:val="en-GB" w:bidi="en-GB"/>
              </w:rPr>
              <w:t>176.98</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373D3">
            <w:pPr>
              <w:spacing w:before="40" w:after="40"/>
              <w:jc w:val="right"/>
              <w:rPr>
                <w:rFonts w:ascii="Calibri" w:hAnsi="Calibri" w:cs="Calibri"/>
                <w:color w:val="000000"/>
                <w:sz w:val="18"/>
                <w:szCs w:val="18"/>
                <w:lang w:val="en-GB"/>
              </w:rPr>
            </w:pPr>
            <w:r w:rsidRPr="00563CF9">
              <w:rPr>
                <w:sz w:val="18"/>
                <w:lang w:val="en-GB" w:bidi="en-GB"/>
              </w:rPr>
              <w:t>50.28</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ind w:right="-12"/>
              <w:jc w:val="right"/>
              <w:rPr>
                <w:rFonts w:ascii="Calibri" w:hAnsi="Calibri" w:cs="Calibri"/>
                <w:color w:val="000000"/>
                <w:sz w:val="18"/>
                <w:szCs w:val="18"/>
                <w:lang w:val="en-GB"/>
              </w:rPr>
            </w:pPr>
            <w:r w:rsidRPr="00563CF9">
              <w:rPr>
                <w:sz w:val="18"/>
                <w:lang w:val="en-GB" w:bidi="en-GB"/>
              </w:rPr>
              <w:t>3</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ind w:right="117"/>
              <w:jc w:val="right"/>
              <w:rPr>
                <w:rFonts w:ascii="Calibri" w:hAnsi="Calibri" w:cs="Calibri"/>
                <w:color w:val="000000"/>
                <w:sz w:val="18"/>
                <w:szCs w:val="18"/>
                <w:lang w:val="en-GB"/>
              </w:rPr>
            </w:pPr>
            <w:r w:rsidRPr="00563CF9">
              <w:rPr>
                <w:sz w:val="18"/>
                <w:lang w:val="en-GB" w:bidi="en-GB"/>
              </w:rPr>
              <w:t>2</w:t>
            </w:r>
          </w:p>
        </w:tc>
      </w:tr>
      <w:tr w:rsidR="009D6C3F" w:rsidRPr="00563CF9" w:rsidTr="009D6C3F">
        <w:trPr>
          <w:trHeight w:val="283"/>
        </w:trPr>
        <w:tc>
          <w:tcPr>
            <w:tcW w:w="794" w:type="dxa"/>
            <w:vMerge/>
            <w:tcBorders>
              <w:left w:val="single" w:sz="4" w:space="0" w:color="auto"/>
              <w:right w:val="single" w:sz="4" w:space="0" w:color="auto"/>
            </w:tcBorders>
            <w:vAlign w:val="center"/>
          </w:tcPr>
          <w:p w:rsidR="009D6C3F" w:rsidRPr="00563CF9" w:rsidRDefault="009D6C3F" w:rsidP="009D6C3F">
            <w:pPr>
              <w:spacing w:before="40" w:after="40"/>
              <w:ind w:left="-57" w:right="-57"/>
              <w:jc w:val="center"/>
              <w:rPr>
                <w:rFonts w:cstheme="minorHAnsi"/>
                <w:color w:val="000000"/>
                <w:sz w:val="18"/>
                <w:szCs w:val="18"/>
                <w:lang w:val="en-GB"/>
              </w:rPr>
            </w:pPr>
          </w:p>
        </w:tc>
        <w:tc>
          <w:tcPr>
            <w:tcW w:w="573"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2015</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sz w:val="18"/>
                <w:szCs w:val="18"/>
                <w:lang w:val="en-GB"/>
              </w:rPr>
            </w:pPr>
            <w:r w:rsidRPr="00563CF9">
              <w:rPr>
                <w:sz w:val="18"/>
                <w:lang w:val="en-GB" w:bidi="en-GB"/>
              </w:rPr>
              <w:t>385.00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MUH</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color w:val="000000"/>
                <w:sz w:val="18"/>
                <w:szCs w:val="18"/>
                <w:lang w:val="en-GB"/>
              </w:rPr>
            </w:pPr>
            <w:r w:rsidRPr="00563CF9">
              <w:rPr>
                <w:sz w:val="18"/>
                <w:lang w:val="en-GB" w:bidi="en-GB"/>
              </w:rPr>
              <w:t>2,102.50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CMH</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color w:val="000000"/>
                <w:sz w:val="18"/>
                <w:szCs w:val="18"/>
                <w:lang w:val="en-GB"/>
              </w:rPr>
            </w:pPr>
            <w:r w:rsidRPr="00563CF9">
              <w:rPr>
                <w:sz w:val="18"/>
                <w:lang w:val="en-GB" w:bidi="en-GB"/>
              </w:rPr>
              <w:t>1,717.50</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373D3">
            <w:pPr>
              <w:spacing w:before="40" w:after="40"/>
              <w:jc w:val="right"/>
              <w:rPr>
                <w:rFonts w:ascii="Calibri" w:hAnsi="Calibri" w:cs="Calibri"/>
                <w:color w:val="000000"/>
                <w:sz w:val="18"/>
                <w:szCs w:val="18"/>
                <w:lang w:val="en-GB"/>
              </w:rPr>
            </w:pPr>
            <w:r w:rsidRPr="00563CF9">
              <w:rPr>
                <w:sz w:val="18"/>
                <w:lang w:val="en-GB" w:bidi="en-GB"/>
              </w:rPr>
              <w:t>446.10</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ind w:right="-12"/>
              <w:jc w:val="right"/>
              <w:rPr>
                <w:rFonts w:ascii="Calibri" w:hAnsi="Calibri" w:cs="Calibri"/>
                <w:color w:val="000000"/>
                <w:sz w:val="18"/>
                <w:szCs w:val="18"/>
                <w:lang w:val="en-GB"/>
              </w:rPr>
            </w:pPr>
            <w:r w:rsidRPr="00563CF9">
              <w:rPr>
                <w:sz w:val="18"/>
                <w:lang w:val="en-GB" w:bidi="en-GB"/>
              </w:rPr>
              <w:t>3</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ind w:right="117"/>
              <w:jc w:val="right"/>
              <w:rPr>
                <w:rFonts w:ascii="Calibri" w:hAnsi="Calibri" w:cs="Calibri"/>
                <w:color w:val="000000"/>
                <w:sz w:val="18"/>
                <w:szCs w:val="18"/>
                <w:lang w:val="en-GB"/>
              </w:rPr>
            </w:pPr>
            <w:r w:rsidRPr="00563CF9">
              <w:rPr>
                <w:sz w:val="18"/>
                <w:lang w:val="en-GB" w:bidi="en-GB"/>
              </w:rPr>
              <w:t>2</w:t>
            </w:r>
          </w:p>
        </w:tc>
      </w:tr>
      <w:tr w:rsidR="009D6C3F" w:rsidRPr="00563CF9" w:rsidTr="009D6C3F">
        <w:trPr>
          <w:trHeight w:val="283"/>
        </w:trPr>
        <w:tc>
          <w:tcPr>
            <w:tcW w:w="794" w:type="dxa"/>
            <w:vMerge/>
            <w:tcBorders>
              <w:left w:val="single" w:sz="4" w:space="0" w:color="auto"/>
              <w:bottom w:val="single" w:sz="4" w:space="0" w:color="auto"/>
              <w:right w:val="single" w:sz="4" w:space="0" w:color="auto"/>
            </w:tcBorders>
            <w:vAlign w:val="center"/>
          </w:tcPr>
          <w:p w:rsidR="009D6C3F" w:rsidRPr="00563CF9" w:rsidRDefault="009D6C3F" w:rsidP="009D6C3F">
            <w:pPr>
              <w:spacing w:before="40" w:after="40"/>
              <w:ind w:left="-57" w:right="-57"/>
              <w:jc w:val="center"/>
              <w:rPr>
                <w:rFonts w:cstheme="minorHAnsi"/>
                <w:color w:val="000000"/>
                <w:sz w:val="18"/>
                <w:szCs w:val="18"/>
                <w:lang w:val="en-GB"/>
              </w:rPr>
            </w:pPr>
          </w:p>
        </w:tc>
        <w:tc>
          <w:tcPr>
            <w:tcW w:w="573"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2016</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sz w:val="18"/>
                <w:szCs w:val="18"/>
                <w:lang w:val="en-GB"/>
              </w:rPr>
            </w:pPr>
            <w:r w:rsidRPr="00563CF9">
              <w:rPr>
                <w:sz w:val="18"/>
                <w:lang w:val="en-GB" w:bidi="en-GB"/>
              </w:rPr>
              <w:t>627.00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BUH</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color w:val="000000"/>
                <w:sz w:val="18"/>
                <w:szCs w:val="18"/>
                <w:lang w:val="en-GB"/>
              </w:rPr>
            </w:pPr>
            <w:r w:rsidRPr="00563CF9">
              <w:rPr>
                <w:sz w:val="18"/>
                <w:lang w:val="en-GB" w:bidi="en-GB"/>
              </w:rPr>
              <w:t>1,154.89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CMH</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color w:val="000000"/>
                <w:sz w:val="18"/>
                <w:szCs w:val="18"/>
                <w:lang w:val="en-GB"/>
              </w:rPr>
            </w:pPr>
            <w:r w:rsidRPr="00563CF9">
              <w:rPr>
                <w:sz w:val="18"/>
                <w:lang w:val="en-GB" w:bidi="en-GB"/>
              </w:rPr>
              <w:t>527.89</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373D3">
            <w:pPr>
              <w:spacing w:before="40" w:after="40"/>
              <w:jc w:val="right"/>
              <w:rPr>
                <w:rFonts w:ascii="Calibri" w:hAnsi="Calibri" w:cs="Calibri"/>
                <w:color w:val="000000"/>
                <w:sz w:val="18"/>
                <w:szCs w:val="18"/>
                <w:lang w:val="en-GB"/>
              </w:rPr>
            </w:pPr>
            <w:r w:rsidRPr="00563CF9">
              <w:rPr>
                <w:sz w:val="18"/>
                <w:lang w:val="en-GB" w:bidi="en-GB"/>
              </w:rPr>
              <w:t>84.19</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ind w:right="-12"/>
              <w:jc w:val="right"/>
              <w:rPr>
                <w:rFonts w:ascii="Calibri" w:hAnsi="Calibri" w:cs="Calibri"/>
                <w:color w:val="000000"/>
                <w:sz w:val="18"/>
                <w:szCs w:val="18"/>
                <w:lang w:val="en-GB"/>
              </w:rPr>
            </w:pPr>
            <w:r w:rsidRPr="00563CF9">
              <w:rPr>
                <w:sz w:val="18"/>
                <w:lang w:val="en-GB" w:bidi="en-GB"/>
              </w:rPr>
              <w:t>3</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ind w:right="117"/>
              <w:jc w:val="right"/>
              <w:rPr>
                <w:rFonts w:ascii="Calibri" w:hAnsi="Calibri" w:cs="Calibri"/>
                <w:color w:val="000000"/>
                <w:sz w:val="18"/>
                <w:szCs w:val="18"/>
                <w:lang w:val="en-GB"/>
              </w:rPr>
            </w:pPr>
            <w:r w:rsidRPr="00563CF9">
              <w:rPr>
                <w:sz w:val="18"/>
                <w:lang w:val="en-GB" w:bidi="en-GB"/>
              </w:rPr>
              <w:t>1</w:t>
            </w:r>
          </w:p>
        </w:tc>
      </w:tr>
      <w:tr w:rsidR="009D6C3F" w:rsidRPr="00563CF9" w:rsidTr="009D6C3F">
        <w:trPr>
          <w:trHeight w:val="283"/>
        </w:trPr>
        <w:tc>
          <w:tcPr>
            <w:tcW w:w="794" w:type="dxa"/>
            <w:vMerge w:val="restart"/>
            <w:tcBorders>
              <w:top w:val="single" w:sz="4" w:space="0" w:color="auto"/>
              <w:left w:val="single" w:sz="4" w:space="0" w:color="auto"/>
              <w:right w:val="single" w:sz="4" w:space="0" w:color="auto"/>
            </w:tcBorders>
            <w:vAlign w:val="center"/>
          </w:tcPr>
          <w:p w:rsidR="009D6C3F" w:rsidRPr="00563CF9" w:rsidRDefault="009D6C3F" w:rsidP="009D6C3F">
            <w:pPr>
              <w:spacing w:before="40" w:after="40"/>
              <w:ind w:left="-57" w:right="-57"/>
              <w:jc w:val="center"/>
              <w:rPr>
                <w:rFonts w:cstheme="minorHAnsi"/>
                <w:color w:val="000000"/>
                <w:sz w:val="18"/>
                <w:szCs w:val="18"/>
                <w:lang w:val="en-GB"/>
              </w:rPr>
            </w:pPr>
            <w:r w:rsidRPr="00563CF9">
              <w:rPr>
                <w:sz w:val="18"/>
                <w:lang w:val="en-GB" w:bidi="en-GB"/>
              </w:rPr>
              <w:t>0142077</w:t>
            </w:r>
          </w:p>
        </w:tc>
        <w:tc>
          <w:tcPr>
            <w:tcW w:w="573"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2014</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sz w:val="18"/>
                <w:szCs w:val="18"/>
                <w:lang w:val="en-GB"/>
              </w:rPr>
            </w:pPr>
            <w:r w:rsidRPr="00563CF9">
              <w:rPr>
                <w:sz w:val="18"/>
                <w:lang w:val="en-GB" w:bidi="en-GB"/>
              </w:rPr>
              <w:t>817.80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MUH</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color w:val="000000"/>
                <w:sz w:val="18"/>
                <w:szCs w:val="18"/>
                <w:lang w:val="en-GB"/>
              </w:rPr>
            </w:pPr>
            <w:r w:rsidRPr="00563CF9">
              <w:rPr>
                <w:sz w:val="18"/>
                <w:lang w:val="en-GB" w:bidi="en-GB"/>
              </w:rPr>
              <w:t>1,233.89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CMH</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color w:val="000000"/>
                <w:sz w:val="18"/>
                <w:szCs w:val="18"/>
                <w:lang w:val="en-GB"/>
              </w:rPr>
            </w:pPr>
            <w:r w:rsidRPr="00563CF9">
              <w:rPr>
                <w:sz w:val="18"/>
                <w:lang w:val="en-GB" w:bidi="en-GB"/>
              </w:rPr>
              <w:t>416.09</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373D3">
            <w:pPr>
              <w:spacing w:before="40" w:after="40"/>
              <w:jc w:val="right"/>
              <w:rPr>
                <w:rFonts w:ascii="Calibri" w:hAnsi="Calibri" w:cs="Calibri"/>
                <w:color w:val="000000"/>
                <w:sz w:val="18"/>
                <w:szCs w:val="18"/>
                <w:lang w:val="en-GB"/>
              </w:rPr>
            </w:pPr>
            <w:r w:rsidRPr="00563CF9">
              <w:rPr>
                <w:sz w:val="18"/>
                <w:lang w:val="en-GB" w:bidi="en-GB"/>
              </w:rPr>
              <w:t>50.88</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ind w:right="-12"/>
              <w:jc w:val="right"/>
              <w:rPr>
                <w:rFonts w:ascii="Calibri" w:hAnsi="Calibri" w:cs="Calibri"/>
                <w:color w:val="000000"/>
                <w:sz w:val="18"/>
                <w:szCs w:val="18"/>
                <w:lang w:val="en-GB"/>
              </w:rPr>
            </w:pPr>
            <w:r w:rsidRPr="00563CF9">
              <w:rPr>
                <w:sz w:val="18"/>
                <w:lang w:val="en-GB" w:bidi="en-GB"/>
              </w:rPr>
              <w:t>3</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ind w:right="117"/>
              <w:jc w:val="right"/>
              <w:rPr>
                <w:rFonts w:ascii="Calibri" w:hAnsi="Calibri" w:cs="Calibri"/>
                <w:color w:val="000000"/>
                <w:sz w:val="18"/>
                <w:szCs w:val="18"/>
                <w:lang w:val="en-GB"/>
              </w:rPr>
            </w:pPr>
            <w:r w:rsidRPr="00563CF9">
              <w:rPr>
                <w:sz w:val="18"/>
                <w:lang w:val="en-GB" w:bidi="en-GB"/>
              </w:rPr>
              <w:t>4</w:t>
            </w:r>
          </w:p>
        </w:tc>
      </w:tr>
      <w:tr w:rsidR="009D6C3F" w:rsidRPr="00563CF9" w:rsidTr="009D6C3F">
        <w:trPr>
          <w:trHeight w:val="283"/>
        </w:trPr>
        <w:tc>
          <w:tcPr>
            <w:tcW w:w="794" w:type="dxa"/>
            <w:vMerge/>
            <w:tcBorders>
              <w:left w:val="single" w:sz="4" w:space="0" w:color="auto"/>
              <w:right w:val="single" w:sz="4" w:space="0" w:color="auto"/>
            </w:tcBorders>
            <w:vAlign w:val="center"/>
          </w:tcPr>
          <w:p w:rsidR="009D6C3F" w:rsidRPr="00563CF9" w:rsidRDefault="009D6C3F" w:rsidP="009D6C3F">
            <w:pPr>
              <w:spacing w:before="40" w:after="40"/>
              <w:ind w:left="-57" w:right="-57"/>
              <w:jc w:val="center"/>
              <w:rPr>
                <w:rFonts w:cstheme="minorHAnsi"/>
                <w:color w:val="000000"/>
                <w:sz w:val="18"/>
                <w:szCs w:val="18"/>
                <w:lang w:val="en-GB"/>
              </w:rPr>
            </w:pPr>
          </w:p>
        </w:tc>
        <w:tc>
          <w:tcPr>
            <w:tcW w:w="573"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2015</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sz w:val="18"/>
                <w:szCs w:val="18"/>
                <w:lang w:val="en-GB"/>
              </w:rPr>
            </w:pPr>
            <w:r w:rsidRPr="00563CF9">
              <w:rPr>
                <w:sz w:val="18"/>
                <w:lang w:val="en-GB" w:bidi="en-GB"/>
              </w:rPr>
              <w:t>781.55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MUH</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color w:val="000000"/>
                <w:sz w:val="18"/>
                <w:szCs w:val="18"/>
                <w:lang w:val="en-GB"/>
              </w:rPr>
            </w:pPr>
            <w:r w:rsidRPr="00563CF9">
              <w:rPr>
                <w:sz w:val="18"/>
                <w:lang w:val="en-GB" w:bidi="en-GB"/>
              </w:rPr>
              <w:t>784.63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MUH</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color w:val="000000"/>
                <w:sz w:val="18"/>
                <w:szCs w:val="18"/>
                <w:lang w:val="en-GB"/>
              </w:rPr>
            </w:pPr>
            <w:r w:rsidRPr="00563CF9">
              <w:rPr>
                <w:sz w:val="18"/>
                <w:lang w:val="en-GB" w:bidi="en-GB"/>
              </w:rPr>
              <w:t>3.08</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373D3">
            <w:pPr>
              <w:spacing w:before="40" w:after="40"/>
              <w:jc w:val="right"/>
              <w:rPr>
                <w:rFonts w:ascii="Calibri" w:hAnsi="Calibri" w:cs="Calibri"/>
                <w:color w:val="000000"/>
                <w:sz w:val="18"/>
                <w:szCs w:val="18"/>
                <w:lang w:val="en-GB"/>
              </w:rPr>
            </w:pPr>
            <w:r w:rsidRPr="00563CF9">
              <w:rPr>
                <w:sz w:val="18"/>
                <w:lang w:val="en-GB" w:bidi="en-GB"/>
              </w:rPr>
              <w:t>0.39</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ind w:right="-12"/>
              <w:jc w:val="right"/>
              <w:rPr>
                <w:rFonts w:ascii="Calibri" w:hAnsi="Calibri" w:cs="Calibri"/>
                <w:color w:val="000000"/>
                <w:sz w:val="18"/>
                <w:szCs w:val="18"/>
                <w:lang w:val="en-GB"/>
              </w:rPr>
            </w:pPr>
            <w:r w:rsidRPr="00563CF9">
              <w:rPr>
                <w:sz w:val="18"/>
                <w:lang w:val="en-GB" w:bidi="en-GB"/>
              </w:rPr>
              <w:t>2</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ind w:right="117"/>
              <w:jc w:val="right"/>
              <w:rPr>
                <w:rFonts w:ascii="Calibri" w:hAnsi="Calibri" w:cs="Calibri"/>
                <w:color w:val="000000"/>
                <w:sz w:val="18"/>
                <w:szCs w:val="18"/>
                <w:lang w:val="en-GB"/>
              </w:rPr>
            </w:pPr>
            <w:r w:rsidRPr="00563CF9">
              <w:rPr>
                <w:sz w:val="18"/>
                <w:lang w:val="en-GB" w:bidi="en-GB"/>
              </w:rPr>
              <w:t>3</w:t>
            </w:r>
          </w:p>
        </w:tc>
      </w:tr>
      <w:tr w:rsidR="009D6C3F" w:rsidRPr="00563CF9" w:rsidTr="009D6C3F">
        <w:trPr>
          <w:trHeight w:val="283"/>
        </w:trPr>
        <w:tc>
          <w:tcPr>
            <w:tcW w:w="794" w:type="dxa"/>
            <w:vMerge/>
            <w:tcBorders>
              <w:left w:val="single" w:sz="4" w:space="0" w:color="auto"/>
              <w:bottom w:val="single" w:sz="4" w:space="0" w:color="auto"/>
              <w:right w:val="single" w:sz="4" w:space="0" w:color="auto"/>
            </w:tcBorders>
            <w:vAlign w:val="center"/>
          </w:tcPr>
          <w:p w:rsidR="009D6C3F" w:rsidRPr="00563CF9" w:rsidRDefault="009D6C3F" w:rsidP="009D6C3F">
            <w:pPr>
              <w:spacing w:before="40" w:after="40"/>
              <w:ind w:left="-57" w:right="-57"/>
              <w:jc w:val="center"/>
              <w:rPr>
                <w:rFonts w:cstheme="minorHAnsi"/>
                <w:color w:val="000000"/>
                <w:sz w:val="18"/>
                <w:szCs w:val="18"/>
                <w:lang w:val="en-GB"/>
              </w:rPr>
            </w:pPr>
          </w:p>
        </w:tc>
        <w:tc>
          <w:tcPr>
            <w:tcW w:w="573"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2016</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sz w:val="18"/>
                <w:szCs w:val="18"/>
                <w:lang w:val="en-GB"/>
              </w:rPr>
            </w:pPr>
            <w:r w:rsidRPr="00563CF9">
              <w:rPr>
                <w:sz w:val="18"/>
                <w:lang w:val="en-GB" w:bidi="en-GB"/>
              </w:rPr>
              <w:t>776.70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CMH</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color w:val="000000"/>
                <w:sz w:val="18"/>
                <w:szCs w:val="18"/>
                <w:lang w:val="en-GB"/>
              </w:rPr>
            </w:pPr>
            <w:r w:rsidRPr="00563CF9">
              <w:rPr>
                <w:sz w:val="18"/>
                <w:lang w:val="en-GB" w:bidi="en-GB"/>
              </w:rPr>
              <w:t>962.12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BUH</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color w:val="000000"/>
                <w:sz w:val="18"/>
                <w:szCs w:val="18"/>
                <w:lang w:val="en-GB"/>
              </w:rPr>
            </w:pPr>
            <w:r w:rsidRPr="00563CF9">
              <w:rPr>
                <w:sz w:val="18"/>
                <w:lang w:val="en-GB" w:bidi="en-GB"/>
              </w:rPr>
              <w:t>185.42</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373D3">
            <w:pPr>
              <w:spacing w:before="40" w:after="40"/>
              <w:jc w:val="right"/>
              <w:rPr>
                <w:rFonts w:ascii="Calibri" w:hAnsi="Calibri" w:cs="Calibri"/>
                <w:color w:val="000000"/>
                <w:sz w:val="18"/>
                <w:szCs w:val="18"/>
                <w:lang w:val="en-GB"/>
              </w:rPr>
            </w:pPr>
            <w:r w:rsidRPr="00563CF9">
              <w:rPr>
                <w:sz w:val="18"/>
                <w:lang w:val="en-GB" w:bidi="en-GB"/>
              </w:rPr>
              <w:t>23.87</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ind w:right="-12"/>
              <w:jc w:val="right"/>
              <w:rPr>
                <w:rFonts w:ascii="Calibri" w:hAnsi="Calibri" w:cs="Calibri"/>
                <w:color w:val="000000"/>
                <w:sz w:val="18"/>
                <w:szCs w:val="18"/>
                <w:lang w:val="en-GB"/>
              </w:rPr>
            </w:pPr>
            <w:r w:rsidRPr="00563CF9">
              <w:rPr>
                <w:sz w:val="18"/>
                <w:lang w:val="en-GB" w:bidi="en-GB"/>
              </w:rPr>
              <w:t>3</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ind w:right="117"/>
              <w:jc w:val="right"/>
              <w:rPr>
                <w:rFonts w:ascii="Calibri" w:hAnsi="Calibri" w:cs="Calibri"/>
                <w:color w:val="000000"/>
                <w:sz w:val="18"/>
                <w:szCs w:val="18"/>
                <w:lang w:val="en-GB"/>
              </w:rPr>
            </w:pPr>
            <w:r w:rsidRPr="00563CF9">
              <w:rPr>
                <w:sz w:val="18"/>
                <w:lang w:val="en-GB" w:bidi="en-GB"/>
              </w:rPr>
              <w:t>4</w:t>
            </w:r>
          </w:p>
        </w:tc>
      </w:tr>
      <w:tr w:rsidR="009D6C3F" w:rsidRPr="00563CF9" w:rsidTr="009D6C3F">
        <w:trPr>
          <w:trHeight w:val="283"/>
        </w:trPr>
        <w:tc>
          <w:tcPr>
            <w:tcW w:w="794" w:type="dxa"/>
            <w:vMerge w:val="restart"/>
            <w:tcBorders>
              <w:top w:val="single" w:sz="4" w:space="0" w:color="auto"/>
              <w:left w:val="single" w:sz="4" w:space="0" w:color="auto"/>
              <w:right w:val="single" w:sz="4" w:space="0" w:color="auto"/>
            </w:tcBorders>
            <w:vAlign w:val="center"/>
          </w:tcPr>
          <w:p w:rsidR="009D6C3F" w:rsidRPr="00563CF9" w:rsidRDefault="009D6C3F" w:rsidP="009D6C3F">
            <w:pPr>
              <w:spacing w:before="40" w:after="40"/>
              <w:ind w:left="-57" w:right="-57"/>
              <w:jc w:val="center"/>
              <w:rPr>
                <w:rFonts w:cstheme="minorHAnsi"/>
                <w:color w:val="000000"/>
                <w:sz w:val="18"/>
                <w:szCs w:val="18"/>
                <w:lang w:val="en-GB"/>
              </w:rPr>
            </w:pPr>
            <w:r w:rsidRPr="00563CF9">
              <w:rPr>
                <w:sz w:val="18"/>
                <w:lang w:val="en-GB" w:bidi="en-GB"/>
              </w:rPr>
              <w:t>0155939</w:t>
            </w:r>
          </w:p>
        </w:tc>
        <w:tc>
          <w:tcPr>
            <w:tcW w:w="573"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2014</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sz w:val="18"/>
                <w:szCs w:val="18"/>
                <w:lang w:val="en-GB"/>
              </w:rPr>
            </w:pPr>
            <w:r w:rsidRPr="00563CF9">
              <w:rPr>
                <w:sz w:val="18"/>
                <w:lang w:val="en-GB" w:bidi="en-GB"/>
              </w:rPr>
              <w:t>637.88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BUH, MUH</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color w:val="000000"/>
                <w:sz w:val="18"/>
                <w:szCs w:val="18"/>
                <w:lang w:val="en-GB"/>
              </w:rPr>
            </w:pPr>
            <w:r w:rsidRPr="00563CF9">
              <w:rPr>
                <w:sz w:val="18"/>
                <w:lang w:val="en-GB" w:bidi="en-GB"/>
              </w:rPr>
              <w:t>683.49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center"/>
              <w:rPr>
                <w:rFonts w:ascii="Calibri" w:hAnsi="Calibri" w:cs="Calibri"/>
                <w:color w:val="000000"/>
                <w:sz w:val="18"/>
                <w:szCs w:val="18"/>
                <w:lang w:val="en-GB"/>
              </w:rPr>
            </w:pPr>
            <w:r w:rsidRPr="00563CF9">
              <w:rPr>
                <w:sz w:val="18"/>
                <w:lang w:val="en-GB" w:bidi="en-GB"/>
              </w:rPr>
              <w:t>CMH</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jc w:val="right"/>
              <w:rPr>
                <w:rFonts w:ascii="Calibri" w:hAnsi="Calibri" w:cs="Calibri"/>
                <w:color w:val="000000"/>
                <w:sz w:val="18"/>
                <w:szCs w:val="18"/>
                <w:lang w:val="en-GB"/>
              </w:rPr>
            </w:pPr>
            <w:r w:rsidRPr="00563CF9">
              <w:rPr>
                <w:sz w:val="18"/>
                <w:lang w:val="en-GB" w:bidi="en-GB"/>
              </w:rPr>
              <w:t>45.61</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373D3">
            <w:pPr>
              <w:spacing w:before="40" w:after="40"/>
              <w:jc w:val="right"/>
              <w:rPr>
                <w:rFonts w:ascii="Calibri" w:hAnsi="Calibri" w:cs="Calibri"/>
                <w:color w:val="000000"/>
                <w:sz w:val="18"/>
                <w:szCs w:val="18"/>
                <w:lang w:val="en-GB"/>
              </w:rPr>
            </w:pPr>
            <w:r w:rsidRPr="00563CF9">
              <w:rPr>
                <w:sz w:val="18"/>
                <w:lang w:val="en-GB" w:bidi="en-GB"/>
              </w:rPr>
              <w:t>7.15</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ind w:right="-12"/>
              <w:jc w:val="right"/>
              <w:rPr>
                <w:rFonts w:ascii="Calibri" w:hAnsi="Calibri" w:cs="Calibri"/>
                <w:color w:val="000000"/>
                <w:sz w:val="18"/>
                <w:szCs w:val="18"/>
                <w:lang w:val="en-GB"/>
              </w:rPr>
            </w:pPr>
            <w:r w:rsidRPr="00563CF9">
              <w:rPr>
                <w:sz w:val="18"/>
                <w:lang w:val="en-GB" w:bidi="en-GB"/>
              </w:rPr>
              <w:t>3</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9D6C3F" w:rsidRPr="00563CF9" w:rsidRDefault="009D6C3F" w:rsidP="009D6C3F">
            <w:pPr>
              <w:spacing w:before="40" w:after="40"/>
              <w:ind w:right="117"/>
              <w:jc w:val="right"/>
              <w:rPr>
                <w:rFonts w:ascii="Calibri" w:hAnsi="Calibri" w:cs="Calibri"/>
                <w:color w:val="000000"/>
                <w:sz w:val="18"/>
                <w:szCs w:val="18"/>
                <w:lang w:val="en-GB"/>
              </w:rPr>
            </w:pPr>
            <w:r w:rsidRPr="00563CF9">
              <w:rPr>
                <w:sz w:val="18"/>
                <w:lang w:val="en-GB" w:bidi="en-GB"/>
              </w:rPr>
              <w:t>3</w:t>
            </w:r>
          </w:p>
        </w:tc>
      </w:tr>
      <w:tr w:rsidR="006E5933" w:rsidRPr="00563CF9" w:rsidTr="009D6C3F">
        <w:trPr>
          <w:trHeight w:val="283"/>
        </w:trPr>
        <w:tc>
          <w:tcPr>
            <w:tcW w:w="794" w:type="dxa"/>
            <w:vMerge/>
            <w:tcBorders>
              <w:left w:val="single" w:sz="4" w:space="0" w:color="auto"/>
              <w:right w:val="single" w:sz="4" w:space="0" w:color="auto"/>
            </w:tcBorders>
            <w:vAlign w:val="center"/>
          </w:tcPr>
          <w:p w:rsidR="006E5933" w:rsidRPr="00563CF9" w:rsidRDefault="006E5933" w:rsidP="009D6C3F">
            <w:pPr>
              <w:spacing w:before="40" w:after="40"/>
              <w:ind w:left="-57" w:right="-57"/>
              <w:jc w:val="center"/>
              <w:rPr>
                <w:rFonts w:cstheme="minorHAnsi"/>
                <w:color w:val="000000"/>
                <w:sz w:val="20"/>
                <w:lang w:val="en-GB"/>
              </w:rPr>
            </w:pPr>
          </w:p>
        </w:tc>
        <w:tc>
          <w:tcPr>
            <w:tcW w:w="573" w:type="dxa"/>
            <w:tcBorders>
              <w:top w:val="single" w:sz="4" w:space="0" w:color="auto"/>
              <w:left w:val="nil"/>
              <w:bottom w:val="single" w:sz="4" w:space="0" w:color="auto"/>
              <w:right w:val="single" w:sz="4" w:space="0" w:color="auto"/>
            </w:tcBorders>
            <w:shd w:val="clear" w:color="auto" w:fill="auto"/>
            <w:noWrap/>
            <w:vAlign w:val="center"/>
          </w:tcPr>
          <w:p w:rsidR="006E5933" w:rsidRPr="00563CF9" w:rsidRDefault="006E5933" w:rsidP="009D6C3F">
            <w:pPr>
              <w:spacing w:before="40" w:after="40"/>
              <w:jc w:val="center"/>
              <w:rPr>
                <w:rFonts w:ascii="Calibri" w:hAnsi="Calibri" w:cs="Calibri"/>
                <w:color w:val="000000"/>
                <w:sz w:val="18"/>
                <w:szCs w:val="18"/>
                <w:lang w:val="en-GB"/>
              </w:rPr>
            </w:pPr>
            <w:r w:rsidRPr="00563CF9">
              <w:rPr>
                <w:sz w:val="18"/>
                <w:lang w:val="en-GB" w:bidi="en-GB"/>
              </w:rPr>
              <w:t>2015</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6E5933" w:rsidRPr="00563CF9" w:rsidRDefault="006E5933" w:rsidP="009D6C3F">
            <w:pPr>
              <w:spacing w:before="40" w:after="40"/>
              <w:jc w:val="right"/>
              <w:rPr>
                <w:rFonts w:ascii="Calibri" w:hAnsi="Calibri" w:cs="Calibri"/>
                <w:sz w:val="18"/>
                <w:szCs w:val="18"/>
                <w:lang w:val="en-GB"/>
              </w:rPr>
            </w:pPr>
            <w:r w:rsidRPr="00563CF9">
              <w:rPr>
                <w:sz w:val="18"/>
                <w:lang w:val="en-GB" w:bidi="en-GB"/>
              </w:rPr>
              <w:t>610.15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5933" w:rsidRPr="00563CF9" w:rsidRDefault="006E5933" w:rsidP="009D6C3F">
            <w:pPr>
              <w:spacing w:before="40" w:after="40"/>
              <w:jc w:val="center"/>
              <w:rPr>
                <w:rFonts w:ascii="Calibri" w:hAnsi="Calibri" w:cs="Calibri"/>
                <w:color w:val="000000"/>
                <w:sz w:val="18"/>
                <w:szCs w:val="18"/>
                <w:lang w:val="en-GB"/>
              </w:rPr>
            </w:pPr>
            <w:r w:rsidRPr="00563CF9">
              <w:rPr>
                <w:sz w:val="18"/>
                <w:lang w:val="en-GB" w:bidi="en-GB"/>
              </w:rPr>
              <w:t>MUH</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6E5933" w:rsidRPr="00563CF9" w:rsidRDefault="006E5933" w:rsidP="009D6C3F">
            <w:pPr>
              <w:spacing w:before="40" w:after="40"/>
              <w:jc w:val="right"/>
              <w:rPr>
                <w:rFonts w:ascii="Calibri" w:hAnsi="Calibri" w:cs="Calibri"/>
                <w:color w:val="000000"/>
                <w:sz w:val="18"/>
                <w:szCs w:val="18"/>
                <w:lang w:val="en-GB"/>
              </w:rPr>
            </w:pPr>
            <w:r w:rsidRPr="00563CF9">
              <w:rPr>
                <w:sz w:val="18"/>
                <w:lang w:val="en-GB" w:bidi="en-GB"/>
              </w:rPr>
              <w:t>784.37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5933" w:rsidRPr="00563CF9" w:rsidRDefault="006E5933" w:rsidP="009D6C3F">
            <w:pPr>
              <w:spacing w:before="40" w:after="40"/>
              <w:jc w:val="center"/>
              <w:rPr>
                <w:rFonts w:ascii="Calibri" w:hAnsi="Calibri" w:cs="Calibri"/>
                <w:color w:val="000000"/>
                <w:sz w:val="18"/>
                <w:szCs w:val="18"/>
                <w:lang w:val="en-GB"/>
              </w:rPr>
            </w:pPr>
            <w:r w:rsidRPr="00563CF9">
              <w:rPr>
                <w:sz w:val="18"/>
                <w:lang w:val="en-GB" w:bidi="en-GB"/>
              </w:rPr>
              <w:t>BUH</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6E5933" w:rsidRPr="00563CF9" w:rsidRDefault="006E5933" w:rsidP="009D6C3F">
            <w:pPr>
              <w:spacing w:before="40" w:after="40"/>
              <w:jc w:val="right"/>
              <w:rPr>
                <w:rFonts w:ascii="Calibri" w:hAnsi="Calibri" w:cs="Calibri"/>
                <w:color w:val="000000"/>
                <w:sz w:val="18"/>
                <w:szCs w:val="18"/>
                <w:lang w:val="en-GB"/>
              </w:rPr>
            </w:pPr>
            <w:r w:rsidRPr="00563CF9">
              <w:rPr>
                <w:sz w:val="18"/>
                <w:lang w:val="en-GB" w:bidi="en-GB"/>
              </w:rPr>
              <w:t>174.22</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6E5933" w:rsidRPr="00563CF9" w:rsidRDefault="006E5933" w:rsidP="009373D3">
            <w:pPr>
              <w:spacing w:before="40" w:after="40"/>
              <w:jc w:val="right"/>
              <w:rPr>
                <w:rFonts w:ascii="Calibri" w:hAnsi="Calibri" w:cs="Calibri"/>
                <w:color w:val="000000"/>
                <w:sz w:val="18"/>
                <w:szCs w:val="18"/>
                <w:lang w:val="en-GB"/>
              </w:rPr>
            </w:pPr>
            <w:r w:rsidRPr="00563CF9">
              <w:rPr>
                <w:sz w:val="18"/>
                <w:lang w:val="en-GB" w:bidi="en-GB"/>
              </w:rPr>
              <w:t>28.55</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6E5933" w:rsidRPr="00563CF9" w:rsidRDefault="006E5933" w:rsidP="009D6C3F">
            <w:pPr>
              <w:spacing w:before="40" w:after="40"/>
              <w:ind w:right="-12"/>
              <w:jc w:val="right"/>
              <w:rPr>
                <w:rFonts w:ascii="Calibri" w:hAnsi="Calibri" w:cs="Calibri"/>
                <w:color w:val="000000"/>
                <w:sz w:val="18"/>
                <w:szCs w:val="18"/>
                <w:lang w:val="en-GB"/>
              </w:rPr>
            </w:pPr>
            <w:r w:rsidRPr="00563CF9">
              <w:rPr>
                <w:sz w:val="18"/>
                <w:lang w:val="en-GB" w:bidi="en-GB"/>
              </w:rPr>
              <w:t>3</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6E5933" w:rsidRPr="00563CF9" w:rsidRDefault="006E5933" w:rsidP="009D6C3F">
            <w:pPr>
              <w:spacing w:before="40" w:after="40"/>
              <w:ind w:right="117"/>
              <w:jc w:val="right"/>
              <w:rPr>
                <w:rFonts w:ascii="Calibri" w:hAnsi="Calibri" w:cs="Calibri"/>
                <w:color w:val="000000"/>
                <w:sz w:val="18"/>
                <w:szCs w:val="18"/>
                <w:lang w:val="en-GB"/>
              </w:rPr>
            </w:pPr>
            <w:r w:rsidRPr="00563CF9">
              <w:rPr>
                <w:sz w:val="18"/>
                <w:lang w:val="en-GB" w:bidi="en-GB"/>
              </w:rPr>
              <w:t>3</w:t>
            </w:r>
          </w:p>
        </w:tc>
      </w:tr>
      <w:tr w:rsidR="006E5933" w:rsidRPr="00563CF9" w:rsidTr="009D6C3F">
        <w:trPr>
          <w:trHeight w:val="283"/>
        </w:trPr>
        <w:tc>
          <w:tcPr>
            <w:tcW w:w="794" w:type="dxa"/>
            <w:vMerge/>
            <w:tcBorders>
              <w:left w:val="single" w:sz="4" w:space="0" w:color="auto"/>
              <w:bottom w:val="single" w:sz="4" w:space="0" w:color="auto"/>
              <w:right w:val="single" w:sz="4" w:space="0" w:color="auto"/>
            </w:tcBorders>
            <w:vAlign w:val="center"/>
          </w:tcPr>
          <w:p w:rsidR="006E5933" w:rsidRPr="00563CF9" w:rsidRDefault="006E5933" w:rsidP="009D6C3F">
            <w:pPr>
              <w:spacing w:before="40" w:after="40"/>
              <w:ind w:left="-57" w:right="-57"/>
              <w:jc w:val="center"/>
              <w:rPr>
                <w:rFonts w:cstheme="minorHAnsi"/>
                <w:color w:val="000000"/>
                <w:sz w:val="20"/>
                <w:lang w:val="en-GB"/>
              </w:rPr>
            </w:pPr>
          </w:p>
        </w:tc>
        <w:tc>
          <w:tcPr>
            <w:tcW w:w="573" w:type="dxa"/>
            <w:tcBorders>
              <w:top w:val="single" w:sz="4" w:space="0" w:color="auto"/>
              <w:left w:val="nil"/>
              <w:bottom w:val="single" w:sz="4" w:space="0" w:color="auto"/>
              <w:right w:val="single" w:sz="4" w:space="0" w:color="auto"/>
            </w:tcBorders>
            <w:shd w:val="clear" w:color="auto" w:fill="auto"/>
            <w:noWrap/>
            <w:vAlign w:val="center"/>
          </w:tcPr>
          <w:p w:rsidR="006E5933" w:rsidRPr="00563CF9" w:rsidRDefault="006E5933" w:rsidP="009D6C3F">
            <w:pPr>
              <w:spacing w:before="40" w:after="40"/>
              <w:jc w:val="center"/>
              <w:rPr>
                <w:rFonts w:ascii="Calibri" w:hAnsi="Calibri" w:cs="Calibri"/>
                <w:color w:val="000000"/>
                <w:sz w:val="18"/>
                <w:szCs w:val="18"/>
                <w:lang w:val="en-GB"/>
              </w:rPr>
            </w:pPr>
            <w:r w:rsidRPr="00563CF9">
              <w:rPr>
                <w:sz w:val="18"/>
                <w:lang w:val="en-GB" w:bidi="en-GB"/>
              </w:rPr>
              <w:t>2016</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6E5933" w:rsidRPr="00563CF9" w:rsidRDefault="006E5933" w:rsidP="009D6C3F">
            <w:pPr>
              <w:spacing w:before="40" w:after="40"/>
              <w:jc w:val="right"/>
              <w:rPr>
                <w:rFonts w:ascii="Calibri" w:hAnsi="Calibri" w:cs="Calibri"/>
                <w:sz w:val="18"/>
                <w:szCs w:val="18"/>
                <w:lang w:val="en-GB"/>
              </w:rPr>
            </w:pPr>
            <w:r w:rsidRPr="00563CF9">
              <w:rPr>
                <w:sz w:val="18"/>
                <w:lang w:val="en-GB" w:bidi="en-GB"/>
              </w:rPr>
              <w:t>590.47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5933" w:rsidRPr="00563CF9" w:rsidRDefault="006E5933" w:rsidP="009D6C3F">
            <w:pPr>
              <w:spacing w:before="40" w:after="40"/>
              <w:jc w:val="center"/>
              <w:rPr>
                <w:rFonts w:ascii="Calibri" w:hAnsi="Calibri" w:cs="Calibri"/>
                <w:color w:val="000000"/>
                <w:sz w:val="18"/>
                <w:szCs w:val="18"/>
                <w:lang w:val="en-GB"/>
              </w:rPr>
            </w:pPr>
            <w:r w:rsidRPr="00563CF9">
              <w:rPr>
                <w:sz w:val="18"/>
                <w:lang w:val="en-GB" w:bidi="en-GB"/>
              </w:rPr>
              <w:t>MUH</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6E5933" w:rsidRPr="00563CF9" w:rsidRDefault="006E5933" w:rsidP="009D6C3F">
            <w:pPr>
              <w:spacing w:before="40" w:after="40"/>
              <w:jc w:val="right"/>
              <w:rPr>
                <w:rFonts w:ascii="Calibri" w:hAnsi="Calibri" w:cs="Calibri"/>
                <w:color w:val="000000"/>
                <w:sz w:val="18"/>
                <w:szCs w:val="18"/>
                <w:lang w:val="en-GB"/>
              </w:rPr>
            </w:pPr>
            <w:r w:rsidRPr="00563CF9">
              <w:rPr>
                <w:sz w:val="18"/>
                <w:lang w:val="en-GB" w:bidi="en-GB"/>
              </w:rPr>
              <w:t>788.25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5933" w:rsidRPr="00563CF9" w:rsidRDefault="006E5933" w:rsidP="009D6C3F">
            <w:pPr>
              <w:spacing w:before="40" w:after="40"/>
              <w:jc w:val="center"/>
              <w:rPr>
                <w:rFonts w:ascii="Calibri" w:hAnsi="Calibri" w:cs="Calibri"/>
                <w:color w:val="000000"/>
                <w:sz w:val="18"/>
                <w:szCs w:val="18"/>
                <w:lang w:val="en-GB"/>
              </w:rPr>
            </w:pPr>
            <w:r w:rsidRPr="00563CF9">
              <w:rPr>
                <w:sz w:val="18"/>
                <w:lang w:val="en-GB" w:bidi="en-GB"/>
              </w:rPr>
              <w:t>CMH</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6E5933" w:rsidRPr="00563CF9" w:rsidRDefault="006E5933" w:rsidP="009D6C3F">
            <w:pPr>
              <w:spacing w:before="40" w:after="40"/>
              <w:jc w:val="right"/>
              <w:rPr>
                <w:rFonts w:ascii="Calibri" w:hAnsi="Calibri" w:cs="Calibri"/>
                <w:color w:val="000000"/>
                <w:sz w:val="18"/>
                <w:szCs w:val="18"/>
                <w:lang w:val="en-GB"/>
              </w:rPr>
            </w:pPr>
            <w:r w:rsidRPr="00563CF9">
              <w:rPr>
                <w:sz w:val="18"/>
                <w:lang w:val="en-GB" w:bidi="en-GB"/>
              </w:rPr>
              <w:t>197.78</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6E5933" w:rsidRPr="00563CF9" w:rsidRDefault="006E5933" w:rsidP="009373D3">
            <w:pPr>
              <w:spacing w:before="40" w:after="40"/>
              <w:jc w:val="right"/>
              <w:rPr>
                <w:rFonts w:ascii="Calibri" w:hAnsi="Calibri" w:cs="Calibri"/>
                <w:color w:val="000000"/>
                <w:sz w:val="18"/>
                <w:szCs w:val="18"/>
                <w:lang w:val="en-GB"/>
              </w:rPr>
            </w:pPr>
            <w:r w:rsidRPr="00563CF9">
              <w:rPr>
                <w:sz w:val="18"/>
                <w:lang w:val="en-GB" w:bidi="en-GB"/>
              </w:rPr>
              <w:t>33.50</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6E5933" w:rsidRPr="00563CF9" w:rsidRDefault="006E5933" w:rsidP="009D6C3F">
            <w:pPr>
              <w:spacing w:before="40" w:after="40"/>
              <w:ind w:right="-12"/>
              <w:jc w:val="right"/>
              <w:rPr>
                <w:rFonts w:ascii="Calibri" w:hAnsi="Calibri" w:cs="Calibri"/>
                <w:color w:val="000000"/>
                <w:sz w:val="18"/>
                <w:szCs w:val="18"/>
                <w:lang w:val="en-GB"/>
              </w:rPr>
            </w:pPr>
            <w:r w:rsidRPr="00563CF9">
              <w:rPr>
                <w:sz w:val="18"/>
                <w:lang w:val="en-GB" w:bidi="en-GB"/>
              </w:rPr>
              <w:t>3</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6E5933" w:rsidRPr="00563CF9" w:rsidRDefault="006E5933" w:rsidP="009D6C3F">
            <w:pPr>
              <w:spacing w:before="40" w:after="40"/>
              <w:ind w:right="117"/>
              <w:jc w:val="right"/>
              <w:rPr>
                <w:rFonts w:ascii="Calibri" w:hAnsi="Calibri" w:cs="Calibri"/>
                <w:color w:val="000000"/>
                <w:sz w:val="18"/>
                <w:szCs w:val="18"/>
                <w:lang w:val="en-GB"/>
              </w:rPr>
            </w:pPr>
            <w:r w:rsidRPr="00563CF9">
              <w:rPr>
                <w:sz w:val="18"/>
                <w:lang w:val="en-GB" w:bidi="en-GB"/>
              </w:rPr>
              <w:t>4</w:t>
            </w:r>
          </w:p>
        </w:tc>
      </w:tr>
      <w:tr w:rsidR="001352EB" w:rsidRPr="00563CF9" w:rsidTr="001352EB">
        <w:trPr>
          <w:trHeight w:val="283"/>
        </w:trPr>
        <w:tc>
          <w:tcPr>
            <w:tcW w:w="794" w:type="dxa"/>
            <w:vMerge w:val="restart"/>
            <w:tcBorders>
              <w:top w:val="single" w:sz="4" w:space="0" w:color="auto"/>
              <w:left w:val="single" w:sz="4" w:space="0" w:color="auto"/>
              <w:right w:val="single" w:sz="4" w:space="0" w:color="auto"/>
            </w:tcBorders>
            <w:vAlign w:val="center"/>
          </w:tcPr>
          <w:p w:rsidR="001352EB" w:rsidRPr="00563CF9" w:rsidRDefault="001352EB" w:rsidP="001352EB">
            <w:pPr>
              <w:spacing w:before="40" w:after="40"/>
              <w:ind w:left="-57" w:right="-57"/>
              <w:jc w:val="center"/>
              <w:rPr>
                <w:rFonts w:cstheme="minorHAnsi"/>
                <w:color w:val="000000"/>
                <w:sz w:val="18"/>
                <w:szCs w:val="18"/>
                <w:lang w:val="en-GB"/>
              </w:rPr>
            </w:pPr>
            <w:r w:rsidRPr="00563CF9">
              <w:rPr>
                <w:sz w:val="18"/>
                <w:lang w:val="en-GB" w:bidi="en-GB"/>
              </w:rPr>
              <w:t>0156835</w:t>
            </w:r>
          </w:p>
        </w:tc>
        <w:tc>
          <w:tcPr>
            <w:tcW w:w="573" w:type="dxa"/>
            <w:tcBorders>
              <w:top w:val="single" w:sz="4" w:space="0" w:color="auto"/>
              <w:left w:val="nil"/>
              <w:bottom w:val="single" w:sz="4" w:space="0" w:color="auto"/>
              <w:right w:val="single" w:sz="4" w:space="0" w:color="auto"/>
            </w:tcBorders>
            <w:shd w:val="clear" w:color="auto" w:fill="auto"/>
            <w:noWrap/>
            <w:vAlign w:val="bottom"/>
          </w:tcPr>
          <w:p w:rsidR="001352EB" w:rsidRPr="00563CF9" w:rsidRDefault="001352EB" w:rsidP="001352EB">
            <w:pPr>
              <w:spacing w:before="40" w:after="40"/>
              <w:jc w:val="center"/>
              <w:rPr>
                <w:rFonts w:cstheme="minorHAnsi"/>
                <w:color w:val="000000"/>
                <w:sz w:val="20"/>
                <w:lang w:val="en-GB"/>
              </w:rPr>
            </w:pPr>
            <w:r w:rsidRPr="00563CF9">
              <w:rPr>
                <w:sz w:val="20"/>
                <w:lang w:val="en-GB" w:bidi="en-GB"/>
              </w:rPr>
              <w:t>2014</w:t>
            </w:r>
          </w:p>
        </w:tc>
        <w:tc>
          <w:tcPr>
            <w:tcW w:w="1020" w:type="dxa"/>
            <w:tcBorders>
              <w:top w:val="single" w:sz="4" w:space="0" w:color="auto"/>
              <w:left w:val="nil"/>
              <w:bottom w:val="single" w:sz="4" w:space="0" w:color="auto"/>
              <w:right w:val="single" w:sz="4" w:space="0" w:color="auto"/>
            </w:tcBorders>
            <w:shd w:val="clear" w:color="auto" w:fill="auto"/>
            <w:noWrap/>
            <w:vAlign w:val="bottom"/>
          </w:tcPr>
          <w:p w:rsidR="001352EB" w:rsidRPr="00563CF9" w:rsidRDefault="001352EB" w:rsidP="001352EB">
            <w:pPr>
              <w:spacing w:before="40" w:after="40"/>
              <w:jc w:val="right"/>
              <w:rPr>
                <w:rFonts w:cstheme="minorHAnsi"/>
                <w:sz w:val="20"/>
                <w:lang w:val="en-GB"/>
              </w:rPr>
            </w:pPr>
            <w:r w:rsidRPr="00563CF9">
              <w:rPr>
                <w:sz w:val="20"/>
                <w:lang w:val="en-GB" w:bidi="en-GB"/>
              </w:rPr>
              <w:t>1,155.75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352EB" w:rsidRPr="00563CF9" w:rsidRDefault="001352EB" w:rsidP="001352EB">
            <w:pPr>
              <w:spacing w:before="40" w:after="40"/>
              <w:jc w:val="center"/>
              <w:rPr>
                <w:rFonts w:cstheme="minorHAnsi"/>
                <w:color w:val="000000"/>
                <w:sz w:val="20"/>
                <w:lang w:val="en-GB"/>
              </w:rPr>
            </w:pPr>
            <w:r w:rsidRPr="00563CF9">
              <w:rPr>
                <w:sz w:val="20"/>
                <w:lang w:val="en-GB" w:bidi="en-GB"/>
              </w:rPr>
              <w:t>MUH</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1352EB" w:rsidRPr="00563CF9" w:rsidRDefault="001352EB" w:rsidP="001352EB">
            <w:pPr>
              <w:spacing w:before="40" w:after="40"/>
              <w:jc w:val="right"/>
              <w:rPr>
                <w:rFonts w:cstheme="minorHAnsi"/>
                <w:color w:val="000000"/>
                <w:sz w:val="20"/>
                <w:lang w:val="en-GB"/>
              </w:rPr>
            </w:pPr>
            <w:r w:rsidRPr="00563CF9">
              <w:rPr>
                <w:sz w:val="20"/>
                <w:lang w:val="en-GB" w:bidi="en-GB"/>
              </w:rPr>
              <w:t>3,450.00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352EB" w:rsidRPr="00563CF9" w:rsidRDefault="001352EB" w:rsidP="001352EB">
            <w:pPr>
              <w:spacing w:before="40" w:after="40"/>
              <w:jc w:val="center"/>
              <w:rPr>
                <w:rFonts w:cstheme="minorHAnsi"/>
                <w:color w:val="000000"/>
                <w:sz w:val="20"/>
                <w:lang w:val="en-GB"/>
              </w:rPr>
            </w:pPr>
            <w:r w:rsidRPr="00563CF9">
              <w:rPr>
                <w:sz w:val="20"/>
                <w:lang w:val="en-GB" w:bidi="en-GB"/>
              </w:rPr>
              <w:t>BUH</w:t>
            </w:r>
          </w:p>
        </w:tc>
        <w:tc>
          <w:tcPr>
            <w:tcW w:w="899" w:type="dxa"/>
            <w:tcBorders>
              <w:top w:val="single" w:sz="4" w:space="0" w:color="auto"/>
              <w:left w:val="nil"/>
              <w:bottom w:val="single" w:sz="4" w:space="0" w:color="auto"/>
              <w:right w:val="single" w:sz="4" w:space="0" w:color="auto"/>
            </w:tcBorders>
            <w:shd w:val="clear" w:color="auto" w:fill="auto"/>
            <w:noWrap/>
            <w:vAlign w:val="bottom"/>
          </w:tcPr>
          <w:p w:rsidR="001352EB" w:rsidRPr="00563CF9" w:rsidRDefault="001352EB" w:rsidP="001352EB">
            <w:pPr>
              <w:spacing w:before="40" w:after="40"/>
              <w:jc w:val="right"/>
              <w:rPr>
                <w:rFonts w:cstheme="minorHAnsi"/>
                <w:color w:val="000000"/>
                <w:sz w:val="20"/>
                <w:lang w:val="en-GB"/>
              </w:rPr>
            </w:pPr>
            <w:r w:rsidRPr="00563CF9">
              <w:rPr>
                <w:sz w:val="20"/>
                <w:lang w:val="en-GB" w:bidi="en-GB"/>
              </w:rPr>
              <w:t>2,294.25</w:t>
            </w:r>
          </w:p>
        </w:tc>
        <w:tc>
          <w:tcPr>
            <w:tcW w:w="879" w:type="dxa"/>
            <w:tcBorders>
              <w:top w:val="single" w:sz="4" w:space="0" w:color="auto"/>
              <w:left w:val="nil"/>
              <w:bottom w:val="single" w:sz="4" w:space="0" w:color="auto"/>
              <w:right w:val="single" w:sz="4" w:space="0" w:color="auto"/>
            </w:tcBorders>
            <w:shd w:val="clear" w:color="auto" w:fill="auto"/>
            <w:noWrap/>
            <w:vAlign w:val="bottom"/>
          </w:tcPr>
          <w:p w:rsidR="001352EB" w:rsidRPr="00563CF9" w:rsidRDefault="001352EB" w:rsidP="009373D3">
            <w:pPr>
              <w:spacing w:before="40" w:after="40"/>
              <w:jc w:val="right"/>
              <w:rPr>
                <w:rFonts w:cstheme="minorHAnsi"/>
                <w:color w:val="000000"/>
                <w:sz w:val="20"/>
                <w:lang w:val="en-GB"/>
              </w:rPr>
            </w:pPr>
            <w:r w:rsidRPr="00563CF9">
              <w:rPr>
                <w:sz w:val="20"/>
                <w:lang w:val="en-GB" w:bidi="en-GB"/>
              </w:rPr>
              <w:t>198.51</w:t>
            </w:r>
          </w:p>
        </w:tc>
        <w:tc>
          <w:tcPr>
            <w:tcW w:w="907" w:type="dxa"/>
            <w:tcBorders>
              <w:top w:val="single" w:sz="4" w:space="0" w:color="auto"/>
              <w:left w:val="nil"/>
              <w:bottom w:val="single" w:sz="4" w:space="0" w:color="auto"/>
              <w:right w:val="single" w:sz="4" w:space="0" w:color="auto"/>
            </w:tcBorders>
            <w:shd w:val="clear" w:color="auto" w:fill="auto"/>
            <w:noWrap/>
            <w:vAlign w:val="bottom"/>
          </w:tcPr>
          <w:p w:rsidR="001352EB" w:rsidRPr="00563CF9" w:rsidRDefault="001352EB" w:rsidP="001352EB">
            <w:pPr>
              <w:spacing w:before="40" w:after="40"/>
              <w:ind w:right="-12"/>
              <w:jc w:val="right"/>
              <w:rPr>
                <w:rFonts w:cstheme="minorHAnsi"/>
                <w:color w:val="000000"/>
                <w:sz w:val="20"/>
                <w:lang w:val="en-GB"/>
              </w:rPr>
            </w:pPr>
            <w:r w:rsidRPr="00563CF9">
              <w:rPr>
                <w:sz w:val="20"/>
                <w:lang w:val="en-GB" w:bidi="en-GB"/>
              </w:rPr>
              <w:t>2</w:t>
            </w:r>
          </w:p>
        </w:tc>
        <w:tc>
          <w:tcPr>
            <w:tcW w:w="1020" w:type="dxa"/>
            <w:tcBorders>
              <w:top w:val="single" w:sz="4" w:space="0" w:color="auto"/>
              <w:left w:val="nil"/>
              <w:bottom w:val="single" w:sz="4" w:space="0" w:color="auto"/>
              <w:right w:val="single" w:sz="4" w:space="0" w:color="auto"/>
            </w:tcBorders>
            <w:shd w:val="clear" w:color="auto" w:fill="auto"/>
            <w:noWrap/>
            <w:vAlign w:val="bottom"/>
          </w:tcPr>
          <w:p w:rsidR="001352EB" w:rsidRPr="00563CF9" w:rsidRDefault="001352EB" w:rsidP="001352EB">
            <w:pPr>
              <w:spacing w:before="40" w:after="40"/>
              <w:ind w:right="117"/>
              <w:jc w:val="right"/>
              <w:rPr>
                <w:rFonts w:cstheme="minorHAnsi"/>
                <w:color w:val="000000"/>
                <w:sz w:val="20"/>
                <w:lang w:val="en-GB"/>
              </w:rPr>
            </w:pPr>
            <w:r w:rsidRPr="00563CF9">
              <w:rPr>
                <w:sz w:val="20"/>
                <w:lang w:val="en-GB" w:bidi="en-GB"/>
              </w:rPr>
              <w:t>1</w:t>
            </w:r>
          </w:p>
        </w:tc>
      </w:tr>
      <w:tr w:rsidR="001352EB" w:rsidRPr="00563CF9" w:rsidTr="001352EB">
        <w:trPr>
          <w:trHeight w:val="283"/>
        </w:trPr>
        <w:tc>
          <w:tcPr>
            <w:tcW w:w="794" w:type="dxa"/>
            <w:vMerge/>
            <w:tcBorders>
              <w:left w:val="single" w:sz="4" w:space="0" w:color="auto"/>
              <w:right w:val="single" w:sz="4" w:space="0" w:color="auto"/>
            </w:tcBorders>
            <w:vAlign w:val="center"/>
          </w:tcPr>
          <w:p w:rsidR="001352EB" w:rsidRPr="00563CF9" w:rsidRDefault="001352EB" w:rsidP="001352EB">
            <w:pPr>
              <w:spacing w:before="40" w:after="40"/>
              <w:ind w:left="-57" w:right="-57"/>
              <w:jc w:val="center"/>
              <w:rPr>
                <w:rFonts w:cstheme="minorHAnsi"/>
                <w:color w:val="000000"/>
                <w:sz w:val="18"/>
                <w:szCs w:val="18"/>
                <w:lang w:val="en-GB"/>
              </w:rPr>
            </w:pPr>
          </w:p>
        </w:tc>
        <w:tc>
          <w:tcPr>
            <w:tcW w:w="573" w:type="dxa"/>
            <w:tcBorders>
              <w:top w:val="single" w:sz="4" w:space="0" w:color="auto"/>
              <w:left w:val="nil"/>
              <w:bottom w:val="single" w:sz="4" w:space="0" w:color="auto"/>
              <w:right w:val="single" w:sz="4" w:space="0" w:color="auto"/>
            </w:tcBorders>
            <w:shd w:val="clear" w:color="auto" w:fill="auto"/>
            <w:noWrap/>
            <w:vAlign w:val="bottom"/>
          </w:tcPr>
          <w:p w:rsidR="001352EB" w:rsidRPr="00563CF9" w:rsidRDefault="001352EB" w:rsidP="001352EB">
            <w:pPr>
              <w:spacing w:before="40" w:after="40"/>
              <w:jc w:val="center"/>
              <w:rPr>
                <w:rFonts w:cstheme="minorHAnsi"/>
                <w:color w:val="000000"/>
                <w:sz w:val="20"/>
                <w:lang w:val="en-GB"/>
              </w:rPr>
            </w:pPr>
            <w:r w:rsidRPr="00563CF9">
              <w:rPr>
                <w:sz w:val="20"/>
                <w:lang w:val="en-GB" w:bidi="en-GB"/>
              </w:rPr>
              <w:t>2015</w:t>
            </w:r>
          </w:p>
        </w:tc>
        <w:tc>
          <w:tcPr>
            <w:tcW w:w="1020" w:type="dxa"/>
            <w:tcBorders>
              <w:top w:val="single" w:sz="4" w:space="0" w:color="auto"/>
              <w:left w:val="nil"/>
              <w:bottom w:val="single" w:sz="4" w:space="0" w:color="auto"/>
              <w:right w:val="single" w:sz="4" w:space="0" w:color="auto"/>
            </w:tcBorders>
            <w:shd w:val="clear" w:color="auto" w:fill="auto"/>
            <w:noWrap/>
            <w:vAlign w:val="bottom"/>
          </w:tcPr>
          <w:p w:rsidR="001352EB" w:rsidRPr="00563CF9" w:rsidRDefault="001352EB" w:rsidP="001352EB">
            <w:pPr>
              <w:spacing w:before="40" w:after="40"/>
              <w:jc w:val="right"/>
              <w:rPr>
                <w:rFonts w:cstheme="minorHAnsi"/>
                <w:sz w:val="20"/>
                <w:lang w:val="en-GB"/>
              </w:rPr>
            </w:pPr>
            <w:r w:rsidRPr="00563CF9">
              <w:rPr>
                <w:sz w:val="20"/>
                <w:lang w:val="en-GB" w:bidi="en-GB"/>
              </w:rPr>
              <w:t>955.90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352EB" w:rsidRPr="00563CF9" w:rsidRDefault="001352EB" w:rsidP="001352EB">
            <w:pPr>
              <w:spacing w:before="40" w:after="40"/>
              <w:jc w:val="center"/>
              <w:rPr>
                <w:rFonts w:cstheme="minorHAnsi"/>
                <w:color w:val="000000"/>
                <w:sz w:val="20"/>
                <w:lang w:val="en-GB"/>
              </w:rPr>
            </w:pPr>
            <w:r w:rsidRPr="00563CF9">
              <w:rPr>
                <w:sz w:val="20"/>
                <w:lang w:val="en-GB" w:bidi="en-GB"/>
              </w:rPr>
              <w:t>CMH</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1352EB" w:rsidRPr="00563CF9" w:rsidRDefault="001352EB" w:rsidP="001352EB">
            <w:pPr>
              <w:spacing w:before="40" w:after="40"/>
              <w:jc w:val="right"/>
              <w:rPr>
                <w:rFonts w:cstheme="minorHAnsi"/>
                <w:color w:val="000000"/>
                <w:sz w:val="20"/>
                <w:lang w:val="en-GB"/>
              </w:rPr>
            </w:pPr>
            <w:r w:rsidRPr="00563CF9">
              <w:rPr>
                <w:sz w:val="20"/>
                <w:lang w:val="en-GB" w:bidi="en-GB"/>
              </w:rPr>
              <w:t>3,300.00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352EB" w:rsidRPr="00563CF9" w:rsidRDefault="001352EB" w:rsidP="001352EB">
            <w:pPr>
              <w:spacing w:before="40" w:after="40"/>
              <w:jc w:val="center"/>
              <w:rPr>
                <w:rFonts w:cstheme="minorHAnsi"/>
                <w:color w:val="000000"/>
                <w:sz w:val="20"/>
                <w:lang w:val="en-GB"/>
              </w:rPr>
            </w:pPr>
            <w:r w:rsidRPr="00563CF9">
              <w:rPr>
                <w:sz w:val="20"/>
                <w:lang w:val="en-GB" w:bidi="en-GB"/>
              </w:rPr>
              <w:t>BUH</w:t>
            </w:r>
          </w:p>
        </w:tc>
        <w:tc>
          <w:tcPr>
            <w:tcW w:w="899" w:type="dxa"/>
            <w:tcBorders>
              <w:top w:val="single" w:sz="4" w:space="0" w:color="auto"/>
              <w:left w:val="nil"/>
              <w:bottom w:val="single" w:sz="4" w:space="0" w:color="auto"/>
              <w:right w:val="single" w:sz="4" w:space="0" w:color="auto"/>
            </w:tcBorders>
            <w:shd w:val="clear" w:color="auto" w:fill="auto"/>
            <w:noWrap/>
            <w:vAlign w:val="bottom"/>
          </w:tcPr>
          <w:p w:rsidR="001352EB" w:rsidRPr="00563CF9" w:rsidRDefault="001352EB" w:rsidP="001352EB">
            <w:pPr>
              <w:spacing w:before="40" w:after="40"/>
              <w:jc w:val="right"/>
              <w:rPr>
                <w:rFonts w:cstheme="minorHAnsi"/>
                <w:color w:val="000000"/>
                <w:sz w:val="20"/>
                <w:lang w:val="en-GB"/>
              </w:rPr>
            </w:pPr>
            <w:r w:rsidRPr="00563CF9">
              <w:rPr>
                <w:sz w:val="20"/>
                <w:lang w:val="en-GB" w:bidi="en-GB"/>
              </w:rPr>
              <w:t>2,344.10</w:t>
            </w:r>
          </w:p>
        </w:tc>
        <w:tc>
          <w:tcPr>
            <w:tcW w:w="879" w:type="dxa"/>
            <w:tcBorders>
              <w:top w:val="single" w:sz="4" w:space="0" w:color="auto"/>
              <w:left w:val="nil"/>
              <w:bottom w:val="single" w:sz="4" w:space="0" w:color="auto"/>
              <w:right w:val="single" w:sz="4" w:space="0" w:color="auto"/>
            </w:tcBorders>
            <w:shd w:val="clear" w:color="auto" w:fill="auto"/>
            <w:noWrap/>
            <w:vAlign w:val="bottom"/>
          </w:tcPr>
          <w:p w:rsidR="001352EB" w:rsidRPr="00563CF9" w:rsidRDefault="001352EB" w:rsidP="009373D3">
            <w:pPr>
              <w:spacing w:before="40" w:after="40"/>
              <w:jc w:val="right"/>
              <w:rPr>
                <w:rFonts w:cstheme="minorHAnsi"/>
                <w:color w:val="000000"/>
                <w:sz w:val="20"/>
                <w:lang w:val="en-GB"/>
              </w:rPr>
            </w:pPr>
            <w:r w:rsidRPr="00563CF9">
              <w:rPr>
                <w:sz w:val="20"/>
                <w:lang w:val="en-GB" w:bidi="en-GB"/>
              </w:rPr>
              <w:t>245.22</w:t>
            </w:r>
          </w:p>
        </w:tc>
        <w:tc>
          <w:tcPr>
            <w:tcW w:w="907" w:type="dxa"/>
            <w:tcBorders>
              <w:top w:val="single" w:sz="4" w:space="0" w:color="auto"/>
              <w:left w:val="nil"/>
              <w:bottom w:val="single" w:sz="4" w:space="0" w:color="auto"/>
              <w:right w:val="single" w:sz="4" w:space="0" w:color="auto"/>
            </w:tcBorders>
            <w:shd w:val="clear" w:color="auto" w:fill="auto"/>
            <w:noWrap/>
            <w:vAlign w:val="bottom"/>
          </w:tcPr>
          <w:p w:rsidR="001352EB" w:rsidRPr="00563CF9" w:rsidRDefault="001352EB" w:rsidP="001352EB">
            <w:pPr>
              <w:spacing w:before="40" w:after="40"/>
              <w:ind w:right="-12"/>
              <w:jc w:val="right"/>
              <w:rPr>
                <w:rFonts w:cstheme="minorHAnsi"/>
                <w:color w:val="000000"/>
                <w:sz w:val="20"/>
                <w:lang w:val="en-GB"/>
              </w:rPr>
            </w:pPr>
            <w:r w:rsidRPr="00563CF9">
              <w:rPr>
                <w:sz w:val="20"/>
                <w:lang w:val="en-GB" w:bidi="en-GB"/>
              </w:rPr>
              <w:t>3</w:t>
            </w:r>
          </w:p>
        </w:tc>
        <w:tc>
          <w:tcPr>
            <w:tcW w:w="1020" w:type="dxa"/>
            <w:tcBorders>
              <w:top w:val="single" w:sz="4" w:space="0" w:color="auto"/>
              <w:left w:val="nil"/>
              <w:bottom w:val="single" w:sz="4" w:space="0" w:color="auto"/>
              <w:right w:val="single" w:sz="4" w:space="0" w:color="auto"/>
            </w:tcBorders>
            <w:shd w:val="clear" w:color="auto" w:fill="auto"/>
            <w:noWrap/>
            <w:vAlign w:val="bottom"/>
          </w:tcPr>
          <w:p w:rsidR="001352EB" w:rsidRPr="00563CF9" w:rsidRDefault="001352EB" w:rsidP="001352EB">
            <w:pPr>
              <w:spacing w:before="40" w:after="40"/>
              <w:ind w:right="117"/>
              <w:jc w:val="right"/>
              <w:rPr>
                <w:rFonts w:cstheme="minorHAnsi"/>
                <w:color w:val="000000"/>
                <w:sz w:val="20"/>
                <w:lang w:val="en-GB"/>
              </w:rPr>
            </w:pPr>
            <w:r w:rsidRPr="00563CF9">
              <w:rPr>
                <w:sz w:val="20"/>
                <w:lang w:val="en-GB" w:bidi="en-GB"/>
              </w:rPr>
              <w:t>1</w:t>
            </w:r>
          </w:p>
        </w:tc>
      </w:tr>
      <w:tr w:rsidR="001352EB" w:rsidRPr="00563CF9" w:rsidTr="001352EB">
        <w:trPr>
          <w:trHeight w:val="283"/>
        </w:trPr>
        <w:tc>
          <w:tcPr>
            <w:tcW w:w="794" w:type="dxa"/>
            <w:vMerge/>
            <w:tcBorders>
              <w:left w:val="single" w:sz="4" w:space="0" w:color="auto"/>
              <w:bottom w:val="single" w:sz="4" w:space="0" w:color="auto"/>
              <w:right w:val="single" w:sz="4" w:space="0" w:color="auto"/>
            </w:tcBorders>
            <w:vAlign w:val="center"/>
          </w:tcPr>
          <w:p w:rsidR="001352EB" w:rsidRPr="00563CF9" w:rsidRDefault="001352EB" w:rsidP="001352EB">
            <w:pPr>
              <w:spacing w:before="40" w:after="40"/>
              <w:ind w:left="-57" w:right="-57"/>
              <w:jc w:val="center"/>
              <w:rPr>
                <w:rFonts w:cstheme="minorHAnsi"/>
                <w:color w:val="000000"/>
                <w:sz w:val="18"/>
                <w:szCs w:val="18"/>
                <w:lang w:val="en-GB"/>
              </w:rPr>
            </w:pPr>
          </w:p>
        </w:tc>
        <w:tc>
          <w:tcPr>
            <w:tcW w:w="573" w:type="dxa"/>
            <w:tcBorders>
              <w:top w:val="single" w:sz="4" w:space="0" w:color="auto"/>
              <w:left w:val="nil"/>
              <w:bottom w:val="single" w:sz="4" w:space="0" w:color="auto"/>
              <w:right w:val="single" w:sz="4" w:space="0" w:color="auto"/>
            </w:tcBorders>
            <w:shd w:val="clear" w:color="auto" w:fill="auto"/>
            <w:noWrap/>
            <w:vAlign w:val="bottom"/>
          </w:tcPr>
          <w:p w:rsidR="001352EB" w:rsidRPr="00563CF9" w:rsidRDefault="001352EB" w:rsidP="001352EB">
            <w:pPr>
              <w:spacing w:before="40" w:after="40"/>
              <w:jc w:val="center"/>
              <w:rPr>
                <w:rFonts w:cstheme="minorHAnsi"/>
                <w:color w:val="000000"/>
                <w:sz w:val="20"/>
                <w:lang w:val="en-GB"/>
              </w:rPr>
            </w:pPr>
            <w:r w:rsidRPr="00563CF9">
              <w:rPr>
                <w:sz w:val="20"/>
                <w:lang w:val="en-GB" w:bidi="en-GB"/>
              </w:rPr>
              <w:t>2016</w:t>
            </w:r>
          </w:p>
        </w:tc>
        <w:tc>
          <w:tcPr>
            <w:tcW w:w="1020" w:type="dxa"/>
            <w:tcBorders>
              <w:top w:val="single" w:sz="4" w:space="0" w:color="auto"/>
              <w:left w:val="nil"/>
              <w:bottom w:val="single" w:sz="4" w:space="0" w:color="auto"/>
              <w:right w:val="single" w:sz="4" w:space="0" w:color="auto"/>
            </w:tcBorders>
            <w:shd w:val="clear" w:color="auto" w:fill="auto"/>
            <w:noWrap/>
            <w:vAlign w:val="bottom"/>
          </w:tcPr>
          <w:p w:rsidR="001352EB" w:rsidRPr="00563CF9" w:rsidRDefault="001352EB" w:rsidP="001352EB">
            <w:pPr>
              <w:spacing w:before="40" w:after="40"/>
              <w:jc w:val="right"/>
              <w:rPr>
                <w:rFonts w:cstheme="minorHAnsi"/>
                <w:sz w:val="20"/>
                <w:lang w:val="en-GB"/>
              </w:rPr>
            </w:pPr>
            <w:r w:rsidRPr="00563CF9">
              <w:rPr>
                <w:sz w:val="20"/>
                <w:lang w:val="en-GB" w:bidi="en-GB"/>
              </w:rPr>
              <w:t>935.00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352EB" w:rsidRPr="00563CF9" w:rsidRDefault="001352EB" w:rsidP="001352EB">
            <w:pPr>
              <w:spacing w:before="40" w:after="40"/>
              <w:jc w:val="center"/>
              <w:rPr>
                <w:rFonts w:cstheme="minorHAnsi"/>
                <w:color w:val="000000"/>
                <w:sz w:val="20"/>
                <w:lang w:val="en-GB"/>
              </w:rPr>
            </w:pPr>
            <w:r w:rsidRPr="00563CF9">
              <w:rPr>
                <w:sz w:val="20"/>
                <w:lang w:val="en-GB" w:bidi="en-GB"/>
              </w:rPr>
              <w:t>MUH</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1352EB" w:rsidRPr="00563CF9" w:rsidRDefault="001352EB" w:rsidP="001352EB">
            <w:pPr>
              <w:spacing w:before="40" w:after="40"/>
              <w:jc w:val="right"/>
              <w:rPr>
                <w:rFonts w:cstheme="minorHAnsi"/>
                <w:color w:val="000000"/>
                <w:sz w:val="20"/>
                <w:lang w:val="en-GB"/>
              </w:rPr>
            </w:pPr>
            <w:r w:rsidRPr="00563CF9">
              <w:rPr>
                <w:sz w:val="20"/>
                <w:lang w:val="en-GB" w:bidi="en-GB"/>
              </w:rPr>
              <w:t>3,300.00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352EB" w:rsidRPr="00563CF9" w:rsidRDefault="001352EB" w:rsidP="001352EB">
            <w:pPr>
              <w:spacing w:before="40" w:after="40"/>
              <w:jc w:val="center"/>
              <w:rPr>
                <w:rFonts w:cstheme="minorHAnsi"/>
                <w:color w:val="000000"/>
                <w:sz w:val="20"/>
                <w:lang w:val="en-GB"/>
              </w:rPr>
            </w:pPr>
            <w:r w:rsidRPr="00563CF9">
              <w:rPr>
                <w:sz w:val="20"/>
                <w:lang w:val="en-GB" w:bidi="en-GB"/>
              </w:rPr>
              <w:t>BUH</w:t>
            </w:r>
          </w:p>
        </w:tc>
        <w:tc>
          <w:tcPr>
            <w:tcW w:w="899" w:type="dxa"/>
            <w:tcBorders>
              <w:top w:val="single" w:sz="4" w:space="0" w:color="auto"/>
              <w:left w:val="nil"/>
              <w:bottom w:val="single" w:sz="4" w:space="0" w:color="auto"/>
              <w:right w:val="single" w:sz="4" w:space="0" w:color="auto"/>
            </w:tcBorders>
            <w:shd w:val="clear" w:color="auto" w:fill="auto"/>
            <w:noWrap/>
            <w:vAlign w:val="bottom"/>
          </w:tcPr>
          <w:p w:rsidR="001352EB" w:rsidRPr="00563CF9" w:rsidRDefault="001352EB" w:rsidP="001352EB">
            <w:pPr>
              <w:spacing w:before="40" w:after="40"/>
              <w:jc w:val="right"/>
              <w:rPr>
                <w:rFonts w:cstheme="minorHAnsi"/>
                <w:color w:val="000000"/>
                <w:sz w:val="20"/>
                <w:lang w:val="en-GB"/>
              </w:rPr>
            </w:pPr>
            <w:r w:rsidRPr="00563CF9">
              <w:rPr>
                <w:sz w:val="20"/>
                <w:lang w:val="en-GB" w:bidi="en-GB"/>
              </w:rPr>
              <w:t>2,365.00</w:t>
            </w:r>
          </w:p>
        </w:tc>
        <w:tc>
          <w:tcPr>
            <w:tcW w:w="879" w:type="dxa"/>
            <w:tcBorders>
              <w:top w:val="single" w:sz="4" w:space="0" w:color="auto"/>
              <w:left w:val="nil"/>
              <w:bottom w:val="single" w:sz="4" w:space="0" w:color="auto"/>
              <w:right w:val="single" w:sz="4" w:space="0" w:color="auto"/>
            </w:tcBorders>
            <w:shd w:val="clear" w:color="auto" w:fill="auto"/>
            <w:noWrap/>
            <w:vAlign w:val="bottom"/>
          </w:tcPr>
          <w:p w:rsidR="001352EB" w:rsidRPr="00563CF9" w:rsidRDefault="001352EB" w:rsidP="009373D3">
            <w:pPr>
              <w:spacing w:before="40" w:after="40"/>
              <w:jc w:val="right"/>
              <w:rPr>
                <w:rFonts w:cstheme="minorHAnsi"/>
                <w:color w:val="000000"/>
                <w:sz w:val="20"/>
                <w:lang w:val="en-GB"/>
              </w:rPr>
            </w:pPr>
            <w:r w:rsidRPr="00563CF9">
              <w:rPr>
                <w:sz w:val="20"/>
                <w:lang w:val="en-GB" w:bidi="en-GB"/>
              </w:rPr>
              <w:t>252.94</w:t>
            </w:r>
          </w:p>
        </w:tc>
        <w:tc>
          <w:tcPr>
            <w:tcW w:w="907" w:type="dxa"/>
            <w:tcBorders>
              <w:top w:val="single" w:sz="4" w:space="0" w:color="auto"/>
              <w:left w:val="nil"/>
              <w:bottom w:val="single" w:sz="4" w:space="0" w:color="auto"/>
              <w:right w:val="single" w:sz="4" w:space="0" w:color="auto"/>
            </w:tcBorders>
            <w:shd w:val="clear" w:color="auto" w:fill="auto"/>
            <w:noWrap/>
            <w:vAlign w:val="bottom"/>
          </w:tcPr>
          <w:p w:rsidR="001352EB" w:rsidRPr="00563CF9" w:rsidRDefault="001352EB" w:rsidP="001352EB">
            <w:pPr>
              <w:spacing w:before="40" w:after="40"/>
              <w:ind w:right="-12"/>
              <w:jc w:val="right"/>
              <w:rPr>
                <w:rFonts w:cstheme="minorHAnsi"/>
                <w:color w:val="000000"/>
                <w:sz w:val="20"/>
                <w:lang w:val="en-GB"/>
              </w:rPr>
            </w:pPr>
            <w:r w:rsidRPr="00563CF9">
              <w:rPr>
                <w:sz w:val="20"/>
                <w:lang w:val="en-GB" w:bidi="en-GB"/>
              </w:rPr>
              <w:t>3</w:t>
            </w:r>
          </w:p>
        </w:tc>
        <w:tc>
          <w:tcPr>
            <w:tcW w:w="1020" w:type="dxa"/>
            <w:tcBorders>
              <w:top w:val="single" w:sz="4" w:space="0" w:color="auto"/>
              <w:left w:val="nil"/>
              <w:bottom w:val="single" w:sz="4" w:space="0" w:color="auto"/>
              <w:right w:val="single" w:sz="4" w:space="0" w:color="auto"/>
            </w:tcBorders>
            <w:shd w:val="clear" w:color="auto" w:fill="auto"/>
            <w:noWrap/>
            <w:vAlign w:val="bottom"/>
          </w:tcPr>
          <w:p w:rsidR="001352EB" w:rsidRPr="00563CF9" w:rsidRDefault="001352EB" w:rsidP="001352EB">
            <w:pPr>
              <w:spacing w:before="40" w:after="40"/>
              <w:ind w:right="117"/>
              <w:jc w:val="right"/>
              <w:rPr>
                <w:rFonts w:cstheme="minorHAnsi"/>
                <w:color w:val="000000"/>
                <w:sz w:val="20"/>
                <w:lang w:val="en-GB"/>
              </w:rPr>
            </w:pPr>
            <w:r w:rsidRPr="00563CF9">
              <w:rPr>
                <w:sz w:val="20"/>
                <w:lang w:val="en-GB" w:bidi="en-GB"/>
              </w:rPr>
              <w:t>1</w:t>
            </w:r>
          </w:p>
        </w:tc>
      </w:tr>
      <w:tr w:rsidR="001352EB" w:rsidRPr="00563CF9" w:rsidTr="009D6C3F">
        <w:trPr>
          <w:trHeight w:val="283"/>
        </w:trPr>
        <w:tc>
          <w:tcPr>
            <w:tcW w:w="794" w:type="dxa"/>
            <w:tcBorders>
              <w:top w:val="single" w:sz="4" w:space="0" w:color="auto"/>
              <w:left w:val="single" w:sz="4" w:space="0" w:color="auto"/>
              <w:bottom w:val="single" w:sz="4" w:space="0" w:color="auto"/>
              <w:right w:val="single" w:sz="4" w:space="0" w:color="auto"/>
            </w:tcBorders>
            <w:vAlign w:val="center"/>
          </w:tcPr>
          <w:p w:rsidR="001352EB" w:rsidRPr="00563CF9" w:rsidRDefault="001352EB" w:rsidP="001352EB">
            <w:pPr>
              <w:spacing w:before="40" w:after="40"/>
              <w:ind w:left="-57" w:right="-57"/>
              <w:jc w:val="center"/>
              <w:rPr>
                <w:rFonts w:cstheme="minorHAnsi"/>
                <w:color w:val="000000"/>
                <w:sz w:val="18"/>
                <w:szCs w:val="18"/>
                <w:lang w:val="en-GB"/>
              </w:rPr>
            </w:pPr>
            <w:r w:rsidRPr="00563CF9">
              <w:rPr>
                <w:sz w:val="18"/>
                <w:lang w:val="en-GB" w:bidi="en-GB"/>
              </w:rPr>
              <w:t>0164350</w:t>
            </w:r>
          </w:p>
        </w:tc>
        <w:tc>
          <w:tcPr>
            <w:tcW w:w="573" w:type="dxa"/>
            <w:tcBorders>
              <w:top w:val="single" w:sz="4" w:space="0" w:color="auto"/>
              <w:left w:val="nil"/>
              <w:bottom w:val="single" w:sz="4" w:space="0" w:color="auto"/>
              <w:right w:val="single" w:sz="4" w:space="0" w:color="auto"/>
            </w:tcBorders>
            <w:shd w:val="clear" w:color="auto" w:fill="auto"/>
            <w:noWrap/>
            <w:vAlign w:val="bottom"/>
          </w:tcPr>
          <w:p w:rsidR="001352EB" w:rsidRPr="00563CF9" w:rsidRDefault="001352EB" w:rsidP="001352EB">
            <w:pPr>
              <w:spacing w:before="40" w:after="40"/>
              <w:jc w:val="center"/>
              <w:rPr>
                <w:rFonts w:cstheme="minorHAnsi"/>
                <w:color w:val="000000"/>
                <w:sz w:val="20"/>
                <w:lang w:val="en-GB"/>
              </w:rPr>
            </w:pPr>
            <w:r w:rsidRPr="00563CF9">
              <w:rPr>
                <w:sz w:val="20"/>
                <w:lang w:val="en-GB" w:bidi="en-GB"/>
              </w:rPr>
              <w:t>2014</w:t>
            </w:r>
          </w:p>
        </w:tc>
        <w:tc>
          <w:tcPr>
            <w:tcW w:w="1020" w:type="dxa"/>
            <w:tcBorders>
              <w:top w:val="single" w:sz="4" w:space="0" w:color="auto"/>
              <w:left w:val="nil"/>
              <w:bottom w:val="single" w:sz="4" w:space="0" w:color="auto"/>
              <w:right w:val="single" w:sz="4" w:space="0" w:color="auto"/>
            </w:tcBorders>
            <w:shd w:val="clear" w:color="auto" w:fill="auto"/>
            <w:noWrap/>
            <w:vAlign w:val="bottom"/>
          </w:tcPr>
          <w:p w:rsidR="001352EB" w:rsidRPr="00563CF9" w:rsidRDefault="001352EB" w:rsidP="001352EB">
            <w:pPr>
              <w:spacing w:before="40" w:after="40"/>
              <w:jc w:val="right"/>
              <w:rPr>
                <w:rFonts w:cstheme="minorHAnsi"/>
                <w:sz w:val="20"/>
                <w:lang w:val="en-GB"/>
              </w:rPr>
            </w:pPr>
            <w:r w:rsidRPr="00563CF9">
              <w:rPr>
                <w:sz w:val="20"/>
                <w:lang w:val="en-GB" w:bidi="en-GB"/>
              </w:rPr>
              <w:t>2,263.20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352EB" w:rsidRPr="00563CF9" w:rsidRDefault="001352EB" w:rsidP="001352EB">
            <w:pPr>
              <w:spacing w:before="40" w:after="40"/>
              <w:jc w:val="center"/>
              <w:rPr>
                <w:rFonts w:cstheme="minorHAnsi"/>
                <w:color w:val="000000"/>
                <w:sz w:val="20"/>
                <w:lang w:val="en-GB"/>
              </w:rPr>
            </w:pPr>
            <w:r w:rsidRPr="00563CF9">
              <w:rPr>
                <w:sz w:val="20"/>
                <w:lang w:val="en-GB" w:bidi="en-GB"/>
              </w:rPr>
              <w:t>MUH</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1352EB" w:rsidRPr="00563CF9" w:rsidRDefault="001352EB" w:rsidP="001352EB">
            <w:pPr>
              <w:spacing w:before="40" w:after="40"/>
              <w:jc w:val="right"/>
              <w:rPr>
                <w:rFonts w:cstheme="minorHAnsi"/>
                <w:color w:val="000000"/>
                <w:sz w:val="20"/>
                <w:lang w:val="en-GB"/>
              </w:rPr>
            </w:pPr>
            <w:r w:rsidRPr="00563CF9">
              <w:rPr>
                <w:sz w:val="20"/>
                <w:lang w:val="en-GB" w:bidi="en-GB"/>
              </w:rPr>
              <w:t>3,775.59</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352EB" w:rsidRPr="00563CF9" w:rsidRDefault="001352EB" w:rsidP="001352EB">
            <w:pPr>
              <w:spacing w:before="40" w:after="40"/>
              <w:jc w:val="center"/>
              <w:rPr>
                <w:rFonts w:cstheme="minorHAnsi"/>
                <w:color w:val="000000"/>
                <w:sz w:val="20"/>
                <w:lang w:val="en-GB"/>
              </w:rPr>
            </w:pPr>
            <w:r w:rsidRPr="00563CF9">
              <w:rPr>
                <w:sz w:val="20"/>
                <w:lang w:val="en-GB" w:bidi="en-GB"/>
              </w:rPr>
              <w:t>BUH</w:t>
            </w:r>
          </w:p>
        </w:tc>
        <w:tc>
          <w:tcPr>
            <w:tcW w:w="899" w:type="dxa"/>
            <w:tcBorders>
              <w:top w:val="single" w:sz="4" w:space="0" w:color="auto"/>
              <w:left w:val="nil"/>
              <w:bottom w:val="single" w:sz="4" w:space="0" w:color="auto"/>
              <w:right w:val="single" w:sz="4" w:space="0" w:color="auto"/>
            </w:tcBorders>
            <w:shd w:val="clear" w:color="auto" w:fill="auto"/>
            <w:noWrap/>
            <w:vAlign w:val="bottom"/>
          </w:tcPr>
          <w:p w:rsidR="001352EB" w:rsidRPr="00563CF9" w:rsidRDefault="001352EB" w:rsidP="001352EB">
            <w:pPr>
              <w:spacing w:before="40" w:after="40"/>
              <w:jc w:val="right"/>
              <w:rPr>
                <w:rFonts w:cstheme="minorHAnsi"/>
                <w:color w:val="000000"/>
                <w:sz w:val="20"/>
                <w:lang w:val="en-GB"/>
              </w:rPr>
            </w:pPr>
            <w:r w:rsidRPr="00563CF9">
              <w:rPr>
                <w:sz w:val="20"/>
                <w:lang w:val="en-GB" w:bidi="en-GB"/>
              </w:rPr>
              <w:t>1,512.39</w:t>
            </w:r>
          </w:p>
        </w:tc>
        <w:tc>
          <w:tcPr>
            <w:tcW w:w="879" w:type="dxa"/>
            <w:tcBorders>
              <w:top w:val="single" w:sz="4" w:space="0" w:color="auto"/>
              <w:left w:val="nil"/>
              <w:bottom w:val="single" w:sz="4" w:space="0" w:color="auto"/>
              <w:right w:val="single" w:sz="4" w:space="0" w:color="auto"/>
            </w:tcBorders>
            <w:shd w:val="clear" w:color="auto" w:fill="auto"/>
            <w:noWrap/>
            <w:vAlign w:val="bottom"/>
          </w:tcPr>
          <w:p w:rsidR="001352EB" w:rsidRPr="00563CF9" w:rsidRDefault="001352EB" w:rsidP="009373D3">
            <w:pPr>
              <w:spacing w:before="40" w:after="40"/>
              <w:jc w:val="right"/>
              <w:rPr>
                <w:rFonts w:cstheme="minorHAnsi"/>
                <w:color w:val="000000"/>
                <w:sz w:val="20"/>
                <w:lang w:val="en-GB"/>
              </w:rPr>
            </w:pPr>
            <w:r w:rsidRPr="00563CF9">
              <w:rPr>
                <w:sz w:val="20"/>
                <w:lang w:val="en-GB" w:bidi="en-GB"/>
              </w:rPr>
              <w:t>66.83</w:t>
            </w:r>
          </w:p>
        </w:tc>
        <w:tc>
          <w:tcPr>
            <w:tcW w:w="907" w:type="dxa"/>
            <w:tcBorders>
              <w:top w:val="single" w:sz="4" w:space="0" w:color="auto"/>
              <w:left w:val="nil"/>
              <w:bottom w:val="single" w:sz="4" w:space="0" w:color="auto"/>
              <w:right w:val="single" w:sz="4" w:space="0" w:color="auto"/>
            </w:tcBorders>
            <w:shd w:val="clear" w:color="auto" w:fill="auto"/>
            <w:noWrap/>
            <w:vAlign w:val="bottom"/>
          </w:tcPr>
          <w:p w:rsidR="001352EB" w:rsidRPr="00563CF9" w:rsidRDefault="001352EB" w:rsidP="001352EB">
            <w:pPr>
              <w:spacing w:before="40" w:after="40"/>
              <w:ind w:right="-12"/>
              <w:jc w:val="right"/>
              <w:rPr>
                <w:rFonts w:cstheme="minorHAnsi"/>
                <w:color w:val="000000"/>
                <w:sz w:val="20"/>
                <w:lang w:val="en-GB"/>
              </w:rPr>
            </w:pPr>
            <w:r w:rsidRPr="00563CF9">
              <w:rPr>
                <w:sz w:val="20"/>
                <w:lang w:val="en-GB" w:bidi="en-GB"/>
              </w:rPr>
              <w:t>3</w:t>
            </w:r>
          </w:p>
        </w:tc>
        <w:tc>
          <w:tcPr>
            <w:tcW w:w="1020" w:type="dxa"/>
            <w:tcBorders>
              <w:top w:val="single" w:sz="4" w:space="0" w:color="auto"/>
              <w:left w:val="nil"/>
              <w:bottom w:val="single" w:sz="4" w:space="0" w:color="auto"/>
              <w:right w:val="single" w:sz="4" w:space="0" w:color="auto"/>
            </w:tcBorders>
            <w:shd w:val="clear" w:color="auto" w:fill="auto"/>
            <w:noWrap/>
            <w:vAlign w:val="bottom"/>
          </w:tcPr>
          <w:p w:rsidR="001352EB" w:rsidRPr="00563CF9" w:rsidRDefault="001352EB" w:rsidP="001352EB">
            <w:pPr>
              <w:spacing w:before="40" w:after="40"/>
              <w:ind w:right="117"/>
              <w:jc w:val="right"/>
              <w:rPr>
                <w:rFonts w:cstheme="minorHAnsi"/>
                <w:color w:val="000000"/>
                <w:sz w:val="20"/>
                <w:lang w:val="en-GB"/>
              </w:rPr>
            </w:pPr>
            <w:r w:rsidRPr="00563CF9">
              <w:rPr>
                <w:sz w:val="20"/>
                <w:lang w:val="en-GB" w:bidi="en-GB"/>
              </w:rPr>
              <w:t>3</w:t>
            </w:r>
          </w:p>
        </w:tc>
      </w:tr>
      <w:tr w:rsidR="001352EB" w:rsidRPr="00563CF9" w:rsidTr="001352EB">
        <w:trPr>
          <w:trHeight w:val="283"/>
        </w:trPr>
        <w:tc>
          <w:tcPr>
            <w:tcW w:w="794" w:type="dxa"/>
            <w:vMerge w:val="restart"/>
            <w:tcBorders>
              <w:top w:val="single" w:sz="4" w:space="0" w:color="auto"/>
              <w:left w:val="single" w:sz="4" w:space="0" w:color="auto"/>
              <w:right w:val="single" w:sz="4" w:space="0" w:color="auto"/>
            </w:tcBorders>
            <w:vAlign w:val="center"/>
          </w:tcPr>
          <w:p w:rsidR="001352EB" w:rsidRPr="00563CF9" w:rsidRDefault="001352EB" w:rsidP="001352EB">
            <w:pPr>
              <w:spacing w:before="40" w:after="40"/>
              <w:ind w:left="-57" w:right="-57"/>
              <w:jc w:val="center"/>
              <w:rPr>
                <w:rFonts w:cstheme="minorHAnsi"/>
                <w:color w:val="000000"/>
                <w:sz w:val="18"/>
                <w:szCs w:val="18"/>
                <w:lang w:val="en-GB"/>
              </w:rPr>
            </w:pPr>
            <w:r w:rsidRPr="00563CF9">
              <w:rPr>
                <w:sz w:val="18"/>
                <w:lang w:val="en-GB" w:bidi="en-GB"/>
              </w:rPr>
              <w:t>0198417</w:t>
            </w:r>
          </w:p>
        </w:tc>
        <w:tc>
          <w:tcPr>
            <w:tcW w:w="573" w:type="dxa"/>
            <w:tcBorders>
              <w:top w:val="single" w:sz="4" w:space="0" w:color="auto"/>
              <w:left w:val="nil"/>
              <w:bottom w:val="single" w:sz="4" w:space="0" w:color="auto"/>
              <w:right w:val="single" w:sz="4" w:space="0" w:color="auto"/>
            </w:tcBorders>
            <w:shd w:val="clear" w:color="auto" w:fill="auto"/>
            <w:noWrap/>
            <w:vAlign w:val="bottom"/>
          </w:tcPr>
          <w:p w:rsidR="001352EB" w:rsidRPr="00563CF9" w:rsidRDefault="001352EB" w:rsidP="001352EB">
            <w:pPr>
              <w:spacing w:before="40" w:after="40"/>
              <w:jc w:val="center"/>
              <w:rPr>
                <w:rFonts w:cstheme="minorHAnsi"/>
                <w:color w:val="000000"/>
                <w:sz w:val="20"/>
                <w:lang w:val="en-GB"/>
              </w:rPr>
            </w:pPr>
            <w:r w:rsidRPr="00563CF9">
              <w:rPr>
                <w:sz w:val="20"/>
                <w:lang w:val="en-GB" w:bidi="en-GB"/>
              </w:rPr>
              <w:t>2014</w:t>
            </w:r>
          </w:p>
        </w:tc>
        <w:tc>
          <w:tcPr>
            <w:tcW w:w="1020" w:type="dxa"/>
            <w:tcBorders>
              <w:top w:val="single" w:sz="4" w:space="0" w:color="auto"/>
              <w:left w:val="nil"/>
              <w:bottom w:val="single" w:sz="4" w:space="0" w:color="auto"/>
              <w:right w:val="single" w:sz="4" w:space="0" w:color="auto"/>
            </w:tcBorders>
            <w:shd w:val="clear" w:color="auto" w:fill="auto"/>
            <w:noWrap/>
            <w:vAlign w:val="bottom"/>
          </w:tcPr>
          <w:p w:rsidR="001352EB" w:rsidRPr="00563CF9" w:rsidRDefault="001352EB" w:rsidP="001352EB">
            <w:pPr>
              <w:spacing w:before="40" w:after="40"/>
              <w:jc w:val="right"/>
              <w:rPr>
                <w:rFonts w:cstheme="minorHAnsi"/>
                <w:sz w:val="20"/>
                <w:lang w:val="en-GB"/>
              </w:rPr>
            </w:pPr>
            <w:r w:rsidRPr="00563CF9">
              <w:rPr>
                <w:sz w:val="20"/>
                <w:lang w:val="en-GB" w:bidi="en-GB"/>
              </w:rPr>
              <w:t>23,148.60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352EB" w:rsidRPr="00563CF9" w:rsidRDefault="001352EB" w:rsidP="001352EB">
            <w:pPr>
              <w:spacing w:before="40" w:after="40"/>
              <w:jc w:val="center"/>
              <w:rPr>
                <w:rFonts w:cstheme="minorHAnsi"/>
                <w:color w:val="000000"/>
                <w:sz w:val="20"/>
                <w:lang w:val="en-GB"/>
              </w:rPr>
            </w:pPr>
            <w:r w:rsidRPr="00563CF9">
              <w:rPr>
                <w:sz w:val="20"/>
                <w:lang w:val="en-GB" w:bidi="en-GB"/>
              </w:rPr>
              <w:t>CMH</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1352EB" w:rsidRPr="00563CF9" w:rsidRDefault="001352EB" w:rsidP="001352EB">
            <w:pPr>
              <w:spacing w:before="40" w:after="40"/>
              <w:jc w:val="right"/>
              <w:rPr>
                <w:rFonts w:cstheme="minorHAnsi"/>
                <w:color w:val="000000"/>
                <w:sz w:val="20"/>
                <w:lang w:val="en-GB"/>
              </w:rPr>
            </w:pPr>
            <w:r w:rsidRPr="00563CF9">
              <w:rPr>
                <w:sz w:val="20"/>
                <w:lang w:val="en-GB" w:bidi="en-GB"/>
              </w:rPr>
              <w:t>26,101.15</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352EB" w:rsidRPr="00563CF9" w:rsidRDefault="001352EB" w:rsidP="001352EB">
            <w:pPr>
              <w:spacing w:before="40" w:after="40"/>
              <w:jc w:val="center"/>
              <w:rPr>
                <w:rFonts w:cstheme="minorHAnsi"/>
                <w:color w:val="000000"/>
                <w:sz w:val="20"/>
                <w:lang w:val="en-GB"/>
              </w:rPr>
            </w:pPr>
            <w:r w:rsidRPr="00563CF9">
              <w:rPr>
                <w:sz w:val="20"/>
                <w:lang w:val="en-GB" w:bidi="en-GB"/>
              </w:rPr>
              <w:t>BUH</w:t>
            </w:r>
          </w:p>
        </w:tc>
        <w:tc>
          <w:tcPr>
            <w:tcW w:w="899" w:type="dxa"/>
            <w:tcBorders>
              <w:top w:val="single" w:sz="4" w:space="0" w:color="auto"/>
              <w:left w:val="nil"/>
              <w:bottom w:val="single" w:sz="4" w:space="0" w:color="auto"/>
              <w:right w:val="single" w:sz="4" w:space="0" w:color="auto"/>
            </w:tcBorders>
            <w:shd w:val="clear" w:color="auto" w:fill="auto"/>
            <w:noWrap/>
            <w:vAlign w:val="bottom"/>
          </w:tcPr>
          <w:p w:rsidR="001352EB" w:rsidRPr="00563CF9" w:rsidRDefault="001352EB" w:rsidP="001352EB">
            <w:pPr>
              <w:spacing w:before="40" w:after="40"/>
              <w:jc w:val="right"/>
              <w:rPr>
                <w:rFonts w:cstheme="minorHAnsi"/>
                <w:color w:val="000000"/>
                <w:sz w:val="20"/>
                <w:lang w:val="en-GB"/>
              </w:rPr>
            </w:pPr>
            <w:r w:rsidRPr="00563CF9">
              <w:rPr>
                <w:sz w:val="20"/>
                <w:lang w:val="en-GB" w:bidi="en-GB"/>
              </w:rPr>
              <w:t>2,952.55</w:t>
            </w:r>
          </w:p>
        </w:tc>
        <w:tc>
          <w:tcPr>
            <w:tcW w:w="879" w:type="dxa"/>
            <w:tcBorders>
              <w:top w:val="single" w:sz="4" w:space="0" w:color="auto"/>
              <w:left w:val="nil"/>
              <w:bottom w:val="single" w:sz="4" w:space="0" w:color="auto"/>
              <w:right w:val="single" w:sz="4" w:space="0" w:color="auto"/>
            </w:tcBorders>
            <w:shd w:val="clear" w:color="auto" w:fill="auto"/>
            <w:noWrap/>
            <w:vAlign w:val="bottom"/>
          </w:tcPr>
          <w:p w:rsidR="001352EB" w:rsidRPr="00563CF9" w:rsidRDefault="001352EB" w:rsidP="009373D3">
            <w:pPr>
              <w:spacing w:before="40" w:after="40"/>
              <w:jc w:val="right"/>
              <w:rPr>
                <w:rFonts w:cstheme="minorHAnsi"/>
                <w:color w:val="000000"/>
                <w:sz w:val="20"/>
                <w:lang w:val="en-GB"/>
              </w:rPr>
            </w:pPr>
            <w:r w:rsidRPr="00563CF9">
              <w:rPr>
                <w:sz w:val="20"/>
                <w:lang w:val="en-GB" w:bidi="en-GB"/>
              </w:rPr>
              <w:t>12.75</w:t>
            </w:r>
          </w:p>
        </w:tc>
        <w:tc>
          <w:tcPr>
            <w:tcW w:w="907" w:type="dxa"/>
            <w:tcBorders>
              <w:top w:val="single" w:sz="4" w:space="0" w:color="auto"/>
              <w:left w:val="nil"/>
              <w:bottom w:val="single" w:sz="4" w:space="0" w:color="auto"/>
              <w:right w:val="single" w:sz="4" w:space="0" w:color="auto"/>
            </w:tcBorders>
            <w:shd w:val="clear" w:color="auto" w:fill="auto"/>
            <w:noWrap/>
            <w:vAlign w:val="bottom"/>
          </w:tcPr>
          <w:p w:rsidR="001352EB" w:rsidRPr="00563CF9" w:rsidRDefault="001352EB" w:rsidP="001352EB">
            <w:pPr>
              <w:spacing w:before="40" w:after="40"/>
              <w:ind w:right="-12"/>
              <w:jc w:val="right"/>
              <w:rPr>
                <w:rFonts w:cstheme="minorHAnsi"/>
                <w:color w:val="000000"/>
                <w:sz w:val="20"/>
                <w:lang w:val="en-GB"/>
              </w:rPr>
            </w:pPr>
            <w:r w:rsidRPr="00563CF9">
              <w:rPr>
                <w:sz w:val="20"/>
                <w:lang w:val="en-GB" w:bidi="en-GB"/>
              </w:rPr>
              <w:t>3</w:t>
            </w:r>
          </w:p>
        </w:tc>
        <w:tc>
          <w:tcPr>
            <w:tcW w:w="1020" w:type="dxa"/>
            <w:tcBorders>
              <w:top w:val="single" w:sz="4" w:space="0" w:color="auto"/>
              <w:left w:val="nil"/>
              <w:bottom w:val="single" w:sz="4" w:space="0" w:color="auto"/>
              <w:right w:val="single" w:sz="4" w:space="0" w:color="auto"/>
            </w:tcBorders>
            <w:shd w:val="clear" w:color="auto" w:fill="auto"/>
            <w:noWrap/>
            <w:vAlign w:val="bottom"/>
          </w:tcPr>
          <w:p w:rsidR="001352EB" w:rsidRPr="00563CF9" w:rsidRDefault="001352EB" w:rsidP="001352EB">
            <w:pPr>
              <w:spacing w:before="40" w:after="40"/>
              <w:ind w:right="117"/>
              <w:jc w:val="right"/>
              <w:rPr>
                <w:rFonts w:cstheme="minorHAnsi"/>
                <w:color w:val="000000"/>
                <w:sz w:val="20"/>
                <w:lang w:val="en-GB"/>
              </w:rPr>
            </w:pPr>
            <w:r w:rsidRPr="00563CF9">
              <w:rPr>
                <w:sz w:val="20"/>
                <w:lang w:val="en-GB" w:bidi="en-GB"/>
              </w:rPr>
              <w:t>3</w:t>
            </w:r>
          </w:p>
        </w:tc>
      </w:tr>
      <w:tr w:rsidR="001352EB" w:rsidRPr="00563CF9" w:rsidTr="001352EB">
        <w:trPr>
          <w:trHeight w:val="283"/>
        </w:trPr>
        <w:tc>
          <w:tcPr>
            <w:tcW w:w="794" w:type="dxa"/>
            <w:vMerge/>
            <w:tcBorders>
              <w:left w:val="single" w:sz="4" w:space="0" w:color="auto"/>
              <w:right w:val="single" w:sz="4" w:space="0" w:color="auto"/>
            </w:tcBorders>
            <w:vAlign w:val="center"/>
          </w:tcPr>
          <w:p w:rsidR="001352EB" w:rsidRPr="00563CF9" w:rsidRDefault="001352EB" w:rsidP="009D6C3F">
            <w:pPr>
              <w:spacing w:before="40" w:after="40"/>
              <w:ind w:left="-57" w:right="-57"/>
              <w:jc w:val="center"/>
              <w:rPr>
                <w:rFonts w:cstheme="minorHAnsi"/>
                <w:color w:val="000000"/>
                <w:sz w:val="20"/>
                <w:lang w:val="en-GB"/>
              </w:rPr>
            </w:pPr>
          </w:p>
        </w:tc>
        <w:tc>
          <w:tcPr>
            <w:tcW w:w="573" w:type="dxa"/>
            <w:tcBorders>
              <w:top w:val="single" w:sz="4" w:space="0" w:color="auto"/>
              <w:left w:val="nil"/>
              <w:bottom w:val="single" w:sz="4" w:space="0" w:color="auto"/>
              <w:right w:val="single" w:sz="4" w:space="0" w:color="auto"/>
            </w:tcBorders>
            <w:shd w:val="clear" w:color="auto" w:fill="auto"/>
            <w:noWrap/>
            <w:vAlign w:val="bottom"/>
          </w:tcPr>
          <w:p w:rsidR="001352EB" w:rsidRPr="00563CF9" w:rsidRDefault="001352EB" w:rsidP="009D6C3F">
            <w:pPr>
              <w:spacing w:before="40" w:after="40"/>
              <w:jc w:val="center"/>
              <w:rPr>
                <w:rFonts w:cstheme="minorHAnsi"/>
                <w:color w:val="000000"/>
                <w:sz w:val="20"/>
                <w:lang w:val="en-GB"/>
              </w:rPr>
            </w:pPr>
            <w:r w:rsidRPr="00563CF9">
              <w:rPr>
                <w:sz w:val="20"/>
                <w:lang w:val="en-GB" w:bidi="en-GB"/>
              </w:rPr>
              <w:t>2015</w:t>
            </w:r>
          </w:p>
        </w:tc>
        <w:tc>
          <w:tcPr>
            <w:tcW w:w="1020" w:type="dxa"/>
            <w:tcBorders>
              <w:top w:val="single" w:sz="4" w:space="0" w:color="auto"/>
              <w:left w:val="nil"/>
              <w:bottom w:val="single" w:sz="4" w:space="0" w:color="auto"/>
              <w:right w:val="single" w:sz="4" w:space="0" w:color="auto"/>
            </w:tcBorders>
            <w:shd w:val="clear" w:color="auto" w:fill="auto"/>
            <w:noWrap/>
            <w:vAlign w:val="bottom"/>
          </w:tcPr>
          <w:p w:rsidR="001352EB" w:rsidRPr="00563CF9" w:rsidRDefault="001352EB" w:rsidP="009D6C3F">
            <w:pPr>
              <w:spacing w:before="40" w:after="40"/>
              <w:jc w:val="right"/>
              <w:rPr>
                <w:rFonts w:cstheme="minorHAnsi"/>
                <w:sz w:val="20"/>
                <w:lang w:val="en-GB"/>
              </w:rPr>
            </w:pPr>
            <w:r w:rsidRPr="00563CF9">
              <w:rPr>
                <w:sz w:val="20"/>
                <w:lang w:val="en-GB" w:bidi="en-GB"/>
              </w:rPr>
              <w:t>22,074.45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352EB" w:rsidRPr="00563CF9" w:rsidRDefault="001352EB" w:rsidP="009D6C3F">
            <w:pPr>
              <w:spacing w:before="40" w:after="40"/>
              <w:jc w:val="center"/>
              <w:rPr>
                <w:rFonts w:cstheme="minorHAnsi"/>
                <w:color w:val="000000"/>
                <w:sz w:val="20"/>
                <w:lang w:val="en-GB"/>
              </w:rPr>
            </w:pPr>
            <w:r w:rsidRPr="00563CF9">
              <w:rPr>
                <w:sz w:val="20"/>
                <w:lang w:val="en-GB" w:bidi="en-GB"/>
              </w:rPr>
              <w:t>CMH</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1352EB" w:rsidRPr="00563CF9" w:rsidRDefault="001352EB" w:rsidP="009D6C3F">
            <w:pPr>
              <w:spacing w:before="40" w:after="40"/>
              <w:jc w:val="right"/>
              <w:rPr>
                <w:rFonts w:cstheme="minorHAnsi"/>
                <w:color w:val="000000"/>
                <w:sz w:val="20"/>
                <w:lang w:val="en-GB"/>
              </w:rPr>
            </w:pPr>
            <w:r w:rsidRPr="00563CF9">
              <w:rPr>
                <w:sz w:val="20"/>
                <w:lang w:val="en-GB" w:bidi="en-GB"/>
              </w:rPr>
              <w:t>26,432.44</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352EB" w:rsidRPr="00563CF9" w:rsidRDefault="001352EB" w:rsidP="009D6C3F">
            <w:pPr>
              <w:spacing w:before="40" w:after="40"/>
              <w:jc w:val="center"/>
              <w:rPr>
                <w:rFonts w:cstheme="minorHAnsi"/>
                <w:color w:val="000000"/>
                <w:sz w:val="20"/>
                <w:lang w:val="en-GB"/>
              </w:rPr>
            </w:pPr>
            <w:r w:rsidRPr="00563CF9">
              <w:rPr>
                <w:sz w:val="20"/>
                <w:lang w:val="en-GB" w:bidi="en-GB"/>
              </w:rPr>
              <w:t>BUH</w:t>
            </w:r>
          </w:p>
        </w:tc>
        <w:tc>
          <w:tcPr>
            <w:tcW w:w="899" w:type="dxa"/>
            <w:tcBorders>
              <w:top w:val="single" w:sz="4" w:space="0" w:color="auto"/>
              <w:left w:val="nil"/>
              <w:bottom w:val="single" w:sz="4" w:space="0" w:color="auto"/>
              <w:right w:val="single" w:sz="4" w:space="0" w:color="auto"/>
            </w:tcBorders>
            <w:shd w:val="clear" w:color="auto" w:fill="auto"/>
            <w:noWrap/>
            <w:vAlign w:val="bottom"/>
          </w:tcPr>
          <w:p w:rsidR="001352EB" w:rsidRPr="00563CF9" w:rsidRDefault="001352EB" w:rsidP="009D6C3F">
            <w:pPr>
              <w:spacing w:before="40" w:after="40"/>
              <w:jc w:val="right"/>
              <w:rPr>
                <w:rFonts w:cstheme="minorHAnsi"/>
                <w:color w:val="000000"/>
                <w:sz w:val="20"/>
                <w:lang w:val="en-GB"/>
              </w:rPr>
            </w:pPr>
            <w:r w:rsidRPr="00563CF9">
              <w:rPr>
                <w:sz w:val="20"/>
                <w:lang w:val="en-GB" w:bidi="en-GB"/>
              </w:rPr>
              <w:t>4,357.99</w:t>
            </w:r>
          </w:p>
        </w:tc>
        <w:tc>
          <w:tcPr>
            <w:tcW w:w="879" w:type="dxa"/>
            <w:tcBorders>
              <w:top w:val="single" w:sz="4" w:space="0" w:color="auto"/>
              <w:left w:val="nil"/>
              <w:bottom w:val="single" w:sz="4" w:space="0" w:color="auto"/>
              <w:right w:val="single" w:sz="4" w:space="0" w:color="auto"/>
            </w:tcBorders>
            <w:shd w:val="clear" w:color="auto" w:fill="auto"/>
            <w:noWrap/>
            <w:vAlign w:val="bottom"/>
          </w:tcPr>
          <w:p w:rsidR="001352EB" w:rsidRPr="00563CF9" w:rsidRDefault="001352EB" w:rsidP="009373D3">
            <w:pPr>
              <w:spacing w:before="40" w:after="40"/>
              <w:jc w:val="right"/>
              <w:rPr>
                <w:rFonts w:cstheme="minorHAnsi"/>
                <w:color w:val="000000"/>
                <w:sz w:val="20"/>
                <w:lang w:val="en-GB"/>
              </w:rPr>
            </w:pPr>
            <w:r w:rsidRPr="00563CF9">
              <w:rPr>
                <w:sz w:val="20"/>
                <w:lang w:val="en-GB" w:bidi="en-GB"/>
              </w:rPr>
              <w:t>19.74</w:t>
            </w:r>
          </w:p>
        </w:tc>
        <w:tc>
          <w:tcPr>
            <w:tcW w:w="907" w:type="dxa"/>
            <w:tcBorders>
              <w:top w:val="single" w:sz="4" w:space="0" w:color="auto"/>
              <w:left w:val="nil"/>
              <w:bottom w:val="single" w:sz="4" w:space="0" w:color="auto"/>
              <w:right w:val="single" w:sz="4" w:space="0" w:color="auto"/>
            </w:tcBorders>
            <w:shd w:val="clear" w:color="auto" w:fill="auto"/>
            <w:noWrap/>
            <w:vAlign w:val="bottom"/>
          </w:tcPr>
          <w:p w:rsidR="001352EB" w:rsidRPr="00563CF9" w:rsidRDefault="001352EB" w:rsidP="009D6C3F">
            <w:pPr>
              <w:spacing w:before="40" w:after="40"/>
              <w:ind w:right="-12"/>
              <w:jc w:val="right"/>
              <w:rPr>
                <w:rFonts w:cstheme="minorHAnsi"/>
                <w:color w:val="000000"/>
                <w:sz w:val="20"/>
                <w:lang w:val="en-GB"/>
              </w:rPr>
            </w:pPr>
            <w:r w:rsidRPr="00563CF9">
              <w:rPr>
                <w:sz w:val="20"/>
                <w:lang w:val="en-GB" w:bidi="en-GB"/>
              </w:rPr>
              <w:t>3</w:t>
            </w:r>
          </w:p>
        </w:tc>
        <w:tc>
          <w:tcPr>
            <w:tcW w:w="1020" w:type="dxa"/>
            <w:tcBorders>
              <w:top w:val="single" w:sz="4" w:space="0" w:color="auto"/>
              <w:left w:val="nil"/>
              <w:bottom w:val="single" w:sz="4" w:space="0" w:color="auto"/>
              <w:right w:val="single" w:sz="4" w:space="0" w:color="auto"/>
            </w:tcBorders>
            <w:shd w:val="clear" w:color="auto" w:fill="auto"/>
            <w:noWrap/>
            <w:vAlign w:val="bottom"/>
          </w:tcPr>
          <w:p w:rsidR="001352EB" w:rsidRPr="00563CF9" w:rsidRDefault="001352EB" w:rsidP="009D6C3F">
            <w:pPr>
              <w:spacing w:before="40" w:after="40"/>
              <w:ind w:right="117"/>
              <w:jc w:val="right"/>
              <w:rPr>
                <w:rFonts w:cstheme="minorHAnsi"/>
                <w:color w:val="000000"/>
                <w:sz w:val="20"/>
                <w:lang w:val="en-GB"/>
              </w:rPr>
            </w:pPr>
            <w:r w:rsidRPr="00563CF9">
              <w:rPr>
                <w:sz w:val="20"/>
                <w:lang w:val="en-GB" w:bidi="en-GB"/>
              </w:rPr>
              <w:t>4</w:t>
            </w:r>
          </w:p>
        </w:tc>
      </w:tr>
      <w:tr w:rsidR="001352EB" w:rsidRPr="00563CF9" w:rsidTr="001352EB">
        <w:trPr>
          <w:trHeight w:val="283"/>
        </w:trPr>
        <w:tc>
          <w:tcPr>
            <w:tcW w:w="794" w:type="dxa"/>
            <w:vMerge/>
            <w:tcBorders>
              <w:left w:val="single" w:sz="4" w:space="0" w:color="auto"/>
              <w:bottom w:val="single" w:sz="4" w:space="0" w:color="auto"/>
              <w:right w:val="single" w:sz="4" w:space="0" w:color="auto"/>
            </w:tcBorders>
            <w:vAlign w:val="center"/>
          </w:tcPr>
          <w:p w:rsidR="001352EB" w:rsidRPr="00563CF9" w:rsidRDefault="001352EB" w:rsidP="009D6C3F">
            <w:pPr>
              <w:spacing w:before="40" w:after="40"/>
              <w:ind w:left="-57" w:right="-57"/>
              <w:jc w:val="center"/>
              <w:rPr>
                <w:rFonts w:cstheme="minorHAnsi"/>
                <w:color w:val="000000"/>
                <w:sz w:val="20"/>
                <w:lang w:val="en-GB"/>
              </w:rPr>
            </w:pPr>
          </w:p>
        </w:tc>
        <w:tc>
          <w:tcPr>
            <w:tcW w:w="573" w:type="dxa"/>
            <w:tcBorders>
              <w:top w:val="single" w:sz="4" w:space="0" w:color="auto"/>
              <w:left w:val="nil"/>
              <w:bottom w:val="single" w:sz="4" w:space="0" w:color="auto"/>
              <w:right w:val="single" w:sz="4" w:space="0" w:color="auto"/>
            </w:tcBorders>
            <w:shd w:val="clear" w:color="auto" w:fill="auto"/>
            <w:noWrap/>
            <w:vAlign w:val="bottom"/>
          </w:tcPr>
          <w:p w:rsidR="001352EB" w:rsidRPr="00563CF9" w:rsidRDefault="001352EB" w:rsidP="009D6C3F">
            <w:pPr>
              <w:spacing w:before="40" w:after="40"/>
              <w:jc w:val="center"/>
              <w:rPr>
                <w:rFonts w:cstheme="minorHAnsi"/>
                <w:color w:val="000000"/>
                <w:sz w:val="20"/>
                <w:lang w:val="en-GB"/>
              </w:rPr>
            </w:pPr>
            <w:r w:rsidRPr="00563CF9">
              <w:rPr>
                <w:sz w:val="20"/>
                <w:lang w:val="en-GB" w:bidi="en-GB"/>
              </w:rPr>
              <w:t>2016</w:t>
            </w:r>
          </w:p>
        </w:tc>
        <w:tc>
          <w:tcPr>
            <w:tcW w:w="1020" w:type="dxa"/>
            <w:tcBorders>
              <w:top w:val="single" w:sz="4" w:space="0" w:color="auto"/>
              <w:left w:val="nil"/>
              <w:bottom w:val="single" w:sz="4" w:space="0" w:color="auto"/>
              <w:right w:val="single" w:sz="4" w:space="0" w:color="auto"/>
            </w:tcBorders>
            <w:shd w:val="clear" w:color="auto" w:fill="auto"/>
            <w:noWrap/>
            <w:vAlign w:val="bottom"/>
          </w:tcPr>
          <w:p w:rsidR="001352EB" w:rsidRPr="00563CF9" w:rsidRDefault="001352EB" w:rsidP="009D6C3F">
            <w:pPr>
              <w:spacing w:before="40" w:after="40"/>
              <w:jc w:val="right"/>
              <w:rPr>
                <w:rFonts w:cstheme="minorHAnsi"/>
                <w:sz w:val="20"/>
                <w:lang w:val="en-GB"/>
              </w:rPr>
            </w:pPr>
            <w:r w:rsidRPr="00563CF9">
              <w:rPr>
                <w:sz w:val="20"/>
                <w:lang w:val="en-GB" w:bidi="en-GB"/>
              </w:rPr>
              <w:t>25,203.24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352EB" w:rsidRPr="00563CF9" w:rsidRDefault="001352EB" w:rsidP="009D6C3F">
            <w:pPr>
              <w:spacing w:before="40" w:after="40"/>
              <w:jc w:val="center"/>
              <w:rPr>
                <w:rFonts w:cstheme="minorHAnsi"/>
                <w:color w:val="000000"/>
                <w:sz w:val="20"/>
                <w:lang w:val="en-GB"/>
              </w:rPr>
            </w:pPr>
            <w:r w:rsidRPr="00563CF9">
              <w:rPr>
                <w:sz w:val="20"/>
                <w:lang w:val="en-GB" w:bidi="en-GB"/>
              </w:rPr>
              <w:t>MUH</w:t>
            </w:r>
          </w:p>
        </w:tc>
        <w:tc>
          <w:tcPr>
            <w:tcW w:w="1077" w:type="dxa"/>
            <w:tcBorders>
              <w:top w:val="single" w:sz="4" w:space="0" w:color="auto"/>
              <w:left w:val="nil"/>
              <w:bottom w:val="single" w:sz="4" w:space="0" w:color="auto"/>
              <w:right w:val="single" w:sz="4" w:space="0" w:color="auto"/>
            </w:tcBorders>
            <w:shd w:val="clear" w:color="auto" w:fill="auto"/>
            <w:noWrap/>
            <w:vAlign w:val="bottom"/>
          </w:tcPr>
          <w:p w:rsidR="001352EB" w:rsidRPr="00563CF9" w:rsidRDefault="001352EB" w:rsidP="009D6C3F">
            <w:pPr>
              <w:spacing w:before="40" w:after="40"/>
              <w:jc w:val="right"/>
              <w:rPr>
                <w:rFonts w:cstheme="minorHAnsi"/>
                <w:color w:val="000000"/>
                <w:sz w:val="20"/>
                <w:lang w:val="en-GB"/>
              </w:rPr>
            </w:pPr>
            <w:r w:rsidRPr="00563CF9">
              <w:rPr>
                <w:sz w:val="20"/>
                <w:lang w:val="en-GB" w:bidi="en-GB"/>
              </w:rPr>
              <w:t>26,047.87</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352EB" w:rsidRPr="00563CF9" w:rsidRDefault="001352EB" w:rsidP="009D6C3F">
            <w:pPr>
              <w:spacing w:before="40" w:after="40"/>
              <w:jc w:val="center"/>
              <w:rPr>
                <w:rFonts w:cstheme="minorHAnsi"/>
                <w:color w:val="000000"/>
                <w:sz w:val="20"/>
                <w:lang w:val="en-GB"/>
              </w:rPr>
            </w:pPr>
            <w:r w:rsidRPr="00563CF9">
              <w:rPr>
                <w:sz w:val="20"/>
                <w:lang w:val="en-GB" w:bidi="en-GB"/>
              </w:rPr>
              <w:t>MUH</w:t>
            </w:r>
          </w:p>
        </w:tc>
        <w:tc>
          <w:tcPr>
            <w:tcW w:w="899" w:type="dxa"/>
            <w:tcBorders>
              <w:top w:val="single" w:sz="4" w:space="0" w:color="auto"/>
              <w:left w:val="nil"/>
              <w:bottom w:val="single" w:sz="4" w:space="0" w:color="auto"/>
              <w:right w:val="single" w:sz="4" w:space="0" w:color="auto"/>
            </w:tcBorders>
            <w:shd w:val="clear" w:color="auto" w:fill="auto"/>
            <w:noWrap/>
            <w:vAlign w:val="bottom"/>
          </w:tcPr>
          <w:p w:rsidR="001352EB" w:rsidRPr="00563CF9" w:rsidRDefault="001352EB" w:rsidP="009D6C3F">
            <w:pPr>
              <w:spacing w:before="40" w:after="40"/>
              <w:jc w:val="right"/>
              <w:rPr>
                <w:rFonts w:cstheme="minorHAnsi"/>
                <w:color w:val="000000"/>
                <w:sz w:val="20"/>
                <w:lang w:val="en-GB"/>
              </w:rPr>
            </w:pPr>
            <w:r w:rsidRPr="00563CF9">
              <w:rPr>
                <w:sz w:val="20"/>
                <w:lang w:val="en-GB" w:bidi="en-GB"/>
              </w:rPr>
              <w:t>844.63</w:t>
            </w:r>
          </w:p>
        </w:tc>
        <w:tc>
          <w:tcPr>
            <w:tcW w:w="879" w:type="dxa"/>
            <w:tcBorders>
              <w:top w:val="single" w:sz="4" w:space="0" w:color="auto"/>
              <w:left w:val="nil"/>
              <w:bottom w:val="single" w:sz="4" w:space="0" w:color="auto"/>
              <w:right w:val="single" w:sz="4" w:space="0" w:color="auto"/>
            </w:tcBorders>
            <w:shd w:val="clear" w:color="auto" w:fill="auto"/>
            <w:noWrap/>
            <w:vAlign w:val="bottom"/>
          </w:tcPr>
          <w:p w:rsidR="001352EB" w:rsidRPr="00563CF9" w:rsidRDefault="001352EB" w:rsidP="009373D3">
            <w:pPr>
              <w:spacing w:before="40" w:after="40"/>
              <w:jc w:val="right"/>
              <w:rPr>
                <w:rFonts w:cstheme="minorHAnsi"/>
                <w:color w:val="000000"/>
                <w:sz w:val="20"/>
                <w:lang w:val="en-GB"/>
              </w:rPr>
            </w:pPr>
            <w:r w:rsidRPr="00563CF9">
              <w:rPr>
                <w:sz w:val="20"/>
                <w:lang w:val="en-GB" w:bidi="en-GB"/>
              </w:rPr>
              <w:t>3.35</w:t>
            </w:r>
          </w:p>
        </w:tc>
        <w:tc>
          <w:tcPr>
            <w:tcW w:w="907" w:type="dxa"/>
            <w:tcBorders>
              <w:top w:val="single" w:sz="4" w:space="0" w:color="auto"/>
              <w:left w:val="nil"/>
              <w:bottom w:val="single" w:sz="4" w:space="0" w:color="auto"/>
              <w:right w:val="single" w:sz="4" w:space="0" w:color="auto"/>
            </w:tcBorders>
            <w:shd w:val="clear" w:color="auto" w:fill="auto"/>
            <w:noWrap/>
            <w:vAlign w:val="bottom"/>
          </w:tcPr>
          <w:p w:rsidR="001352EB" w:rsidRPr="00563CF9" w:rsidRDefault="001352EB" w:rsidP="009D6C3F">
            <w:pPr>
              <w:spacing w:before="40" w:after="40"/>
              <w:ind w:right="-12"/>
              <w:jc w:val="right"/>
              <w:rPr>
                <w:rFonts w:cstheme="minorHAnsi"/>
                <w:color w:val="000000"/>
                <w:sz w:val="20"/>
                <w:lang w:val="en-GB"/>
              </w:rPr>
            </w:pPr>
            <w:r w:rsidRPr="00563CF9">
              <w:rPr>
                <w:sz w:val="20"/>
                <w:lang w:val="en-GB" w:bidi="en-GB"/>
              </w:rPr>
              <w:t>2</w:t>
            </w:r>
          </w:p>
        </w:tc>
        <w:tc>
          <w:tcPr>
            <w:tcW w:w="1020" w:type="dxa"/>
            <w:tcBorders>
              <w:top w:val="single" w:sz="4" w:space="0" w:color="auto"/>
              <w:left w:val="nil"/>
              <w:bottom w:val="single" w:sz="4" w:space="0" w:color="auto"/>
              <w:right w:val="single" w:sz="4" w:space="0" w:color="auto"/>
            </w:tcBorders>
            <w:shd w:val="clear" w:color="auto" w:fill="auto"/>
            <w:noWrap/>
            <w:vAlign w:val="bottom"/>
          </w:tcPr>
          <w:p w:rsidR="001352EB" w:rsidRPr="00563CF9" w:rsidRDefault="001352EB" w:rsidP="009D6C3F">
            <w:pPr>
              <w:spacing w:before="40" w:after="40"/>
              <w:ind w:right="117"/>
              <w:jc w:val="right"/>
              <w:rPr>
                <w:rFonts w:cstheme="minorHAnsi"/>
                <w:color w:val="000000"/>
                <w:sz w:val="20"/>
                <w:lang w:val="en-GB"/>
              </w:rPr>
            </w:pPr>
            <w:r w:rsidRPr="00563CF9">
              <w:rPr>
                <w:sz w:val="20"/>
                <w:lang w:val="en-GB" w:bidi="en-GB"/>
              </w:rPr>
              <w:t>3</w:t>
            </w:r>
          </w:p>
        </w:tc>
      </w:tr>
    </w:tbl>
    <w:p w:rsidR="0068280A" w:rsidRPr="00563CF9" w:rsidRDefault="006E5933" w:rsidP="006E5933">
      <w:pPr>
        <w:spacing w:before="40"/>
        <w:rPr>
          <w:sz w:val="20"/>
          <w:lang w:val="en-GB"/>
        </w:rPr>
      </w:pPr>
      <w:r w:rsidRPr="00563CF9">
        <w:rPr>
          <w:b/>
          <w:sz w:val="20"/>
          <w:lang w:val="en-GB" w:bidi="en-GB"/>
        </w:rPr>
        <w:t>Source:</w:t>
      </w:r>
      <w:r w:rsidRPr="00563CF9">
        <w:rPr>
          <w:sz w:val="20"/>
          <w:lang w:val="en-GB" w:bidi="en-GB"/>
        </w:rPr>
        <w:t xml:space="preserve"> Annexes to individual audit protocols of university hospitals (according to invoices).</w:t>
      </w:r>
    </w:p>
    <w:p w:rsidR="001352EB" w:rsidRPr="00563CF9" w:rsidRDefault="001352EB">
      <w:pPr>
        <w:jc w:val="left"/>
        <w:rPr>
          <w:sz w:val="20"/>
          <w:lang w:val="en-GB"/>
        </w:rPr>
      </w:pPr>
    </w:p>
    <w:p w:rsidR="001352EB" w:rsidRPr="00563CF9" w:rsidRDefault="001352EB" w:rsidP="001352EB">
      <w:pPr>
        <w:jc w:val="right"/>
        <w:rPr>
          <w:rFonts w:cstheme="minorHAnsi"/>
          <w:b/>
          <w:noProof/>
          <w:color w:val="000000" w:themeColor="text1"/>
          <w:szCs w:val="28"/>
          <w:lang w:val="en-GB"/>
        </w:rPr>
        <w:sectPr w:rsidR="001352EB" w:rsidRPr="00563CF9" w:rsidSect="00E60983">
          <w:pgSz w:w="11906" w:h="16838" w:code="9"/>
          <w:pgMar w:top="1418" w:right="1418" w:bottom="1418" w:left="1418" w:header="709" w:footer="709" w:gutter="0"/>
          <w:cols w:space="708"/>
          <w:docGrid w:linePitch="360"/>
        </w:sectPr>
      </w:pPr>
    </w:p>
    <w:p w:rsidR="001352EB" w:rsidRPr="00563CF9" w:rsidRDefault="001352EB" w:rsidP="001352EB">
      <w:pPr>
        <w:jc w:val="right"/>
        <w:rPr>
          <w:rFonts w:cstheme="minorHAnsi"/>
          <w:b/>
          <w:noProof/>
          <w:color w:val="000000" w:themeColor="text1"/>
          <w:szCs w:val="28"/>
          <w:lang w:val="en-GB"/>
        </w:rPr>
      </w:pPr>
      <w:r w:rsidRPr="00563CF9">
        <w:rPr>
          <w:b/>
          <w:noProof/>
          <w:lang w:val="en-GB" w:bidi="en-GB"/>
        </w:rPr>
        <w:t>Annex 3</w:t>
      </w:r>
    </w:p>
    <w:p w:rsidR="001352EB" w:rsidRPr="00563CF9" w:rsidRDefault="001352EB" w:rsidP="001352EB">
      <w:pPr>
        <w:spacing w:before="120" w:after="40"/>
        <w:rPr>
          <w:rFonts w:cstheme="minorHAnsi"/>
          <w:b/>
          <w:noProof/>
          <w:color w:val="000000" w:themeColor="text1"/>
          <w:szCs w:val="28"/>
          <w:lang w:val="en-GB"/>
        </w:rPr>
      </w:pPr>
      <w:r w:rsidRPr="00563CF9">
        <w:rPr>
          <w:b/>
          <w:noProof/>
          <w:lang w:val="en-GB" w:bidi="en-GB"/>
        </w:rPr>
        <w:t>Price differences of unit prices of medical devices (SCM)</w:t>
      </w:r>
    </w:p>
    <w:tbl>
      <w:tblPr>
        <w:tblW w:w="0" w:type="auto"/>
        <w:tblLayout w:type="fixed"/>
        <w:tblCellMar>
          <w:left w:w="70" w:type="dxa"/>
          <w:right w:w="70" w:type="dxa"/>
        </w:tblCellMar>
        <w:tblLook w:val="04A0" w:firstRow="1" w:lastRow="0" w:firstColumn="1" w:lastColumn="0" w:noHBand="0" w:noVBand="1"/>
      </w:tblPr>
      <w:tblGrid>
        <w:gridCol w:w="737"/>
        <w:gridCol w:w="510"/>
        <w:gridCol w:w="964"/>
        <w:gridCol w:w="1304"/>
        <w:gridCol w:w="964"/>
        <w:gridCol w:w="1191"/>
        <w:gridCol w:w="907"/>
        <w:gridCol w:w="794"/>
        <w:gridCol w:w="907"/>
        <w:gridCol w:w="907"/>
      </w:tblGrid>
      <w:tr w:rsidR="00AE6966" w:rsidRPr="00563CF9" w:rsidTr="00192F57">
        <w:trPr>
          <w:trHeight w:val="283"/>
          <w:tblHeader/>
        </w:trPr>
        <w:tc>
          <w:tcPr>
            <w:tcW w:w="737" w:type="dxa"/>
            <w:tcBorders>
              <w:top w:val="single" w:sz="4" w:space="0" w:color="auto"/>
              <w:left w:val="single" w:sz="4" w:space="0" w:color="auto"/>
              <w:bottom w:val="single" w:sz="4" w:space="0" w:color="auto"/>
              <w:right w:val="single" w:sz="4" w:space="0" w:color="auto"/>
            </w:tcBorders>
            <w:shd w:val="clear" w:color="000000" w:fill="E5F1FF"/>
            <w:noWrap/>
            <w:vAlign w:val="center"/>
            <w:hideMark/>
          </w:tcPr>
          <w:p w:rsidR="001352EB" w:rsidRPr="00563CF9" w:rsidRDefault="001352EB" w:rsidP="00192F57">
            <w:pPr>
              <w:ind w:left="-57" w:right="-57"/>
              <w:jc w:val="center"/>
              <w:rPr>
                <w:rFonts w:ascii="Calibri" w:hAnsi="Calibri" w:cs="Calibri"/>
                <w:b/>
                <w:bCs/>
                <w:color w:val="000000"/>
                <w:sz w:val="18"/>
                <w:szCs w:val="18"/>
                <w:lang w:val="en-GB"/>
              </w:rPr>
            </w:pPr>
            <w:r w:rsidRPr="00563CF9">
              <w:rPr>
                <w:b/>
                <w:sz w:val="18"/>
                <w:lang w:val="en-GB" w:bidi="en-GB"/>
              </w:rPr>
              <w:t>Medical device code</w:t>
            </w:r>
            <w:r w:rsidRPr="00563CF9">
              <w:rPr>
                <w:rStyle w:val="Znakapoznpodarou"/>
                <w:b/>
                <w:sz w:val="18"/>
                <w:lang w:val="en-GB" w:bidi="en-GB"/>
              </w:rPr>
              <w:footnoteReference w:id="59"/>
            </w:r>
          </w:p>
        </w:tc>
        <w:tc>
          <w:tcPr>
            <w:tcW w:w="510" w:type="dxa"/>
            <w:tcBorders>
              <w:top w:val="single" w:sz="4" w:space="0" w:color="auto"/>
              <w:left w:val="nil"/>
              <w:bottom w:val="single" w:sz="4" w:space="0" w:color="auto"/>
              <w:right w:val="single" w:sz="4" w:space="0" w:color="auto"/>
            </w:tcBorders>
            <w:shd w:val="clear" w:color="000000" w:fill="E5F1FF"/>
            <w:noWrap/>
            <w:vAlign w:val="center"/>
            <w:hideMark/>
          </w:tcPr>
          <w:p w:rsidR="001352EB" w:rsidRPr="00563CF9" w:rsidRDefault="001352EB" w:rsidP="00192F57">
            <w:pPr>
              <w:jc w:val="center"/>
              <w:rPr>
                <w:rFonts w:ascii="Calibri" w:hAnsi="Calibri" w:cs="Calibri"/>
                <w:b/>
                <w:bCs/>
                <w:color w:val="000000"/>
                <w:sz w:val="18"/>
                <w:szCs w:val="18"/>
                <w:lang w:val="en-GB"/>
              </w:rPr>
            </w:pPr>
            <w:r w:rsidRPr="00563CF9">
              <w:rPr>
                <w:b/>
                <w:sz w:val="18"/>
                <w:lang w:val="en-GB" w:bidi="en-GB"/>
              </w:rPr>
              <w:t>Year</w:t>
            </w:r>
          </w:p>
        </w:tc>
        <w:tc>
          <w:tcPr>
            <w:tcW w:w="964" w:type="dxa"/>
            <w:tcBorders>
              <w:top w:val="single" w:sz="4" w:space="0" w:color="auto"/>
              <w:left w:val="nil"/>
              <w:bottom w:val="single" w:sz="4" w:space="0" w:color="auto"/>
              <w:right w:val="single" w:sz="4" w:space="0" w:color="auto"/>
            </w:tcBorders>
            <w:shd w:val="clear" w:color="000000" w:fill="E5F1FF"/>
            <w:noWrap/>
            <w:vAlign w:val="center"/>
            <w:hideMark/>
          </w:tcPr>
          <w:p w:rsidR="001352EB" w:rsidRPr="00563CF9" w:rsidRDefault="001352EB" w:rsidP="00192F57">
            <w:pPr>
              <w:ind w:left="-57" w:right="-57"/>
              <w:jc w:val="center"/>
              <w:rPr>
                <w:rFonts w:ascii="Calibri" w:hAnsi="Calibri" w:cs="Calibri"/>
                <w:b/>
                <w:bCs/>
                <w:color w:val="000000"/>
                <w:sz w:val="18"/>
                <w:szCs w:val="18"/>
                <w:lang w:val="en-GB"/>
              </w:rPr>
            </w:pPr>
            <w:r w:rsidRPr="00563CF9">
              <w:rPr>
                <w:b/>
                <w:sz w:val="18"/>
                <w:lang w:val="en-GB" w:bidi="en-GB"/>
              </w:rPr>
              <w:t>Minimum unit price in CZK</w:t>
            </w:r>
          </w:p>
        </w:tc>
        <w:tc>
          <w:tcPr>
            <w:tcW w:w="1304" w:type="dxa"/>
            <w:tcBorders>
              <w:top w:val="single" w:sz="4" w:space="0" w:color="auto"/>
              <w:left w:val="nil"/>
              <w:bottom w:val="single" w:sz="4" w:space="0" w:color="auto"/>
              <w:right w:val="single" w:sz="4" w:space="0" w:color="auto"/>
            </w:tcBorders>
            <w:shd w:val="clear" w:color="000000" w:fill="E5F1FF"/>
            <w:vAlign w:val="center"/>
            <w:hideMark/>
          </w:tcPr>
          <w:p w:rsidR="001352EB" w:rsidRPr="00563CF9" w:rsidRDefault="00AE6966" w:rsidP="00192F57">
            <w:pPr>
              <w:ind w:left="-57" w:right="-57"/>
              <w:jc w:val="center"/>
              <w:rPr>
                <w:rFonts w:ascii="Calibri" w:hAnsi="Calibri" w:cs="Calibri"/>
                <w:b/>
                <w:bCs/>
                <w:color w:val="000000"/>
                <w:sz w:val="18"/>
                <w:szCs w:val="18"/>
                <w:lang w:val="en-GB"/>
              </w:rPr>
            </w:pPr>
            <w:r w:rsidRPr="00563CF9">
              <w:rPr>
                <w:b/>
                <w:sz w:val="18"/>
                <w:lang w:val="en-GB" w:bidi="en-GB"/>
              </w:rPr>
              <w:t>Hospitals with minimum unit price</w:t>
            </w:r>
          </w:p>
        </w:tc>
        <w:tc>
          <w:tcPr>
            <w:tcW w:w="964" w:type="dxa"/>
            <w:tcBorders>
              <w:top w:val="single" w:sz="4" w:space="0" w:color="auto"/>
              <w:left w:val="nil"/>
              <w:bottom w:val="single" w:sz="4" w:space="0" w:color="auto"/>
              <w:right w:val="single" w:sz="4" w:space="0" w:color="auto"/>
            </w:tcBorders>
            <w:shd w:val="clear" w:color="000000" w:fill="E5F1FF"/>
            <w:noWrap/>
            <w:vAlign w:val="center"/>
            <w:hideMark/>
          </w:tcPr>
          <w:p w:rsidR="001352EB" w:rsidRPr="00563CF9" w:rsidRDefault="001352EB" w:rsidP="00192F57">
            <w:pPr>
              <w:ind w:left="-57" w:right="-57"/>
              <w:jc w:val="center"/>
              <w:rPr>
                <w:rFonts w:ascii="Calibri" w:hAnsi="Calibri" w:cs="Calibri"/>
                <w:b/>
                <w:bCs/>
                <w:color w:val="000000"/>
                <w:sz w:val="18"/>
                <w:szCs w:val="18"/>
                <w:lang w:val="en-GB"/>
              </w:rPr>
            </w:pPr>
            <w:r w:rsidRPr="00563CF9">
              <w:rPr>
                <w:b/>
                <w:sz w:val="18"/>
                <w:lang w:val="en-GB" w:bidi="en-GB"/>
              </w:rPr>
              <w:t>Maximum unit price in CZK</w:t>
            </w:r>
          </w:p>
        </w:tc>
        <w:tc>
          <w:tcPr>
            <w:tcW w:w="1191" w:type="dxa"/>
            <w:tcBorders>
              <w:top w:val="single" w:sz="4" w:space="0" w:color="auto"/>
              <w:left w:val="nil"/>
              <w:bottom w:val="single" w:sz="4" w:space="0" w:color="auto"/>
              <w:right w:val="single" w:sz="4" w:space="0" w:color="auto"/>
            </w:tcBorders>
            <w:shd w:val="clear" w:color="000000" w:fill="E5F1FF"/>
            <w:vAlign w:val="center"/>
            <w:hideMark/>
          </w:tcPr>
          <w:p w:rsidR="001352EB" w:rsidRPr="00563CF9" w:rsidRDefault="001352EB" w:rsidP="00192F57">
            <w:pPr>
              <w:ind w:left="-57" w:right="-57"/>
              <w:jc w:val="center"/>
              <w:rPr>
                <w:rFonts w:ascii="Calibri" w:hAnsi="Calibri" w:cs="Calibri"/>
                <w:b/>
                <w:bCs/>
                <w:color w:val="000000"/>
                <w:sz w:val="18"/>
                <w:szCs w:val="18"/>
                <w:lang w:val="en-GB"/>
              </w:rPr>
            </w:pPr>
            <w:r w:rsidRPr="00563CF9">
              <w:rPr>
                <w:b/>
                <w:sz w:val="18"/>
                <w:lang w:val="en-GB" w:bidi="en-GB"/>
              </w:rPr>
              <w:t>Hospitals with maximum unit price</w:t>
            </w:r>
          </w:p>
        </w:tc>
        <w:tc>
          <w:tcPr>
            <w:tcW w:w="907" w:type="dxa"/>
            <w:tcBorders>
              <w:top w:val="single" w:sz="4" w:space="0" w:color="auto"/>
              <w:left w:val="nil"/>
              <w:bottom w:val="single" w:sz="4" w:space="0" w:color="auto"/>
              <w:right w:val="single" w:sz="4" w:space="0" w:color="auto"/>
            </w:tcBorders>
            <w:shd w:val="clear" w:color="000000" w:fill="E5F1FF"/>
            <w:noWrap/>
            <w:vAlign w:val="center"/>
            <w:hideMark/>
          </w:tcPr>
          <w:p w:rsidR="001352EB" w:rsidRPr="00563CF9" w:rsidRDefault="001352EB" w:rsidP="00192F57">
            <w:pPr>
              <w:ind w:left="-57" w:right="-57"/>
              <w:jc w:val="center"/>
              <w:rPr>
                <w:rFonts w:ascii="Calibri" w:hAnsi="Calibri" w:cs="Calibri"/>
                <w:b/>
                <w:bCs/>
                <w:color w:val="000000"/>
                <w:sz w:val="18"/>
                <w:szCs w:val="18"/>
                <w:lang w:val="en-GB"/>
              </w:rPr>
            </w:pPr>
            <w:r w:rsidRPr="00563CF9">
              <w:rPr>
                <w:b/>
                <w:sz w:val="18"/>
                <w:lang w:val="en-GB" w:bidi="en-GB"/>
              </w:rPr>
              <w:t xml:space="preserve">Difference </w:t>
            </w:r>
            <w:r w:rsidRPr="00563CF9">
              <w:rPr>
                <w:b/>
                <w:sz w:val="18"/>
                <w:lang w:val="en-GB" w:bidi="en-GB"/>
              </w:rPr>
              <w:br/>
              <w:t>in CZK</w:t>
            </w:r>
          </w:p>
        </w:tc>
        <w:tc>
          <w:tcPr>
            <w:tcW w:w="794" w:type="dxa"/>
            <w:tcBorders>
              <w:top w:val="single" w:sz="4" w:space="0" w:color="auto"/>
              <w:left w:val="nil"/>
              <w:bottom w:val="single" w:sz="4" w:space="0" w:color="auto"/>
              <w:right w:val="single" w:sz="4" w:space="0" w:color="auto"/>
            </w:tcBorders>
            <w:shd w:val="clear" w:color="000000" w:fill="E5F1FF"/>
            <w:noWrap/>
            <w:vAlign w:val="center"/>
            <w:hideMark/>
          </w:tcPr>
          <w:p w:rsidR="001352EB" w:rsidRPr="00563CF9" w:rsidRDefault="00A31EC4" w:rsidP="00A31EC4">
            <w:pPr>
              <w:ind w:left="-57" w:right="-57"/>
              <w:jc w:val="center"/>
              <w:rPr>
                <w:rFonts w:ascii="Calibri" w:hAnsi="Calibri" w:cs="Calibri"/>
                <w:b/>
                <w:bCs/>
                <w:color w:val="000000"/>
                <w:sz w:val="14"/>
                <w:szCs w:val="14"/>
                <w:lang w:val="en-GB"/>
              </w:rPr>
            </w:pPr>
            <w:r w:rsidRPr="00563CF9">
              <w:rPr>
                <w:b/>
                <w:sz w:val="14"/>
                <w:szCs w:val="14"/>
                <w:lang w:val="en-GB" w:bidi="en-GB"/>
              </w:rPr>
              <w:t>Difference in %</w:t>
            </w:r>
          </w:p>
        </w:tc>
        <w:tc>
          <w:tcPr>
            <w:tcW w:w="907" w:type="dxa"/>
            <w:tcBorders>
              <w:top w:val="single" w:sz="4" w:space="0" w:color="auto"/>
              <w:left w:val="nil"/>
              <w:bottom w:val="single" w:sz="4" w:space="0" w:color="auto"/>
              <w:right w:val="single" w:sz="4" w:space="0" w:color="auto"/>
            </w:tcBorders>
            <w:shd w:val="clear" w:color="000000" w:fill="E5F1FF"/>
            <w:vAlign w:val="center"/>
            <w:hideMark/>
          </w:tcPr>
          <w:p w:rsidR="001352EB" w:rsidRPr="00563CF9" w:rsidRDefault="001352EB" w:rsidP="00192F57">
            <w:pPr>
              <w:ind w:left="-57" w:right="-57"/>
              <w:jc w:val="center"/>
              <w:rPr>
                <w:rFonts w:ascii="Calibri" w:hAnsi="Calibri" w:cs="Calibri"/>
                <w:b/>
                <w:bCs/>
                <w:color w:val="000000"/>
                <w:sz w:val="18"/>
                <w:szCs w:val="18"/>
                <w:lang w:val="en-GB"/>
              </w:rPr>
            </w:pPr>
            <w:r w:rsidRPr="00563CF9">
              <w:rPr>
                <w:b/>
                <w:sz w:val="18"/>
                <w:lang w:val="en-GB" w:bidi="en-GB"/>
              </w:rPr>
              <w:t>Number of hospitals in the sample</w:t>
            </w:r>
          </w:p>
        </w:tc>
        <w:tc>
          <w:tcPr>
            <w:tcW w:w="907" w:type="dxa"/>
            <w:tcBorders>
              <w:top w:val="single" w:sz="4" w:space="0" w:color="auto"/>
              <w:left w:val="nil"/>
              <w:bottom w:val="single" w:sz="4" w:space="0" w:color="auto"/>
              <w:right w:val="single" w:sz="4" w:space="0" w:color="auto"/>
            </w:tcBorders>
            <w:shd w:val="clear" w:color="000000" w:fill="E5F1FF"/>
            <w:vAlign w:val="center"/>
            <w:hideMark/>
          </w:tcPr>
          <w:p w:rsidR="001352EB" w:rsidRPr="00563CF9" w:rsidRDefault="001352EB" w:rsidP="00192F57">
            <w:pPr>
              <w:ind w:left="-57" w:right="-57"/>
              <w:jc w:val="center"/>
              <w:rPr>
                <w:rFonts w:ascii="Calibri" w:hAnsi="Calibri" w:cs="Calibri"/>
                <w:b/>
                <w:bCs/>
                <w:color w:val="000000"/>
                <w:sz w:val="18"/>
                <w:szCs w:val="18"/>
                <w:lang w:val="en-GB"/>
              </w:rPr>
            </w:pPr>
            <w:r w:rsidRPr="00563CF9">
              <w:rPr>
                <w:b/>
                <w:sz w:val="18"/>
                <w:lang w:val="en-GB" w:bidi="en-GB"/>
              </w:rPr>
              <w:t>Number of suppliers in the sample</w:t>
            </w:r>
          </w:p>
        </w:tc>
      </w:tr>
      <w:tr w:rsidR="00AE6966" w:rsidRPr="00563CF9" w:rsidTr="00192F57">
        <w:trPr>
          <w:trHeight w:val="340"/>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r w:rsidRPr="00563CF9">
              <w:rPr>
                <w:sz w:val="18"/>
                <w:lang w:val="en-GB" w:bidi="en-GB"/>
              </w:rPr>
              <w:t>0031589</w:t>
            </w: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2014</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30,008.10</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BUH, MUH, CMH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xx</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xx</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0.00</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0.00</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3</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w:t>
            </w:r>
          </w:p>
        </w:tc>
      </w:tr>
      <w:tr w:rsidR="00AE6966" w:rsidRPr="00563CF9"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2015</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30,008.10</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BUH, MUH, CMH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xx</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xx</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0.00</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0.00</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3</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w:t>
            </w:r>
          </w:p>
        </w:tc>
      </w:tr>
      <w:tr w:rsidR="00AE6966" w:rsidRPr="00563CF9"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2016</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30,008.10</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BUH, MUH, CMH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xx</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xx</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0.00</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0.00</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3</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w:t>
            </w:r>
          </w:p>
        </w:tc>
      </w:tr>
      <w:tr w:rsidR="00AE6966" w:rsidRPr="00563CF9" w:rsidTr="00192F57">
        <w:trPr>
          <w:trHeight w:val="340"/>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r w:rsidRPr="00563CF9">
              <w:rPr>
                <w:sz w:val="18"/>
                <w:lang w:val="en-GB" w:bidi="en-GB"/>
              </w:rPr>
              <w:t>0031591</w:t>
            </w: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2014</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30,008.10</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BUH, MUH, CMH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xx</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xx</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0.00</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0.00</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3</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w:t>
            </w:r>
          </w:p>
        </w:tc>
      </w:tr>
      <w:tr w:rsidR="00AE6966" w:rsidRPr="00563CF9"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2015</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30,008.10</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BUH, MUH, CMH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xx</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xx</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0.00</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0.00</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2</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w:t>
            </w:r>
          </w:p>
        </w:tc>
      </w:tr>
      <w:tr w:rsidR="00AE6966" w:rsidRPr="00563CF9"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2016</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30,008.10</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BUH, MUH, CMH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xx</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xx</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0.00</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0.00</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2</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w:t>
            </w:r>
          </w:p>
        </w:tc>
      </w:tr>
      <w:tr w:rsidR="00AE6966" w:rsidRPr="00563CF9" w:rsidTr="00192F57">
        <w:trPr>
          <w:trHeight w:val="340"/>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r w:rsidRPr="00563CF9">
              <w:rPr>
                <w:sz w:val="18"/>
                <w:lang w:val="en-GB" w:bidi="en-GB"/>
              </w:rPr>
              <w:t>0046018</w:t>
            </w: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2014</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54,450.00</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MUH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55,782.00</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BUH</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1,332.00</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2.45</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2</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w:t>
            </w:r>
          </w:p>
        </w:tc>
      </w:tr>
      <w:tr w:rsidR="00AE6966" w:rsidRPr="00563CF9"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2015</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54,450.00</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MUH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55,000.00</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CMH</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550.00</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1.01</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2</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w:t>
            </w:r>
          </w:p>
        </w:tc>
      </w:tr>
      <w:tr w:rsidR="00AE6966" w:rsidRPr="00563CF9"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2016</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54,450.00</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MUH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55,782.00</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CMH</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1,332.00</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2.45</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2</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w:t>
            </w:r>
          </w:p>
        </w:tc>
      </w:tr>
      <w:tr w:rsidR="00AE6966" w:rsidRPr="00563CF9" w:rsidTr="00192F57">
        <w:trPr>
          <w:trHeight w:val="340"/>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r w:rsidRPr="00563CF9">
              <w:rPr>
                <w:sz w:val="18"/>
                <w:lang w:val="en-GB" w:bidi="en-GB"/>
              </w:rPr>
              <w:t>0046020</w:t>
            </w: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2014</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color w:val="000000"/>
                <w:sz w:val="18"/>
                <w:szCs w:val="18"/>
                <w:lang w:val="en-GB"/>
              </w:rPr>
            </w:pPr>
            <w:r w:rsidRPr="00563CF9">
              <w:rPr>
                <w:sz w:val="18"/>
                <w:lang w:val="en-GB" w:bidi="en-GB"/>
              </w:rPr>
              <w:t>37,620.00</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BUH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42,987.00</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MUH</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5,367.00</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14.27</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2</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w:t>
            </w:r>
          </w:p>
        </w:tc>
      </w:tr>
      <w:tr w:rsidR="00AE6966" w:rsidRPr="00563CF9"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2015</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34,500.00</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CMH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42,987.00</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MUH</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8,487.00</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24.60</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3</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w:t>
            </w:r>
          </w:p>
        </w:tc>
      </w:tr>
      <w:tr w:rsidR="00AE6966" w:rsidRPr="00563CF9"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2016</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34,500.00</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CMH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42,987.00</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MUH</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8,487.00</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24.60</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3</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w:t>
            </w:r>
          </w:p>
        </w:tc>
      </w:tr>
      <w:tr w:rsidR="00AE6966" w:rsidRPr="00563CF9" w:rsidTr="00192F57">
        <w:trPr>
          <w:trHeight w:val="340"/>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r w:rsidRPr="00563CF9">
              <w:rPr>
                <w:sz w:val="18"/>
                <w:lang w:val="en-GB" w:bidi="en-GB"/>
              </w:rPr>
              <w:t>0046021</w:t>
            </w: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2014</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color w:val="000000"/>
                <w:sz w:val="18"/>
                <w:szCs w:val="18"/>
                <w:lang w:val="en-GB"/>
              </w:rPr>
            </w:pPr>
            <w:r w:rsidRPr="00563CF9">
              <w:rPr>
                <w:sz w:val="18"/>
                <w:lang w:val="en-GB" w:bidi="en-GB"/>
              </w:rPr>
              <w:t>46,200.00</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BUH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51,819.00</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MUH</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5,619.00</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12.16</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2</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2</w:t>
            </w:r>
          </w:p>
        </w:tc>
      </w:tr>
      <w:tr w:rsidR="00AE6966" w:rsidRPr="00563CF9"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2015</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color w:val="000000"/>
                <w:sz w:val="18"/>
                <w:szCs w:val="18"/>
                <w:lang w:val="en-GB"/>
              </w:rPr>
            </w:pPr>
            <w:r w:rsidRPr="00563CF9">
              <w:rPr>
                <w:sz w:val="18"/>
                <w:lang w:val="en-GB" w:bidi="en-GB"/>
              </w:rPr>
              <w:t>46,200.00</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BUH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51,819.00</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MUH</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5,619.00</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12.16</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3</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2</w:t>
            </w:r>
          </w:p>
        </w:tc>
      </w:tr>
      <w:tr w:rsidR="00AE6966" w:rsidRPr="00563CF9"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2016</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color w:val="000000"/>
                <w:sz w:val="18"/>
                <w:szCs w:val="18"/>
                <w:lang w:val="en-GB"/>
              </w:rPr>
            </w:pPr>
            <w:r w:rsidRPr="00563CF9">
              <w:rPr>
                <w:sz w:val="18"/>
                <w:lang w:val="en-GB" w:bidi="en-GB"/>
              </w:rPr>
              <w:t>46,200.00</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BUH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51,819.00</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MUH</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5,619.00</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12.16</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3</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2</w:t>
            </w:r>
          </w:p>
        </w:tc>
      </w:tr>
      <w:tr w:rsidR="00AE6966" w:rsidRPr="00563CF9" w:rsidTr="00192F57">
        <w:trPr>
          <w:trHeight w:val="340"/>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r w:rsidRPr="00563CF9">
              <w:rPr>
                <w:sz w:val="18"/>
                <w:lang w:val="en-GB" w:bidi="en-GB"/>
              </w:rPr>
              <w:t>0049219</w:t>
            </w: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2014</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color w:val="000000"/>
                <w:sz w:val="18"/>
                <w:szCs w:val="18"/>
                <w:lang w:val="en-GB"/>
              </w:rPr>
            </w:pPr>
            <w:r w:rsidRPr="00563CF9">
              <w:rPr>
                <w:sz w:val="18"/>
                <w:lang w:val="en-GB" w:bidi="en-GB"/>
              </w:rPr>
              <w:t>60,500.00</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BUH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77,502.10</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MUH</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17,002.10</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28.10</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3</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w:t>
            </w:r>
          </w:p>
        </w:tc>
      </w:tr>
      <w:tr w:rsidR="00AE6966" w:rsidRPr="00563CF9"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2015</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color w:val="000000"/>
                <w:sz w:val="18"/>
                <w:szCs w:val="18"/>
                <w:lang w:val="en-GB"/>
              </w:rPr>
            </w:pPr>
            <w:r w:rsidRPr="00563CF9">
              <w:rPr>
                <w:sz w:val="18"/>
                <w:lang w:val="en-GB" w:bidi="en-GB"/>
              </w:rPr>
              <w:t>60,500.00</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BUH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74,655.00</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CMH</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14,155.00</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23.40</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2</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w:t>
            </w:r>
          </w:p>
        </w:tc>
      </w:tr>
      <w:tr w:rsidR="00AE6966" w:rsidRPr="00563CF9"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2016</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color w:val="000000"/>
                <w:sz w:val="18"/>
                <w:szCs w:val="18"/>
                <w:lang w:val="en-GB"/>
              </w:rPr>
            </w:pPr>
            <w:r w:rsidRPr="00563CF9">
              <w:rPr>
                <w:sz w:val="18"/>
                <w:lang w:val="en-GB" w:bidi="en-GB"/>
              </w:rPr>
              <w:t>60,500.00</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BUH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74,655.00</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CMH</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14,155.00</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23.40</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2</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w:t>
            </w:r>
          </w:p>
        </w:tc>
      </w:tr>
      <w:tr w:rsidR="00AE6966" w:rsidRPr="00563CF9" w:rsidTr="00192F57">
        <w:trPr>
          <w:trHeight w:val="340"/>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r w:rsidRPr="00563CF9">
              <w:rPr>
                <w:sz w:val="18"/>
                <w:lang w:val="en-GB" w:bidi="en-GB"/>
              </w:rPr>
              <w:t>0059007</w:t>
            </w: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2014</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color w:val="000000"/>
                <w:sz w:val="18"/>
                <w:szCs w:val="18"/>
                <w:lang w:val="en-GB"/>
              </w:rPr>
            </w:pPr>
            <w:r w:rsidRPr="00563CF9">
              <w:rPr>
                <w:sz w:val="18"/>
                <w:lang w:val="en-GB" w:bidi="en-GB"/>
              </w:rPr>
              <w:t>5,757.50</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BUH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8,349.00</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CMH</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2,591.50</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45.01</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2</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w:t>
            </w:r>
          </w:p>
        </w:tc>
      </w:tr>
      <w:tr w:rsidR="00AE6966" w:rsidRPr="00563CF9"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2015</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color w:val="000000"/>
                <w:sz w:val="18"/>
                <w:szCs w:val="18"/>
                <w:lang w:val="en-GB"/>
              </w:rPr>
            </w:pPr>
            <w:r w:rsidRPr="00563CF9">
              <w:rPr>
                <w:sz w:val="18"/>
                <w:lang w:val="en-GB" w:bidi="en-GB"/>
              </w:rPr>
              <w:t>5,757.50</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BUH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12,087.90</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MUH</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6,330.40</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109.95</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3</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2</w:t>
            </w:r>
          </w:p>
        </w:tc>
      </w:tr>
      <w:tr w:rsidR="00AE6966" w:rsidRPr="00563CF9" w:rsidTr="00192F57">
        <w:trPr>
          <w:trHeight w:val="340"/>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r w:rsidRPr="00563CF9">
              <w:rPr>
                <w:sz w:val="18"/>
                <w:lang w:val="en-GB" w:bidi="en-GB"/>
              </w:rPr>
              <w:t>0059793</w:t>
            </w: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2014</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color w:val="000000"/>
                <w:sz w:val="18"/>
                <w:szCs w:val="18"/>
                <w:lang w:val="en-GB"/>
              </w:rPr>
            </w:pPr>
            <w:r w:rsidRPr="00563CF9">
              <w:rPr>
                <w:sz w:val="18"/>
                <w:lang w:val="en-GB" w:bidi="en-GB"/>
              </w:rPr>
              <w:t>31,481.61</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BUH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32,985.65</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MUH</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1,504.04</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4.78</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3</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w:t>
            </w:r>
          </w:p>
        </w:tc>
      </w:tr>
      <w:tr w:rsidR="00AE6966" w:rsidRPr="00563CF9"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2015</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32,780.00</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CMH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32,985.65</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MUH</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205.65</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0.63</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2</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w:t>
            </w:r>
          </w:p>
        </w:tc>
      </w:tr>
      <w:tr w:rsidR="00AE6966" w:rsidRPr="00563CF9"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2016</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32,780.00</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CMH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32,986.00</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MUH</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206.00</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0.63</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2</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w:t>
            </w:r>
          </w:p>
        </w:tc>
      </w:tr>
      <w:tr w:rsidR="00AE6966" w:rsidRPr="00563CF9" w:rsidTr="00192F57">
        <w:trPr>
          <w:trHeight w:val="340"/>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r w:rsidRPr="00563CF9">
              <w:rPr>
                <w:sz w:val="18"/>
                <w:lang w:val="en-GB" w:bidi="en-GB"/>
              </w:rPr>
              <w:t>0059987</w:t>
            </w: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2014</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color w:val="000000"/>
                <w:sz w:val="18"/>
                <w:szCs w:val="18"/>
                <w:lang w:val="en-GB"/>
              </w:rPr>
            </w:pPr>
            <w:r w:rsidRPr="00563CF9">
              <w:rPr>
                <w:sz w:val="18"/>
                <w:lang w:val="en-GB" w:bidi="en-GB"/>
              </w:rPr>
              <w:t>34,960.00</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BUH, MUH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xx</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xx</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0.00</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0.00</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2</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w:t>
            </w:r>
          </w:p>
        </w:tc>
      </w:tr>
      <w:tr w:rsidR="00AE6966" w:rsidRPr="00563CF9"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2015</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34,959.00</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CMH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34,960.00</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MUH</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1.00</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0.00</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2</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w:t>
            </w:r>
          </w:p>
        </w:tc>
      </w:tr>
      <w:tr w:rsidR="00AE6966" w:rsidRPr="00563CF9"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2016</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34,959.00</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CMH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34,960.00</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MUH</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1.00</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0.00</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2</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w:t>
            </w:r>
          </w:p>
        </w:tc>
      </w:tr>
      <w:tr w:rsidR="00AE6966" w:rsidRPr="00563CF9" w:rsidTr="00192F57">
        <w:trPr>
          <w:trHeight w:val="340"/>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r w:rsidRPr="00563CF9">
              <w:rPr>
                <w:sz w:val="18"/>
                <w:lang w:val="en-GB" w:bidi="en-GB"/>
              </w:rPr>
              <w:t>0091792</w:t>
            </w: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2014</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31,801.00</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CMH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33,126.00</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BUH</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1,325.00</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4.17</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2</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2</w:t>
            </w:r>
          </w:p>
        </w:tc>
      </w:tr>
      <w:tr w:rsidR="00AE6966" w:rsidRPr="00563CF9"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2015</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color w:val="000000"/>
                <w:sz w:val="18"/>
                <w:szCs w:val="18"/>
                <w:lang w:val="en-GB"/>
              </w:rPr>
            </w:pPr>
            <w:r w:rsidRPr="00563CF9">
              <w:rPr>
                <w:sz w:val="18"/>
                <w:lang w:val="en-GB" w:bidi="en-GB"/>
              </w:rPr>
              <w:t>30,033.90</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BUH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36,600.00</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MUH</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6,566.10</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21.86</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3</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3</w:t>
            </w:r>
          </w:p>
        </w:tc>
      </w:tr>
      <w:tr w:rsidR="00AE6966" w:rsidRPr="00563CF9"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2016</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31,801.00</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CMH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36,600.00</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MUH</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4,799.00</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15.09</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3</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3</w:t>
            </w:r>
          </w:p>
        </w:tc>
      </w:tr>
      <w:tr w:rsidR="00AE6966" w:rsidRPr="00563CF9" w:rsidTr="00192F57">
        <w:trPr>
          <w:trHeight w:val="340"/>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r w:rsidRPr="00563CF9">
              <w:rPr>
                <w:sz w:val="18"/>
                <w:lang w:val="en-GB" w:bidi="en-GB"/>
              </w:rPr>
              <w:t>0111741</w:t>
            </w: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2014</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color w:val="000000"/>
                <w:sz w:val="18"/>
                <w:szCs w:val="18"/>
                <w:lang w:val="en-GB"/>
              </w:rPr>
            </w:pPr>
            <w:r w:rsidRPr="00563CF9">
              <w:rPr>
                <w:sz w:val="18"/>
                <w:lang w:val="en-GB" w:bidi="en-GB"/>
              </w:rPr>
              <w:t>51,999.55</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BUH, MUH, CMH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xx</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xx</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0.00</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0.00</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3</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w:t>
            </w:r>
          </w:p>
        </w:tc>
      </w:tr>
      <w:tr w:rsidR="00AE6966" w:rsidRPr="00563CF9"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2015</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color w:val="000000"/>
                <w:sz w:val="18"/>
                <w:szCs w:val="18"/>
                <w:lang w:val="en-GB"/>
              </w:rPr>
            </w:pPr>
            <w:r w:rsidRPr="00563CF9">
              <w:rPr>
                <w:sz w:val="18"/>
                <w:lang w:val="en-GB" w:bidi="en-GB"/>
              </w:rPr>
              <w:t>51,999.55</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BUH, MUH, CMH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52,000.00</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BUH</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0.45</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0.00</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3</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w:t>
            </w:r>
          </w:p>
        </w:tc>
      </w:tr>
      <w:tr w:rsidR="00AE6966" w:rsidRPr="00563CF9"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2016</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51,999.55</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MUH, CMH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52,000.00</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BUH</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0.45</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0.00</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3</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w:t>
            </w:r>
          </w:p>
        </w:tc>
      </w:tr>
      <w:tr w:rsidR="00AE6966" w:rsidRPr="00563CF9" w:rsidTr="00192F57">
        <w:trPr>
          <w:trHeight w:val="340"/>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r w:rsidRPr="00563CF9">
              <w:rPr>
                <w:sz w:val="18"/>
                <w:lang w:val="en-GB" w:bidi="en-GB"/>
              </w:rPr>
              <w:t>0111742</w:t>
            </w: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2014</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51,999.55</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MUH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52,000.00</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BUH, CMH</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0.45</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0.00</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3</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w:t>
            </w:r>
          </w:p>
        </w:tc>
      </w:tr>
      <w:tr w:rsidR="00AE6966" w:rsidRPr="00563CF9"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2015</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color w:val="000000"/>
                <w:sz w:val="18"/>
                <w:szCs w:val="18"/>
                <w:lang w:val="en-GB"/>
              </w:rPr>
            </w:pPr>
            <w:r w:rsidRPr="00563CF9">
              <w:rPr>
                <w:sz w:val="18"/>
                <w:lang w:val="en-GB" w:bidi="en-GB"/>
              </w:rPr>
              <w:t>52,000.00</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BUH, CMH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color w:val="000000"/>
                <w:sz w:val="18"/>
                <w:szCs w:val="18"/>
                <w:lang w:val="en-GB"/>
              </w:rPr>
            </w:pPr>
            <w:r w:rsidRPr="00563CF9">
              <w:rPr>
                <w:sz w:val="18"/>
                <w:lang w:val="en-GB" w:bidi="en-GB"/>
              </w:rPr>
              <w:t>xx</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xx</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0.00</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0.00</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2</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w:t>
            </w:r>
          </w:p>
        </w:tc>
      </w:tr>
      <w:tr w:rsidR="00AE6966" w:rsidRPr="00563CF9"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2016</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color w:val="000000"/>
                <w:sz w:val="18"/>
                <w:szCs w:val="18"/>
                <w:lang w:val="en-GB"/>
              </w:rPr>
            </w:pPr>
            <w:r w:rsidRPr="00563CF9">
              <w:rPr>
                <w:sz w:val="18"/>
                <w:lang w:val="en-GB" w:bidi="en-GB"/>
              </w:rPr>
              <w:t>52,000.00</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BUH, CMH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color w:val="000000"/>
                <w:sz w:val="18"/>
                <w:szCs w:val="18"/>
                <w:lang w:val="en-GB"/>
              </w:rPr>
            </w:pPr>
            <w:r w:rsidRPr="00563CF9">
              <w:rPr>
                <w:sz w:val="18"/>
                <w:lang w:val="en-GB" w:bidi="en-GB"/>
              </w:rPr>
              <w:t>xx</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xx</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0.00</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0.00</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2</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w:t>
            </w:r>
          </w:p>
        </w:tc>
      </w:tr>
      <w:tr w:rsidR="00AE6966" w:rsidRPr="00563CF9" w:rsidTr="00192F57">
        <w:trPr>
          <w:trHeight w:val="340"/>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r w:rsidRPr="00563CF9">
              <w:rPr>
                <w:sz w:val="18"/>
                <w:lang w:val="en-GB" w:bidi="en-GB"/>
              </w:rPr>
              <w:t>0113355</w:t>
            </w: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2014</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59,800.00</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BUH, MUH, CMH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color w:val="000000"/>
                <w:sz w:val="18"/>
                <w:szCs w:val="18"/>
                <w:lang w:val="en-GB"/>
              </w:rPr>
            </w:pPr>
            <w:r w:rsidRPr="00563CF9">
              <w:rPr>
                <w:sz w:val="18"/>
                <w:lang w:val="en-GB" w:bidi="en-GB"/>
              </w:rPr>
              <w:t>xx</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xx</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0.00</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0.00</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3</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w:t>
            </w:r>
          </w:p>
        </w:tc>
      </w:tr>
      <w:tr w:rsidR="00AE6966" w:rsidRPr="00563CF9"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2015</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51,175.00</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MUH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59,800.00</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BUH, CMH</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8,625.00</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16.85</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3</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w:t>
            </w:r>
          </w:p>
        </w:tc>
      </w:tr>
      <w:tr w:rsidR="00AE6966" w:rsidRPr="00563CF9" w:rsidTr="00192F57">
        <w:trPr>
          <w:trHeight w:val="340"/>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r w:rsidRPr="00563CF9">
              <w:rPr>
                <w:sz w:val="18"/>
                <w:lang w:val="en-GB" w:bidi="en-GB"/>
              </w:rPr>
              <w:t>0113357</w:t>
            </w: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2014</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58,075.00</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MUH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59,800.00</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BUH, CMH</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1,725.00</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2.97</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3</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w:t>
            </w:r>
          </w:p>
        </w:tc>
      </w:tr>
      <w:tr w:rsidR="00AE6966" w:rsidRPr="00563CF9"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2015</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58,075.00</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MUH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59,800.00</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BUH, CMH</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1,725.00</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2.97</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3</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w:t>
            </w:r>
          </w:p>
        </w:tc>
      </w:tr>
      <w:tr w:rsidR="00AE6966" w:rsidRPr="00563CF9" w:rsidTr="00192F57">
        <w:trPr>
          <w:trHeight w:val="340"/>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r w:rsidRPr="00563CF9">
              <w:rPr>
                <w:sz w:val="18"/>
                <w:lang w:val="en-GB" w:bidi="en-GB"/>
              </w:rPr>
              <w:t>0141338</w:t>
            </w: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2014</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282,378.00</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CMH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282,451.50</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MUH</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73.50</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0.03</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2</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w:t>
            </w:r>
          </w:p>
        </w:tc>
      </w:tr>
      <w:tr w:rsidR="00AE6966" w:rsidRPr="00563CF9"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2015</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color w:val="000000"/>
                <w:sz w:val="18"/>
                <w:szCs w:val="18"/>
                <w:lang w:val="en-GB"/>
              </w:rPr>
            </w:pPr>
            <w:r w:rsidRPr="00563CF9">
              <w:rPr>
                <w:sz w:val="18"/>
                <w:lang w:val="en-GB" w:bidi="en-GB"/>
              </w:rPr>
              <w:t>274,999.50</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BUH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282,378.00</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CMH</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7,378.50</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2.68</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2</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w:t>
            </w:r>
          </w:p>
        </w:tc>
      </w:tr>
      <w:tr w:rsidR="00AE6966" w:rsidRPr="00563CF9"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2016</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color w:val="000000"/>
                <w:sz w:val="18"/>
                <w:szCs w:val="18"/>
                <w:lang w:val="en-GB"/>
              </w:rPr>
            </w:pPr>
            <w:r w:rsidRPr="00563CF9">
              <w:rPr>
                <w:sz w:val="18"/>
                <w:lang w:val="en-GB" w:bidi="en-GB"/>
              </w:rPr>
              <w:t>274,999.50</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BUH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282,378.00</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CMH</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7,378.50</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2.68</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2</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w:t>
            </w:r>
          </w:p>
        </w:tc>
      </w:tr>
      <w:tr w:rsidR="00AE6966" w:rsidRPr="00563CF9" w:rsidTr="00192F57">
        <w:trPr>
          <w:trHeight w:val="340"/>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r w:rsidRPr="00563CF9">
              <w:rPr>
                <w:sz w:val="18"/>
                <w:lang w:val="en-GB" w:bidi="en-GB"/>
              </w:rPr>
              <w:t>0192089</w:t>
            </w: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2014</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118,324.00</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CMH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118,324.19</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MUH</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0.19</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0.00</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2</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w:t>
            </w:r>
          </w:p>
        </w:tc>
      </w:tr>
      <w:tr w:rsidR="00AE6966" w:rsidRPr="00563CF9"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2015</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112,408.01</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MUH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color w:val="000000"/>
                <w:sz w:val="18"/>
                <w:szCs w:val="18"/>
                <w:lang w:val="en-GB"/>
              </w:rPr>
            </w:pPr>
            <w:r w:rsidRPr="00563CF9">
              <w:rPr>
                <w:sz w:val="18"/>
                <w:lang w:val="en-GB" w:bidi="en-GB"/>
              </w:rPr>
              <w:t>118,324.19</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BUH, MUH</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5,916.18</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5.26</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3</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w:t>
            </w:r>
          </w:p>
        </w:tc>
      </w:tr>
      <w:tr w:rsidR="00AE6966" w:rsidRPr="00563CF9"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2016</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color w:val="000000"/>
                <w:sz w:val="18"/>
                <w:szCs w:val="18"/>
                <w:lang w:val="en-GB"/>
              </w:rPr>
            </w:pPr>
            <w:r w:rsidRPr="00563CF9">
              <w:rPr>
                <w:sz w:val="18"/>
                <w:lang w:val="en-GB" w:bidi="en-GB"/>
              </w:rPr>
              <w:t>82,826.93</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BUH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color w:val="000000"/>
                <w:sz w:val="18"/>
                <w:szCs w:val="18"/>
                <w:lang w:val="en-GB"/>
              </w:rPr>
            </w:pPr>
            <w:r w:rsidRPr="00563CF9">
              <w:rPr>
                <w:sz w:val="18"/>
                <w:lang w:val="en-GB" w:bidi="en-GB"/>
              </w:rPr>
              <w:t>118,324.19</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BUH</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35,497.26</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42.86</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3</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w:t>
            </w:r>
          </w:p>
        </w:tc>
      </w:tr>
      <w:tr w:rsidR="00AE6966" w:rsidRPr="00563CF9" w:rsidTr="00192F57">
        <w:trPr>
          <w:trHeight w:val="340"/>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r w:rsidRPr="00563CF9">
              <w:rPr>
                <w:sz w:val="18"/>
                <w:lang w:val="en-GB" w:bidi="en-GB"/>
              </w:rPr>
              <w:t>0193339</w:t>
            </w: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2014</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71,797.00</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CMH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color w:val="000000"/>
                <w:sz w:val="18"/>
                <w:szCs w:val="18"/>
                <w:lang w:val="en-GB"/>
              </w:rPr>
            </w:pPr>
            <w:r w:rsidRPr="00563CF9">
              <w:rPr>
                <w:sz w:val="18"/>
                <w:lang w:val="en-GB" w:bidi="en-GB"/>
              </w:rPr>
              <w:t>74,410.60</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BUH</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2,613.60</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3.64</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3</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w:t>
            </w:r>
          </w:p>
        </w:tc>
      </w:tr>
      <w:tr w:rsidR="00AE6966" w:rsidRPr="00563CF9"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2015</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70,687.16</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MUH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color w:val="000000"/>
                <w:sz w:val="18"/>
                <w:szCs w:val="18"/>
                <w:lang w:val="en-GB"/>
              </w:rPr>
            </w:pPr>
            <w:r w:rsidRPr="00563CF9">
              <w:rPr>
                <w:sz w:val="18"/>
                <w:lang w:val="en-GB" w:bidi="en-GB"/>
              </w:rPr>
              <w:t>74,410.87</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BUH</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3,723.71</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5.27</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3</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w:t>
            </w:r>
          </w:p>
        </w:tc>
      </w:tr>
      <w:tr w:rsidR="00AE6966" w:rsidRPr="00563CF9"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2016</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color w:val="000000"/>
                <w:sz w:val="18"/>
                <w:szCs w:val="18"/>
                <w:lang w:val="en-GB"/>
              </w:rPr>
            </w:pPr>
            <w:r w:rsidRPr="00563CF9">
              <w:rPr>
                <w:sz w:val="18"/>
                <w:lang w:val="en-GB" w:bidi="en-GB"/>
              </w:rPr>
              <w:t>44,646.52</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BUH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color w:val="000000"/>
                <w:sz w:val="18"/>
                <w:szCs w:val="18"/>
                <w:lang w:val="en-GB"/>
              </w:rPr>
            </w:pPr>
            <w:r w:rsidRPr="00563CF9">
              <w:rPr>
                <w:sz w:val="18"/>
                <w:lang w:val="en-GB" w:bidi="en-GB"/>
              </w:rPr>
              <w:t>74,410.87</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BUH</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29,764.35</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66.67</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3</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w:t>
            </w:r>
          </w:p>
        </w:tc>
      </w:tr>
      <w:tr w:rsidR="00AE6966" w:rsidRPr="00563CF9" w:rsidTr="00192F57">
        <w:trPr>
          <w:trHeight w:val="340"/>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r w:rsidRPr="00563CF9">
              <w:rPr>
                <w:sz w:val="18"/>
                <w:lang w:val="en-GB" w:bidi="en-GB"/>
              </w:rPr>
              <w:t>0193810</w:t>
            </w: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2016</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310,500.00</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BUH, CMH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color w:val="000000"/>
                <w:sz w:val="18"/>
                <w:szCs w:val="18"/>
                <w:lang w:val="en-GB"/>
              </w:rPr>
            </w:pPr>
            <w:r w:rsidRPr="00563CF9">
              <w:rPr>
                <w:sz w:val="18"/>
                <w:lang w:val="en-GB" w:bidi="en-GB"/>
              </w:rPr>
              <w:t>xx</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xx</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0</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0</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2</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w:t>
            </w:r>
          </w:p>
        </w:tc>
      </w:tr>
      <w:tr w:rsidR="00AE6966" w:rsidRPr="00563CF9" w:rsidTr="00192F57">
        <w:trPr>
          <w:trHeight w:val="340"/>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r w:rsidRPr="00563CF9">
              <w:rPr>
                <w:sz w:val="18"/>
                <w:lang w:val="en-GB" w:bidi="en-GB"/>
              </w:rPr>
              <w:t>0193999</w:t>
            </w: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2015</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51,175.00</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MUH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color w:val="000000"/>
                <w:sz w:val="18"/>
                <w:szCs w:val="18"/>
                <w:lang w:val="en-GB"/>
              </w:rPr>
            </w:pPr>
            <w:r w:rsidRPr="00563CF9">
              <w:rPr>
                <w:sz w:val="18"/>
                <w:lang w:val="en-GB" w:bidi="en-GB"/>
              </w:rPr>
              <w:t>59,800.00</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BUH, CMH</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8,625.00</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16.85</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3</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w:t>
            </w:r>
          </w:p>
        </w:tc>
      </w:tr>
      <w:tr w:rsidR="00AE6966" w:rsidRPr="00563CF9"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2016</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49,399.00</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CMH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color w:val="000000"/>
                <w:sz w:val="18"/>
                <w:szCs w:val="18"/>
                <w:lang w:val="en-GB"/>
              </w:rPr>
            </w:pPr>
            <w:r w:rsidRPr="00563CF9">
              <w:rPr>
                <w:sz w:val="18"/>
                <w:lang w:val="en-GB" w:bidi="en-GB"/>
              </w:rPr>
              <w:t>59,800.00</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BUH</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10,401.00</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21.06</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3</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1</w:t>
            </w:r>
          </w:p>
        </w:tc>
      </w:tr>
      <w:tr w:rsidR="00AE6966" w:rsidRPr="00563CF9" w:rsidTr="00192F57">
        <w:trPr>
          <w:trHeight w:val="340"/>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r w:rsidRPr="00563CF9">
              <w:rPr>
                <w:sz w:val="18"/>
                <w:lang w:val="en-GB" w:bidi="en-GB"/>
              </w:rPr>
              <w:t>0194014</w:t>
            </w: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2015</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color w:val="000000"/>
                <w:sz w:val="18"/>
                <w:szCs w:val="18"/>
                <w:lang w:val="en-GB"/>
              </w:rPr>
            </w:pPr>
            <w:r w:rsidRPr="00563CF9">
              <w:rPr>
                <w:sz w:val="18"/>
                <w:lang w:val="en-GB" w:bidi="en-GB"/>
              </w:rPr>
              <w:t>79,990.00</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BUH, MUH, CMH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color w:val="000000"/>
                <w:sz w:val="18"/>
                <w:szCs w:val="18"/>
                <w:lang w:val="en-GB"/>
              </w:rPr>
            </w:pPr>
            <w:r w:rsidRPr="00563CF9">
              <w:rPr>
                <w:sz w:val="18"/>
                <w:lang w:val="en-GB" w:bidi="en-GB"/>
              </w:rPr>
              <w:t>xx</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xx</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0</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0</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3</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2</w:t>
            </w:r>
          </w:p>
        </w:tc>
      </w:tr>
      <w:tr w:rsidR="00AE6966" w:rsidRPr="00563CF9" w:rsidTr="00192F57">
        <w:trPr>
          <w:trHeight w:val="340"/>
        </w:trPr>
        <w:tc>
          <w:tcPr>
            <w:tcW w:w="737" w:type="dxa"/>
            <w:vMerge/>
            <w:tcBorders>
              <w:top w:val="nil"/>
              <w:left w:val="single" w:sz="4" w:space="0" w:color="auto"/>
              <w:bottom w:val="single" w:sz="4" w:space="0" w:color="auto"/>
              <w:right w:val="single" w:sz="4" w:space="0" w:color="auto"/>
            </w:tcBorders>
            <w:vAlign w:val="center"/>
            <w:hideMark/>
          </w:tcPr>
          <w:p w:rsidR="001352EB" w:rsidRPr="00563CF9" w:rsidRDefault="001352EB" w:rsidP="00192F57">
            <w:pPr>
              <w:spacing w:before="40" w:after="40"/>
              <w:ind w:left="-57" w:right="-57"/>
              <w:jc w:val="center"/>
              <w:rPr>
                <w:rFonts w:ascii="Calibri" w:hAnsi="Calibri" w:cs="Calibri"/>
                <w:color w:val="000000"/>
                <w:sz w:val="18"/>
                <w:szCs w:val="18"/>
                <w:lang w:val="en-GB"/>
              </w:rPr>
            </w:pPr>
          </w:p>
        </w:tc>
        <w:tc>
          <w:tcPr>
            <w:tcW w:w="510"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2016</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sz w:val="18"/>
                <w:szCs w:val="18"/>
                <w:lang w:val="en-GB"/>
              </w:rPr>
            </w:pPr>
            <w:r w:rsidRPr="00563CF9">
              <w:rPr>
                <w:sz w:val="18"/>
                <w:lang w:val="en-GB" w:bidi="en-GB"/>
              </w:rPr>
              <w:t>59,414.00</w:t>
            </w:r>
          </w:p>
        </w:tc>
        <w:tc>
          <w:tcPr>
            <w:tcW w:w="130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center"/>
              <w:rPr>
                <w:rFonts w:ascii="Calibri" w:hAnsi="Calibri" w:cs="Calibri"/>
                <w:color w:val="000000"/>
                <w:sz w:val="18"/>
                <w:szCs w:val="18"/>
                <w:lang w:val="en-GB"/>
              </w:rPr>
            </w:pPr>
            <w:r w:rsidRPr="00563CF9">
              <w:rPr>
                <w:sz w:val="18"/>
                <w:lang w:val="en-GB" w:bidi="en-GB"/>
              </w:rPr>
              <w:t>CMH</w:t>
            </w:r>
          </w:p>
        </w:tc>
        <w:tc>
          <w:tcPr>
            <w:tcW w:w="96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jc w:val="right"/>
              <w:rPr>
                <w:rFonts w:ascii="Calibri" w:hAnsi="Calibri" w:cs="Calibri"/>
                <w:color w:val="000000"/>
                <w:sz w:val="18"/>
                <w:szCs w:val="18"/>
                <w:lang w:val="en-GB"/>
              </w:rPr>
            </w:pPr>
            <w:r w:rsidRPr="00563CF9">
              <w:rPr>
                <w:sz w:val="18"/>
                <w:lang w:val="en-GB" w:bidi="en-GB"/>
              </w:rPr>
              <w:t>79,990.00</w:t>
            </w:r>
          </w:p>
        </w:tc>
        <w:tc>
          <w:tcPr>
            <w:tcW w:w="1191" w:type="dxa"/>
            <w:tcBorders>
              <w:top w:val="nil"/>
              <w:left w:val="nil"/>
              <w:bottom w:val="single" w:sz="4" w:space="0" w:color="auto"/>
              <w:right w:val="single" w:sz="4" w:space="0" w:color="auto"/>
            </w:tcBorders>
            <w:shd w:val="clear" w:color="auto" w:fill="auto"/>
            <w:noWrap/>
            <w:vAlign w:val="bottom"/>
            <w:hideMark/>
          </w:tcPr>
          <w:p w:rsidR="001352EB" w:rsidRPr="00563CF9" w:rsidRDefault="001352EB" w:rsidP="00192F57">
            <w:pPr>
              <w:spacing w:before="40" w:after="40"/>
              <w:jc w:val="center"/>
              <w:rPr>
                <w:rFonts w:ascii="Calibri" w:hAnsi="Calibri" w:cs="Calibri"/>
                <w:sz w:val="18"/>
                <w:szCs w:val="18"/>
                <w:lang w:val="en-GB"/>
              </w:rPr>
            </w:pPr>
            <w:r w:rsidRPr="00563CF9">
              <w:rPr>
                <w:sz w:val="18"/>
                <w:lang w:val="en-GB" w:bidi="en-GB"/>
              </w:rPr>
              <w:t>BUH</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20,576.00</w:t>
            </w:r>
          </w:p>
        </w:tc>
        <w:tc>
          <w:tcPr>
            <w:tcW w:w="794"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A31EC4">
            <w:pPr>
              <w:spacing w:before="40" w:after="40"/>
              <w:ind w:left="-57" w:right="57"/>
              <w:jc w:val="right"/>
              <w:rPr>
                <w:rFonts w:ascii="Calibri" w:hAnsi="Calibri" w:cs="Calibri"/>
                <w:color w:val="000000"/>
                <w:sz w:val="18"/>
                <w:szCs w:val="18"/>
                <w:lang w:val="en-GB"/>
              </w:rPr>
            </w:pPr>
            <w:r w:rsidRPr="00563CF9">
              <w:rPr>
                <w:sz w:val="18"/>
                <w:lang w:val="en-GB" w:bidi="en-GB"/>
              </w:rPr>
              <w:t>34.63</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3</w:t>
            </w:r>
          </w:p>
        </w:tc>
        <w:tc>
          <w:tcPr>
            <w:tcW w:w="907" w:type="dxa"/>
            <w:tcBorders>
              <w:top w:val="nil"/>
              <w:left w:val="nil"/>
              <w:bottom w:val="single" w:sz="4" w:space="0" w:color="auto"/>
              <w:right w:val="single" w:sz="4" w:space="0" w:color="auto"/>
            </w:tcBorders>
            <w:shd w:val="clear" w:color="auto" w:fill="auto"/>
            <w:noWrap/>
            <w:vAlign w:val="center"/>
            <w:hideMark/>
          </w:tcPr>
          <w:p w:rsidR="001352EB" w:rsidRPr="00563CF9" w:rsidRDefault="001352EB" w:rsidP="00192F57">
            <w:pPr>
              <w:spacing w:before="40" w:after="40"/>
              <w:ind w:left="-57" w:right="57"/>
              <w:jc w:val="right"/>
              <w:rPr>
                <w:rFonts w:ascii="Calibri" w:hAnsi="Calibri" w:cs="Calibri"/>
                <w:color w:val="000000"/>
                <w:sz w:val="18"/>
                <w:szCs w:val="18"/>
                <w:lang w:val="en-GB"/>
              </w:rPr>
            </w:pPr>
            <w:r w:rsidRPr="00563CF9">
              <w:rPr>
                <w:sz w:val="18"/>
                <w:lang w:val="en-GB" w:bidi="en-GB"/>
              </w:rPr>
              <w:t>2</w:t>
            </w:r>
          </w:p>
        </w:tc>
      </w:tr>
    </w:tbl>
    <w:p w:rsidR="001352EB" w:rsidRPr="00563CF9" w:rsidRDefault="001352EB" w:rsidP="00192F57">
      <w:pPr>
        <w:spacing w:before="40"/>
        <w:rPr>
          <w:sz w:val="20"/>
          <w:lang w:val="en-GB"/>
        </w:rPr>
      </w:pPr>
      <w:r w:rsidRPr="00563CF9">
        <w:rPr>
          <w:b/>
          <w:sz w:val="20"/>
          <w:lang w:val="en-GB" w:bidi="en-GB"/>
        </w:rPr>
        <w:t xml:space="preserve">Source: </w:t>
      </w:r>
      <w:r w:rsidRPr="00563CF9">
        <w:rPr>
          <w:sz w:val="20"/>
          <w:lang w:val="en-GB" w:bidi="en-GB"/>
        </w:rPr>
        <w:t>annexes to individual audit protocols of university hospitals (according to invoices).</w:t>
      </w:r>
    </w:p>
    <w:p w:rsidR="001352EB" w:rsidRPr="00563CF9" w:rsidRDefault="001352EB" w:rsidP="006E5933">
      <w:pPr>
        <w:spacing w:before="40"/>
        <w:rPr>
          <w:rFonts w:cstheme="minorHAnsi"/>
          <w:noProof/>
          <w:color w:val="000000" w:themeColor="text1"/>
          <w:szCs w:val="28"/>
          <w:lang w:val="en-GB"/>
        </w:rPr>
      </w:pPr>
    </w:p>
    <w:sectPr w:rsidR="001352EB" w:rsidRPr="00563CF9" w:rsidSect="00E6098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279" w:rsidRDefault="00336279">
      <w:r>
        <w:separator/>
      </w:r>
    </w:p>
  </w:endnote>
  <w:endnote w:type="continuationSeparator" w:id="0">
    <w:p w:rsidR="00336279" w:rsidRDefault="00336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imes New Roman CE obyeejné">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EF5" w:rsidRDefault="00786EF5">
    <w:pPr>
      <w:pStyle w:val="Zpat"/>
      <w:framePr w:wrap="around" w:vAnchor="text" w:hAnchor="margin" w:xAlign="center" w:y="1"/>
      <w:rPr>
        <w:rStyle w:val="slostrnky"/>
      </w:rPr>
    </w:pPr>
    <w:r>
      <w:rPr>
        <w:rStyle w:val="slostrnky"/>
        <w:lang w:val="en-GB" w:bidi="en-GB"/>
      </w:rPr>
      <w:fldChar w:fldCharType="begin"/>
    </w:r>
    <w:r>
      <w:rPr>
        <w:rStyle w:val="slostrnky"/>
        <w:lang w:val="en-GB" w:bidi="en-GB"/>
      </w:rPr>
      <w:instrText xml:space="preserve">PAGE  </w:instrText>
    </w:r>
    <w:r>
      <w:rPr>
        <w:rStyle w:val="slostrnky"/>
        <w:lang w:val="en-GB" w:bidi="en-GB"/>
      </w:rPr>
      <w:fldChar w:fldCharType="separate"/>
    </w:r>
    <w:r>
      <w:rPr>
        <w:rStyle w:val="slostrnky"/>
        <w:noProof/>
        <w:lang w:val="en-GB" w:bidi="en-GB"/>
      </w:rPr>
      <w:t>3</w:t>
    </w:r>
    <w:r>
      <w:rPr>
        <w:rStyle w:val="slostrnky"/>
        <w:lang w:val="en-GB" w:bidi="en-GB"/>
      </w:rPr>
      <w:fldChar w:fldCharType="end"/>
    </w:r>
  </w:p>
  <w:p w:rsidR="00786EF5" w:rsidRDefault="00786EF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480642"/>
      <w:docPartObj>
        <w:docPartGallery w:val="Page Numbers (Bottom of Page)"/>
        <w:docPartUnique/>
      </w:docPartObj>
    </w:sdtPr>
    <w:sdtEndPr/>
    <w:sdtContent>
      <w:p w:rsidR="00786EF5" w:rsidRDefault="00786EF5" w:rsidP="00AC339B">
        <w:pPr>
          <w:pStyle w:val="Zpat"/>
          <w:jc w:val="center"/>
        </w:pPr>
        <w:r>
          <w:rPr>
            <w:lang w:val="en-GB" w:bidi="en-GB"/>
          </w:rPr>
          <w:fldChar w:fldCharType="begin"/>
        </w:r>
        <w:r>
          <w:rPr>
            <w:lang w:val="en-GB" w:bidi="en-GB"/>
          </w:rPr>
          <w:instrText>PAGE   \* MERGEFORMAT</w:instrText>
        </w:r>
        <w:r>
          <w:rPr>
            <w:lang w:val="en-GB" w:bidi="en-GB"/>
          </w:rPr>
          <w:fldChar w:fldCharType="separate"/>
        </w:r>
        <w:r w:rsidR="00980E14">
          <w:rPr>
            <w:noProof/>
            <w:lang w:val="en-GB" w:bidi="en-GB"/>
          </w:rPr>
          <w:t>2</w:t>
        </w:r>
        <w:r>
          <w:rPr>
            <w:lang w:val="en-GB" w:bidi="en-GB"/>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EF5" w:rsidRDefault="00786EF5" w:rsidP="0068280A">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279" w:rsidRDefault="00336279">
      <w:r>
        <w:separator/>
      </w:r>
    </w:p>
  </w:footnote>
  <w:footnote w:type="continuationSeparator" w:id="0">
    <w:p w:rsidR="00336279" w:rsidRDefault="00336279">
      <w:r>
        <w:continuationSeparator/>
      </w:r>
    </w:p>
  </w:footnote>
  <w:footnote w:id="1">
    <w:p w:rsidR="00786EF5" w:rsidRPr="00477D25" w:rsidRDefault="00786EF5" w:rsidP="00FA221A">
      <w:pPr>
        <w:pStyle w:val="Textpoznpodarou"/>
        <w:ind w:left="284" w:hanging="284"/>
        <w:rPr>
          <w:sz w:val="20"/>
        </w:rPr>
      </w:pPr>
      <w:r w:rsidRPr="00477D25">
        <w:rPr>
          <w:rStyle w:val="Znakapoznpodarou"/>
          <w:sz w:val="20"/>
          <w:lang w:val="en-GB" w:bidi="en-GB"/>
        </w:rPr>
        <w:footnoteRef/>
      </w:r>
      <w:r w:rsidRPr="00477D25">
        <w:rPr>
          <w:sz w:val="20"/>
          <w:lang w:val="en-GB" w:bidi="en-GB"/>
        </w:rPr>
        <w:t xml:space="preserve"> </w:t>
      </w:r>
      <w:r w:rsidRPr="00477D25">
        <w:rPr>
          <w:sz w:val="20"/>
          <w:lang w:val="en-GB" w:bidi="en-GB"/>
        </w:rPr>
        <w:tab/>
        <w:t>Costs are stated without the cost of blood and blood derivatives and medical gases.</w:t>
      </w:r>
    </w:p>
  </w:footnote>
  <w:footnote w:id="2">
    <w:p w:rsidR="00786EF5" w:rsidRPr="00477D25" w:rsidRDefault="00786EF5" w:rsidP="00FA221A">
      <w:pPr>
        <w:pStyle w:val="Textpoznpodarou"/>
        <w:ind w:left="284" w:hanging="284"/>
        <w:rPr>
          <w:sz w:val="20"/>
        </w:rPr>
      </w:pPr>
      <w:r w:rsidRPr="00477D25">
        <w:rPr>
          <w:rStyle w:val="Znakapoznpodarou"/>
          <w:sz w:val="20"/>
          <w:lang w:val="en-GB" w:bidi="en-GB"/>
        </w:rPr>
        <w:footnoteRef/>
      </w:r>
      <w:r>
        <w:rPr>
          <w:sz w:val="20"/>
          <w:lang w:val="en-GB" w:bidi="en-GB"/>
        </w:rPr>
        <w:t xml:space="preserve"> </w:t>
      </w:r>
      <w:r>
        <w:rPr>
          <w:sz w:val="20"/>
          <w:lang w:val="en-GB" w:bidi="en-GB"/>
        </w:rPr>
        <w:tab/>
        <w:t>Only costs listed in account 501 are shown. Also used in this sense throughout this Audit Conclusion.</w:t>
      </w:r>
    </w:p>
  </w:footnote>
  <w:footnote w:id="3">
    <w:p w:rsidR="00786EF5" w:rsidRPr="00397679" w:rsidRDefault="00786EF5" w:rsidP="00FA221A">
      <w:pPr>
        <w:pStyle w:val="Textpoznpodarou"/>
        <w:ind w:left="284" w:hanging="284"/>
        <w:rPr>
          <w:rFonts w:cstheme="minorHAnsi"/>
          <w:sz w:val="20"/>
        </w:rPr>
      </w:pPr>
      <w:r w:rsidRPr="00397679">
        <w:rPr>
          <w:rStyle w:val="Znakapoznpodarou"/>
          <w:sz w:val="20"/>
          <w:lang w:val="en-GB" w:bidi="en-GB"/>
        </w:rPr>
        <w:footnoteRef/>
      </w:r>
      <w:r w:rsidRPr="00397679">
        <w:rPr>
          <w:sz w:val="20"/>
          <w:lang w:val="en-GB" w:bidi="en-GB"/>
        </w:rPr>
        <w:t xml:space="preserve"> </w:t>
      </w:r>
      <w:r w:rsidRPr="00397679">
        <w:rPr>
          <w:sz w:val="20"/>
          <w:lang w:val="en-GB" w:bidi="en-GB"/>
        </w:rPr>
        <w:tab/>
        <w:t>Section 21 of Act No. 137/2006 Coll., on Public Contracts, and Section 2(3) and Section 3 of Act No. 134/2016 Coll., on Public Procurement.</w:t>
      </w:r>
    </w:p>
  </w:footnote>
  <w:footnote w:id="4">
    <w:p w:rsidR="00786EF5" w:rsidRPr="00397679" w:rsidRDefault="00786EF5" w:rsidP="00FA221A">
      <w:pPr>
        <w:pStyle w:val="Textpoznpodarou"/>
        <w:ind w:left="284" w:hanging="284"/>
        <w:rPr>
          <w:rFonts w:cstheme="minorHAnsi"/>
          <w:sz w:val="20"/>
        </w:rPr>
      </w:pPr>
      <w:r w:rsidRPr="00397679">
        <w:rPr>
          <w:rStyle w:val="Znakapoznpodarou"/>
          <w:sz w:val="20"/>
          <w:lang w:val="en-GB" w:bidi="en-GB"/>
        </w:rPr>
        <w:footnoteRef/>
      </w:r>
      <w:r w:rsidRPr="00397679">
        <w:rPr>
          <w:sz w:val="20"/>
          <w:lang w:val="en-GB" w:bidi="en-GB"/>
        </w:rPr>
        <w:t xml:space="preserve"> </w:t>
      </w:r>
      <w:r w:rsidRPr="00397679">
        <w:rPr>
          <w:sz w:val="20"/>
          <w:lang w:val="en-GB" w:bidi="en-GB"/>
        </w:rPr>
        <w:tab/>
        <w:t>Section 2(2)b) of Act No. 137/2006 Coll., on Public Contracts, and Section 4(1)c) of Act No. 134/2016 Coll., on Public Procurement.</w:t>
      </w:r>
    </w:p>
  </w:footnote>
  <w:footnote w:id="5">
    <w:p w:rsidR="00786EF5" w:rsidRPr="00397679" w:rsidRDefault="00786EF5" w:rsidP="00FA221A">
      <w:pPr>
        <w:pStyle w:val="Textpoznpodarou"/>
        <w:ind w:left="284" w:hanging="284"/>
        <w:rPr>
          <w:sz w:val="20"/>
        </w:rPr>
      </w:pPr>
      <w:r w:rsidRPr="00397679">
        <w:rPr>
          <w:rStyle w:val="Znakapoznpodarou"/>
          <w:sz w:val="20"/>
          <w:lang w:val="en-GB" w:bidi="en-GB"/>
        </w:rPr>
        <w:footnoteRef/>
      </w:r>
      <w:r w:rsidRPr="00397679">
        <w:rPr>
          <w:sz w:val="20"/>
          <w:lang w:val="en-GB" w:bidi="en-GB"/>
        </w:rPr>
        <w:t xml:space="preserve"> </w:t>
      </w:r>
      <w:r w:rsidRPr="00397679">
        <w:rPr>
          <w:sz w:val="20"/>
          <w:lang w:val="en-GB" w:bidi="en-GB"/>
        </w:rPr>
        <w:tab/>
        <w:t>Anatomical-therapeutic-chemical classification of pharmaceuticals (ATC) is an international pharmaceuticals classification system, ATC – J – anti-infectives for systemic application.</w:t>
      </w:r>
    </w:p>
  </w:footnote>
  <w:footnote w:id="6">
    <w:p w:rsidR="00786EF5" w:rsidRPr="002535AD" w:rsidRDefault="00786EF5" w:rsidP="00FA221A">
      <w:pPr>
        <w:pStyle w:val="Textpoznpodarou"/>
        <w:ind w:left="284" w:hanging="284"/>
        <w:rPr>
          <w:rStyle w:val="Znakapoznpodarou"/>
          <w:sz w:val="20"/>
          <w:vertAlign w:val="baseline"/>
        </w:rPr>
      </w:pPr>
      <w:r w:rsidRPr="007A59CF">
        <w:rPr>
          <w:rStyle w:val="Znakapoznpodarou"/>
          <w:sz w:val="20"/>
          <w:lang w:val="en-GB" w:bidi="en-GB"/>
        </w:rPr>
        <w:footnoteRef/>
      </w:r>
      <w:r w:rsidRPr="007A59CF">
        <w:rPr>
          <w:sz w:val="20"/>
          <w:lang w:val="en-GB" w:bidi="en-GB"/>
        </w:rPr>
        <w:t xml:space="preserve"> </w:t>
      </w:r>
      <w:r w:rsidRPr="007A59CF">
        <w:rPr>
          <w:sz w:val="20"/>
          <w:lang w:val="en-GB" w:bidi="en-GB"/>
        </w:rPr>
        <w:tab/>
        <w:t>SÚKL code – the code is a unique identifier of the medicinal product, allocated by the State Institute for Drug Control.</w:t>
      </w:r>
    </w:p>
  </w:footnote>
  <w:footnote w:id="7">
    <w:p w:rsidR="00786EF5" w:rsidRPr="007A59CF" w:rsidRDefault="00786EF5" w:rsidP="00FA221A">
      <w:pPr>
        <w:pStyle w:val="Textpoznpodarou"/>
        <w:ind w:left="284" w:hanging="284"/>
        <w:rPr>
          <w:rFonts w:cstheme="minorHAnsi"/>
          <w:sz w:val="20"/>
        </w:rPr>
      </w:pPr>
      <w:r w:rsidRPr="009734D4">
        <w:rPr>
          <w:rStyle w:val="Znakapoznpodarou"/>
          <w:sz w:val="20"/>
          <w:lang w:val="en-GB" w:bidi="en-GB"/>
        </w:rPr>
        <w:footnoteRef/>
      </w:r>
      <w:r w:rsidRPr="009734D4">
        <w:rPr>
          <w:sz w:val="20"/>
          <w:lang w:val="en-GB" w:bidi="en-GB"/>
        </w:rPr>
        <w:t xml:space="preserve"> </w:t>
      </w:r>
      <w:r w:rsidRPr="009734D4">
        <w:rPr>
          <w:sz w:val="20"/>
          <w:lang w:val="en-GB" w:bidi="en-GB"/>
        </w:rPr>
        <w:tab/>
        <w:t>The type, i.e. a drug registered under the SÚKL code, which defines, inter alia, the name of the medicinal product, the name, strength, pharmaceutical form, pack size, active substance and ATC group.</w:t>
      </w:r>
    </w:p>
  </w:footnote>
  <w:footnote w:id="8">
    <w:p w:rsidR="00786EF5" w:rsidRPr="007A59CF" w:rsidRDefault="00786EF5" w:rsidP="00FA221A">
      <w:pPr>
        <w:pStyle w:val="Textpoznpodarou"/>
        <w:ind w:left="284" w:hanging="284"/>
        <w:rPr>
          <w:rFonts w:cstheme="minorHAnsi"/>
          <w:sz w:val="20"/>
        </w:rPr>
      </w:pPr>
      <w:r w:rsidRPr="007A59CF">
        <w:rPr>
          <w:rStyle w:val="Znakapoznpodarou"/>
          <w:sz w:val="20"/>
          <w:lang w:val="en-GB" w:bidi="en-GB"/>
        </w:rPr>
        <w:footnoteRef/>
      </w:r>
      <w:r>
        <w:rPr>
          <w:sz w:val="20"/>
          <w:lang w:val="en-GB" w:bidi="en-GB"/>
        </w:rPr>
        <w:t xml:space="preserve"> </w:t>
      </w:r>
      <w:r>
        <w:rPr>
          <w:sz w:val="20"/>
          <w:lang w:val="en-GB" w:bidi="en-GB"/>
        </w:rPr>
        <w:tab/>
        <w:t>Medical device code – the code is assigned by the General Health Insurance Company of the Czech Republic (VZP) according to the valid methodology, this code is a unique identifier of the relevant medical device and is listed in the VZP – medical device (SCM) codebook or in the medical device/SCM reimbursement catalog</w:t>
      </w:r>
      <w:r w:rsidR="00583F82">
        <w:rPr>
          <w:sz w:val="20"/>
          <w:lang w:val="en-GB" w:bidi="en-GB"/>
        </w:rPr>
        <w:t>ue</w:t>
      </w:r>
      <w:r>
        <w:rPr>
          <w:sz w:val="20"/>
          <w:lang w:val="en-GB" w:bidi="en-GB"/>
        </w:rPr>
        <w:t>.</w:t>
      </w:r>
    </w:p>
  </w:footnote>
  <w:footnote w:id="9">
    <w:p w:rsidR="00786EF5" w:rsidRPr="00784BE6" w:rsidRDefault="00786EF5" w:rsidP="00167B45">
      <w:pPr>
        <w:pStyle w:val="Textpoznpodarou"/>
        <w:ind w:left="284" w:hanging="284"/>
        <w:rPr>
          <w:rFonts w:cstheme="minorHAnsi"/>
          <w:sz w:val="20"/>
        </w:rPr>
      </w:pPr>
      <w:r w:rsidRPr="00784BE6">
        <w:rPr>
          <w:rStyle w:val="Znakapoznpodarou"/>
          <w:sz w:val="20"/>
          <w:lang w:val="en-GB" w:bidi="en-GB"/>
        </w:rPr>
        <w:footnoteRef/>
      </w:r>
      <w:r w:rsidRPr="00784BE6">
        <w:rPr>
          <w:sz w:val="20"/>
          <w:lang w:val="en-GB" w:bidi="en-GB"/>
        </w:rPr>
        <w:t xml:space="preserve">  </w:t>
      </w:r>
      <w:r w:rsidRPr="00784BE6">
        <w:rPr>
          <w:sz w:val="20"/>
          <w:lang w:val="en-GB" w:bidi="en-GB"/>
        </w:rPr>
        <w:tab/>
        <w:t xml:space="preserve">A generic </w:t>
      </w:r>
      <w:r w:rsidRPr="00784BE6">
        <w:rPr>
          <w:sz w:val="20"/>
          <w:shd w:val="clear" w:color="auto" w:fill="FFFFFF"/>
          <w:lang w:val="en-GB" w:bidi="en-GB"/>
        </w:rPr>
        <w:t>contains the same drug in the same amount as the original product, has the same dosage form, e.g. tablets and capsules, and has the same biological efficacy. The type and ratio of used auxiliaries (fillers, binders, dyes etc.) may be different from the original.</w:t>
      </w:r>
    </w:p>
  </w:footnote>
  <w:footnote w:id="10">
    <w:p w:rsidR="00786EF5" w:rsidRDefault="00786EF5" w:rsidP="00167B45">
      <w:pPr>
        <w:pStyle w:val="Textpoznpodarou"/>
        <w:ind w:left="284" w:hanging="284"/>
        <w:rPr>
          <w:rFonts w:cstheme="minorHAnsi"/>
          <w:sz w:val="20"/>
        </w:rPr>
      </w:pPr>
      <w:r>
        <w:rPr>
          <w:rStyle w:val="Znakapoznpodarou"/>
          <w:sz w:val="20"/>
          <w:lang w:val="en-GB" w:bidi="en-GB"/>
        </w:rPr>
        <w:footnoteRef/>
      </w:r>
      <w:r>
        <w:rPr>
          <w:sz w:val="20"/>
          <w:lang w:val="en-GB" w:bidi="en-GB"/>
        </w:rPr>
        <w:t xml:space="preserve"> </w:t>
      </w:r>
      <w:r>
        <w:rPr>
          <w:sz w:val="20"/>
          <w:lang w:val="en-GB" w:bidi="en-GB"/>
        </w:rPr>
        <w:tab/>
        <w:t>The provisions of Section 44(1)a) in conjunction with the provisions of Section 3c) and Section 3e) of Act No. 218/2000 Coll., on Budgetary Rules and on Amendments to Certain Related Acts (Budgetary Rules).</w:t>
      </w:r>
    </w:p>
  </w:footnote>
  <w:footnote w:id="11">
    <w:p w:rsidR="00786EF5" w:rsidRDefault="00786EF5" w:rsidP="00167B45">
      <w:pPr>
        <w:pStyle w:val="Textpoznpodarou"/>
        <w:ind w:left="284" w:hanging="284"/>
        <w:rPr>
          <w:rFonts w:cstheme="minorHAnsi"/>
          <w:sz w:val="20"/>
        </w:rPr>
      </w:pPr>
      <w:r>
        <w:rPr>
          <w:rStyle w:val="Znakapoznpodarou"/>
          <w:sz w:val="20"/>
          <w:lang w:val="en-GB" w:bidi="en-GB"/>
        </w:rPr>
        <w:footnoteRef/>
      </w:r>
      <w:r>
        <w:rPr>
          <w:sz w:val="20"/>
          <w:lang w:val="en-GB" w:bidi="en-GB"/>
        </w:rPr>
        <w:t xml:space="preserve"> </w:t>
      </w:r>
      <w:r>
        <w:rPr>
          <w:sz w:val="20"/>
          <w:lang w:val="en-GB" w:bidi="en-GB"/>
        </w:rPr>
        <w:tab/>
        <w:t>Section 6 and Section 76(1) of Act No. 137/2006 Coll., on Public Contracts.</w:t>
      </w:r>
    </w:p>
  </w:footnote>
  <w:footnote w:id="12">
    <w:p w:rsidR="00786EF5" w:rsidRDefault="00786EF5" w:rsidP="00167B45">
      <w:pPr>
        <w:pStyle w:val="Textpoznpodarou"/>
        <w:ind w:left="284" w:hanging="284"/>
        <w:rPr>
          <w:rFonts w:cstheme="minorHAnsi"/>
          <w:sz w:val="20"/>
        </w:rPr>
      </w:pPr>
      <w:r>
        <w:rPr>
          <w:rStyle w:val="Znakapoznpodarou"/>
          <w:sz w:val="20"/>
          <w:lang w:val="en-GB" w:bidi="en-GB"/>
        </w:rPr>
        <w:footnoteRef/>
      </w:r>
      <w:r>
        <w:rPr>
          <w:sz w:val="20"/>
          <w:lang w:val="en-GB" w:bidi="en-GB"/>
        </w:rPr>
        <w:t xml:space="preserve"> </w:t>
      </w:r>
      <w:r>
        <w:rPr>
          <w:sz w:val="20"/>
          <w:lang w:val="en-GB" w:bidi="en-GB"/>
        </w:rPr>
        <w:tab/>
        <w:t>Section 13(3) and Section 21 of Act No. 137/2006 Coll., on Public Contracts, and Section 2(3) and Section 24 of Act No. 134/2016 Coll., on Public Procurement.</w:t>
      </w:r>
    </w:p>
  </w:footnote>
  <w:footnote w:id="13">
    <w:p w:rsidR="00786EF5" w:rsidRPr="00784BE6" w:rsidRDefault="00786EF5" w:rsidP="00167B45">
      <w:pPr>
        <w:pStyle w:val="Textpoznpodarou"/>
        <w:ind w:left="284" w:hanging="284"/>
        <w:rPr>
          <w:rFonts w:cstheme="minorHAnsi"/>
          <w:sz w:val="20"/>
        </w:rPr>
      </w:pPr>
      <w:r w:rsidRPr="00784BE6">
        <w:rPr>
          <w:rStyle w:val="Znakapoznpodarou"/>
          <w:sz w:val="20"/>
          <w:lang w:val="en-GB" w:bidi="en-GB"/>
        </w:rPr>
        <w:footnoteRef/>
      </w:r>
      <w:r>
        <w:rPr>
          <w:sz w:val="20"/>
          <w:lang w:val="en-GB" w:bidi="en-GB"/>
        </w:rPr>
        <w:t xml:space="preserve"> </w:t>
      </w:r>
      <w:r>
        <w:rPr>
          <w:sz w:val="20"/>
          <w:lang w:val="en-GB" w:bidi="en-GB"/>
        </w:rPr>
        <w:tab/>
        <w:t>Section 14(1) of Act No. 219/2000 Coll., on the Property of the Czech Republic and the Representation of the Czech Republic in Legal Relations.</w:t>
      </w:r>
    </w:p>
  </w:footnote>
  <w:footnote w:id="14">
    <w:p w:rsidR="00786EF5" w:rsidRPr="00993FBD" w:rsidRDefault="00786EF5" w:rsidP="00167B45">
      <w:pPr>
        <w:pStyle w:val="Textpoznpodarou"/>
        <w:ind w:left="284" w:hanging="284"/>
        <w:rPr>
          <w:rFonts w:cstheme="minorHAnsi"/>
          <w:sz w:val="20"/>
        </w:rPr>
      </w:pPr>
      <w:r w:rsidRPr="00993FBD">
        <w:rPr>
          <w:sz w:val="20"/>
          <w:vertAlign w:val="superscript"/>
          <w:lang w:val="en-GB" w:bidi="en-GB"/>
        </w:rPr>
        <w:footnoteRef/>
      </w:r>
      <w:r w:rsidRPr="00993FBD">
        <w:rPr>
          <w:sz w:val="20"/>
          <w:vertAlign w:val="superscript"/>
          <w:lang w:val="en-GB" w:bidi="en-GB"/>
        </w:rPr>
        <w:t xml:space="preserve"> </w:t>
      </w:r>
      <w:r w:rsidRPr="00993FBD">
        <w:rPr>
          <w:sz w:val="20"/>
          <w:lang w:val="en-GB" w:bidi="en-GB"/>
        </w:rPr>
        <w:tab/>
        <w:t>Sections 10(1) and 22 of Act of the Czech National Council No. 2/1969 Coll., on the Establishment of Ministries and Other Central Authorities of the State Administration of the Czech Republic.</w:t>
      </w:r>
    </w:p>
  </w:footnote>
  <w:footnote w:id="15">
    <w:p w:rsidR="00786EF5" w:rsidRPr="00F83F97" w:rsidRDefault="00786EF5" w:rsidP="00167B45">
      <w:pPr>
        <w:pStyle w:val="Textpoznpodarou"/>
        <w:ind w:left="284" w:hanging="284"/>
        <w:rPr>
          <w:rFonts w:cstheme="minorHAnsi"/>
          <w:sz w:val="20"/>
        </w:rPr>
      </w:pPr>
      <w:r w:rsidRPr="008A249D">
        <w:rPr>
          <w:rStyle w:val="Znakapoznpodarou"/>
          <w:sz w:val="20"/>
          <w:lang w:val="en-GB" w:bidi="en-GB"/>
        </w:rPr>
        <w:footnoteRef/>
      </w:r>
      <w:r>
        <w:rPr>
          <w:noProof/>
          <w:sz w:val="20"/>
          <w:lang w:val="en-GB" w:bidi="en-GB"/>
        </w:rPr>
        <w:t xml:space="preserve"> </w:t>
      </w:r>
      <w:r>
        <w:rPr>
          <w:noProof/>
          <w:sz w:val="20"/>
          <w:lang w:val="en-GB" w:bidi="en-GB"/>
        </w:rPr>
        <w:tab/>
        <w:t>The provisions of Section 39(3) of Act No. 218/2000 Coll., on Budgetary Rules and on Amendments to Certain Related Acts (Budgetary Rules).</w:t>
      </w:r>
    </w:p>
  </w:footnote>
  <w:footnote w:id="16">
    <w:p w:rsidR="00786EF5" w:rsidRPr="00B33410" w:rsidRDefault="00786EF5" w:rsidP="00167B45">
      <w:pPr>
        <w:pStyle w:val="Textpoznpodarou"/>
        <w:ind w:left="284" w:hanging="284"/>
        <w:rPr>
          <w:sz w:val="20"/>
        </w:rPr>
      </w:pPr>
      <w:r w:rsidRPr="00B33410">
        <w:rPr>
          <w:rStyle w:val="Znakapoznpodarou"/>
          <w:sz w:val="20"/>
          <w:lang w:val="en-GB" w:bidi="en-GB"/>
        </w:rPr>
        <w:footnoteRef/>
      </w:r>
      <w:r w:rsidRPr="00B33410">
        <w:rPr>
          <w:sz w:val="20"/>
          <w:lang w:val="en-GB" w:bidi="en-GB"/>
        </w:rPr>
        <w:t xml:space="preserve"> </w:t>
      </w:r>
      <w:r w:rsidRPr="00B33410">
        <w:rPr>
          <w:sz w:val="20"/>
          <w:lang w:val="en-GB" w:bidi="en-GB"/>
        </w:rPr>
        <w:tab/>
        <w:t>Article 107(1) of the</w:t>
      </w:r>
      <w:r w:rsidRPr="00B33410">
        <w:rPr>
          <w:i/>
          <w:sz w:val="20"/>
          <w:lang w:val="en-GB" w:bidi="en-GB"/>
        </w:rPr>
        <w:t xml:space="preserve"> Treaty on the Functioning of the European Union</w:t>
      </w:r>
      <w:r w:rsidRPr="00B33410">
        <w:rPr>
          <w:sz w:val="20"/>
          <w:lang w:val="en-GB" w:bidi="en-GB"/>
        </w:rPr>
        <w:t>.</w:t>
      </w:r>
    </w:p>
  </w:footnote>
  <w:footnote w:id="17">
    <w:p w:rsidR="00786EF5" w:rsidRPr="00A67C2A" w:rsidRDefault="00786EF5" w:rsidP="00167B45">
      <w:pPr>
        <w:pStyle w:val="Textpoznpodarou"/>
        <w:ind w:left="284" w:hanging="284"/>
        <w:rPr>
          <w:sz w:val="20"/>
        </w:rPr>
      </w:pPr>
      <w:r w:rsidRPr="00A67C2A">
        <w:rPr>
          <w:rStyle w:val="Znakapoznpodarou"/>
          <w:sz w:val="20"/>
          <w:lang w:val="en-GB" w:bidi="en-GB"/>
        </w:rPr>
        <w:footnoteRef/>
      </w:r>
      <w:r w:rsidRPr="00A67C2A">
        <w:rPr>
          <w:sz w:val="20"/>
          <w:lang w:val="en-GB" w:bidi="en-GB"/>
        </w:rPr>
        <w:t xml:space="preserve"> </w:t>
      </w:r>
      <w:r w:rsidRPr="00A67C2A">
        <w:rPr>
          <w:sz w:val="20"/>
          <w:lang w:val="en-GB" w:bidi="en-GB"/>
        </w:rPr>
        <w:tab/>
        <w:t>A service of general economic interest is a service whose provision in favour of a particular group of citizens or society as a whole is considered necessary by the public authorities for cultural or social reasons.</w:t>
      </w:r>
    </w:p>
  </w:footnote>
  <w:footnote w:id="18">
    <w:p w:rsidR="00786EF5" w:rsidRPr="00A67C2A" w:rsidRDefault="00786EF5" w:rsidP="00167B45">
      <w:pPr>
        <w:pStyle w:val="Textpoznpodarou"/>
        <w:ind w:left="284" w:hanging="284"/>
        <w:rPr>
          <w:rFonts w:cstheme="minorHAnsi"/>
          <w:sz w:val="20"/>
        </w:rPr>
      </w:pPr>
      <w:r w:rsidRPr="00A67C2A">
        <w:rPr>
          <w:rStyle w:val="Znakapoznpodarou"/>
          <w:sz w:val="20"/>
          <w:lang w:val="en-GB" w:bidi="en-GB"/>
        </w:rPr>
        <w:footnoteRef/>
      </w:r>
      <w:r w:rsidRPr="00A67C2A">
        <w:rPr>
          <w:sz w:val="20"/>
          <w:lang w:val="en-GB" w:bidi="en-GB"/>
        </w:rPr>
        <w:t xml:space="preserve"> </w:t>
      </w:r>
      <w:r w:rsidRPr="00A67C2A">
        <w:rPr>
          <w:sz w:val="20"/>
          <w:lang w:val="en-GB" w:bidi="en-GB"/>
        </w:rPr>
        <w:tab/>
        <w:t xml:space="preserve">Order of the Minister No. 3/2013 </w:t>
      </w:r>
      <w:r w:rsidRPr="00A67C2A">
        <w:rPr>
          <w:i/>
          <w:sz w:val="20"/>
          <w:lang w:val="en-GB" w:bidi="en-GB"/>
        </w:rPr>
        <w:t>Anti-Corruption Strategy of the Ministry of Health of the Czech Republic for directly managed organisations</w:t>
      </w:r>
      <w:r w:rsidRPr="00A67C2A">
        <w:rPr>
          <w:sz w:val="20"/>
          <w:lang w:val="en-GB" w:bidi="en-GB"/>
        </w:rPr>
        <w:t>, this was repealed by Order of the Minister No. 2/2017 of 3 February 2017, ref. No. MZDR 4984/2017.</w:t>
      </w:r>
    </w:p>
  </w:footnote>
  <w:footnote w:id="19">
    <w:p w:rsidR="00786EF5" w:rsidRPr="007843F1" w:rsidRDefault="00786EF5" w:rsidP="00167B45">
      <w:pPr>
        <w:pStyle w:val="Textpoznpodarou"/>
        <w:ind w:left="284" w:hanging="284"/>
        <w:rPr>
          <w:sz w:val="20"/>
        </w:rPr>
      </w:pPr>
      <w:r w:rsidRPr="007843F1">
        <w:rPr>
          <w:rStyle w:val="Znakapoznpodarou"/>
          <w:sz w:val="20"/>
          <w:lang w:val="en-GB" w:bidi="en-GB"/>
        </w:rPr>
        <w:footnoteRef/>
      </w:r>
      <w:r w:rsidRPr="007843F1">
        <w:rPr>
          <w:sz w:val="20"/>
          <w:lang w:val="en-GB" w:bidi="en-GB"/>
        </w:rPr>
        <w:t> </w:t>
      </w:r>
      <w:r w:rsidRPr="007843F1">
        <w:rPr>
          <w:sz w:val="20"/>
          <w:lang w:val="en-GB" w:bidi="en-GB"/>
        </w:rPr>
        <w:tab/>
        <w:t>The Minister of Health in Order No. 3/2018</w:t>
      </w:r>
      <w:r w:rsidRPr="007843F1">
        <w:rPr>
          <w:i/>
          <w:sz w:val="20"/>
          <w:lang w:val="en-GB" w:bidi="en-GB"/>
        </w:rPr>
        <w:t xml:space="preserve"> Selected principles of transparent management of directly managed organisations of the Ministry of Health in the field of goods and services</w:t>
      </w:r>
      <w:r w:rsidRPr="007843F1">
        <w:rPr>
          <w:sz w:val="20"/>
          <w:lang w:val="en-GB" w:bidi="en-GB"/>
        </w:rPr>
        <w:t xml:space="preserve">, ref. No. MZDR 16781/2018, effective as of 1 September 2018, provided in Article 3 the obligation of subordinate university hospitals to duly justify and document any exception to the procedure for the selection of contractors outside the tender procedure. </w:t>
      </w:r>
    </w:p>
  </w:footnote>
  <w:footnote w:id="20">
    <w:p w:rsidR="00786EF5" w:rsidRPr="0067164A" w:rsidRDefault="00786EF5" w:rsidP="00167B45">
      <w:pPr>
        <w:pStyle w:val="Textpoznpodarou"/>
        <w:ind w:left="284" w:hanging="284"/>
        <w:rPr>
          <w:sz w:val="20"/>
        </w:rPr>
      </w:pPr>
      <w:r w:rsidRPr="0067164A">
        <w:rPr>
          <w:rStyle w:val="Znakapoznpodarou"/>
          <w:sz w:val="20"/>
          <w:lang w:val="en-GB" w:bidi="en-GB"/>
        </w:rPr>
        <w:footnoteRef/>
      </w:r>
      <w:r w:rsidRPr="0067164A">
        <w:rPr>
          <w:sz w:val="20"/>
          <w:lang w:val="en-GB" w:bidi="en-GB"/>
        </w:rPr>
        <w:t xml:space="preserve"> </w:t>
      </w:r>
      <w:r w:rsidRPr="0067164A">
        <w:rPr>
          <w:sz w:val="20"/>
          <w:lang w:val="en-GB" w:bidi="en-GB"/>
        </w:rPr>
        <w:tab/>
        <w:t>Act No. 218/2000 Coll., on Budgetary Rules and on Amendments to Certain Related Acts (Budgetary Rules).</w:t>
      </w:r>
    </w:p>
  </w:footnote>
  <w:footnote w:id="21">
    <w:p w:rsidR="00786EF5" w:rsidRPr="0067164A" w:rsidRDefault="00786EF5" w:rsidP="00167B45">
      <w:pPr>
        <w:pStyle w:val="Textpoznpodarou"/>
        <w:ind w:left="284" w:hanging="284"/>
        <w:rPr>
          <w:sz w:val="20"/>
        </w:rPr>
      </w:pPr>
      <w:r w:rsidRPr="0067164A">
        <w:rPr>
          <w:rStyle w:val="Znakapoznpodarou"/>
          <w:sz w:val="20"/>
          <w:lang w:val="en-GB" w:bidi="en-GB"/>
        </w:rPr>
        <w:footnoteRef/>
      </w:r>
      <w:r>
        <w:rPr>
          <w:sz w:val="20"/>
          <w:lang w:val="en-GB" w:bidi="en-GB"/>
        </w:rPr>
        <w:t xml:space="preserve"> </w:t>
      </w:r>
      <w:r>
        <w:rPr>
          <w:sz w:val="20"/>
          <w:lang w:val="en-GB" w:bidi="en-GB"/>
        </w:rPr>
        <w:tab/>
        <w:t>Act No. 219/2000 Coll., on the Property of the Czech Republic and the Representation of the Czech Republic in Legal Relations.</w:t>
      </w:r>
    </w:p>
  </w:footnote>
  <w:footnote w:id="22">
    <w:p w:rsidR="00786EF5" w:rsidRPr="0067164A" w:rsidRDefault="00786EF5" w:rsidP="00167B45">
      <w:pPr>
        <w:pStyle w:val="Textpoznpodarou"/>
        <w:ind w:left="284" w:hanging="284"/>
        <w:rPr>
          <w:sz w:val="20"/>
        </w:rPr>
      </w:pPr>
      <w:r w:rsidRPr="0067164A">
        <w:rPr>
          <w:rStyle w:val="Znakapoznpodarou"/>
          <w:sz w:val="20"/>
          <w:lang w:val="en-GB" w:bidi="en-GB"/>
        </w:rPr>
        <w:footnoteRef/>
      </w:r>
      <w:r w:rsidRPr="0067164A">
        <w:rPr>
          <w:sz w:val="20"/>
          <w:lang w:val="en-GB" w:bidi="en-GB"/>
        </w:rPr>
        <w:t xml:space="preserve"> </w:t>
      </w:r>
      <w:r w:rsidRPr="0067164A">
        <w:rPr>
          <w:sz w:val="20"/>
          <w:lang w:val="en-GB" w:bidi="en-GB"/>
        </w:rPr>
        <w:tab/>
        <w:t>Act No. 372/2011 Coll., on Health Services and Conditions of Their Provision (Act on Health Services).</w:t>
      </w:r>
    </w:p>
  </w:footnote>
  <w:footnote w:id="23">
    <w:p w:rsidR="00786EF5" w:rsidRPr="0067164A" w:rsidRDefault="00786EF5" w:rsidP="00167B45">
      <w:pPr>
        <w:pStyle w:val="Textpoznpodarou"/>
        <w:ind w:left="284" w:hanging="284"/>
        <w:rPr>
          <w:sz w:val="20"/>
        </w:rPr>
      </w:pPr>
      <w:r w:rsidRPr="0067164A">
        <w:rPr>
          <w:rStyle w:val="Znakapoznpodarou"/>
          <w:sz w:val="20"/>
          <w:lang w:val="en-GB" w:bidi="en-GB"/>
        </w:rPr>
        <w:footnoteRef/>
      </w:r>
      <w:r w:rsidRPr="0067164A">
        <w:rPr>
          <w:sz w:val="20"/>
          <w:lang w:val="en-GB" w:bidi="en-GB"/>
        </w:rPr>
        <w:t xml:space="preserve"> </w:t>
      </w:r>
      <w:r w:rsidRPr="0067164A">
        <w:rPr>
          <w:sz w:val="20"/>
          <w:lang w:val="en-GB" w:bidi="en-GB"/>
        </w:rPr>
        <w:tab/>
        <w:t>Act No. 563/1991 Coll., on Accounting.</w:t>
      </w:r>
    </w:p>
  </w:footnote>
  <w:footnote w:id="24">
    <w:p w:rsidR="00786EF5" w:rsidRPr="0067164A" w:rsidRDefault="00786EF5" w:rsidP="00167B45">
      <w:pPr>
        <w:pStyle w:val="Textpoznpodarou"/>
        <w:ind w:left="284" w:hanging="284"/>
        <w:rPr>
          <w:rFonts w:cstheme="minorHAnsi"/>
          <w:sz w:val="20"/>
        </w:rPr>
      </w:pPr>
      <w:r w:rsidRPr="0067164A">
        <w:rPr>
          <w:rStyle w:val="Znakapoznpodarou"/>
          <w:sz w:val="20"/>
          <w:lang w:val="en-GB" w:bidi="en-GB"/>
        </w:rPr>
        <w:footnoteRef/>
      </w:r>
      <w:r>
        <w:rPr>
          <w:sz w:val="20"/>
          <w:lang w:val="en-GB" w:bidi="en-GB"/>
        </w:rPr>
        <w:t xml:space="preserve"> </w:t>
      </w:r>
      <w:r>
        <w:rPr>
          <w:sz w:val="20"/>
          <w:lang w:val="en-GB" w:bidi="en-GB"/>
        </w:rPr>
        <w:tab/>
        <w:t>Section 112 of Act No. 372/2011 Coll., on Health Services and Conditions of Their Provision (Act on Health Services).</w:t>
      </w:r>
    </w:p>
  </w:footnote>
  <w:footnote w:id="25">
    <w:p w:rsidR="00786EF5" w:rsidRPr="0067164A" w:rsidRDefault="00786EF5" w:rsidP="00167B45">
      <w:pPr>
        <w:pStyle w:val="Textpoznpodarou"/>
        <w:ind w:left="284" w:hanging="284"/>
        <w:rPr>
          <w:rFonts w:cstheme="minorHAnsi"/>
          <w:sz w:val="20"/>
        </w:rPr>
      </w:pPr>
      <w:r w:rsidRPr="0067164A">
        <w:rPr>
          <w:rStyle w:val="Znakapoznpodarou"/>
          <w:sz w:val="20"/>
          <w:lang w:val="en-GB" w:bidi="en-GB"/>
        </w:rPr>
        <w:footnoteRef/>
      </w:r>
      <w:r w:rsidRPr="0067164A">
        <w:rPr>
          <w:sz w:val="20"/>
          <w:lang w:val="en-GB" w:bidi="en-GB"/>
        </w:rPr>
        <w:t xml:space="preserve"> </w:t>
      </w:r>
      <w:r w:rsidRPr="0067164A">
        <w:rPr>
          <w:sz w:val="20"/>
          <w:lang w:val="en-GB" w:bidi="en-GB"/>
        </w:rPr>
        <w:tab/>
        <w:t xml:space="preserve">A list of centres of highly specialised and comprehensive care and highly specialised centres is published by the MoH in the Bulletin of the Ministry of Health of the Czech Republic. </w:t>
      </w:r>
    </w:p>
  </w:footnote>
  <w:footnote w:id="26">
    <w:p w:rsidR="00786EF5" w:rsidRPr="0067164A" w:rsidRDefault="00786EF5" w:rsidP="00167B45">
      <w:pPr>
        <w:pStyle w:val="Textpoznpodarou"/>
        <w:ind w:left="284" w:hanging="284"/>
        <w:rPr>
          <w:rFonts w:cstheme="minorHAnsi"/>
          <w:sz w:val="20"/>
        </w:rPr>
      </w:pPr>
      <w:r w:rsidRPr="0067164A">
        <w:rPr>
          <w:rStyle w:val="Znakapoznpodarou"/>
          <w:sz w:val="20"/>
          <w:lang w:val="en-GB" w:bidi="en-GB"/>
        </w:rPr>
        <w:footnoteRef/>
      </w:r>
      <w:r>
        <w:rPr>
          <w:sz w:val="20"/>
          <w:lang w:val="en-GB" w:bidi="en-GB"/>
        </w:rPr>
        <w:t xml:space="preserve"> </w:t>
      </w:r>
      <w:r>
        <w:rPr>
          <w:sz w:val="20"/>
          <w:lang w:val="en-GB" w:bidi="en-GB"/>
        </w:rPr>
        <w:tab/>
        <w:t>Sections 53 and 63 of Act No. 218/2000 Coll. and the provisions of Section 5(4) of Decree No. 410/2009 Coll., which implements certain provisions of Act No. 563/1991 Coll., on Accounting, as amended, for certain selected accounting entities.</w:t>
      </w:r>
    </w:p>
  </w:footnote>
  <w:footnote w:id="27">
    <w:p w:rsidR="00786EF5" w:rsidRPr="000B465C" w:rsidRDefault="00786EF5" w:rsidP="000B465C">
      <w:pPr>
        <w:pStyle w:val="Textpoznpodarou"/>
        <w:ind w:left="284" w:hanging="284"/>
        <w:rPr>
          <w:sz w:val="20"/>
        </w:rPr>
      </w:pPr>
      <w:r w:rsidRPr="000B465C">
        <w:rPr>
          <w:rStyle w:val="Znakapoznpodarou"/>
          <w:sz w:val="20"/>
          <w:lang w:val="en-GB" w:bidi="en-GB"/>
        </w:rPr>
        <w:footnoteRef/>
      </w:r>
      <w:r w:rsidRPr="000B465C">
        <w:rPr>
          <w:sz w:val="20"/>
          <w:lang w:val="en-GB" w:bidi="en-GB"/>
        </w:rPr>
        <w:tab/>
        <w:t>The audit examined the costs of medical devices, especially medical supplies. A medical device means a tool, apparatus, device, including software, specified by its manufacturer for specific use for diagnostic or medical purposes and necessary for the proper use of a medical device, material or other object.</w:t>
      </w:r>
    </w:p>
  </w:footnote>
  <w:footnote w:id="28">
    <w:p w:rsidR="00786EF5" w:rsidRPr="000B465C" w:rsidRDefault="00786EF5" w:rsidP="000B465C">
      <w:pPr>
        <w:pStyle w:val="Textpoznpodarou"/>
        <w:ind w:left="284" w:hanging="284"/>
        <w:rPr>
          <w:sz w:val="20"/>
        </w:rPr>
      </w:pPr>
      <w:r w:rsidRPr="000B465C">
        <w:rPr>
          <w:rStyle w:val="Znakapoznpodarou"/>
          <w:sz w:val="20"/>
          <w:lang w:val="en-GB" w:bidi="en-GB"/>
        </w:rPr>
        <w:footnoteRef/>
      </w:r>
      <w:r w:rsidRPr="000B465C">
        <w:rPr>
          <w:sz w:val="20"/>
          <w:lang w:val="en-GB" w:bidi="en-GB"/>
        </w:rPr>
        <w:tab/>
        <w:t>The concept of bonus is not legally defined. For the purpose of this text, a bonus is understood as a price advantage provided by a supplier when purchasing a predetermined quantity of the goods over a certain period of time.</w:t>
      </w:r>
    </w:p>
  </w:footnote>
  <w:footnote w:id="29">
    <w:p w:rsidR="00786EF5" w:rsidRPr="003176F8" w:rsidRDefault="00786EF5" w:rsidP="009B0845">
      <w:pPr>
        <w:pStyle w:val="Textpoznpodarou"/>
        <w:ind w:left="284" w:hanging="284"/>
        <w:rPr>
          <w:sz w:val="20"/>
        </w:rPr>
      </w:pPr>
      <w:r w:rsidRPr="003176F8">
        <w:rPr>
          <w:rStyle w:val="Znakapoznpodarou"/>
          <w:sz w:val="20"/>
          <w:lang w:val="en-GB" w:bidi="en-GB"/>
        </w:rPr>
        <w:footnoteRef/>
      </w:r>
      <w:r w:rsidRPr="003176F8">
        <w:rPr>
          <w:sz w:val="20"/>
          <w:lang w:val="en-GB" w:bidi="en-GB"/>
        </w:rPr>
        <w:t xml:space="preserve"> </w:t>
      </w:r>
      <w:r w:rsidRPr="003176F8">
        <w:rPr>
          <w:sz w:val="20"/>
          <w:lang w:val="en-GB" w:bidi="en-GB"/>
        </w:rPr>
        <w:tab/>
        <w:t>The volume of public procurement consists not only of a sample of identical selected medicinal products and medical devices in the period under review, procured at all the university hospitals under a tender procedure, but also of the volume of other public contracts related to pharmaceuticals, medical devices and selected audited services (cleaning, waste disposal, legal and advisory services, repairs and maintenance).</w:t>
      </w:r>
    </w:p>
  </w:footnote>
  <w:footnote w:id="30">
    <w:p w:rsidR="00786EF5" w:rsidRPr="004418EA" w:rsidRDefault="00786EF5" w:rsidP="009B0845">
      <w:pPr>
        <w:pStyle w:val="Textpoznpodarou"/>
        <w:ind w:left="284" w:hanging="284"/>
        <w:rPr>
          <w:rFonts w:cstheme="minorHAnsi"/>
          <w:sz w:val="20"/>
        </w:rPr>
      </w:pPr>
      <w:r w:rsidRPr="00C9154A">
        <w:rPr>
          <w:rStyle w:val="Znakapoznpodarou"/>
          <w:sz w:val="20"/>
          <w:lang w:val="en-GB" w:bidi="en-GB"/>
        </w:rPr>
        <w:footnoteRef/>
      </w:r>
      <w:r w:rsidRPr="00C9154A">
        <w:rPr>
          <w:sz w:val="20"/>
          <w:lang w:val="en-GB" w:bidi="en-GB"/>
        </w:rPr>
        <w:t xml:space="preserve"> </w:t>
      </w:r>
      <w:r w:rsidRPr="00C9154A">
        <w:rPr>
          <w:sz w:val="20"/>
          <w:lang w:val="en-GB" w:bidi="en-GB"/>
        </w:rPr>
        <w:tab/>
        <w:t>The DTP channel model (</w:t>
      </w:r>
      <w:r w:rsidRPr="00C9154A">
        <w:rPr>
          <w:i/>
          <w:sz w:val="20"/>
          <w:lang w:val="en-GB" w:bidi="en-GB"/>
        </w:rPr>
        <w:t>Direct-To-Pharmacy</w:t>
      </w:r>
      <w:r w:rsidRPr="00C9154A">
        <w:rPr>
          <w:sz w:val="20"/>
          <w:lang w:val="en-GB" w:bidi="en-GB"/>
        </w:rPr>
        <w:t>) constitutes a method of distributing pharmaceuticals ordered directly from the manufacturer and supplied by an exclusive distributor</w:t>
      </w:r>
    </w:p>
  </w:footnote>
  <w:footnote w:id="31">
    <w:p w:rsidR="00786EF5" w:rsidRPr="00D065B6" w:rsidRDefault="00786EF5" w:rsidP="009B0845">
      <w:pPr>
        <w:pStyle w:val="Textpoznpodarou"/>
        <w:ind w:left="284" w:hanging="284"/>
        <w:rPr>
          <w:rFonts w:cstheme="minorHAnsi"/>
        </w:rPr>
      </w:pPr>
      <w:r w:rsidRPr="00C9154A">
        <w:rPr>
          <w:rStyle w:val="Znakapoznpodarou"/>
          <w:sz w:val="20"/>
          <w:lang w:val="en-GB" w:bidi="en-GB"/>
        </w:rPr>
        <w:footnoteRef/>
      </w:r>
      <w:r w:rsidRPr="00C9154A">
        <w:rPr>
          <w:sz w:val="20"/>
          <w:lang w:val="en-GB" w:bidi="en-GB"/>
        </w:rPr>
        <w:t xml:space="preserve"> </w:t>
      </w:r>
      <w:r w:rsidRPr="00C9154A">
        <w:rPr>
          <w:sz w:val="20"/>
          <w:lang w:val="en-GB" w:bidi="en-GB"/>
        </w:rPr>
        <w:tab/>
        <w:t>Act No. 48/1997 Coll., on Public Health Insurance and on Amendment and Supplementation of Certain Related Acts.</w:t>
      </w:r>
    </w:p>
  </w:footnote>
  <w:footnote w:id="32">
    <w:p w:rsidR="00786EF5" w:rsidRPr="00B023BF" w:rsidRDefault="00786EF5" w:rsidP="009B0845">
      <w:pPr>
        <w:pStyle w:val="Textpoznpodarou"/>
        <w:ind w:left="284" w:hanging="284"/>
        <w:rPr>
          <w:rFonts w:cstheme="minorHAnsi"/>
          <w:noProof/>
          <w:color w:val="000000" w:themeColor="text1"/>
          <w:sz w:val="20"/>
        </w:rPr>
      </w:pPr>
      <w:r w:rsidRPr="00C9154A">
        <w:rPr>
          <w:rStyle w:val="Znakapoznpodarou"/>
          <w:sz w:val="20"/>
          <w:lang w:val="en-GB" w:bidi="en-GB"/>
        </w:rPr>
        <w:footnoteRef/>
      </w:r>
      <w:r>
        <w:rPr>
          <w:sz w:val="20"/>
          <w:lang w:val="en-GB" w:bidi="en-GB"/>
        </w:rPr>
        <w:t xml:space="preserve"> </w:t>
      </w:r>
      <w:r>
        <w:rPr>
          <w:sz w:val="20"/>
          <w:lang w:val="en-GB" w:bidi="en-GB"/>
        </w:rPr>
        <w:tab/>
        <w:t>Section 16 of Act No. 48/1997 Coll., on Public Health Insurance and on Amendment and Supplementation of Certain Related Acts.</w:t>
      </w:r>
    </w:p>
  </w:footnote>
  <w:footnote w:id="33">
    <w:p w:rsidR="00786EF5" w:rsidRPr="00AF20C6" w:rsidRDefault="00786EF5" w:rsidP="009B0845">
      <w:pPr>
        <w:pStyle w:val="Textpoznpodarou"/>
        <w:ind w:left="284" w:hanging="284"/>
        <w:rPr>
          <w:sz w:val="20"/>
        </w:rPr>
      </w:pPr>
      <w:r w:rsidRPr="00AF20C6">
        <w:rPr>
          <w:rStyle w:val="Znakapoznpodarou"/>
          <w:sz w:val="20"/>
          <w:lang w:val="en-GB" w:bidi="en-GB"/>
        </w:rPr>
        <w:footnoteRef/>
      </w:r>
      <w:r>
        <w:rPr>
          <w:sz w:val="20"/>
          <w:lang w:val="en-GB" w:bidi="en-GB"/>
        </w:rPr>
        <w:t xml:space="preserve"> </w:t>
      </w:r>
      <w:r>
        <w:rPr>
          <w:sz w:val="20"/>
          <w:lang w:val="en-GB" w:bidi="en-GB"/>
        </w:rPr>
        <w:tab/>
        <w:t>Section 17 of Act No. 219/2000 Coll., on the Property of the Czech Republic and the Representation of the Czech Republic in Legal Relations.</w:t>
      </w:r>
    </w:p>
  </w:footnote>
  <w:footnote w:id="34">
    <w:p w:rsidR="00786EF5" w:rsidRPr="00571D13" w:rsidRDefault="00786EF5" w:rsidP="009B0845">
      <w:pPr>
        <w:pStyle w:val="Textpoznpodarou"/>
        <w:ind w:left="284" w:hanging="284"/>
        <w:rPr>
          <w:sz w:val="20"/>
        </w:rPr>
      </w:pPr>
      <w:r w:rsidRPr="00571D13">
        <w:rPr>
          <w:rStyle w:val="Znakapoznpodarou"/>
          <w:sz w:val="20"/>
          <w:lang w:val="en-GB" w:bidi="en-GB"/>
        </w:rPr>
        <w:footnoteRef/>
      </w:r>
      <w:r w:rsidRPr="00571D13">
        <w:rPr>
          <w:sz w:val="20"/>
          <w:lang w:val="en-GB" w:bidi="en-GB"/>
        </w:rPr>
        <w:t xml:space="preserve"> </w:t>
      </w:r>
      <w:r w:rsidRPr="00571D13">
        <w:rPr>
          <w:sz w:val="20"/>
          <w:lang w:val="en-GB" w:bidi="en-GB"/>
        </w:rPr>
        <w:tab/>
        <w:t xml:space="preserve">Order of the Minister No. 13/2018 </w:t>
      </w:r>
      <w:r w:rsidRPr="00571D13">
        <w:rPr>
          <w:i/>
          <w:sz w:val="20"/>
          <w:lang w:val="en-GB" w:bidi="en-GB"/>
        </w:rPr>
        <w:t>Selected principles of transparent management of directly managed organisations of the Ministry of Health in the field of goods and services</w:t>
      </w:r>
      <w:r w:rsidRPr="00571D13">
        <w:rPr>
          <w:sz w:val="20"/>
          <w:lang w:val="en-GB" w:bidi="en-GB"/>
        </w:rPr>
        <w:t>, ref. No. MZDR 16781/2018, effective from 1 September 2018.</w:t>
      </w:r>
    </w:p>
  </w:footnote>
  <w:footnote w:id="35">
    <w:p w:rsidR="00786EF5" w:rsidRPr="002105C0" w:rsidRDefault="00786EF5" w:rsidP="009B0845">
      <w:pPr>
        <w:pStyle w:val="Textpoznpodarou"/>
        <w:ind w:left="284" w:hanging="284"/>
        <w:rPr>
          <w:sz w:val="20"/>
        </w:rPr>
      </w:pPr>
      <w:r w:rsidRPr="002105C0">
        <w:rPr>
          <w:rStyle w:val="Znakapoznpodarou"/>
          <w:sz w:val="20"/>
          <w:lang w:val="en-GB" w:bidi="en-GB"/>
        </w:rPr>
        <w:footnoteRef/>
      </w:r>
      <w:r w:rsidRPr="002105C0">
        <w:rPr>
          <w:sz w:val="20"/>
          <w:lang w:val="en-GB" w:bidi="en-GB"/>
        </w:rPr>
        <w:t xml:space="preserve"> </w:t>
      </w:r>
      <w:r w:rsidRPr="002105C0">
        <w:rPr>
          <w:sz w:val="20"/>
          <w:lang w:val="en-GB" w:bidi="en-GB"/>
        </w:rPr>
        <w:tab/>
        <w:t>Section 88 of Act No. 378/2007 Coll., on Pharmaceuticals and on Amendments to Certain Related Acts (Act on Pharmaceuticals).</w:t>
      </w:r>
    </w:p>
  </w:footnote>
  <w:footnote w:id="36">
    <w:p w:rsidR="00786EF5" w:rsidRPr="002105C0" w:rsidRDefault="00786EF5" w:rsidP="009B0845">
      <w:pPr>
        <w:pStyle w:val="Textpoznpodarou"/>
        <w:ind w:left="284" w:hanging="284"/>
        <w:rPr>
          <w:rFonts w:cstheme="minorHAnsi"/>
          <w:sz w:val="20"/>
        </w:rPr>
      </w:pPr>
      <w:r w:rsidRPr="002105C0">
        <w:rPr>
          <w:rStyle w:val="Znakapoznpodarou"/>
          <w:sz w:val="20"/>
          <w:lang w:val="en-GB" w:bidi="en-GB"/>
        </w:rPr>
        <w:footnoteRef/>
      </w:r>
      <w:r>
        <w:rPr>
          <w:sz w:val="20"/>
          <w:lang w:val="en-GB" w:bidi="en-GB"/>
        </w:rPr>
        <w:t xml:space="preserve"> </w:t>
      </w:r>
      <w:r>
        <w:rPr>
          <w:sz w:val="20"/>
          <w:lang w:val="en-GB" w:bidi="en-GB"/>
        </w:rPr>
        <w:tab/>
        <w:t>Section 89(2) of Act No. 378/2007 Coll., on Pharmaceuticals and on Amendments to Certain Related Acts (Act on Pharmaceuticals).</w:t>
      </w:r>
    </w:p>
  </w:footnote>
  <w:footnote w:id="37">
    <w:p w:rsidR="00786EF5" w:rsidRPr="002105C0" w:rsidRDefault="00786EF5" w:rsidP="009B0845">
      <w:pPr>
        <w:pStyle w:val="Textpoznpodarou"/>
        <w:ind w:left="284" w:hanging="284"/>
        <w:rPr>
          <w:rFonts w:cstheme="minorHAnsi"/>
          <w:sz w:val="20"/>
        </w:rPr>
      </w:pPr>
      <w:r w:rsidRPr="002105C0">
        <w:rPr>
          <w:rStyle w:val="Znakapoznpodarou"/>
          <w:sz w:val="20"/>
          <w:lang w:val="en-GB" w:bidi="en-GB"/>
        </w:rPr>
        <w:footnoteRef/>
      </w:r>
      <w:r w:rsidRPr="002105C0">
        <w:rPr>
          <w:sz w:val="20"/>
          <w:lang w:val="en-GB" w:bidi="en-GB"/>
        </w:rPr>
        <w:t xml:space="preserve"> </w:t>
      </w:r>
      <w:r w:rsidRPr="002105C0">
        <w:rPr>
          <w:sz w:val="20"/>
          <w:lang w:val="en-GB" w:bidi="en-GB"/>
        </w:rPr>
        <w:tab/>
        <w:t>Section 81(3), Section 82(1), Section 85(4) and Section 110(4) of Act No. 137/2006 Coll., on Public Contracts.</w:t>
      </w:r>
    </w:p>
  </w:footnote>
  <w:footnote w:id="38">
    <w:p w:rsidR="00786EF5" w:rsidRPr="002105C0" w:rsidRDefault="00786EF5" w:rsidP="009B0845">
      <w:pPr>
        <w:pStyle w:val="Textpoznpodarou"/>
        <w:ind w:left="284" w:hanging="284"/>
        <w:rPr>
          <w:sz w:val="20"/>
        </w:rPr>
      </w:pPr>
      <w:r w:rsidRPr="002105C0">
        <w:rPr>
          <w:rStyle w:val="Znakapoznpodarou"/>
          <w:sz w:val="20"/>
          <w:lang w:val="en-GB" w:bidi="en-GB"/>
        </w:rPr>
        <w:footnoteRef/>
      </w:r>
      <w:r w:rsidRPr="002105C0">
        <w:rPr>
          <w:sz w:val="20"/>
          <w:lang w:val="en-GB" w:bidi="en-GB"/>
        </w:rPr>
        <w:t xml:space="preserve"> </w:t>
      </w:r>
      <w:r w:rsidRPr="002105C0">
        <w:rPr>
          <w:sz w:val="20"/>
          <w:lang w:val="en-GB" w:bidi="en-GB"/>
        </w:rPr>
        <w:tab/>
        <w:t>Section 83(1) of Act No. 137/2006 Coll., on Public Contracts.</w:t>
      </w:r>
    </w:p>
  </w:footnote>
  <w:footnote w:id="39">
    <w:p w:rsidR="00786EF5" w:rsidRDefault="00786EF5" w:rsidP="009B0845">
      <w:pPr>
        <w:pStyle w:val="Textpoznpodarou"/>
        <w:ind w:left="284" w:hanging="284"/>
        <w:rPr>
          <w:rFonts w:cstheme="minorHAnsi"/>
          <w:sz w:val="20"/>
        </w:rPr>
      </w:pPr>
      <w:r w:rsidRPr="002105C0">
        <w:rPr>
          <w:rStyle w:val="Znakapoznpodarou"/>
          <w:sz w:val="20"/>
          <w:lang w:val="en-GB" w:bidi="en-GB"/>
        </w:rPr>
        <w:footnoteRef/>
      </w:r>
      <w:r>
        <w:rPr>
          <w:sz w:val="20"/>
          <w:lang w:val="en-GB" w:bidi="en-GB"/>
        </w:rPr>
        <w:t xml:space="preserve"> </w:t>
      </w:r>
      <w:r>
        <w:rPr>
          <w:sz w:val="20"/>
          <w:lang w:val="en-GB" w:bidi="en-GB"/>
        </w:rPr>
        <w:tab/>
        <w:t>The provisions of Section 44(1)a) in conjunction with the provisions of Section 3c) and Section 3e) of Act No. 218/2000 Coll., on Budgetary Rules and on Amendments to Certain Related Acts (Budgetary Rules).</w:t>
      </w:r>
    </w:p>
  </w:footnote>
  <w:footnote w:id="40">
    <w:p w:rsidR="00786EF5" w:rsidRPr="0094328B" w:rsidRDefault="00786EF5" w:rsidP="009B0845">
      <w:pPr>
        <w:pStyle w:val="Textpoznpodarou"/>
        <w:ind w:left="284" w:hanging="284"/>
        <w:rPr>
          <w:rFonts w:cstheme="minorHAnsi"/>
          <w:sz w:val="20"/>
        </w:rPr>
      </w:pPr>
      <w:r w:rsidRPr="0094328B">
        <w:rPr>
          <w:rStyle w:val="Znakapoznpodarou"/>
          <w:sz w:val="20"/>
          <w:lang w:val="en-GB" w:bidi="en-GB"/>
        </w:rPr>
        <w:footnoteRef/>
      </w:r>
      <w:r w:rsidRPr="0094328B">
        <w:rPr>
          <w:sz w:val="20"/>
          <w:lang w:val="en-GB" w:bidi="en-GB"/>
        </w:rPr>
        <w:t xml:space="preserve"> </w:t>
      </w:r>
      <w:r w:rsidRPr="0094328B">
        <w:rPr>
          <w:sz w:val="20"/>
          <w:lang w:val="en-GB" w:bidi="en-GB"/>
        </w:rPr>
        <w:tab/>
        <w:t>Section 6 and Section 76(1) of Act No. 137/2006 Coll., on Public Contracts.</w:t>
      </w:r>
    </w:p>
  </w:footnote>
  <w:footnote w:id="41">
    <w:p w:rsidR="00786EF5" w:rsidRPr="008D0B02" w:rsidRDefault="00786EF5" w:rsidP="009B0845">
      <w:pPr>
        <w:pStyle w:val="Textpoznpodarou"/>
        <w:ind w:left="284" w:hanging="284"/>
        <w:rPr>
          <w:sz w:val="20"/>
        </w:rPr>
      </w:pPr>
      <w:r w:rsidRPr="008D0B02">
        <w:rPr>
          <w:rStyle w:val="Znakapoznpodarou"/>
          <w:sz w:val="20"/>
          <w:lang w:val="en-GB" w:bidi="en-GB"/>
        </w:rPr>
        <w:footnoteRef/>
      </w:r>
      <w:r w:rsidRPr="008D0B02">
        <w:rPr>
          <w:sz w:val="20"/>
          <w:lang w:val="en-GB" w:bidi="en-GB"/>
        </w:rPr>
        <w:t xml:space="preserve"> </w:t>
      </w:r>
      <w:r w:rsidRPr="008D0B02">
        <w:rPr>
          <w:sz w:val="20"/>
          <w:lang w:val="en-GB" w:bidi="en-GB"/>
        </w:rPr>
        <w:tab/>
        <w:t>Act No. 137/2006 Coll., on Public Contracts.</w:t>
      </w:r>
    </w:p>
  </w:footnote>
  <w:footnote w:id="42">
    <w:p w:rsidR="00786EF5" w:rsidRPr="00953817" w:rsidRDefault="00786EF5" w:rsidP="00F72449">
      <w:pPr>
        <w:pStyle w:val="Textpoznpodarou"/>
        <w:ind w:left="284" w:hanging="284"/>
        <w:rPr>
          <w:sz w:val="20"/>
        </w:rPr>
      </w:pPr>
      <w:r w:rsidRPr="00953817">
        <w:rPr>
          <w:rStyle w:val="Znakapoznpodarou"/>
          <w:sz w:val="20"/>
          <w:lang w:val="en-GB" w:bidi="en-GB"/>
        </w:rPr>
        <w:footnoteRef/>
      </w:r>
      <w:r>
        <w:rPr>
          <w:noProof/>
          <w:sz w:val="20"/>
          <w:lang w:val="en-GB" w:bidi="en-GB"/>
        </w:rPr>
        <w:t xml:space="preserve"> </w:t>
      </w:r>
      <w:r>
        <w:rPr>
          <w:noProof/>
          <w:sz w:val="20"/>
          <w:lang w:val="en-GB" w:bidi="en-GB"/>
        </w:rPr>
        <w:tab/>
        <w:t>Section 44(1)a) in conjunction with the provisions of Section 3c) and Section 3e) of Act No. 218/2000 Coll.</w:t>
      </w:r>
    </w:p>
  </w:footnote>
  <w:footnote w:id="43">
    <w:p w:rsidR="00786EF5" w:rsidRPr="001825BA" w:rsidRDefault="00786EF5" w:rsidP="00F72449">
      <w:pPr>
        <w:pStyle w:val="Textpoznpodarou"/>
        <w:ind w:left="284" w:hanging="284"/>
        <w:rPr>
          <w:sz w:val="20"/>
        </w:rPr>
      </w:pPr>
      <w:r w:rsidRPr="001825BA">
        <w:rPr>
          <w:rStyle w:val="Znakapoznpodarou"/>
          <w:sz w:val="20"/>
          <w:lang w:val="en-GB" w:bidi="en-GB"/>
        </w:rPr>
        <w:footnoteRef/>
      </w:r>
      <w:r w:rsidRPr="001825BA">
        <w:rPr>
          <w:sz w:val="20"/>
          <w:lang w:val="en-GB" w:bidi="en-GB"/>
        </w:rPr>
        <w:t> </w:t>
      </w:r>
      <w:r w:rsidRPr="001825BA">
        <w:rPr>
          <w:sz w:val="20"/>
          <w:lang w:val="en-GB" w:bidi="en-GB"/>
        </w:rPr>
        <w:tab/>
        <w:t>Act No. 340/2015 Coll., on Special Conditions for the Effectiveness of Certain Contracts, the Disclosure of These Contracts and the Register of Contracts (Act on the Register of Contracts).</w:t>
      </w:r>
    </w:p>
  </w:footnote>
  <w:footnote w:id="44">
    <w:p w:rsidR="00786EF5" w:rsidRPr="006050C3" w:rsidRDefault="00786EF5" w:rsidP="00F72449">
      <w:pPr>
        <w:pStyle w:val="Textpoznpodarou"/>
        <w:ind w:left="284" w:hanging="284"/>
        <w:rPr>
          <w:sz w:val="20"/>
        </w:rPr>
      </w:pPr>
      <w:r w:rsidRPr="006050C3">
        <w:rPr>
          <w:rStyle w:val="Znakapoznpodarou"/>
          <w:sz w:val="20"/>
          <w:lang w:val="en-GB" w:bidi="en-GB"/>
        </w:rPr>
        <w:footnoteRef/>
      </w:r>
      <w:r w:rsidRPr="006050C3">
        <w:rPr>
          <w:sz w:val="20"/>
          <w:lang w:val="en-GB" w:bidi="en-GB"/>
        </w:rPr>
        <w:t xml:space="preserve"> </w:t>
      </w:r>
      <w:r w:rsidRPr="006050C3">
        <w:rPr>
          <w:sz w:val="20"/>
          <w:lang w:val="en-GB" w:bidi="en-GB"/>
        </w:rPr>
        <w:tab/>
        <w:t>Section 83(1) of Act No. 137/2006 Coll., on Public Contracts.</w:t>
      </w:r>
    </w:p>
  </w:footnote>
  <w:footnote w:id="45">
    <w:p w:rsidR="00786EF5" w:rsidRPr="006050C3" w:rsidRDefault="00786EF5" w:rsidP="00F72449">
      <w:pPr>
        <w:pStyle w:val="Textpoznpodarou"/>
        <w:ind w:left="284" w:hanging="284"/>
        <w:rPr>
          <w:sz w:val="20"/>
        </w:rPr>
      </w:pPr>
      <w:r w:rsidRPr="006050C3">
        <w:rPr>
          <w:rStyle w:val="Znakapoznpodarou"/>
          <w:sz w:val="20"/>
          <w:lang w:val="en-GB" w:bidi="en-GB"/>
        </w:rPr>
        <w:footnoteRef/>
      </w:r>
      <w:r w:rsidRPr="006050C3">
        <w:rPr>
          <w:sz w:val="20"/>
          <w:lang w:val="en-GB" w:bidi="en-GB"/>
        </w:rPr>
        <w:t xml:space="preserve"> </w:t>
      </w:r>
      <w:r w:rsidRPr="006050C3">
        <w:rPr>
          <w:sz w:val="20"/>
          <w:lang w:val="en-GB" w:bidi="en-GB"/>
        </w:rPr>
        <w:tab/>
        <w:t>Section 76(3) of Act No. 137/2006 Coll., on Public Contracts.</w:t>
      </w:r>
    </w:p>
  </w:footnote>
  <w:footnote w:id="46">
    <w:p w:rsidR="00786EF5" w:rsidRPr="003F25B9" w:rsidRDefault="00786EF5" w:rsidP="00F72449">
      <w:pPr>
        <w:pStyle w:val="Textpoznpodarou"/>
        <w:ind w:left="284" w:hanging="284"/>
        <w:rPr>
          <w:sz w:val="20"/>
        </w:rPr>
      </w:pPr>
      <w:r w:rsidRPr="003F25B9">
        <w:rPr>
          <w:rStyle w:val="Znakapoznpodarou"/>
          <w:sz w:val="20"/>
          <w:lang w:val="en-GB" w:bidi="en-GB"/>
        </w:rPr>
        <w:footnoteRef/>
      </w:r>
      <w:r w:rsidRPr="003F25B9">
        <w:rPr>
          <w:noProof/>
          <w:sz w:val="20"/>
          <w:lang w:val="en-GB" w:bidi="en-GB"/>
        </w:rPr>
        <w:t xml:space="preserve"> </w:t>
      </w:r>
      <w:r w:rsidRPr="003F25B9">
        <w:rPr>
          <w:noProof/>
          <w:sz w:val="20"/>
          <w:lang w:val="en-GB" w:bidi="en-GB"/>
        </w:rPr>
        <w:tab/>
        <w:t>Section 78(4) of Act No. 137/2006 Coll., on Public Contracts.</w:t>
      </w:r>
    </w:p>
  </w:footnote>
  <w:footnote w:id="47">
    <w:p w:rsidR="00786EF5" w:rsidRPr="00C9154A" w:rsidRDefault="00786EF5" w:rsidP="00F72449">
      <w:pPr>
        <w:pStyle w:val="Textpoznpodarou"/>
        <w:ind w:left="284" w:hanging="284"/>
        <w:rPr>
          <w:rFonts w:cstheme="minorHAnsi"/>
          <w:sz w:val="20"/>
        </w:rPr>
      </w:pPr>
      <w:r w:rsidRPr="00C9154A">
        <w:rPr>
          <w:rStyle w:val="Znakapoznpodarou"/>
          <w:sz w:val="20"/>
          <w:lang w:val="en-GB" w:bidi="en-GB"/>
        </w:rPr>
        <w:footnoteRef/>
      </w:r>
      <w:r w:rsidRPr="00C9154A">
        <w:rPr>
          <w:sz w:val="20"/>
          <w:lang w:val="en-GB" w:bidi="en-GB"/>
        </w:rPr>
        <w:t xml:space="preserve"> </w:t>
      </w:r>
      <w:r w:rsidRPr="00C9154A">
        <w:rPr>
          <w:sz w:val="20"/>
          <w:lang w:val="en-GB" w:bidi="en-GB"/>
        </w:rPr>
        <w:tab/>
        <w:t>Act No. 320/2001 Coll., on Financial Control in Public Administration and on Amendment to Certain Acts (Act on Financial Control).</w:t>
      </w:r>
    </w:p>
  </w:footnote>
  <w:footnote w:id="48">
    <w:p w:rsidR="00786EF5" w:rsidRPr="00DB1753" w:rsidRDefault="00786EF5" w:rsidP="00F72449">
      <w:pPr>
        <w:pStyle w:val="Textpoznpodarou"/>
        <w:ind w:left="284" w:hanging="284"/>
        <w:rPr>
          <w:sz w:val="20"/>
        </w:rPr>
      </w:pPr>
      <w:r w:rsidRPr="00DB1753">
        <w:rPr>
          <w:rStyle w:val="Znakapoznpodarou"/>
          <w:sz w:val="20"/>
          <w:lang w:val="en-GB" w:bidi="en-GB"/>
        </w:rPr>
        <w:footnoteRef/>
      </w:r>
      <w:r>
        <w:rPr>
          <w:sz w:val="20"/>
          <w:lang w:val="en-GB" w:bidi="en-GB"/>
        </w:rPr>
        <w:t xml:space="preserve"> </w:t>
      </w:r>
      <w:r>
        <w:rPr>
          <w:sz w:val="20"/>
          <w:lang w:val="en-GB" w:bidi="en-GB"/>
        </w:rPr>
        <w:tab/>
        <w:t>Section 14 of Act No. 219/2000 Coll., on the Property of the Czech Republic and the Representation of the Czech Republic in Legal Relations.</w:t>
      </w:r>
    </w:p>
  </w:footnote>
  <w:footnote w:id="49">
    <w:p w:rsidR="00786EF5" w:rsidRPr="002118D5" w:rsidRDefault="00786EF5" w:rsidP="000C1D64">
      <w:pPr>
        <w:pStyle w:val="Textpoznpodarou"/>
        <w:ind w:left="284" w:hanging="284"/>
        <w:rPr>
          <w:rFonts w:cstheme="minorHAnsi"/>
          <w:sz w:val="20"/>
        </w:rPr>
      </w:pPr>
      <w:r w:rsidRPr="002118D5">
        <w:rPr>
          <w:rStyle w:val="Znakapoznpodarou"/>
          <w:sz w:val="20"/>
          <w:lang w:val="en-GB" w:bidi="en-GB"/>
        </w:rPr>
        <w:footnoteRef/>
      </w:r>
      <w:r w:rsidRPr="002118D5">
        <w:rPr>
          <w:sz w:val="20"/>
          <w:lang w:val="en-GB" w:bidi="en-GB"/>
        </w:rPr>
        <w:tab/>
        <w:t>BUH: MR Achieva 1.5 T (Nova Dual), including accessories, a PET/MR hybrid scanner and MR Magnetom Impact nuclear magnetic resonance device.</w:t>
      </w:r>
    </w:p>
    <w:p w:rsidR="00786EF5" w:rsidRPr="002118D5" w:rsidRDefault="00786EF5" w:rsidP="000C1D64">
      <w:pPr>
        <w:pStyle w:val="Textpoznpodarou"/>
        <w:ind w:left="284"/>
        <w:rPr>
          <w:rFonts w:cstheme="minorHAnsi"/>
          <w:sz w:val="20"/>
        </w:rPr>
      </w:pPr>
      <w:r w:rsidRPr="002118D5">
        <w:rPr>
          <w:sz w:val="20"/>
          <w:lang w:val="en-GB" w:bidi="en-GB"/>
        </w:rPr>
        <w:t>MUH: magnetic resonance, 1.5 T, Magnetom Avanto, CLINAC 2100 C/D linear accelerator, CLINAC 2100 C/D linear accelerator.</w:t>
      </w:r>
    </w:p>
    <w:p w:rsidR="00786EF5" w:rsidRPr="002118D5" w:rsidRDefault="00786EF5" w:rsidP="000C1D64">
      <w:pPr>
        <w:pStyle w:val="Textpoznpodarou"/>
        <w:ind w:left="284"/>
        <w:rPr>
          <w:rFonts w:cstheme="minorHAnsi"/>
          <w:sz w:val="20"/>
          <w:highlight w:val="yellow"/>
        </w:rPr>
      </w:pPr>
      <w:r w:rsidRPr="002118D5">
        <w:rPr>
          <w:sz w:val="20"/>
          <w:lang w:val="en-GB" w:bidi="en-GB"/>
        </w:rPr>
        <w:t>CMH: magnetic resonance, serial model 3.0T SIGNA HDx, computer tomograph, serial model AQUILION ONE surgical robot, serial model IS 3000 DA VINCI SI.</w:t>
      </w:r>
    </w:p>
  </w:footnote>
  <w:footnote w:id="50">
    <w:p w:rsidR="00786EF5" w:rsidRPr="00F83F97" w:rsidRDefault="00786EF5" w:rsidP="00F72449">
      <w:pPr>
        <w:pStyle w:val="Textpoznpodarou"/>
        <w:ind w:left="284" w:hanging="284"/>
        <w:rPr>
          <w:rFonts w:cstheme="minorHAnsi"/>
          <w:sz w:val="20"/>
        </w:rPr>
      </w:pPr>
      <w:r w:rsidRPr="005A2AFA">
        <w:rPr>
          <w:rStyle w:val="Znakapoznpodarou"/>
          <w:sz w:val="20"/>
          <w:lang w:val="en-GB" w:bidi="en-GB"/>
        </w:rPr>
        <w:footnoteRef/>
      </w:r>
      <w:r w:rsidRPr="00F83F97">
        <w:rPr>
          <w:sz w:val="20"/>
          <w:lang w:val="en-GB" w:bidi="en-GB"/>
        </w:rPr>
        <w:t xml:space="preserve"> </w:t>
      </w:r>
      <w:r w:rsidRPr="00F83F97">
        <w:rPr>
          <w:sz w:val="20"/>
          <w:lang w:val="en-GB" w:bidi="en-GB"/>
        </w:rPr>
        <w:tab/>
        <w:t>Sections 22 and 10(1) of Act of the Czech National Council No. 2/1969 Coll., on the Establishment of Ministries and Other Central Authorities of the State Administration of the Czech Republic.</w:t>
      </w:r>
    </w:p>
  </w:footnote>
  <w:footnote w:id="51">
    <w:p w:rsidR="00786EF5" w:rsidRPr="00F83F97" w:rsidRDefault="00786EF5" w:rsidP="00F72449">
      <w:pPr>
        <w:pStyle w:val="Textpoznpodarou"/>
        <w:ind w:left="284" w:hanging="284"/>
        <w:rPr>
          <w:rFonts w:cstheme="minorHAnsi"/>
          <w:sz w:val="20"/>
        </w:rPr>
      </w:pPr>
      <w:r w:rsidRPr="008A249D">
        <w:rPr>
          <w:rStyle w:val="Znakapoznpodarou"/>
          <w:sz w:val="20"/>
          <w:lang w:val="en-GB" w:bidi="en-GB"/>
        </w:rPr>
        <w:footnoteRef/>
      </w:r>
      <w:r>
        <w:rPr>
          <w:noProof/>
          <w:sz w:val="20"/>
          <w:lang w:val="en-GB" w:bidi="en-GB"/>
        </w:rPr>
        <w:t xml:space="preserve"> </w:t>
      </w:r>
      <w:r>
        <w:rPr>
          <w:noProof/>
          <w:sz w:val="20"/>
          <w:lang w:val="en-GB" w:bidi="en-GB"/>
        </w:rPr>
        <w:tab/>
        <w:t>The provisions of Section 39(3) of Act No. 218/2000 Coll., on Budgetary Rules and on Amendments to Certain Related Acts (Budgetary Rules).</w:t>
      </w:r>
    </w:p>
  </w:footnote>
  <w:footnote w:id="52">
    <w:p w:rsidR="00786EF5" w:rsidRPr="008846AE" w:rsidRDefault="00786EF5" w:rsidP="00F72449">
      <w:pPr>
        <w:pStyle w:val="Textpoznpodarou"/>
        <w:ind w:left="284" w:hanging="284"/>
        <w:rPr>
          <w:sz w:val="20"/>
        </w:rPr>
      </w:pPr>
      <w:r w:rsidRPr="008846AE">
        <w:rPr>
          <w:rStyle w:val="Znakapoznpodarou"/>
          <w:sz w:val="20"/>
          <w:lang w:val="en-GB" w:bidi="en-GB"/>
        </w:rPr>
        <w:footnoteRef/>
      </w:r>
      <w:r w:rsidRPr="008846AE">
        <w:rPr>
          <w:sz w:val="20"/>
          <w:lang w:val="en-GB" w:bidi="en-GB"/>
        </w:rPr>
        <w:t xml:space="preserve"> </w:t>
      </w:r>
      <w:r w:rsidRPr="008846AE">
        <w:rPr>
          <w:sz w:val="20"/>
          <w:lang w:val="en-GB" w:bidi="en-GB"/>
        </w:rPr>
        <w:tab/>
        <w:t>Article 107(1) of the</w:t>
      </w:r>
      <w:r w:rsidRPr="008846AE">
        <w:rPr>
          <w:i/>
          <w:sz w:val="20"/>
          <w:lang w:val="en-GB" w:bidi="en-GB"/>
        </w:rPr>
        <w:t xml:space="preserve"> Treaty on the Functioning of the European Union</w:t>
      </w:r>
      <w:r w:rsidRPr="008846AE">
        <w:rPr>
          <w:sz w:val="20"/>
          <w:lang w:val="en-GB" w:bidi="en-GB"/>
        </w:rPr>
        <w:t>.</w:t>
      </w:r>
    </w:p>
  </w:footnote>
  <w:footnote w:id="53">
    <w:p w:rsidR="00786EF5" w:rsidRPr="008846AE" w:rsidRDefault="00786EF5" w:rsidP="00F72449">
      <w:pPr>
        <w:pStyle w:val="Textpoznpodarou"/>
        <w:ind w:left="284" w:hanging="284"/>
        <w:rPr>
          <w:sz w:val="20"/>
        </w:rPr>
      </w:pPr>
      <w:r w:rsidRPr="008846AE">
        <w:rPr>
          <w:rStyle w:val="Znakapoznpodarou"/>
          <w:sz w:val="20"/>
          <w:lang w:val="en-GB" w:bidi="en-GB"/>
        </w:rPr>
        <w:footnoteRef/>
      </w:r>
      <w:r w:rsidRPr="008846AE">
        <w:rPr>
          <w:sz w:val="20"/>
          <w:lang w:val="en-GB" w:bidi="en-GB"/>
        </w:rPr>
        <w:t xml:space="preserve"> </w:t>
      </w:r>
      <w:r w:rsidRPr="008846AE">
        <w:rPr>
          <w:sz w:val="20"/>
          <w:lang w:val="en-GB" w:bidi="en-GB"/>
        </w:rPr>
        <w:tab/>
        <w:t>A service of general economic interest is a service whose provision in favour of a particular group of citizens or society as a whole is considered necessary by the public authorities for cultural or social reasons.</w:t>
      </w:r>
    </w:p>
  </w:footnote>
  <w:footnote w:id="54">
    <w:p w:rsidR="00786EF5" w:rsidRPr="008846AE" w:rsidRDefault="00786EF5" w:rsidP="00F72449">
      <w:pPr>
        <w:pStyle w:val="Textpoznpodarou"/>
        <w:ind w:left="284" w:hanging="284"/>
        <w:rPr>
          <w:rFonts w:cstheme="minorHAnsi"/>
          <w:noProof/>
          <w:color w:val="000000" w:themeColor="text1"/>
          <w:sz w:val="20"/>
        </w:rPr>
      </w:pPr>
      <w:r w:rsidRPr="008846AE">
        <w:rPr>
          <w:rStyle w:val="Znakapoznpodarou"/>
          <w:sz w:val="20"/>
          <w:lang w:val="en-GB" w:bidi="en-GB"/>
        </w:rPr>
        <w:footnoteRef/>
      </w:r>
      <w:r w:rsidRPr="008846AE">
        <w:rPr>
          <w:noProof/>
          <w:sz w:val="20"/>
          <w:lang w:val="en-GB" w:bidi="en-GB"/>
        </w:rPr>
        <w:t xml:space="preserve"> </w:t>
      </w:r>
      <w:r w:rsidRPr="008846AE">
        <w:rPr>
          <w:noProof/>
          <w:sz w:val="20"/>
          <w:lang w:val="en-GB" w:bidi="en-GB"/>
        </w:rPr>
        <w:tab/>
        <w:t>Service of general economic interest manual (dated 25 April 2013) on pages 7 and 18.</w:t>
      </w:r>
    </w:p>
  </w:footnote>
  <w:footnote w:id="55">
    <w:p w:rsidR="00786EF5" w:rsidRPr="008846AE" w:rsidRDefault="00786EF5" w:rsidP="00F72449">
      <w:pPr>
        <w:pStyle w:val="Textpoznpodarou"/>
        <w:ind w:left="284" w:hanging="284"/>
        <w:rPr>
          <w:sz w:val="20"/>
        </w:rPr>
      </w:pPr>
      <w:r w:rsidRPr="008846AE">
        <w:rPr>
          <w:rStyle w:val="Znakapoznpodarou"/>
          <w:sz w:val="20"/>
          <w:lang w:val="en-GB" w:bidi="en-GB"/>
        </w:rPr>
        <w:footnoteRef/>
      </w:r>
      <w:r w:rsidRPr="008846AE">
        <w:rPr>
          <w:sz w:val="20"/>
          <w:lang w:val="en-GB" w:bidi="en-GB"/>
        </w:rPr>
        <w:t xml:space="preserve"> </w:t>
      </w:r>
      <w:r w:rsidRPr="008846AE">
        <w:rPr>
          <w:sz w:val="20"/>
          <w:lang w:val="en-GB" w:bidi="en-GB"/>
        </w:rPr>
        <w:tab/>
        <w:t>Economic activity according to the rules of the European Union is not identical to the definition of economic activity according to the provisions of Section 5(4) of Decree No. 410/2009 Coll., which implements some provisions of Act No. 563/1991 Coll., on Accounting, as amended, for certain selected accounting entities, and to the definition of other activities pursuant to the provisions of Section 63 of Act No. 218/2000 Coll., on Budgetary Rules and on Amendments to Certain Related Acts (Budgetary Rules).</w:t>
      </w:r>
    </w:p>
  </w:footnote>
  <w:footnote w:id="56">
    <w:p w:rsidR="00786EF5" w:rsidRPr="008846AE" w:rsidRDefault="00786EF5" w:rsidP="00F72449">
      <w:pPr>
        <w:pStyle w:val="Textpoznpodarou"/>
        <w:ind w:left="284" w:hanging="284"/>
        <w:rPr>
          <w:sz w:val="20"/>
        </w:rPr>
      </w:pPr>
      <w:r w:rsidRPr="008846AE">
        <w:rPr>
          <w:rStyle w:val="Znakapoznpodarou"/>
          <w:sz w:val="20"/>
          <w:lang w:val="en-GB" w:bidi="en-GB"/>
        </w:rPr>
        <w:footnoteRef/>
      </w:r>
      <w:r w:rsidRPr="008846AE">
        <w:rPr>
          <w:sz w:val="20"/>
          <w:lang w:val="en-GB" w:bidi="en-GB"/>
        </w:rPr>
        <w:t> </w:t>
      </w:r>
      <w:r w:rsidRPr="008846AE">
        <w:rPr>
          <w:sz w:val="20"/>
          <w:lang w:val="en-GB" w:bidi="en-GB"/>
        </w:rPr>
        <w:tab/>
        <w:t>Section 2g) of Act No. 215/2004 Coll., on the regulation of certain relationships within the area of state aid, and amending the act on the promotion of research and development</w:t>
      </w:r>
    </w:p>
  </w:footnote>
  <w:footnote w:id="57">
    <w:p w:rsidR="00786EF5" w:rsidRPr="008846AE" w:rsidRDefault="00786EF5" w:rsidP="00F72449">
      <w:pPr>
        <w:pStyle w:val="Textpoznpodarou"/>
        <w:ind w:left="284" w:hanging="284"/>
        <w:rPr>
          <w:rFonts w:cstheme="minorHAnsi"/>
          <w:sz w:val="20"/>
        </w:rPr>
      </w:pPr>
      <w:r w:rsidRPr="008846AE">
        <w:rPr>
          <w:rStyle w:val="Znakapoznpodarou"/>
          <w:sz w:val="20"/>
          <w:lang w:val="en-GB" w:bidi="en-GB"/>
        </w:rPr>
        <w:footnoteRef/>
      </w:r>
      <w:r w:rsidRPr="008846AE">
        <w:rPr>
          <w:sz w:val="20"/>
          <w:lang w:val="en-GB" w:bidi="en-GB"/>
        </w:rPr>
        <w:t xml:space="preserve"> </w:t>
      </w:r>
      <w:r w:rsidRPr="008846AE">
        <w:rPr>
          <w:sz w:val="20"/>
          <w:lang w:val="en-GB" w:bidi="en-GB"/>
        </w:rPr>
        <w:tab/>
        <w:t xml:space="preserve">Order of the Minister No. 3/2013 </w:t>
      </w:r>
      <w:r w:rsidRPr="008846AE">
        <w:rPr>
          <w:i/>
          <w:sz w:val="20"/>
          <w:lang w:val="en-GB" w:bidi="en-GB"/>
        </w:rPr>
        <w:t>Anti-Corruption Strategy of the Ministry of Health of the Czech Republic for directly managed organisations</w:t>
      </w:r>
      <w:r w:rsidRPr="008846AE">
        <w:rPr>
          <w:sz w:val="20"/>
          <w:lang w:val="en-GB" w:bidi="en-GB"/>
        </w:rPr>
        <w:t xml:space="preserve">, this order was repealed by Order of the Minister No. 2/2017 of 3 February 2017, ref. No. MZDR 4984/2017. In April 2018, the MoH issued, after the end of this audit, Order of the Minister No. 13/2018 </w:t>
      </w:r>
      <w:r w:rsidRPr="008846AE">
        <w:rPr>
          <w:i/>
          <w:sz w:val="20"/>
          <w:lang w:val="en-GB" w:bidi="en-GB"/>
        </w:rPr>
        <w:t>Selected principles of transparent management of directly managed organisations of the Ministry of Health in the field of goods and services</w:t>
      </w:r>
      <w:r w:rsidRPr="008846AE">
        <w:rPr>
          <w:sz w:val="20"/>
          <w:lang w:val="en-GB" w:bidi="en-GB"/>
        </w:rPr>
        <w:t>. In Article 3, with effect from 1 June 2018, it specifies the use of negotiated procedure without publication and use of random purchase exceptions.</w:t>
      </w:r>
    </w:p>
  </w:footnote>
  <w:footnote w:id="58">
    <w:p w:rsidR="00786EF5" w:rsidRDefault="00786EF5" w:rsidP="0068280A">
      <w:pPr>
        <w:ind w:left="284" w:hanging="284"/>
      </w:pPr>
      <w:r w:rsidRPr="003D2B59">
        <w:rPr>
          <w:rStyle w:val="Znakapoznpodarou"/>
          <w:sz w:val="20"/>
          <w:lang w:val="en-GB" w:bidi="en-GB"/>
        </w:rPr>
        <w:footnoteRef/>
      </w:r>
      <w:r w:rsidRPr="003D2B59">
        <w:rPr>
          <w:sz w:val="20"/>
          <w:lang w:val="en-GB" w:bidi="en-GB"/>
        </w:rPr>
        <w:t xml:space="preserve"> </w:t>
      </w:r>
      <w:r w:rsidRPr="003D2B59">
        <w:rPr>
          <w:sz w:val="20"/>
          <w:lang w:val="en-GB" w:bidi="en-GB"/>
        </w:rPr>
        <w:tab/>
        <w:t>SÚKL code – the code is a unique identifier of the medicinal product, allocated by the State Institute for Drug Control.</w:t>
      </w:r>
    </w:p>
  </w:footnote>
  <w:footnote w:id="59">
    <w:p w:rsidR="00786EF5" w:rsidRPr="00192F57" w:rsidRDefault="00786EF5" w:rsidP="00192F57">
      <w:pPr>
        <w:pStyle w:val="Textpoznpodarou"/>
        <w:ind w:left="284" w:hanging="284"/>
        <w:rPr>
          <w:sz w:val="20"/>
        </w:rPr>
      </w:pPr>
      <w:r w:rsidRPr="00192F57">
        <w:rPr>
          <w:rStyle w:val="Znakapoznpodarou"/>
          <w:sz w:val="20"/>
          <w:lang w:val="en-GB" w:bidi="en-GB"/>
        </w:rPr>
        <w:footnoteRef/>
      </w:r>
      <w:r w:rsidRPr="00192F57">
        <w:rPr>
          <w:sz w:val="20"/>
          <w:lang w:val="en-GB" w:bidi="en-GB"/>
        </w:rPr>
        <w:t xml:space="preserve"> </w:t>
      </w:r>
      <w:r w:rsidRPr="00192F57">
        <w:rPr>
          <w:sz w:val="20"/>
          <w:lang w:val="en-GB" w:bidi="en-GB"/>
        </w:rPr>
        <w:tab/>
        <w:t>Medical device code – the code is assigned by the General Health Insurance Company of the Czech Republic (VZP) according to the valid methodology, this code is a unique identifier of the relevant medical device (SCM) and is listed in the VZP – medical device (SCM) codebook and in the medical device/SCM reimbursement catalog.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EF5" w:rsidRDefault="00786EF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EF5" w:rsidRDefault="00786EF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EF5" w:rsidRDefault="00786EF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867"/>
    <w:multiLevelType w:val="hybridMultilevel"/>
    <w:tmpl w:val="BBEE2DA2"/>
    <w:lvl w:ilvl="0" w:tplc="48D6877A">
      <w:start w:val="1"/>
      <w:numFmt w:val="ordinal"/>
      <w:lvlText w:val="1.1.%1"/>
      <w:lvlJc w:val="right"/>
      <w:pPr>
        <w:ind w:left="360" w:hanging="360"/>
      </w:pPr>
      <w:rPr>
        <w:rFonts w:hint="default"/>
      </w:rPr>
    </w:lvl>
    <w:lvl w:ilvl="1" w:tplc="D0E20D42">
      <w:start w:val="1"/>
      <w:numFmt w:val="decimal"/>
      <w:pStyle w:val="N2"/>
      <w:lvlText w:val="1.%2"/>
      <w:lvlJc w:val="left"/>
      <w:pPr>
        <w:ind w:left="2880" w:hanging="360"/>
      </w:pPr>
      <w:rPr>
        <w:rFonts w:hint="default"/>
      </w:rPr>
    </w:lvl>
    <w:lvl w:ilvl="2" w:tplc="086EA9AE" w:tentative="1">
      <w:start w:val="1"/>
      <w:numFmt w:val="lowerRoman"/>
      <w:lvlText w:val="%3."/>
      <w:lvlJc w:val="right"/>
      <w:pPr>
        <w:ind w:left="3600" w:hanging="180"/>
      </w:pPr>
    </w:lvl>
    <w:lvl w:ilvl="3" w:tplc="132821BE" w:tentative="1">
      <w:start w:val="1"/>
      <w:numFmt w:val="decimal"/>
      <w:lvlText w:val="%4."/>
      <w:lvlJc w:val="left"/>
      <w:pPr>
        <w:ind w:left="4320" w:hanging="360"/>
      </w:pPr>
    </w:lvl>
    <w:lvl w:ilvl="4" w:tplc="F538E766" w:tentative="1">
      <w:start w:val="1"/>
      <w:numFmt w:val="lowerLetter"/>
      <w:lvlText w:val="%5."/>
      <w:lvlJc w:val="left"/>
      <w:pPr>
        <w:ind w:left="5040" w:hanging="360"/>
      </w:pPr>
    </w:lvl>
    <w:lvl w:ilvl="5" w:tplc="F960955E" w:tentative="1">
      <w:start w:val="1"/>
      <w:numFmt w:val="lowerRoman"/>
      <w:lvlText w:val="%6."/>
      <w:lvlJc w:val="right"/>
      <w:pPr>
        <w:ind w:left="5760" w:hanging="180"/>
      </w:pPr>
    </w:lvl>
    <w:lvl w:ilvl="6" w:tplc="9CE81CB2" w:tentative="1">
      <w:start w:val="1"/>
      <w:numFmt w:val="decimal"/>
      <w:lvlText w:val="%7."/>
      <w:lvlJc w:val="left"/>
      <w:pPr>
        <w:ind w:left="6480" w:hanging="360"/>
      </w:pPr>
    </w:lvl>
    <w:lvl w:ilvl="7" w:tplc="2BE8EE78" w:tentative="1">
      <w:start w:val="1"/>
      <w:numFmt w:val="lowerLetter"/>
      <w:lvlText w:val="%8."/>
      <w:lvlJc w:val="left"/>
      <w:pPr>
        <w:ind w:left="7200" w:hanging="360"/>
      </w:pPr>
    </w:lvl>
    <w:lvl w:ilvl="8" w:tplc="19B6BFDC" w:tentative="1">
      <w:start w:val="1"/>
      <w:numFmt w:val="lowerRoman"/>
      <w:lvlText w:val="%9."/>
      <w:lvlJc w:val="right"/>
      <w:pPr>
        <w:ind w:left="7920" w:hanging="180"/>
      </w:pPr>
    </w:lvl>
  </w:abstractNum>
  <w:abstractNum w:abstractNumId="1" w15:restartNumberingAfterBreak="0">
    <w:nsid w:val="03080BDB"/>
    <w:multiLevelType w:val="hybridMultilevel"/>
    <w:tmpl w:val="A6489D6C"/>
    <w:lvl w:ilvl="0" w:tplc="D4FEBA3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632B4A"/>
    <w:multiLevelType w:val="hybridMultilevel"/>
    <w:tmpl w:val="DA966D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FC11F5"/>
    <w:multiLevelType w:val="hybridMultilevel"/>
    <w:tmpl w:val="15E8A5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DE037A"/>
    <w:multiLevelType w:val="multilevel"/>
    <w:tmpl w:val="7F86C4CC"/>
    <w:lvl w:ilvl="0">
      <w:start w:val="1"/>
      <w:numFmt w:val="decimal"/>
      <w:pStyle w:val="N1"/>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0552C3"/>
    <w:multiLevelType w:val="hybridMultilevel"/>
    <w:tmpl w:val="A4A833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1326A8F"/>
    <w:multiLevelType w:val="multilevel"/>
    <w:tmpl w:val="ADA2C588"/>
    <w:lvl w:ilvl="0">
      <w:start w:val="1"/>
      <w:numFmt w:val="upperRoman"/>
      <w:pStyle w:val="lnek1"/>
      <w:suff w:val="nothing"/>
      <w:lvlText w:val="Article %1"/>
      <w:lvlJc w:val="left"/>
      <w:pPr>
        <w:ind w:left="486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nek2"/>
      <w:isLgl/>
      <w:lvlText w:val="%1.%2"/>
      <w:lvlJc w:val="left"/>
      <w:pPr>
        <w:tabs>
          <w:tab w:val="num" w:pos="624"/>
        </w:tabs>
        <w:ind w:left="624" w:hanging="624"/>
      </w:pPr>
      <w:rPr>
        <w:rFonts w:ascii="Times New Roman" w:hAnsi="Times New Roman" w:hint="default"/>
        <w:b/>
        <w:i w:val="0"/>
      </w:rPr>
    </w:lvl>
    <w:lvl w:ilvl="2">
      <w:start w:val="1"/>
      <w:numFmt w:val="decimal"/>
      <w:pStyle w:val="lnek3"/>
      <w:isLgl/>
      <w:lvlText w:val="%1.%2.%3"/>
      <w:lvlJc w:val="left"/>
      <w:pPr>
        <w:tabs>
          <w:tab w:val="num" w:pos="1277"/>
        </w:tabs>
        <w:ind w:left="653" w:hanging="113"/>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721"/>
        </w:tabs>
        <w:ind w:left="1721" w:hanging="360"/>
      </w:pPr>
      <w:rPr>
        <w:rFonts w:hint="default"/>
        <w:b/>
        <w:i w:val="0"/>
        <w:sz w:val="28"/>
        <w:szCs w:val="28"/>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6A20C4A"/>
    <w:multiLevelType w:val="multilevel"/>
    <w:tmpl w:val="3418EC78"/>
    <w:lvl w:ilvl="0">
      <w:start w:val="1"/>
      <w:numFmt w:val="decimal"/>
      <w:lvlText w:val="%1"/>
      <w:lvlJc w:val="left"/>
      <w:pPr>
        <w:ind w:left="646" w:hanging="362"/>
      </w:pPr>
      <w:rPr>
        <w:rFonts w:asciiTheme="minorHAnsi" w:eastAsia="Times New Roman" w:hAnsiTheme="minorHAnsi" w:cstheme="minorHAnsi"/>
      </w:rPr>
    </w:lvl>
    <w:lvl w:ilvl="1">
      <w:start w:val="1"/>
      <w:numFmt w:val="decimal"/>
      <w:isLgl/>
      <w:lvlText w:val="%1.%2"/>
      <w:lvlJc w:val="left"/>
      <w:pPr>
        <w:tabs>
          <w:tab w:val="num" w:pos="7570"/>
        </w:tabs>
        <w:ind w:left="6742" w:hanging="362"/>
      </w:pPr>
      <w:rPr>
        <w:rFonts w:hint="default"/>
      </w:rPr>
    </w:lvl>
    <w:lvl w:ilvl="2">
      <w:start w:val="1"/>
      <w:numFmt w:val="decimal"/>
      <w:isLgl/>
      <w:lvlText w:val="%1.%2.%3"/>
      <w:lvlJc w:val="left"/>
      <w:pPr>
        <w:ind w:left="646" w:hanging="362"/>
      </w:pPr>
      <w:rPr>
        <w:rFonts w:hint="default"/>
      </w:rPr>
    </w:lvl>
    <w:lvl w:ilvl="3">
      <w:start w:val="1"/>
      <w:numFmt w:val="decimal"/>
      <w:isLgl/>
      <w:lvlText w:val="%1.%2.%3.%4"/>
      <w:lvlJc w:val="left"/>
      <w:pPr>
        <w:ind w:left="646" w:hanging="362"/>
      </w:pPr>
      <w:rPr>
        <w:rFonts w:hint="default"/>
      </w:rPr>
    </w:lvl>
    <w:lvl w:ilvl="4">
      <w:start w:val="1"/>
      <w:numFmt w:val="decimal"/>
      <w:isLgl/>
      <w:lvlText w:val="%1.%2.%3.%4.%5"/>
      <w:lvlJc w:val="left"/>
      <w:pPr>
        <w:ind w:left="646" w:hanging="362"/>
      </w:pPr>
      <w:rPr>
        <w:rFonts w:hint="default"/>
      </w:rPr>
    </w:lvl>
    <w:lvl w:ilvl="5">
      <w:start w:val="1"/>
      <w:numFmt w:val="decimal"/>
      <w:isLgl/>
      <w:lvlText w:val="%1.%2.%3.%4.%5.%6"/>
      <w:lvlJc w:val="left"/>
      <w:pPr>
        <w:ind w:left="646" w:hanging="362"/>
      </w:pPr>
      <w:rPr>
        <w:rFonts w:hint="default"/>
      </w:rPr>
    </w:lvl>
    <w:lvl w:ilvl="6">
      <w:start w:val="1"/>
      <w:numFmt w:val="decimal"/>
      <w:isLgl/>
      <w:lvlText w:val="%1.%2.%3.%4.%5.%6.%7"/>
      <w:lvlJc w:val="left"/>
      <w:pPr>
        <w:ind w:left="646" w:hanging="362"/>
      </w:pPr>
      <w:rPr>
        <w:rFonts w:hint="default"/>
      </w:rPr>
    </w:lvl>
    <w:lvl w:ilvl="7">
      <w:start w:val="1"/>
      <w:numFmt w:val="decimal"/>
      <w:isLgl/>
      <w:lvlText w:val="%1.%2.%3.%4.%5.%6.%7.%8"/>
      <w:lvlJc w:val="left"/>
      <w:pPr>
        <w:ind w:left="646" w:hanging="362"/>
      </w:pPr>
      <w:rPr>
        <w:rFonts w:hint="default"/>
      </w:rPr>
    </w:lvl>
    <w:lvl w:ilvl="8">
      <w:start w:val="1"/>
      <w:numFmt w:val="decimal"/>
      <w:isLgl/>
      <w:lvlText w:val="%1.%2.%3.%4.%5.%6.%7.%8.%9"/>
      <w:lvlJc w:val="left"/>
      <w:pPr>
        <w:ind w:left="646" w:hanging="362"/>
      </w:pPr>
      <w:rPr>
        <w:rFonts w:hint="default"/>
      </w:rPr>
    </w:lvl>
  </w:abstractNum>
  <w:abstractNum w:abstractNumId="8" w15:restartNumberingAfterBreak="0">
    <w:nsid w:val="18A82C62"/>
    <w:multiLevelType w:val="hybridMultilevel"/>
    <w:tmpl w:val="28B4E20C"/>
    <w:lvl w:ilvl="0" w:tplc="00F052F0">
      <w:start w:val="1"/>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20E264E"/>
    <w:multiLevelType w:val="hybridMultilevel"/>
    <w:tmpl w:val="571088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7EF2F35"/>
    <w:multiLevelType w:val="hybridMultilevel"/>
    <w:tmpl w:val="3396807E"/>
    <w:lvl w:ilvl="0" w:tplc="73364430">
      <w:start w:val="1"/>
      <w:numFmt w:val="ordinal"/>
      <w:pStyle w:val="N3"/>
      <w:lvlText w:val="1.1.%1"/>
      <w:lvlJc w:val="right"/>
      <w:pPr>
        <w:ind w:left="360" w:hanging="360"/>
      </w:pPr>
      <w:rPr>
        <w:rFonts w:hint="default"/>
      </w:rPr>
    </w:lvl>
    <w:lvl w:ilvl="1" w:tplc="57C2425E">
      <w:start w:val="1"/>
      <w:numFmt w:val="lowerLetter"/>
      <w:lvlText w:val="%2."/>
      <w:lvlJc w:val="left"/>
      <w:pPr>
        <w:ind w:left="1440" w:hanging="360"/>
      </w:pPr>
    </w:lvl>
    <w:lvl w:ilvl="2" w:tplc="8072FF7C">
      <w:start w:val="1"/>
      <w:numFmt w:val="decimal"/>
      <w:lvlText w:val="%3"/>
      <w:lvlJc w:val="right"/>
      <w:pPr>
        <w:ind w:left="2160" w:hanging="180"/>
      </w:pPr>
      <w:rPr>
        <w:rFonts w:hint="default"/>
      </w:rPr>
    </w:lvl>
    <w:lvl w:ilvl="3" w:tplc="E1923972" w:tentative="1">
      <w:start w:val="1"/>
      <w:numFmt w:val="decimal"/>
      <w:lvlText w:val="%4."/>
      <w:lvlJc w:val="left"/>
      <w:pPr>
        <w:ind w:left="2880" w:hanging="360"/>
      </w:pPr>
    </w:lvl>
    <w:lvl w:ilvl="4" w:tplc="121E6446" w:tentative="1">
      <w:start w:val="1"/>
      <w:numFmt w:val="lowerLetter"/>
      <w:lvlText w:val="%5."/>
      <w:lvlJc w:val="left"/>
      <w:pPr>
        <w:ind w:left="3600" w:hanging="360"/>
      </w:pPr>
    </w:lvl>
    <w:lvl w:ilvl="5" w:tplc="49442810" w:tentative="1">
      <w:start w:val="1"/>
      <w:numFmt w:val="lowerRoman"/>
      <w:lvlText w:val="%6."/>
      <w:lvlJc w:val="right"/>
      <w:pPr>
        <w:ind w:left="4320" w:hanging="180"/>
      </w:pPr>
    </w:lvl>
    <w:lvl w:ilvl="6" w:tplc="35C40EA4" w:tentative="1">
      <w:start w:val="1"/>
      <w:numFmt w:val="decimal"/>
      <w:lvlText w:val="%7."/>
      <w:lvlJc w:val="left"/>
      <w:pPr>
        <w:ind w:left="5040" w:hanging="360"/>
      </w:pPr>
    </w:lvl>
    <w:lvl w:ilvl="7" w:tplc="15187A1A" w:tentative="1">
      <w:start w:val="1"/>
      <w:numFmt w:val="lowerLetter"/>
      <w:lvlText w:val="%8."/>
      <w:lvlJc w:val="left"/>
      <w:pPr>
        <w:ind w:left="5760" w:hanging="360"/>
      </w:pPr>
    </w:lvl>
    <w:lvl w:ilvl="8" w:tplc="A732D4B8" w:tentative="1">
      <w:start w:val="1"/>
      <w:numFmt w:val="lowerRoman"/>
      <w:lvlText w:val="%9."/>
      <w:lvlJc w:val="right"/>
      <w:pPr>
        <w:ind w:left="6480" w:hanging="180"/>
      </w:pPr>
    </w:lvl>
  </w:abstractNum>
  <w:abstractNum w:abstractNumId="11" w15:restartNumberingAfterBreak="0">
    <w:nsid w:val="28947B9F"/>
    <w:multiLevelType w:val="multilevel"/>
    <w:tmpl w:val="BC6E5E9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29451B"/>
    <w:multiLevelType w:val="hybridMultilevel"/>
    <w:tmpl w:val="A5E01A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3F63F7"/>
    <w:multiLevelType w:val="hybridMultilevel"/>
    <w:tmpl w:val="7794ECBE"/>
    <w:lvl w:ilvl="0" w:tplc="0405000B">
      <w:start w:val="1"/>
      <w:numFmt w:val="bullet"/>
      <w:lvlText w:val=""/>
      <w:lvlJc w:val="left"/>
      <w:pPr>
        <w:ind w:left="5180" w:hanging="360"/>
      </w:pPr>
      <w:rPr>
        <w:rFonts w:ascii="Wingdings" w:hAnsi="Wingdings" w:hint="default"/>
      </w:rPr>
    </w:lvl>
    <w:lvl w:ilvl="1" w:tplc="04050003">
      <w:start w:val="1"/>
      <w:numFmt w:val="bullet"/>
      <w:lvlText w:val="o"/>
      <w:lvlJc w:val="left"/>
      <w:pPr>
        <w:ind w:left="5900" w:hanging="360"/>
      </w:pPr>
      <w:rPr>
        <w:rFonts w:ascii="Courier New" w:hAnsi="Courier New" w:cs="Times New Roman" w:hint="default"/>
      </w:rPr>
    </w:lvl>
    <w:lvl w:ilvl="2" w:tplc="04050005">
      <w:start w:val="1"/>
      <w:numFmt w:val="bullet"/>
      <w:lvlText w:val=""/>
      <w:lvlJc w:val="left"/>
      <w:pPr>
        <w:ind w:left="6620" w:hanging="360"/>
      </w:pPr>
      <w:rPr>
        <w:rFonts w:ascii="Wingdings" w:hAnsi="Wingdings" w:hint="default"/>
      </w:rPr>
    </w:lvl>
    <w:lvl w:ilvl="3" w:tplc="04050001">
      <w:start w:val="1"/>
      <w:numFmt w:val="bullet"/>
      <w:lvlText w:val=""/>
      <w:lvlJc w:val="left"/>
      <w:pPr>
        <w:ind w:left="7340" w:hanging="360"/>
      </w:pPr>
      <w:rPr>
        <w:rFonts w:ascii="Symbol" w:hAnsi="Symbol" w:hint="default"/>
      </w:rPr>
    </w:lvl>
    <w:lvl w:ilvl="4" w:tplc="04050003">
      <w:start w:val="1"/>
      <w:numFmt w:val="bullet"/>
      <w:lvlText w:val="o"/>
      <w:lvlJc w:val="left"/>
      <w:pPr>
        <w:ind w:left="8060" w:hanging="360"/>
      </w:pPr>
      <w:rPr>
        <w:rFonts w:ascii="Courier New" w:hAnsi="Courier New" w:cs="Times New Roman" w:hint="default"/>
      </w:rPr>
    </w:lvl>
    <w:lvl w:ilvl="5" w:tplc="04050005">
      <w:start w:val="1"/>
      <w:numFmt w:val="bullet"/>
      <w:lvlText w:val=""/>
      <w:lvlJc w:val="left"/>
      <w:pPr>
        <w:ind w:left="8780" w:hanging="360"/>
      </w:pPr>
      <w:rPr>
        <w:rFonts w:ascii="Wingdings" w:hAnsi="Wingdings" w:hint="default"/>
      </w:rPr>
    </w:lvl>
    <w:lvl w:ilvl="6" w:tplc="04050001">
      <w:start w:val="1"/>
      <w:numFmt w:val="bullet"/>
      <w:lvlText w:val=""/>
      <w:lvlJc w:val="left"/>
      <w:pPr>
        <w:ind w:left="9500" w:hanging="360"/>
      </w:pPr>
      <w:rPr>
        <w:rFonts w:ascii="Symbol" w:hAnsi="Symbol" w:hint="default"/>
      </w:rPr>
    </w:lvl>
    <w:lvl w:ilvl="7" w:tplc="04050003">
      <w:start w:val="1"/>
      <w:numFmt w:val="bullet"/>
      <w:lvlText w:val="o"/>
      <w:lvlJc w:val="left"/>
      <w:pPr>
        <w:ind w:left="10220" w:hanging="360"/>
      </w:pPr>
      <w:rPr>
        <w:rFonts w:ascii="Courier New" w:hAnsi="Courier New" w:cs="Times New Roman" w:hint="default"/>
      </w:rPr>
    </w:lvl>
    <w:lvl w:ilvl="8" w:tplc="04050005">
      <w:start w:val="1"/>
      <w:numFmt w:val="bullet"/>
      <w:lvlText w:val=""/>
      <w:lvlJc w:val="left"/>
      <w:pPr>
        <w:ind w:left="10940" w:hanging="360"/>
      </w:pPr>
      <w:rPr>
        <w:rFonts w:ascii="Wingdings" w:hAnsi="Wingdings" w:hint="default"/>
      </w:rPr>
    </w:lvl>
  </w:abstractNum>
  <w:abstractNum w:abstractNumId="14" w15:restartNumberingAfterBreak="0">
    <w:nsid w:val="2F521483"/>
    <w:multiLevelType w:val="hybridMultilevel"/>
    <w:tmpl w:val="B3565872"/>
    <w:lvl w:ilvl="0" w:tplc="35D4709C">
      <w:start w:val="1"/>
      <w:numFmt w:val="decimal"/>
      <w:lvlText w:val="Table %1: X"/>
      <w:lvlJc w:val="left"/>
      <w:pPr>
        <w:ind w:left="720" w:hanging="360"/>
      </w:pPr>
      <w:rPr>
        <w:rFonts w:hint="default"/>
      </w:rPr>
    </w:lvl>
    <w:lvl w:ilvl="1" w:tplc="A676B0C0">
      <w:start w:val="1"/>
      <w:numFmt w:val="decimal"/>
      <w:pStyle w:val="Nzevtabulky"/>
      <w:suff w:val="space"/>
      <w:lvlText w:val="Table %2:"/>
      <w:lvlJc w:val="left"/>
      <w:pPr>
        <w:ind w:left="5529" w:hanging="567"/>
      </w:pPr>
      <w:rPr>
        <w:rFonts w:hint="default"/>
      </w:rPr>
    </w:lvl>
    <w:lvl w:ilvl="2" w:tplc="0405001B">
      <w:start w:val="1"/>
      <w:numFmt w:val="lowerRoman"/>
      <w:lvlText w:val="%3."/>
      <w:lvlJc w:val="right"/>
      <w:pPr>
        <w:ind w:left="2160" w:hanging="180"/>
      </w:pPr>
    </w:lvl>
    <w:lvl w:ilvl="3" w:tplc="60CE4094">
      <w:start w:val="1"/>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845817"/>
    <w:multiLevelType w:val="hybridMultilevel"/>
    <w:tmpl w:val="DF4E2E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4FA2309"/>
    <w:multiLevelType w:val="hybridMultilevel"/>
    <w:tmpl w:val="938CDDC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F1D060C"/>
    <w:multiLevelType w:val="hybridMultilevel"/>
    <w:tmpl w:val="77F0CA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14E07C1"/>
    <w:multiLevelType w:val="hybridMultilevel"/>
    <w:tmpl w:val="3E0258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41D66F95"/>
    <w:multiLevelType w:val="multilevel"/>
    <w:tmpl w:val="753AA110"/>
    <w:styleLink w:val="Styl2"/>
    <w:lvl w:ilvl="0">
      <w:start w:val="1"/>
      <w:numFmt w:val="decimal"/>
      <w:lvlText w:val="%1."/>
      <w:lvlJc w:val="left"/>
      <w:pPr>
        <w:ind w:left="646" w:hanging="362"/>
      </w:pPr>
      <w:rPr>
        <w:rFonts w:hint="default"/>
      </w:rPr>
    </w:lvl>
    <w:lvl w:ilvl="1">
      <w:start w:val="1"/>
      <w:numFmt w:val="decimal"/>
      <w:isLgl/>
      <w:lvlText w:val="%1.%2"/>
      <w:lvlJc w:val="left"/>
      <w:pPr>
        <w:ind w:left="646" w:hanging="362"/>
      </w:pPr>
      <w:rPr>
        <w:rFonts w:hint="default"/>
      </w:rPr>
    </w:lvl>
    <w:lvl w:ilvl="2">
      <w:start w:val="1"/>
      <w:numFmt w:val="decimal"/>
      <w:isLgl/>
      <w:lvlText w:val="%1.%2.%3"/>
      <w:lvlJc w:val="left"/>
      <w:pPr>
        <w:ind w:left="646" w:hanging="362"/>
      </w:pPr>
      <w:rPr>
        <w:rFonts w:hint="default"/>
      </w:rPr>
    </w:lvl>
    <w:lvl w:ilvl="3">
      <w:start w:val="1"/>
      <w:numFmt w:val="decimal"/>
      <w:isLgl/>
      <w:lvlText w:val="%1.%2.%3.%4"/>
      <w:lvlJc w:val="left"/>
      <w:pPr>
        <w:ind w:left="646" w:hanging="362"/>
      </w:pPr>
      <w:rPr>
        <w:rFonts w:hint="default"/>
      </w:rPr>
    </w:lvl>
    <w:lvl w:ilvl="4">
      <w:start w:val="1"/>
      <w:numFmt w:val="decimal"/>
      <w:isLgl/>
      <w:lvlText w:val="%1.%2.%3.%4.%5"/>
      <w:lvlJc w:val="left"/>
      <w:pPr>
        <w:ind w:left="646" w:hanging="362"/>
      </w:pPr>
      <w:rPr>
        <w:rFonts w:hint="default"/>
      </w:rPr>
    </w:lvl>
    <w:lvl w:ilvl="5">
      <w:start w:val="1"/>
      <w:numFmt w:val="decimal"/>
      <w:isLgl/>
      <w:lvlText w:val="%1.%2.%3.%4.%5.%6"/>
      <w:lvlJc w:val="left"/>
      <w:pPr>
        <w:ind w:left="646" w:hanging="362"/>
      </w:pPr>
      <w:rPr>
        <w:rFonts w:hint="default"/>
      </w:rPr>
    </w:lvl>
    <w:lvl w:ilvl="6">
      <w:start w:val="1"/>
      <w:numFmt w:val="decimal"/>
      <w:isLgl/>
      <w:lvlText w:val="%1.%2.%3.%4.%5.%6.%7"/>
      <w:lvlJc w:val="left"/>
      <w:pPr>
        <w:ind w:left="646" w:hanging="362"/>
      </w:pPr>
      <w:rPr>
        <w:rFonts w:hint="default"/>
      </w:rPr>
    </w:lvl>
    <w:lvl w:ilvl="7">
      <w:start w:val="1"/>
      <w:numFmt w:val="decimal"/>
      <w:isLgl/>
      <w:lvlText w:val="%1.%2.%3.%4.%5.%6.%7.%8"/>
      <w:lvlJc w:val="left"/>
      <w:pPr>
        <w:ind w:left="646" w:hanging="362"/>
      </w:pPr>
      <w:rPr>
        <w:rFonts w:hint="default"/>
      </w:rPr>
    </w:lvl>
    <w:lvl w:ilvl="8">
      <w:start w:val="1"/>
      <w:numFmt w:val="decimal"/>
      <w:isLgl/>
      <w:lvlText w:val="%1.%2.%3.%4.%5.%6.%7.%8.%9"/>
      <w:lvlJc w:val="left"/>
      <w:pPr>
        <w:ind w:left="646" w:hanging="362"/>
      </w:pPr>
      <w:rPr>
        <w:rFonts w:hint="default"/>
      </w:rPr>
    </w:lvl>
  </w:abstractNum>
  <w:abstractNum w:abstractNumId="20" w15:restartNumberingAfterBreak="0">
    <w:nsid w:val="422726F0"/>
    <w:multiLevelType w:val="hybridMultilevel"/>
    <w:tmpl w:val="71E01690"/>
    <w:lvl w:ilvl="0" w:tplc="145A38AC">
      <w:start w:val="66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676628E"/>
    <w:multiLevelType w:val="multilevel"/>
    <w:tmpl w:val="753AA110"/>
    <w:numStyleLink w:val="Styl2"/>
  </w:abstractNum>
  <w:abstractNum w:abstractNumId="22" w15:restartNumberingAfterBreak="0">
    <w:nsid w:val="481227B2"/>
    <w:multiLevelType w:val="hybridMultilevel"/>
    <w:tmpl w:val="2B84B5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D17DC6"/>
    <w:multiLevelType w:val="hybridMultilevel"/>
    <w:tmpl w:val="B9EC22C0"/>
    <w:lvl w:ilvl="0" w:tplc="E91C67F6">
      <w:start w:val="66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F0B2880"/>
    <w:multiLevelType w:val="hybridMultilevel"/>
    <w:tmpl w:val="ECB0DD8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FC7AB3"/>
    <w:multiLevelType w:val="hybridMultilevel"/>
    <w:tmpl w:val="D9E4B5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982C14"/>
    <w:multiLevelType w:val="hybridMultilevel"/>
    <w:tmpl w:val="6C3EE91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5B102F4A"/>
    <w:multiLevelType w:val="hybridMultilevel"/>
    <w:tmpl w:val="CBA865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D067BAC"/>
    <w:multiLevelType w:val="hybridMultilevel"/>
    <w:tmpl w:val="87F674D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61787FF4"/>
    <w:multiLevelType w:val="hybridMultilevel"/>
    <w:tmpl w:val="EB7A3E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1AA7946"/>
    <w:multiLevelType w:val="hybridMultilevel"/>
    <w:tmpl w:val="870C56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3DA5E38"/>
    <w:multiLevelType w:val="hybridMultilevel"/>
    <w:tmpl w:val="B7801C4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493238D"/>
    <w:multiLevelType w:val="hybridMultilevel"/>
    <w:tmpl w:val="0DB8CD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91B774F"/>
    <w:multiLevelType w:val="hybridMultilevel"/>
    <w:tmpl w:val="64963762"/>
    <w:lvl w:ilvl="0" w:tplc="F586D596">
      <w:start w:val="1"/>
      <w:numFmt w:val="bullet"/>
      <w:pStyle w:val="Fous"/>
      <w:lvlText w:val=""/>
      <w:lvlJc w:val="left"/>
      <w:pPr>
        <w:tabs>
          <w:tab w:val="num" w:pos="722"/>
        </w:tabs>
        <w:ind w:left="722" w:hanging="382"/>
      </w:pPr>
      <w:rPr>
        <w:rFonts w:ascii="Symbol" w:hAnsi="Symbol" w:hint="default"/>
      </w:rPr>
    </w:lvl>
    <w:lvl w:ilvl="1" w:tplc="75A2603E" w:tentative="1">
      <w:start w:val="1"/>
      <w:numFmt w:val="bullet"/>
      <w:lvlText w:val="o"/>
      <w:lvlJc w:val="left"/>
      <w:pPr>
        <w:tabs>
          <w:tab w:val="num" w:pos="1442"/>
        </w:tabs>
        <w:ind w:left="1442" w:hanging="360"/>
      </w:pPr>
      <w:rPr>
        <w:rFonts w:ascii="Courier New" w:hAnsi="Courier New" w:hint="default"/>
      </w:rPr>
    </w:lvl>
    <w:lvl w:ilvl="2" w:tplc="C2F845DC" w:tentative="1">
      <w:start w:val="1"/>
      <w:numFmt w:val="bullet"/>
      <w:lvlText w:val=""/>
      <w:lvlJc w:val="left"/>
      <w:pPr>
        <w:tabs>
          <w:tab w:val="num" w:pos="2162"/>
        </w:tabs>
        <w:ind w:left="2162" w:hanging="360"/>
      </w:pPr>
      <w:rPr>
        <w:rFonts w:ascii="Wingdings" w:hAnsi="Wingdings" w:hint="default"/>
      </w:rPr>
    </w:lvl>
    <w:lvl w:ilvl="3" w:tplc="778CB0FC" w:tentative="1">
      <w:start w:val="1"/>
      <w:numFmt w:val="bullet"/>
      <w:lvlText w:val=""/>
      <w:lvlJc w:val="left"/>
      <w:pPr>
        <w:tabs>
          <w:tab w:val="num" w:pos="2882"/>
        </w:tabs>
        <w:ind w:left="2882" w:hanging="360"/>
      </w:pPr>
      <w:rPr>
        <w:rFonts w:ascii="Symbol" w:hAnsi="Symbol" w:hint="default"/>
      </w:rPr>
    </w:lvl>
    <w:lvl w:ilvl="4" w:tplc="65142CC2" w:tentative="1">
      <w:start w:val="1"/>
      <w:numFmt w:val="bullet"/>
      <w:lvlText w:val="o"/>
      <w:lvlJc w:val="left"/>
      <w:pPr>
        <w:tabs>
          <w:tab w:val="num" w:pos="3602"/>
        </w:tabs>
        <w:ind w:left="3602" w:hanging="360"/>
      </w:pPr>
      <w:rPr>
        <w:rFonts w:ascii="Courier New" w:hAnsi="Courier New" w:hint="default"/>
      </w:rPr>
    </w:lvl>
    <w:lvl w:ilvl="5" w:tplc="89F4CBC0" w:tentative="1">
      <w:start w:val="1"/>
      <w:numFmt w:val="bullet"/>
      <w:lvlText w:val=""/>
      <w:lvlJc w:val="left"/>
      <w:pPr>
        <w:tabs>
          <w:tab w:val="num" w:pos="4322"/>
        </w:tabs>
        <w:ind w:left="4322" w:hanging="360"/>
      </w:pPr>
      <w:rPr>
        <w:rFonts w:ascii="Wingdings" w:hAnsi="Wingdings" w:hint="default"/>
      </w:rPr>
    </w:lvl>
    <w:lvl w:ilvl="6" w:tplc="04768918" w:tentative="1">
      <w:start w:val="1"/>
      <w:numFmt w:val="bullet"/>
      <w:lvlText w:val=""/>
      <w:lvlJc w:val="left"/>
      <w:pPr>
        <w:tabs>
          <w:tab w:val="num" w:pos="5042"/>
        </w:tabs>
        <w:ind w:left="5042" w:hanging="360"/>
      </w:pPr>
      <w:rPr>
        <w:rFonts w:ascii="Symbol" w:hAnsi="Symbol" w:hint="default"/>
      </w:rPr>
    </w:lvl>
    <w:lvl w:ilvl="7" w:tplc="C01C73DE" w:tentative="1">
      <w:start w:val="1"/>
      <w:numFmt w:val="bullet"/>
      <w:lvlText w:val="o"/>
      <w:lvlJc w:val="left"/>
      <w:pPr>
        <w:tabs>
          <w:tab w:val="num" w:pos="5762"/>
        </w:tabs>
        <w:ind w:left="5762" w:hanging="360"/>
      </w:pPr>
      <w:rPr>
        <w:rFonts w:ascii="Courier New" w:hAnsi="Courier New" w:hint="default"/>
      </w:rPr>
    </w:lvl>
    <w:lvl w:ilvl="8" w:tplc="6504CA7E" w:tentative="1">
      <w:start w:val="1"/>
      <w:numFmt w:val="bullet"/>
      <w:lvlText w:val=""/>
      <w:lvlJc w:val="left"/>
      <w:pPr>
        <w:tabs>
          <w:tab w:val="num" w:pos="6482"/>
        </w:tabs>
        <w:ind w:left="6482" w:hanging="360"/>
      </w:pPr>
      <w:rPr>
        <w:rFonts w:ascii="Wingdings" w:hAnsi="Wingdings" w:hint="default"/>
      </w:rPr>
    </w:lvl>
  </w:abstractNum>
  <w:abstractNum w:abstractNumId="34" w15:restartNumberingAfterBreak="0">
    <w:nsid w:val="6A853474"/>
    <w:multiLevelType w:val="hybridMultilevel"/>
    <w:tmpl w:val="013818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3A96DF8"/>
    <w:multiLevelType w:val="hybridMultilevel"/>
    <w:tmpl w:val="8342E95C"/>
    <w:lvl w:ilvl="0" w:tplc="866C4794">
      <w:start w:val="3"/>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73E03804"/>
    <w:multiLevelType w:val="hybridMultilevel"/>
    <w:tmpl w:val="24008D00"/>
    <w:lvl w:ilvl="0" w:tplc="834C6E5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7BB23FB"/>
    <w:multiLevelType w:val="hybridMultilevel"/>
    <w:tmpl w:val="70C223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905197A"/>
    <w:multiLevelType w:val="hybridMultilevel"/>
    <w:tmpl w:val="13D055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DC54C1A"/>
    <w:multiLevelType w:val="multilevel"/>
    <w:tmpl w:val="A1CEE7EA"/>
    <w:lvl w:ilvl="0">
      <w:start w:val="1"/>
      <w:numFmt w:val="upperRoman"/>
      <w:lvlText w:val="%1."/>
      <w:lvlJc w:val="left"/>
      <w:pPr>
        <w:ind w:left="1080" w:hanging="720"/>
      </w:pPr>
      <w:rPr>
        <w:rFonts w:hint="default"/>
      </w:rPr>
    </w:lvl>
    <w:lvl w:ilvl="1">
      <w:start w:val="17"/>
      <w:numFmt w:val="decimal"/>
      <w:isLgl/>
      <w:lvlText w:val="%1.%2"/>
      <w:lvlJc w:val="left"/>
      <w:pPr>
        <w:ind w:left="780" w:hanging="42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num w:numId="1">
    <w:abstractNumId w:val="6"/>
  </w:num>
  <w:num w:numId="2">
    <w:abstractNumId w:val="33"/>
  </w:num>
  <w:num w:numId="3">
    <w:abstractNumId w:val="14"/>
  </w:num>
  <w:num w:numId="4">
    <w:abstractNumId w:val="37"/>
  </w:num>
  <w:num w:numId="5">
    <w:abstractNumId w:val="8"/>
  </w:num>
  <w:num w:numId="6">
    <w:abstractNumId w:val="4"/>
  </w:num>
  <w:num w:numId="7">
    <w:abstractNumId w:val="0"/>
  </w:num>
  <w:num w:numId="8">
    <w:abstractNumId w:val="10"/>
  </w:num>
  <w:num w:numId="9">
    <w:abstractNumId w:val="15"/>
  </w:num>
  <w:num w:numId="10">
    <w:abstractNumId w:val="32"/>
  </w:num>
  <w:num w:numId="11">
    <w:abstractNumId w:val="7"/>
  </w:num>
  <w:num w:numId="12">
    <w:abstractNumId w:val="19"/>
  </w:num>
  <w:num w:numId="13">
    <w:abstractNumId w:val="21"/>
    <w:lvlOverride w:ilvl="0">
      <w:lvl w:ilvl="0">
        <w:start w:val="1"/>
        <w:numFmt w:val="decimal"/>
        <w:lvlText w:val="%1."/>
        <w:lvlJc w:val="left"/>
        <w:pPr>
          <w:ind w:left="646" w:hanging="362"/>
        </w:pPr>
        <w:rPr>
          <w:rFonts w:hint="default"/>
        </w:rPr>
      </w:lvl>
    </w:lvlOverride>
    <w:lvlOverride w:ilvl="1">
      <w:lvl w:ilvl="1">
        <w:start w:val="1"/>
        <w:numFmt w:val="decimal"/>
        <w:isLgl/>
        <w:lvlText w:val="%1.%2"/>
        <w:lvlJc w:val="left"/>
        <w:pPr>
          <w:ind w:left="646" w:hanging="362"/>
        </w:pPr>
        <w:rPr>
          <w:rFonts w:hint="default"/>
          <w:sz w:val="26"/>
          <w:szCs w:val="26"/>
        </w:rPr>
      </w:lvl>
    </w:lvlOverride>
    <w:lvlOverride w:ilvl="2">
      <w:lvl w:ilvl="2">
        <w:start w:val="1"/>
        <w:numFmt w:val="decimal"/>
        <w:isLgl/>
        <w:lvlText w:val="%1.%2.%3"/>
        <w:lvlJc w:val="left"/>
        <w:pPr>
          <w:ind w:left="646" w:hanging="362"/>
        </w:pPr>
        <w:rPr>
          <w:rFonts w:hint="default"/>
        </w:rPr>
      </w:lvl>
    </w:lvlOverride>
    <w:lvlOverride w:ilvl="3">
      <w:lvl w:ilvl="3">
        <w:start w:val="1"/>
        <w:numFmt w:val="decimal"/>
        <w:isLgl/>
        <w:lvlText w:val="%1.%2.%3.%4"/>
        <w:lvlJc w:val="left"/>
        <w:pPr>
          <w:ind w:left="646" w:hanging="362"/>
        </w:pPr>
        <w:rPr>
          <w:rFonts w:hint="default"/>
        </w:rPr>
      </w:lvl>
    </w:lvlOverride>
    <w:lvlOverride w:ilvl="4">
      <w:lvl w:ilvl="4">
        <w:start w:val="1"/>
        <w:numFmt w:val="decimal"/>
        <w:isLgl/>
        <w:lvlText w:val="%1.%2.%3.%4.%5"/>
        <w:lvlJc w:val="left"/>
        <w:pPr>
          <w:ind w:left="646" w:hanging="362"/>
        </w:pPr>
        <w:rPr>
          <w:rFonts w:hint="default"/>
        </w:rPr>
      </w:lvl>
    </w:lvlOverride>
    <w:lvlOverride w:ilvl="5">
      <w:lvl w:ilvl="5">
        <w:start w:val="1"/>
        <w:numFmt w:val="decimal"/>
        <w:isLgl/>
        <w:lvlText w:val="%1.%2.%3.%4.%5.%6"/>
        <w:lvlJc w:val="left"/>
        <w:pPr>
          <w:ind w:left="646" w:hanging="362"/>
        </w:pPr>
        <w:rPr>
          <w:rFonts w:hint="default"/>
        </w:rPr>
      </w:lvl>
    </w:lvlOverride>
    <w:lvlOverride w:ilvl="6">
      <w:lvl w:ilvl="6">
        <w:start w:val="1"/>
        <w:numFmt w:val="decimal"/>
        <w:isLgl/>
        <w:lvlText w:val="%1.%2.%3.%4.%5.%6.%7"/>
        <w:lvlJc w:val="left"/>
        <w:pPr>
          <w:ind w:left="646" w:hanging="362"/>
        </w:pPr>
        <w:rPr>
          <w:rFonts w:hint="default"/>
        </w:rPr>
      </w:lvl>
    </w:lvlOverride>
    <w:lvlOverride w:ilvl="7">
      <w:lvl w:ilvl="7">
        <w:start w:val="1"/>
        <w:numFmt w:val="decimal"/>
        <w:isLgl/>
        <w:lvlText w:val="%1.%2.%3.%4.%5.%6.%7.%8"/>
        <w:lvlJc w:val="left"/>
        <w:pPr>
          <w:ind w:left="646" w:hanging="362"/>
        </w:pPr>
        <w:rPr>
          <w:rFonts w:hint="default"/>
        </w:rPr>
      </w:lvl>
    </w:lvlOverride>
    <w:lvlOverride w:ilvl="8">
      <w:lvl w:ilvl="8">
        <w:start w:val="1"/>
        <w:numFmt w:val="decimal"/>
        <w:isLgl/>
        <w:lvlText w:val="%1.%2.%3.%4.%5.%6.%7.%8.%9"/>
        <w:lvlJc w:val="left"/>
        <w:pPr>
          <w:ind w:left="646" w:hanging="362"/>
        </w:pPr>
        <w:rPr>
          <w:rFonts w:hint="default"/>
        </w:rPr>
      </w:lvl>
    </w:lvlOverride>
  </w:num>
  <w:num w:numId="14">
    <w:abstractNumId w:val="39"/>
  </w:num>
  <w:num w:numId="15">
    <w:abstractNumId w:val="24"/>
  </w:num>
  <w:num w:numId="16">
    <w:abstractNumId w:val="23"/>
  </w:num>
  <w:num w:numId="17">
    <w:abstractNumId w:val="20"/>
  </w:num>
  <w:num w:numId="18">
    <w:abstractNumId w:val="13"/>
  </w:num>
  <w:num w:numId="19">
    <w:abstractNumId w:val="12"/>
  </w:num>
  <w:num w:numId="20">
    <w:abstractNumId w:val="9"/>
  </w:num>
  <w:num w:numId="21">
    <w:abstractNumId w:val="2"/>
  </w:num>
  <w:num w:numId="22">
    <w:abstractNumId w:val="11"/>
  </w:num>
  <w:num w:numId="23">
    <w:abstractNumId w:val="1"/>
  </w:num>
  <w:num w:numId="24">
    <w:abstractNumId w:val="36"/>
  </w:num>
  <w:num w:numId="25">
    <w:abstractNumId w:val="8"/>
  </w:num>
  <w:num w:numId="26">
    <w:abstractNumId w:val="35"/>
  </w:num>
  <w:num w:numId="27">
    <w:abstractNumId w:val="17"/>
  </w:num>
  <w:num w:numId="28">
    <w:abstractNumId w:val="34"/>
  </w:num>
  <w:num w:numId="29">
    <w:abstractNumId w:val="31"/>
  </w:num>
  <w:num w:numId="30">
    <w:abstractNumId w:val="26"/>
  </w:num>
  <w:num w:numId="31">
    <w:abstractNumId w:val="30"/>
  </w:num>
  <w:num w:numId="32">
    <w:abstractNumId w:val="16"/>
  </w:num>
  <w:num w:numId="33">
    <w:abstractNumId w:val="27"/>
  </w:num>
  <w:num w:numId="34">
    <w:abstractNumId w:val="29"/>
  </w:num>
  <w:num w:numId="35">
    <w:abstractNumId w:val="28"/>
  </w:num>
  <w:num w:numId="36">
    <w:abstractNumId w:val="5"/>
  </w:num>
  <w:num w:numId="37">
    <w:abstractNumId w:val="22"/>
  </w:num>
  <w:num w:numId="38">
    <w:abstractNumId w:val="38"/>
  </w:num>
  <w:num w:numId="39">
    <w:abstractNumId w:val="18"/>
  </w:num>
  <w:num w:numId="40">
    <w:abstractNumId w:val="3"/>
  </w:num>
  <w:num w:numId="41">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5F2"/>
    <w:rsid w:val="00001048"/>
    <w:rsid w:val="000013A5"/>
    <w:rsid w:val="000017C6"/>
    <w:rsid w:val="000022CA"/>
    <w:rsid w:val="00002D56"/>
    <w:rsid w:val="00004843"/>
    <w:rsid w:val="000049B3"/>
    <w:rsid w:val="00005EA6"/>
    <w:rsid w:val="0000654A"/>
    <w:rsid w:val="00006575"/>
    <w:rsid w:val="00006A49"/>
    <w:rsid w:val="000076CA"/>
    <w:rsid w:val="000076DC"/>
    <w:rsid w:val="0000775B"/>
    <w:rsid w:val="00007918"/>
    <w:rsid w:val="00007FFD"/>
    <w:rsid w:val="00010542"/>
    <w:rsid w:val="00011FAC"/>
    <w:rsid w:val="00012F18"/>
    <w:rsid w:val="00014CB9"/>
    <w:rsid w:val="00014D44"/>
    <w:rsid w:val="00014F37"/>
    <w:rsid w:val="000155EE"/>
    <w:rsid w:val="000161C5"/>
    <w:rsid w:val="0001697E"/>
    <w:rsid w:val="000173B5"/>
    <w:rsid w:val="00021451"/>
    <w:rsid w:val="000220A3"/>
    <w:rsid w:val="0002290A"/>
    <w:rsid w:val="00022FC2"/>
    <w:rsid w:val="00022FC4"/>
    <w:rsid w:val="000230A3"/>
    <w:rsid w:val="00025AC2"/>
    <w:rsid w:val="00026CB1"/>
    <w:rsid w:val="00027882"/>
    <w:rsid w:val="000278F1"/>
    <w:rsid w:val="00030C9F"/>
    <w:rsid w:val="0003124C"/>
    <w:rsid w:val="0003306C"/>
    <w:rsid w:val="00033719"/>
    <w:rsid w:val="00033FB5"/>
    <w:rsid w:val="000341CD"/>
    <w:rsid w:val="000348F1"/>
    <w:rsid w:val="00034BDE"/>
    <w:rsid w:val="00035A25"/>
    <w:rsid w:val="00035F07"/>
    <w:rsid w:val="00037F4A"/>
    <w:rsid w:val="000401FE"/>
    <w:rsid w:val="000406B6"/>
    <w:rsid w:val="00041201"/>
    <w:rsid w:val="00041493"/>
    <w:rsid w:val="00041623"/>
    <w:rsid w:val="000423E7"/>
    <w:rsid w:val="00042AFC"/>
    <w:rsid w:val="000450C4"/>
    <w:rsid w:val="00046471"/>
    <w:rsid w:val="00046B2F"/>
    <w:rsid w:val="0005097D"/>
    <w:rsid w:val="000533BD"/>
    <w:rsid w:val="00053EBB"/>
    <w:rsid w:val="000540D5"/>
    <w:rsid w:val="00054F7C"/>
    <w:rsid w:val="000554FF"/>
    <w:rsid w:val="00056850"/>
    <w:rsid w:val="00056D90"/>
    <w:rsid w:val="00057281"/>
    <w:rsid w:val="000606F4"/>
    <w:rsid w:val="000607AD"/>
    <w:rsid w:val="0006091C"/>
    <w:rsid w:val="000633B1"/>
    <w:rsid w:val="00064732"/>
    <w:rsid w:val="00064908"/>
    <w:rsid w:val="000653DE"/>
    <w:rsid w:val="00067058"/>
    <w:rsid w:val="00067CA8"/>
    <w:rsid w:val="0007148D"/>
    <w:rsid w:val="00071774"/>
    <w:rsid w:val="00071BC4"/>
    <w:rsid w:val="0007201D"/>
    <w:rsid w:val="00072D49"/>
    <w:rsid w:val="0007313D"/>
    <w:rsid w:val="000734DF"/>
    <w:rsid w:val="00073EB2"/>
    <w:rsid w:val="00074563"/>
    <w:rsid w:val="00074564"/>
    <w:rsid w:val="00074596"/>
    <w:rsid w:val="000751B8"/>
    <w:rsid w:val="00075DF6"/>
    <w:rsid w:val="000763D7"/>
    <w:rsid w:val="00076920"/>
    <w:rsid w:val="000807FE"/>
    <w:rsid w:val="00080A12"/>
    <w:rsid w:val="000816AF"/>
    <w:rsid w:val="000817E9"/>
    <w:rsid w:val="000818A3"/>
    <w:rsid w:val="00081930"/>
    <w:rsid w:val="00081A40"/>
    <w:rsid w:val="00081CC2"/>
    <w:rsid w:val="00082B47"/>
    <w:rsid w:val="00083C5D"/>
    <w:rsid w:val="00083E82"/>
    <w:rsid w:val="00084150"/>
    <w:rsid w:val="00085249"/>
    <w:rsid w:val="0008554B"/>
    <w:rsid w:val="0008578C"/>
    <w:rsid w:val="00085EB5"/>
    <w:rsid w:val="00090196"/>
    <w:rsid w:val="00091F7A"/>
    <w:rsid w:val="00092B1E"/>
    <w:rsid w:val="00092F80"/>
    <w:rsid w:val="00093EDD"/>
    <w:rsid w:val="000954AD"/>
    <w:rsid w:val="0009563B"/>
    <w:rsid w:val="00095886"/>
    <w:rsid w:val="0009696A"/>
    <w:rsid w:val="00097112"/>
    <w:rsid w:val="000974F8"/>
    <w:rsid w:val="000A105B"/>
    <w:rsid w:val="000A13E2"/>
    <w:rsid w:val="000A1605"/>
    <w:rsid w:val="000A21B1"/>
    <w:rsid w:val="000A2806"/>
    <w:rsid w:val="000A2BCA"/>
    <w:rsid w:val="000A4695"/>
    <w:rsid w:val="000A4C77"/>
    <w:rsid w:val="000A67CE"/>
    <w:rsid w:val="000B07F2"/>
    <w:rsid w:val="000B0BFB"/>
    <w:rsid w:val="000B1D38"/>
    <w:rsid w:val="000B210E"/>
    <w:rsid w:val="000B3D9D"/>
    <w:rsid w:val="000B3E7F"/>
    <w:rsid w:val="000B465C"/>
    <w:rsid w:val="000B50FD"/>
    <w:rsid w:val="000B5139"/>
    <w:rsid w:val="000B54A0"/>
    <w:rsid w:val="000B5D4A"/>
    <w:rsid w:val="000C1D64"/>
    <w:rsid w:val="000C226C"/>
    <w:rsid w:val="000C2291"/>
    <w:rsid w:val="000C2413"/>
    <w:rsid w:val="000C2678"/>
    <w:rsid w:val="000C290D"/>
    <w:rsid w:val="000C2E41"/>
    <w:rsid w:val="000C3071"/>
    <w:rsid w:val="000C387F"/>
    <w:rsid w:val="000C4D53"/>
    <w:rsid w:val="000C580F"/>
    <w:rsid w:val="000C5C4C"/>
    <w:rsid w:val="000C6244"/>
    <w:rsid w:val="000C64A3"/>
    <w:rsid w:val="000C7F4F"/>
    <w:rsid w:val="000D0D17"/>
    <w:rsid w:val="000D1E29"/>
    <w:rsid w:val="000D2C9A"/>
    <w:rsid w:val="000D2EB6"/>
    <w:rsid w:val="000D366B"/>
    <w:rsid w:val="000D42D3"/>
    <w:rsid w:val="000D44D5"/>
    <w:rsid w:val="000D4526"/>
    <w:rsid w:val="000D4CC7"/>
    <w:rsid w:val="000D54C3"/>
    <w:rsid w:val="000D5D39"/>
    <w:rsid w:val="000D600A"/>
    <w:rsid w:val="000D6FBB"/>
    <w:rsid w:val="000D6FDD"/>
    <w:rsid w:val="000D71E5"/>
    <w:rsid w:val="000D78F1"/>
    <w:rsid w:val="000E0135"/>
    <w:rsid w:val="000E0A1D"/>
    <w:rsid w:val="000E0BF4"/>
    <w:rsid w:val="000E179A"/>
    <w:rsid w:val="000E2A91"/>
    <w:rsid w:val="000E2BAD"/>
    <w:rsid w:val="000E2EC7"/>
    <w:rsid w:val="000E30A7"/>
    <w:rsid w:val="000E34E4"/>
    <w:rsid w:val="000E3B38"/>
    <w:rsid w:val="000E3CC2"/>
    <w:rsid w:val="000E40ED"/>
    <w:rsid w:val="000E4382"/>
    <w:rsid w:val="000E43D3"/>
    <w:rsid w:val="000E5368"/>
    <w:rsid w:val="000E63A0"/>
    <w:rsid w:val="000E786D"/>
    <w:rsid w:val="000E7CBF"/>
    <w:rsid w:val="000F0A00"/>
    <w:rsid w:val="000F0ED2"/>
    <w:rsid w:val="000F13A7"/>
    <w:rsid w:val="000F410A"/>
    <w:rsid w:val="000F5459"/>
    <w:rsid w:val="000F58EE"/>
    <w:rsid w:val="000F5AEA"/>
    <w:rsid w:val="000F612E"/>
    <w:rsid w:val="000F645C"/>
    <w:rsid w:val="000F67CA"/>
    <w:rsid w:val="000F6DA8"/>
    <w:rsid w:val="000F75AF"/>
    <w:rsid w:val="000F780C"/>
    <w:rsid w:val="000F7A20"/>
    <w:rsid w:val="000F7BF4"/>
    <w:rsid w:val="000F7F38"/>
    <w:rsid w:val="00100A98"/>
    <w:rsid w:val="00101DBF"/>
    <w:rsid w:val="00102121"/>
    <w:rsid w:val="0010226B"/>
    <w:rsid w:val="00102668"/>
    <w:rsid w:val="00103945"/>
    <w:rsid w:val="00103D72"/>
    <w:rsid w:val="001040B2"/>
    <w:rsid w:val="00104CE3"/>
    <w:rsid w:val="0010571B"/>
    <w:rsid w:val="00106228"/>
    <w:rsid w:val="001068DD"/>
    <w:rsid w:val="001073E8"/>
    <w:rsid w:val="001073F3"/>
    <w:rsid w:val="00107EB4"/>
    <w:rsid w:val="00107FBD"/>
    <w:rsid w:val="00110759"/>
    <w:rsid w:val="00110862"/>
    <w:rsid w:val="00112826"/>
    <w:rsid w:val="00113182"/>
    <w:rsid w:val="00114075"/>
    <w:rsid w:val="001149F4"/>
    <w:rsid w:val="00114BF6"/>
    <w:rsid w:val="00115867"/>
    <w:rsid w:val="00115996"/>
    <w:rsid w:val="00116174"/>
    <w:rsid w:val="001166DF"/>
    <w:rsid w:val="001167E0"/>
    <w:rsid w:val="00116B86"/>
    <w:rsid w:val="00117065"/>
    <w:rsid w:val="001172E8"/>
    <w:rsid w:val="001174D3"/>
    <w:rsid w:val="001175AE"/>
    <w:rsid w:val="00117F40"/>
    <w:rsid w:val="00120321"/>
    <w:rsid w:val="0012114C"/>
    <w:rsid w:val="00121A60"/>
    <w:rsid w:val="001227BA"/>
    <w:rsid w:val="00122BBB"/>
    <w:rsid w:val="0012318F"/>
    <w:rsid w:val="00123291"/>
    <w:rsid w:val="0012364D"/>
    <w:rsid w:val="0012368E"/>
    <w:rsid w:val="00123F07"/>
    <w:rsid w:val="00125199"/>
    <w:rsid w:val="00125387"/>
    <w:rsid w:val="00125619"/>
    <w:rsid w:val="0012619F"/>
    <w:rsid w:val="00126733"/>
    <w:rsid w:val="00126DD8"/>
    <w:rsid w:val="00127457"/>
    <w:rsid w:val="0012752F"/>
    <w:rsid w:val="00130322"/>
    <w:rsid w:val="0013075E"/>
    <w:rsid w:val="0013137B"/>
    <w:rsid w:val="00131417"/>
    <w:rsid w:val="00131936"/>
    <w:rsid w:val="001324CC"/>
    <w:rsid w:val="00132EB8"/>
    <w:rsid w:val="001344E8"/>
    <w:rsid w:val="00134572"/>
    <w:rsid w:val="001345D1"/>
    <w:rsid w:val="001352EB"/>
    <w:rsid w:val="00136072"/>
    <w:rsid w:val="00136A1E"/>
    <w:rsid w:val="00136B28"/>
    <w:rsid w:val="00136DF1"/>
    <w:rsid w:val="0013722C"/>
    <w:rsid w:val="00137474"/>
    <w:rsid w:val="001377D1"/>
    <w:rsid w:val="001379FA"/>
    <w:rsid w:val="00137BF1"/>
    <w:rsid w:val="00140681"/>
    <w:rsid w:val="00140F19"/>
    <w:rsid w:val="001418D9"/>
    <w:rsid w:val="0014202A"/>
    <w:rsid w:val="00142FAA"/>
    <w:rsid w:val="00143329"/>
    <w:rsid w:val="001446EC"/>
    <w:rsid w:val="00145240"/>
    <w:rsid w:val="00146072"/>
    <w:rsid w:val="00146F68"/>
    <w:rsid w:val="001475F7"/>
    <w:rsid w:val="0015179B"/>
    <w:rsid w:val="001525ED"/>
    <w:rsid w:val="0015309C"/>
    <w:rsid w:val="00153799"/>
    <w:rsid w:val="0015394B"/>
    <w:rsid w:val="00153BEA"/>
    <w:rsid w:val="001540BD"/>
    <w:rsid w:val="00154F85"/>
    <w:rsid w:val="00155733"/>
    <w:rsid w:val="00156690"/>
    <w:rsid w:val="0015677A"/>
    <w:rsid w:val="0015697C"/>
    <w:rsid w:val="00156E2E"/>
    <w:rsid w:val="00157147"/>
    <w:rsid w:val="00157AC3"/>
    <w:rsid w:val="00157B20"/>
    <w:rsid w:val="00157CA2"/>
    <w:rsid w:val="001612C3"/>
    <w:rsid w:val="00161937"/>
    <w:rsid w:val="001623DF"/>
    <w:rsid w:val="00162A64"/>
    <w:rsid w:val="00163701"/>
    <w:rsid w:val="00163AC0"/>
    <w:rsid w:val="001648D1"/>
    <w:rsid w:val="001648E9"/>
    <w:rsid w:val="00164A9C"/>
    <w:rsid w:val="00164CCA"/>
    <w:rsid w:val="001667B9"/>
    <w:rsid w:val="00167B45"/>
    <w:rsid w:val="00170325"/>
    <w:rsid w:val="001705BA"/>
    <w:rsid w:val="00170BA4"/>
    <w:rsid w:val="00170FBD"/>
    <w:rsid w:val="001713B0"/>
    <w:rsid w:val="001718FB"/>
    <w:rsid w:val="00171B60"/>
    <w:rsid w:val="00173640"/>
    <w:rsid w:val="0017386D"/>
    <w:rsid w:val="001738B0"/>
    <w:rsid w:val="00173C51"/>
    <w:rsid w:val="001741F3"/>
    <w:rsid w:val="001774F7"/>
    <w:rsid w:val="001779CB"/>
    <w:rsid w:val="00182367"/>
    <w:rsid w:val="001825BA"/>
    <w:rsid w:val="001826FD"/>
    <w:rsid w:val="00183315"/>
    <w:rsid w:val="00183922"/>
    <w:rsid w:val="00183BBE"/>
    <w:rsid w:val="00184145"/>
    <w:rsid w:val="0018468A"/>
    <w:rsid w:val="00185165"/>
    <w:rsid w:val="00185546"/>
    <w:rsid w:val="0018594E"/>
    <w:rsid w:val="00187CAE"/>
    <w:rsid w:val="00190895"/>
    <w:rsid w:val="00191156"/>
    <w:rsid w:val="00191882"/>
    <w:rsid w:val="00191964"/>
    <w:rsid w:val="0019202D"/>
    <w:rsid w:val="00192620"/>
    <w:rsid w:val="00192978"/>
    <w:rsid w:val="00192A25"/>
    <w:rsid w:val="00192B17"/>
    <w:rsid w:val="00192F57"/>
    <w:rsid w:val="00193093"/>
    <w:rsid w:val="001945E1"/>
    <w:rsid w:val="001961E4"/>
    <w:rsid w:val="00196962"/>
    <w:rsid w:val="00196F23"/>
    <w:rsid w:val="001975B0"/>
    <w:rsid w:val="001A01AE"/>
    <w:rsid w:val="001A0A3A"/>
    <w:rsid w:val="001A0F1D"/>
    <w:rsid w:val="001A11F3"/>
    <w:rsid w:val="001A2490"/>
    <w:rsid w:val="001A3190"/>
    <w:rsid w:val="001A3EE3"/>
    <w:rsid w:val="001A475F"/>
    <w:rsid w:val="001A5689"/>
    <w:rsid w:val="001A57E4"/>
    <w:rsid w:val="001A5D0C"/>
    <w:rsid w:val="001A677E"/>
    <w:rsid w:val="001A6785"/>
    <w:rsid w:val="001A78DB"/>
    <w:rsid w:val="001B0290"/>
    <w:rsid w:val="001B0DCF"/>
    <w:rsid w:val="001B0F86"/>
    <w:rsid w:val="001B125D"/>
    <w:rsid w:val="001B1D2E"/>
    <w:rsid w:val="001B2407"/>
    <w:rsid w:val="001B2FA9"/>
    <w:rsid w:val="001B4062"/>
    <w:rsid w:val="001B4319"/>
    <w:rsid w:val="001B508A"/>
    <w:rsid w:val="001B629C"/>
    <w:rsid w:val="001B6C7B"/>
    <w:rsid w:val="001B7184"/>
    <w:rsid w:val="001B739F"/>
    <w:rsid w:val="001C0388"/>
    <w:rsid w:val="001C0D76"/>
    <w:rsid w:val="001C135B"/>
    <w:rsid w:val="001C148F"/>
    <w:rsid w:val="001C182F"/>
    <w:rsid w:val="001C1AB5"/>
    <w:rsid w:val="001C288F"/>
    <w:rsid w:val="001C29F6"/>
    <w:rsid w:val="001C3C63"/>
    <w:rsid w:val="001C4409"/>
    <w:rsid w:val="001C4A50"/>
    <w:rsid w:val="001C5505"/>
    <w:rsid w:val="001C6C81"/>
    <w:rsid w:val="001C7D85"/>
    <w:rsid w:val="001D0A44"/>
    <w:rsid w:val="001D0D8F"/>
    <w:rsid w:val="001D271D"/>
    <w:rsid w:val="001D2881"/>
    <w:rsid w:val="001D2FFE"/>
    <w:rsid w:val="001D30BB"/>
    <w:rsid w:val="001D38BE"/>
    <w:rsid w:val="001D4032"/>
    <w:rsid w:val="001D53E3"/>
    <w:rsid w:val="001D6055"/>
    <w:rsid w:val="001D63B1"/>
    <w:rsid w:val="001D64F4"/>
    <w:rsid w:val="001D6AD5"/>
    <w:rsid w:val="001D6B20"/>
    <w:rsid w:val="001D6ECC"/>
    <w:rsid w:val="001D78E4"/>
    <w:rsid w:val="001D7E3F"/>
    <w:rsid w:val="001E087E"/>
    <w:rsid w:val="001E0D97"/>
    <w:rsid w:val="001E1C5E"/>
    <w:rsid w:val="001E22F4"/>
    <w:rsid w:val="001E25ED"/>
    <w:rsid w:val="001E2669"/>
    <w:rsid w:val="001E2999"/>
    <w:rsid w:val="001E4AE9"/>
    <w:rsid w:val="001E5C32"/>
    <w:rsid w:val="001E5EB0"/>
    <w:rsid w:val="001E6F26"/>
    <w:rsid w:val="001E7076"/>
    <w:rsid w:val="001F1401"/>
    <w:rsid w:val="001F1DD2"/>
    <w:rsid w:val="001F2829"/>
    <w:rsid w:val="001F3C30"/>
    <w:rsid w:val="001F5AA5"/>
    <w:rsid w:val="001F64E7"/>
    <w:rsid w:val="001F6B43"/>
    <w:rsid w:val="001F6D77"/>
    <w:rsid w:val="001F7C0E"/>
    <w:rsid w:val="00202350"/>
    <w:rsid w:val="00202752"/>
    <w:rsid w:val="00202869"/>
    <w:rsid w:val="00204071"/>
    <w:rsid w:val="00204FD5"/>
    <w:rsid w:val="00205790"/>
    <w:rsid w:val="00205868"/>
    <w:rsid w:val="00205F89"/>
    <w:rsid w:val="002068A8"/>
    <w:rsid w:val="00207ECE"/>
    <w:rsid w:val="002105C0"/>
    <w:rsid w:val="00210B42"/>
    <w:rsid w:val="00211381"/>
    <w:rsid w:val="002118D5"/>
    <w:rsid w:val="00211B6B"/>
    <w:rsid w:val="00211F5F"/>
    <w:rsid w:val="00212C77"/>
    <w:rsid w:val="002131CD"/>
    <w:rsid w:val="00213575"/>
    <w:rsid w:val="00213A2C"/>
    <w:rsid w:val="00215386"/>
    <w:rsid w:val="00215B71"/>
    <w:rsid w:val="00216372"/>
    <w:rsid w:val="00216D7D"/>
    <w:rsid w:val="002174E5"/>
    <w:rsid w:val="0021797B"/>
    <w:rsid w:val="0022037B"/>
    <w:rsid w:val="00220380"/>
    <w:rsid w:val="00220492"/>
    <w:rsid w:val="00220ED5"/>
    <w:rsid w:val="00220F37"/>
    <w:rsid w:val="00221933"/>
    <w:rsid w:val="0022230F"/>
    <w:rsid w:val="00222517"/>
    <w:rsid w:val="002226A5"/>
    <w:rsid w:val="00222A90"/>
    <w:rsid w:val="002247E7"/>
    <w:rsid w:val="00225137"/>
    <w:rsid w:val="002254E8"/>
    <w:rsid w:val="0022656C"/>
    <w:rsid w:val="00226971"/>
    <w:rsid w:val="00226E22"/>
    <w:rsid w:val="002272BF"/>
    <w:rsid w:val="00227F68"/>
    <w:rsid w:val="00230CC5"/>
    <w:rsid w:val="0023125A"/>
    <w:rsid w:val="00232333"/>
    <w:rsid w:val="00233C15"/>
    <w:rsid w:val="00233F43"/>
    <w:rsid w:val="0023421C"/>
    <w:rsid w:val="00234507"/>
    <w:rsid w:val="002364FF"/>
    <w:rsid w:val="00237349"/>
    <w:rsid w:val="002373B2"/>
    <w:rsid w:val="002373F3"/>
    <w:rsid w:val="002374F1"/>
    <w:rsid w:val="0023789E"/>
    <w:rsid w:val="00237D99"/>
    <w:rsid w:val="00240271"/>
    <w:rsid w:val="00240ED2"/>
    <w:rsid w:val="002414C1"/>
    <w:rsid w:val="0024209B"/>
    <w:rsid w:val="00243050"/>
    <w:rsid w:val="00243101"/>
    <w:rsid w:val="00243BB9"/>
    <w:rsid w:val="00244421"/>
    <w:rsid w:val="00245215"/>
    <w:rsid w:val="0024570C"/>
    <w:rsid w:val="002460D5"/>
    <w:rsid w:val="00246562"/>
    <w:rsid w:val="00246566"/>
    <w:rsid w:val="0024693B"/>
    <w:rsid w:val="002511EB"/>
    <w:rsid w:val="00251869"/>
    <w:rsid w:val="002518AD"/>
    <w:rsid w:val="00252BF5"/>
    <w:rsid w:val="00252C51"/>
    <w:rsid w:val="00252ECA"/>
    <w:rsid w:val="002535AD"/>
    <w:rsid w:val="00254C6F"/>
    <w:rsid w:val="00255813"/>
    <w:rsid w:val="002566E0"/>
    <w:rsid w:val="002572B1"/>
    <w:rsid w:val="002576AA"/>
    <w:rsid w:val="00257F25"/>
    <w:rsid w:val="002605DD"/>
    <w:rsid w:val="00260BC6"/>
    <w:rsid w:val="00261783"/>
    <w:rsid w:val="00261C23"/>
    <w:rsid w:val="00262398"/>
    <w:rsid w:val="00262762"/>
    <w:rsid w:val="00262D89"/>
    <w:rsid w:val="00262EAB"/>
    <w:rsid w:val="00262FB4"/>
    <w:rsid w:val="0026353F"/>
    <w:rsid w:val="002635C5"/>
    <w:rsid w:val="00263D3E"/>
    <w:rsid w:val="00264405"/>
    <w:rsid w:val="002671F0"/>
    <w:rsid w:val="00267E25"/>
    <w:rsid w:val="00270130"/>
    <w:rsid w:val="00270620"/>
    <w:rsid w:val="002706ED"/>
    <w:rsid w:val="002713DB"/>
    <w:rsid w:val="00271B1D"/>
    <w:rsid w:val="00273136"/>
    <w:rsid w:val="002749C8"/>
    <w:rsid w:val="00274E8A"/>
    <w:rsid w:val="002752C1"/>
    <w:rsid w:val="002753B3"/>
    <w:rsid w:val="00275EE4"/>
    <w:rsid w:val="00277776"/>
    <w:rsid w:val="00277BFD"/>
    <w:rsid w:val="00277D34"/>
    <w:rsid w:val="00280DC3"/>
    <w:rsid w:val="002815AE"/>
    <w:rsid w:val="00282BAD"/>
    <w:rsid w:val="0028359C"/>
    <w:rsid w:val="002835FF"/>
    <w:rsid w:val="00284200"/>
    <w:rsid w:val="00285237"/>
    <w:rsid w:val="0028654E"/>
    <w:rsid w:val="00286E5F"/>
    <w:rsid w:val="00287830"/>
    <w:rsid w:val="0029063F"/>
    <w:rsid w:val="0029136A"/>
    <w:rsid w:val="00291440"/>
    <w:rsid w:val="00292A31"/>
    <w:rsid w:val="00293D4F"/>
    <w:rsid w:val="0029445C"/>
    <w:rsid w:val="00295369"/>
    <w:rsid w:val="00296345"/>
    <w:rsid w:val="00297272"/>
    <w:rsid w:val="002973DD"/>
    <w:rsid w:val="00297E67"/>
    <w:rsid w:val="002A177B"/>
    <w:rsid w:val="002A1999"/>
    <w:rsid w:val="002A2845"/>
    <w:rsid w:val="002A351B"/>
    <w:rsid w:val="002A3BF4"/>
    <w:rsid w:val="002A59EC"/>
    <w:rsid w:val="002A5DBA"/>
    <w:rsid w:val="002A73FB"/>
    <w:rsid w:val="002A761E"/>
    <w:rsid w:val="002B06B0"/>
    <w:rsid w:val="002B0E20"/>
    <w:rsid w:val="002B1045"/>
    <w:rsid w:val="002B19C9"/>
    <w:rsid w:val="002B260B"/>
    <w:rsid w:val="002B3D1B"/>
    <w:rsid w:val="002B454E"/>
    <w:rsid w:val="002B4B7F"/>
    <w:rsid w:val="002B54EB"/>
    <w:rsid w:val="002B62A8"/>
    <w:rsid w:val="002B6F3B"/>
    <w:rsid w:val="002B7954"/>
    <w:rsid w:val="002C03D6"/>
    <w:rsid w:val="002C07EA"/>
    <w:rsid w:val="002C16A2"/>
    <w:rsid w:val="002C20AE"/>
    <w:rsid w:val="002C22D1"/>
    <w:rsid w:val="002C2A84"/>
    <w:rsid w:val="002C3038"/>
    <w:rsid w:val="002C38A0"/>
    <w:rsid w:val="002C3E65"/>
    <w:rsid w:val="002C435D"/>
    <w:rsid w:val="002C48ED"/>
    <w:rsid w:val="002C4B59"/>
    <w:rsid w:val="002C4C83"/>
    <w:rsid w:val="002C4FE0"/>
    <w:rsid w:val="002C512B"/>
    <w:rsid w:val="002C563B"/>
    <w:rsid w:val="002C56BC"/>
    <w:rsid w:val="002C70A4"/>
    <w:rsid w:val="002C713D"/>
    <w:rsid w:val="002C7F4B"/>
    <w:rsid w:val="002D0662"/>
    <w:rsid w:val="002D10BB"/>
    <w:rsid w:val="002D10EF"/>
    <w:rsid w:val="002D142F"/>
    <w:rsid w:val="002D1491"/>
    <w:rsid w:val="002D15F4"/>
    <w:rsid w:val="002D18FE"/>
    <w:rsid w:val="002D2796"/>
    <w:rsid w:val="002D44C3"/>
    <w:rsid w:val="002D4A40"/>
    <w:rsid w:val="002D52C0"/>
    <w:rsid w:val="002D55EA"/>
    <w:rsid w:val="002D5618"/>
    <w:rsid w:val="002D71BC"/>
    <w:rsid w:val="002D71F3"/>
    <w:rsid w:val="002E146D"/>
    <w:rsid w:val="002E15D3"/>
    <w:rsid w:val="002E24A5"/>
    <w:rsid w:val="002E24DA"/>
    <w:rsid w:val="002E256D"/>
    <w:rsid w:val="002E2E28"/>
    <w:rsid w:val="002E38F8"/>
    <w:rsid w:val="002E3B39"/>
    <w:rsid w:val="002E3E20"/>
    <w:rsid w:val="002E43BD"/>
    <w:rsid w:val="002E45D8"/>
    <w:rsid w:val="002E5678"/>
    <w:rsid w:val="002E5C27"/>
    <w:rsid w:val="002E69A2"/>
    <w:rsid w:val="002E6BEE"/>
    <w:rsid w:val="002E6CB6"/>
    <w:rsid w:val="002E6E3A"/>
    <w:rsid w:val="002E6E55"/>
    <w:rsid w:val="002E74A3"/>
    <w:rsid w:val="002E78BA"/>
    <w:rsid w:val="002F063F"/>
    <w:rsid w:val="002F16C6"/>
    <w:rsid w:val="002F187E"/>
    <w:rsid w:val="002F217B"/>
    <w:rsid w:val="002F2A66"/>
    <w:rsid w:val="002F3287"/>
    <w:rsid w:val="002F3783"/>
    <w:rsid w:val="002F43C7"/>
    <w:rsid w:val="002F528C"/>
    <w:rsid w:val="002F5952"/>
    <w:rsid w:val="002F61F7"/>
    <w:rsid w:val="002F649F"/>
    <w:rsid w:val="002F6C5B"/>
    <w:rsid w:val="002F713B"/>
    <w:rsid w:val="002F71C0"/>
    <w:rsid w:val="002F7982"/>
    <w:rsid w:val="003001D5"/>
    <w:rsid w:val="0030065C"/>
    <w:rsid w:val="00301842"/>
    <w:rsid w:val="00301CA4"/>
    <w:rsid w:val="00302344"/>
    <w:rsid w:val="00302C62"/>
    <w:rsid w:val="00302E8D"/>
    <w:rsid w:val="00303B7B"/>
    <w:rsid w:val="00303C96"/>
    <w:rsid w:val="0030477A"/>
    <w:rsid w:val="003047CE"/>
    <w:rsid w:val="00304834"/>
    <w:rsid w:val="00304B23"/>
    <w:rsid w:val="00304C43"/>
    <w:rsid w:val="0030514A"/>
    <w:rsid w:val="00305307"/>
    <w:rsid w:val="003064F6"/>
    <w:rsid w:val="003068B4"/>
    <w:rsid w:val="00306CD3"/>
    <w:rsid w:val="00307511"/>
    <w:rsid w:val="00307ED3"/>
    <w:rsid w:val="00310635"/>
    <w:rsid w:val="0031149E"/>
    <w:rsid w:val="003116B6"/>
    <w:rsid w:val="00312385"/>
    <w:rsid w:val="00312E24"/>
    <w:rsid w:val="0031392F"/>
    <w:rsid w:val="00313966"/>
    <w:rsid w:val="00314009"/>
    <w:rsid w:val="00314D53"/>
    <w:rsid w:val="00314FC1"/>
    <w:rsid w:val="00314FD0"/>
    <w:rsid w:val="003158BC"/>
    <w:rsid w:val="0031664A"/>
    <w:rsid w:val="00317341"/>
    <w:rsid w:val="00317662"/>
    <w:rsid w:val="003176F8"/>
    <w:rsid w:val="00317CFE"/>
    <w:rsid w:val="00323C5E"/>
    <w:rsid w:val="00324526"/>
    <w:rsid w:val="00325D3A"/>
    <w:rsid w:val="003268D9"/>
    <w:rsid w:val="003268F7"/>
    <w:rsid w:val="00327772"/>
    <w:rsid w:val="00327954"/>
    <w:rsid w:val="00327F01"/>
    <w:rsid w:val="00330217"/>
    <w:rsid w:val="003310B1"/>
    <w:rsid w:val="00331537"/>
    <w:rsid w:val="003315C8"/>
    <w:rsid w:val="00332B39"/>
    <w:rsid w:val="00332B94"/>
    <w:rsid w:val="00334BE4"/>
    <w:rsid w:val="003356D1"/>
    <w:rsid w:val="00335CAC"/>
    <w:rsid w:val="00336279"/>
    <w:rsid w:val="0033628A"/>
    <w:rsid w:val="00336573"/>
    <w:rsid w:val="00336C53"/>
    <w:rsid w:val="00337D35"/>
    <w:rsid w:val="00340688"/>
    <w:rsid w:val="00340C92"/>
    <w:rsid w:val="00340C93"/>
    <w:rsid w:val="003417AC"/>
    <w:rsid w:val="00341B8C"/>
    <w:rsid w:val="0034241F"/>
    <w:rsid w:val="003435D8"/>
    <w:rsid w:val="003435F4"/>
    <w:rsid w:val="00343A84"/>
    <w:rsid w:val="00343C41"/>
    <w:rsid w:val="003444DE"/>
    <w:rsid w:val="003449B2"/>
    <w:rsid w:val="00344A67"/>
    <w:rsid w:val="00345462"/>
    <w:rsid w:val="0034651C"/>
    <w:rsid w:val="00346743"/>
    <w:rsid w:val="00351499"/>
    <w:rsid w:val="0035297F"/>
    <w:rsid w:val="00352AC9"/>
    <w:rsid w:val="003534EB"/>
    <w:rsid w:val="00353820"/>
    <w:rsid w:val="00354A50"/>
    <w:rsid w:val="0035528E"/>
    <w:rsid w:val="003559EB"/>
    <w:rsid w:val="00356B17"/>
    <w:rsid w:val="003575B9"/>
    <w:rsid w:val="00360359"/>
    <w:rsid w:val="0036121E"/>
    <w:rsid w:val="003635E0"/>
    <w:rsid w:val="003644B3"/>
    <w:rsid w:val="003648F0"/>
    <w:rsid w:val="00364CED"/>
    <w:rsid w:val="00364F31"/>
    <w:rsid w:val="003651D5"/>
    <w:rsid w:val="00366BED"/>
    <w:rsid w:val="00366F6F"/>
    <w:rsid w:val="00367A3A"/>
    <w:rsid w:val="00367D8B"/>
    <w:rsid w:val="00370427"/>
    <w:rsid w:val="00370B50"/>
    <w:rsid w:val="00371081"/>
    <w:rsid w:val="0037243E"/>
    <w:rsid w:val="003727AA"/>
    <w:rsid w:val="0037284A"/>
    <w:rsid w:val="00372B5C"/>
    <w:rsid w:val="00373532"/>
    <w:rsid w:val="00373DBA"/>
    <w:rsid w:val="0037457A"/>
    <w:rsid w:val="00376827"/>
    <w:rsid w:val="00376954"/>
    <w:rsid w:val="00376B94"/>
    <w:rsid w:val="003770F9"/>
    <w:rsid w:val="00377B8C"/>
    <w:rsid w:val="00381309"/>
    <w:rsid w:val="003818C0"/>
    <w:rsid w:val="00381B97"/>
    <w:rsid w:val="003826FB"/>
    <w:rsid w:val="00382CD2"/>
    <w:rsid w:val="00382D7E"/>
    <w:rsid w:val="0038332A"/>
    <w:rsid w:val="003835E2"/>
    <w:rsid w:val="003853CB"/>
    <w:rsid w:val="003858C3"/>
    <w:rsid w:val="00386218"/>
    <w:rsid w:val="0038641B"/>
    <w:rsid w:val="00386DAD"/>
    <w:rsid w:val="00387374"/>
    <w:rsid w:val="0038743A"/>
    <w:rsid w:val="00387C3C"/>
    <w:rsid w:val="003907C1"/>
    <w:rsid w:val="00390BC5"/>
    <w:rsid w:val="003917B0"/>
    <w:rsid w:val="003917F1"/>
    <w:rsid w:val="0039183F"/>
    <w:rsid w:val="00391E8A"/>
    <w:rsid w:val="00392AE0"/>
    <w:rsid w:val="00393082"/>
    <w:rsid w:val="003933EE"/>
    <w:rsid w:val="0039341B"/>
    <w:rsid w:val="00394706"/>
    <w:rsid w:val="00395194"/>
    <w:rsid w:val="00395264"/>
    <w:rsid w:val="00396331"/>
    <w:rsid w:val="00397679"/>
    <w:rsid w:val="00397683"/>
    <w:rsid w:val="00397D4C"/>
    <w:rsid w:val="003A0458"/>
    <w:rsid w:val="003A08C4"/>
    <w:rsid w:val="003A152B"/>
    <w:rsid w:val="003A305F"/>
    <w:rsid w:val="003A33C5"/>
    <w:rsid w:val="003A3CFF"/>
    <w:rsid w:val="003A4882"/>
    <w:rsid w:val="003A4F7B"/>
    <w:rsid w:val="003A51FA"/>
    <w:rsid w:val="003A5619"/>
    <w:rsid w:val="003A570B"/>
    <w:rsid w:val="003A6E65"/>
    <w:rsid w:val="003A76D8"/>
    <w:rsid w:val="003B191D"/>
    <w:rsid w:val="003B2326"/>
    <w:rsid w:val="003B26C9"/>
    <w:rsid w:val="003B2748"/>
    <w:rsid w:val="003B3819"/>
    <w:rsid w:val="003B3B3E"/>
    <w:rsid w:val="003B3DCE"/>
    <w:rsid w:val="003B465B"/>
    <w:rsid w:val="003B5475"/>
    <w:rsid w:val="003B64DC"/>
    <w:rsid w:val="003B6672"/>
    <w:rsid w:val="003B680D"/>
    <w:rsid w:val="003B6842"/>
    <w:rsid w:val="003B6AA0"/>
    <w:rsid w:val="003B6CF7"/>
    <w:rsid w:val="003B6FEA"/>
    <w:rsid w:val="003B73C5"/>
    <w:rsid w:val="003B7607"/>
    <w:rsid w:val="003B774B"/>
    <w:rsid w:val="003C07D6"/>
    <w:rsid w:val="003C2106"/>
    <w:rsid w:val="003C2967"/>
    <w:rsid w:val="003C3243"/>
    <w:rsid w:val="003C3FF3"/>
    <w:rsid w:val="003C54F4"/>
    <w:rsid w:val="003C59F9"/>
    <w:rsid w:val="003C684B"/>
    <w:rsid w:val="003D0AEA"/>
    <w:rsid w:val="003D1944"/>
    <w:rsid w:val="003D1A10"/>
    <w:rsid w:val="003D1B1E"/>
    <w:rsid w:val="003D1C64"/>
    <w:rsid w:val="003D2162"/>
    <w:rsid w:val="003D2219"/>
    <w:rsid w:val="003D2AB0"/>
    <w:rsid w:val="003D2CB1"/>
    <w:rsid w:val="003D31DD"/>
    <w:rsid w:val="003D352D"/>
    <w:rsid w:val="003D381D"/>
    <w:rsid w:val="003D4A51"/>
    <w:rsid w:val="003D6607"/>
    <w:rsid w:val="003D7541"/>
    <w:rsid w:val="003E1001"/>
    <w:rsid w:val="003E12C3"/>
    <w:rsid w:val="003E240F"/>
    <w:rsid w:val="003E2511"/>
    <w:rsid w:val="003E3003"/>
    <w:rsid w:val="003E3221"/>
    <w:rsid w:val="003E3B01"/>
    <w:rsid w:val="003E3DE8"/>
    <w:rsid w:val="003E3F26"/>
    <w:rsid w:val="003E3F2B"/>
    <w:rsid w:val="003E5E6F"/>
    <w:rsid w:val="003E7D91"/>
    <w:rsid w:val="003E7EBC"/>
    <w:rsid w:val="003F0544"/>
    <w:rsid w:val="003F0709"/>
    <w:rsid w:val="003F24EC"/>
    <w:rsid w:val="003F25B9"/>
    <w:rsid w:val="003F2997"/>
    <w:rsid w:val="003F2E07"/>
    <w:rsid w:val="003F375A"/>
    <w:rsid w:val="003F4506"/>
    <w:rsid w:val="003F4660"/>
    <w:rsid w:val="003F494D"/>
    <w:rsid w:val="003F5F38"/>
    <w:rsid w:val="003F6CA9"/>
    <w:rsid w:val="003F6E5E"/>
    <w:rsid w:val="003F7670"/>
    <w:rsid w:val="003F79B8"/>
    <w:rsid w:val="003F7B3E"/>
    <w:rsid w:val="004015E6"/>
    <w:rsid w:val="004019C0"/>
    <w:rsid w:val="00401E51"/>
    <w:rsid w:val="00402EC4"/>
    <w:rsid w:val="00402F03"/>
    <w:rsid w:val="004051C9"/>
    <w:rsid w:val="004062DF"/>
    <w:rsid w:val="004064C9"/>
    <w:rsid w:val="0040702C"/>
    <w:rsid w:val="004072FD"/>
    <w:rsid w:val="00407E27"/>
    <w:rsid w:val="004101D0"/>
    <w:rsid w:val="0041121A"/>
    <w:rsid w:val="00411C2A"/>
    <w:rsid w:val="00411EBB"/>
    <w:rsid w:val="00413E42"/>
    <w:rsid w:val="00414C09"/>
    <w:rsid w:val="00414F42"/>
    <w:rsid w:val="00415E3A"/>
    <w:rsid w:val="0041777A"/>
    <w:rsid w:val="00420D14"/>
    <w:rsid w:val="004215CE"/>
    <w:rsid w:val="00421724"/>
    <w:rsid w:val="00421C95"/>
    <w:rsid w:val="00422449"/>
    <w:rsid w:val="00422B7B"/>
    <w:rsid w:val="004234F6"/>
    <w:rsid w:val="004257CC"/>
    <w:rsid w:val="004259A5"/>
    <w:rsid w:val="00425B7E"/>
    <w:rsid w:val="00425E27"/>
    <w:rsid w:val="00425E9E"/>
    <w:rsid w:val="00425F5C"/>
    <w:rsid w:val="00426A05"/>
    <w:rsid w:val="0042725A"/>
    <w:rsid w:val="0043109D"/>
    <w:rsid w:val="00431284"/>
    <w:rsid w:val="00431869"/>
    <w:rsid w:val="00432C2D"/>
    <w:rsid w:val="00433A75"/>
    <w:rsid w:val="00437B29"/>
    <w:rsid w:val="00441004"/>
    <w:rsid w:val="004418C1"/>
    <w:rsid w:val="004418EA"/>
    <w:rsid w:val="004418EE"/>
    <w:rsid w:val="0044275D"/>
    <w:rsid w:val="004438E3"/>
    <w:rsid w:val="00443E20"/>
    <w:rsid w:val="00444132"/>
    <w:rsid w:val="004446DE"/>
    <w:rsid w:val="00445A25"/>
    <w:rsid w:val="00445BEE"/>
    <w:rsid w:val="00446055"/>
    <w:rsid w:val="00446C7F"/>
    <w:rsid w:val="00447599"/>
    <w:rsid w:val="00447C08"/>
    <w:rsid w:val="00450026"/>
    <w:rsid w:val="00451B06"/>
    <w:rsid w:val="00451EC3"/>
    <w:rsid w:val="00452925"/>
    <w:rsid w:val="0045362F"/>
    <w:rsid w:val="00454B37"/>
    <w:rsid w:val="00456840"/>
    <w:rsid w:val="00460A15"/>
    <w:rsid w:val="00462A22"/>
    <w:rsid w:val="00463224"/>
    <w:rsid w:val="00463E6E"/>
    <w:rsid w:val="00464ED2"/>
    <w:rsid w:val="00465572"/>
    <w:rsid w:val="00467196"/>
    <w:rsid w:val="004704F4"/>
    <w:rsid w:val="004706DA"/>
    <w:rsid w:val="00470C4E"/>
    <w:rsid w:val="004714D4"/>
    <w:rsid w:val="00471EAD"/>
    <w:rsid w:val="004723AC"/>
    <w:rsid w:val="004726EF"/>
    <w:rsid w:val="00472931"/>
    <w:rsid w:val="0047356F"/>
    <w:rsid w:val="00473F77"/>
    <w:rsid w:val="004748BB"/>
    <w:rsid w:val="0047498E"/>
    <w:rsid w:val="00475152"/>
    <w:rsid w:val="00475C43"/>
    <w:rsid w:val="004760E2"/>
    <w:rsid w:val="00476808"/>
    <w:rsid w:val="00476AB0"/>
    <w:rsid w:val="004770C2"/>
    <w:rsid w:val="004779AC"/>
    <w:rsid w:val="00477D25"/>
    <w:rsid w:val="004807B7"/>
    <w:rsid w:val="00481090"/>
    <w:rsid w:val="00481E5D"/>
    <w:rsid w:val="00482432"/>
    <w:rsid w:val="00482AAC"/>
    <w:rsid w:val="00483276"/>
    <w:rsid w:val="00483543"/>
    <w:rsid w:val="00483A99"/>
    <w:rsid w:val="0048523F"/>
    <w:rsid w:val="0048559A"/>
    <w:rsid w:val="00486175"/>
    <w:rsid w:val="0048649C"/>
    <w:rsid w:val="0048738C"/>
    <w:rsid w:val="00487841"/>
    <w:rsid w:val="00487942"/>
    <w:rsid w:val="00487BDB"/>
    <w:rsid w:val="004906BB"/>
    <w:rsid w:val="00491B0E"/>
    <w:rsid w:val="0049254B"/>
    <w:rsid w:val="00492CC7"/>
    <w:rsid w:val="0049303D"/>
    <w:rsid w:val="00493829"/>
    <w:rsid w:val="00493B9A"/>
    <w:rsid w:val="00493BC6"/>
    <w:rsid w:val="00494465"/>
    <w:rsid w:val="004944FB"/>
    <w:rsid w:val="0049464E"/>
    <w:rsid w:val="00494725"/>
    <w:rsid w:val="00494C4F"/>
    <w:rsid w:val="00495CCA"/>
    <w:rsid w:val="00496042"/>
    <w:rsid w:val="004960AD"/>
    <w:rsid w:val="0049645D"/>
    <w:rsid w:val="004966C3"/>
    <w:rsid w:val="00496AEC"/>
    <w:rsid w:val="00497BE6"/>
    <w:rsid w:val="004A0B7B"/>
    <w:rsid w:val="004A0FCC"/>
    <w:rsid w:val="004A1940"/>
    <w:rsid w:val="004A1C61"/>
    <w:rsid w:val="004A242A"/>
    <w:rsid w:val="004A2D5A"/>
    <w:rsid w:val="004A4321"/>
    <w:rsid w:val="004A567C"/>
    <w:rsid w:val="004A6B9C"/>
    <w:rsid w:val="004B041F"/>
    <w:rsid w:val="004B0609"/>
    <w:rsid w:val="004B3095"/>
    <w:rsid w:val="004B3940"/>
    <w:rsid w:val="004B5359"/>
    <w:rsid w:val="004B5BC0"/>
    <w:rsid w:val="004B5C34"/>
    <w:rsid w:val="004B6C39"/>
    <w:rsid w:val="004B72E1"/>
    <w:rsid w:val="004B7B13"/>
    <w:rsid w:val="004C0F3E"/>
    <w:rsid w:val="004C154A"/>
    <w:rsid w:val="004C1DCF"/>
    <w:rsid w:val="004C2735"/>
    <w:rsid w:val="004C3463"/>
    <w:rsid w:val="004C37F9"/>
    <w:rsid w:val="004C3B13"/>
    <w:rsid w:val="004C3B35"/>
    <w:rsid w:val="004C4080"/>
    <w:rsid w:val="004C4773"/>
    <w:rsid w:val="004C4B5E"/>
    <w:rsid w:val="004C4BA9"/>
    <w:rsid w:val="004C5853"/>
    <w:rsid w:val="004C58FE"/>
    <w:rsid w:val="004C67D7"/>
    <w:rsid w:val="004C7568"/>
    <w:rsid w:val="004C7D21"/>
    <w:rsid w:val="004D03C8"/>
    <w:rsid w:val="004D073E"/>
    <w:rsid w:val="004D0F76"/>
    <w:rsid w:val="004D1254"/>
    <w:rsid w:val="004D1949"/>
    <w:rsid w:val="004D254A"/>
    <w:rsid w:val="004D2849"/>
    <w:rsid w:val="004D2D96"/>
    <w:rsid w:val="004D2E47"/>
    <w:rsid w:val="004D4311"/>
    <w:rsid w:val="004D532F"/>
    <w:rsid w:val="004D6856"/>
    <w:rsid w:val="004D69D2"/>
    <w:rsid w:val="004E0688"/>
    <w:rsid w:val="004E093D"/>
    <w:rsid w:val="004E0C94"/>
    <w:rsid w:val="004E0CE8"/>
    <w:rsid w:val="004E130B"/>
    <w:rsid w:val="004E1670"/>
    <w:rsid w:val="004E171E"/>
    <w:rsid w:val="004E1A34"/>
    <w:rsid w:val="004E1F5C"/>
    <w:rsid w:val="004E2288"/>
    <w:rsid w:val="004E3744"/>
    <w:rsid w:val="004E441B"/>
    <w:rsid w:val="004E554A"/>
    <w:rsid w:val="004E630E"/>
    <w:rsid w:val="004E6757"/>
    <w:rsid w:val="004E6F7D"/>
    <w:rsid w:val="004E7E02"/>
    <w:rsid w:val="004F1A3C"/>
    <w:rsid w:val="004F1BF7"/>
    <w:rsid w:val="004F1C9C"/>
    <w:rsid w:val="004F1F7B"/>
    <w:rsid w:val="004F1F84"/>
    <w:rsid w:val="004F30C6"/>
    <w:rsid w:val="004F3EB7"/>
    <w:rsid w:val="004F55A9"/>
    <w:rsid w:val="004F61E1"/>
    <w:rsid w:val="004F637F"/>
    <w:rsid w:val="004F6C54"/>
    <w:rsid w:val="004F6D91"/>
    <w:rsid w:val="004F78C4"/>
    <w:rsid w:val="004F7CB6"/>
    <w:rsid w:val="00500103"/>
    <w:rsid w:val="00500C81"/>
    <w:rsid w:val="00500CD4"/>
    <w:rsid w:val="00500F30"/>
    <w:rsid w:val="00501478"/>
    <w:rsid w:val="00503609"/>
    <w:rsid w:val="005036A1"/>
    <w:rsid w:val="00504920"/>
    <w:rsid w:val="00504CA7"/>
    <w:rsid w:val="00505B0C"/>
    <w:rsid w:val="0050620E"/>
    <w:rsid w:val="005073BC"/>
    <w:rsid w:val="00507B53"/>
    <w:rsid w:val="00510048"/>
    <w:rsid w:val="005103CE"/>
    <w:rsid w:val="00513738"/>
    <w:rsid w:val="00514E98"/>
    <w:rsid w:val="00514EC4"/>
    <w:rsid w:val="00515168"/>
    <w:rsid w:val="00515414"/>
    <w:rsid w:val="00515A08"/>
    <w:rsid w:val="005160E9"/>
    <w:rsid w:val="00516423"/>
    <w:rsid w:val="00516526"/>
    <w:rsid w:val="00516E7C"/>
    <w:rsid w:val="005176B2"/>
    <w:rsid w:val="00520758"/>
    <w:rsid w:val="005215B9"/>
    <w:rsid w:val="00521BA0"/>
    <w:rsid w:val="00521E91"/>
    <w:rsid w:val="00522132"/>
    <w:rsid w:val="00522617"/>
    <w:rsid w:val="005236EB"/>
    <w:rsid w:val="005240A0"/>
    <w:rsid w:val="00524138"/>
    <w:rsid w:val="00524D9F"/>
    <w:rsid w:val="005252E3"/>
    <w:rsid w:val="00525F55"/>
    <w:rsid w:val="00526A1A"/>
    <w:rsid w:val="00533500"/>
    <w:rsid w:val="0053365D"/>
    <w:rsid w:val="0053376A"/>
    <w:rsid w:val="0053407D"/>
    <w:rsid w:val="00534531"/>
    <w:rsid w:val="005378E6"/>
    <w:rsid w:val="00540922"/>
    <w:rsid w:val="005432D5"/>
    <w:rsid w:val="0054362F"/>
    <w:rsid w:val="00543DCC"/>
    <w:rsid w:val="00543F9B"/>
    <w:rsid w:val="00544638"/>
    <w:rsid w:val="00544EA9"/>
    <w:rsid w:val="005457D9"/>
    <w:rsid w:val="00545807"/>
    <w:rsid w:val="005469A2"/>
    <w:rsid w:val="00546BA6"/>
    <w:rsid w:val="005473BB"/>
    <w:rsid w:val="00550706"/>
    <w:rsid w:val="0055186B"/>
    <w:rsid w:val="00551DE1"/>
    <w:rsid w:val="005531D4"/>
    <w:rsid w:val="00553552"/>
    <w:rsid w:val="00554E97"/>
    <w:rsid w:val="005556FA"/>
    <w:rsid w:val="00555739"/>
    <w:rsid w:val="00555929"/>
    <w:rsid w:val="005560C6"/>
    <w:rsid w:val="005569A1"/>
    <w:rsid w:val="0055768F"/>
    <w:rsid w:val="00557A02"/>
    <w:rsid w:val="00557F59"/>
    <w:rsid w:val="00561C12"/>
    <w:rsid w:val="00561C80"/>
    <w:rsid w:val="00562447"/>
    <w:rsid w:val="00562ED3"/>
    <w:rsid w:val="005633F6"/>
    <w:rsid w:val="005638B9"/>
    <w:rsid w:val="00563CF9"/>
    <w:rsid w:val="00563D31"/>
    <w:rsid w:val="00565798"/>
    <w:rsid w:val="00566D84"/>
    <w:rsid w:val="00567584"/>
    <w:rsid w:val="00567E3C"/>
    <w:rsid w:val="00567E7A"/>
    <w:rsid w:val="005705FF"/>
    <w:rsid w:val="005708C2"/>
    <w:rsid w:val="005709C2"/>
    <w:rsid w:val="00570BC3"/>
    <w:rsid w:val="00570E13"/>
    <w:rsid w:val="00570E30"/>
    <w:rsid w:val="005718D3"/>
    <w:rsid w:val="0057196B"/>
    <w:rsid w:val="00571D13"/>
    <w:rsid w:val="00571E93"/>
    <w:rsid w:val="005721AF"/>
    <w:rsid w:val="00572A5E"/>
    <w:rsid w:val="00572E8A"/>
    <w:rsid w:val="00573215"/>
    <w:rsid w:val="0057383A"/>
    <w:rsid w:val="00574CD1"/>
    <w:rsid w:val="005762B3"/>
    <w:rsid w:val="00576613"/>
    <w:rsid w:val="00577C68"/>
    <w:rsid w:val="005808C5"/>
    <w:rsid w:val="00580A62"/>
    <w:rsid w:val="005811A3"/>
    <w:rsid w:val="0058123E"/>
    <w:rsid w:val="0058137F"/>
    <w:rsid w:val="00581B0F"/>
    <w:rsid w:val="00582401"/>
    <w:rsid w:val="00582F15"/>
    <w:rsid w:val="00583020"/>
    <w:rsid w:val="00583E18"/>
    <w:rsid w:val="00583F82"/>
    <w:rsid w:val="00585D37"/>
    <w:rsid w:val="00586A57"/>
    <w:rsid w:val="00590250"/>
    <w:rsid w:val="005904C2"/>
    <w:rsid w:val="00590E83"/>
    <w:rsid w:val="005914EE"/>
    <w:rsid w:val="00591800"/>
    <w:rsid w:val="00592367"/>
    <w:rsid w:val="005935C6"/>
    <w:rsid w:val="00593F84"/>
    <w:rsid w:val="005940F6"/>
    <w:rsid w:val="00594D1B"/>
    <w:rsid w:val="00594E1A"/>
    <w:rsid w:val="00595062"/>
    <w:rsid w:val="00596C3C"/>
    <w:rsid w:val="005975C4"/>
    <w:rsid w:val="005A010D"/>
    <w:rsid w:val="005A049B"/>
    <w:rsid w:val="005A2AFA"/>
    <w:rsid w:val="005A46A6"/>
    <w:rsid w:val="005A4F13"/>
    <w:rsid w:val="005A5172"/>
    <w:rsid w:val="005A52E9"/>
    <w:rsid w:val="005A68D1"/>
    <w:rsid w:val="005A6CA4"/>
    <w:rsid w:val="005A6D6B"/>
    <w:rsid w:val="005A702E"/>
    <w:rsid w:val="005A77B9"/>
    <w:rsid w:val="005B01AD"/>
    <w:rsid w:val="005B05EA"/>
    <w:rsid w:val="005B0AB1"/>
    <w:rsid w:val="005B0C11"/>
    <w:rsid w:val="005B14C8"/>
    <w:rsid w:val="005B1ABF"/>
    <w:rsid w:val="005B2371"/>
    <w:rsid w:val="005B2A6A"/>
    <w:rsid w:val="005B2E0C"/>
    <w:rsid w:val="005B3673"/>
    <w:rsid w:val="005B4628"/>
    <w:rsid w:val="005B4D4A"/>
    <w:rsid w:val="005B6146"/>
    <w:rsid w:val="005B6513"/>
    <w:rsid w:val="005B695C"/>
    <w:rsid w:val="005B7134"/>
    <w:rsid w:val="005B75CD"/>
    <w:rsid w:val="005C0059"/>
    <w:rsid w:val="005C1AAE"/>
    <w:rsid w:val="005C1D2B"/>
    <w:rsid w:val="005C21BA"/>
    <w:rsid w:val="005C2276"/>
    <w:rsid w:val="005C3828"/>
    <w:rsid w:val="005C3EB5"/>
    <w:rsid w:val="005C4970"/>
    <w:rsid w:val="005C5281"/>
    <w:rsid w:val="005C5D8E"/>
    <w:rsid w:val="005C6021"/>
    <w:rsid w:val="005C6279"/>
    <w:rsid w:val="005C68F6"/>
    <w:rsid w:val="005C748F"/>
    <w:rsid w:val="005C7620"/>
    <w:rsid w:val="005D080F"/>
    <w:rsid w:val="005D0F2B"/>
    <w:rsid w:val="005D138B"/>
    <w:rsid w:val="005D154A"/>
    <w:rsid w:val="005D1944"/>
    <w:rsid w:val="005D19A2"/>
    <w:rsid w:val="005D1DAF"/>
    <w:rsid w:val="005D219A"/>
    <w:rsid w:val="005D2716"/>
    <w:rsid w:val="005D29D3"/>
    <w:rsid w:val="005D3169"/>
    <w:rsid w:val="005D3189"/>
    <w:rsid w:val="005D35F2"/>
    <w:rsid w:val="005D3BFA"/>
    <w:rsid w:val="005D44DF"/>
    <w:rsid w:val="005D6A6E"/>
    <w:rsid w:val="005D6BD0"/>
    <w:rsid w:val="005D743A"/>
    <w:rsid w:val="005D7A5C"/>
    <w:rsid w:val="005E1FB4"/>
    <w:rsid w:val="005E3739"/>
    <w:rsid w:val="005E4B35"/>
    <w:rsid w:val="005E4CE2"/>
    <w:rsid w:val="005E4DD0"/>
    <w:rsid w:val="005E5078"/>
    <w:rsid w:val="005E661E"/>
    <w:rsid w:val="005E6DD1"/>
    <w:rsid w:val="005E7FB6"/>
    <w:rsid w:val="005F07A8"/>
    <w:rsid w:val="005F143E"/>
    <w:rsid w:val="005F2388"/>
    <w:rsid w:val="005F4097"/>
    <w:rsid w:val="005F4AC8"/>
    <w:rsid w:val="005F59CF"/>
    <w:rsid w:val="005F66F7"/>
    <w:rsid w:val="005F74EF"/>
    <w:rsid w:val="005F7960"/>
    <w:rsid w:val="00600D17"/>
    <w:rsid w:val="006010DA"/>
    <w:rsid w:val="006018A9"/>
    <w:rsid w:val="00601A08"/>
    <w:rsid w:val="00603386"/>
    <w:rsid w:val="00603F57"/>
    <w:rsid w:val="00603F5F"/>
    <w:rsid w:val="00603F90"/>
    <w:rsid w:val="0060437B"/>
    <w:rsid w:val="006050C3"/>
    <w:rsid w:val="00605120"/>
    <w:rsid w:val="00605BCD"/>
    <w:rsid w:val="00606375"/>
    <w:rsid w:val="00606388"/>
    <w:rsid w:val="00607000"/>
    <w:rsid w:val="00611525"/>
    <w:rsid w:val="00612711"/>
    <w:rsid w:val="00613228"/>
    <w:rsid w:val="00613588"/>
    <w:rsid w:val="0061379E"/>
    <w:rsid w:val="00614291"/>
    <w:rsid w:val="00614E7A"/>
    <w:rsid w:val="00614F2E"/>
    <w:rsid w:val="006157C9"/>
    <w:rsid w:val="00615895"/>
    <w:rsid w:val="006158B8"/>
    <w:rsid w:val="00615D7F"/>
    <w:rsid w:val="00616317"/>
    <w:rsid w:val="006200A7"/>
    <w:rsid w:val="006201A3"/>
    <w:rsid w:val="00620A88"/>
    <w:rsid w:val="006217E3"/>
    <w:rsid w:val="00622573"/>
    <w:rsid w:val="00623726"/>
    <w:rsid w:val="0062472E"/>
    <w:rsid w:val="00624A48"/>
    <w:rsid w:val="00625117"/>
    <w:rsid w:val="006257F4"/>
    <w:rsid w:val="00630561"/>
    <w:rsid w:val="00630982"/>
    <w:rsid w:val="00630B90"/>
    <w:rsid w:val="00631D22"/>
    <w:rsid w:val="00633AB3"/>
    <w:rsid w:val="00634800"/>
    <w:rsid w:val="0063489E"/>
    <w:rsid w:val="00634A42"/>
    <w:rsid w:val="00635314"/>
    <w:rsid w:val="00635A9B"/>
    <w:rsid w:val="006361B3"/>
    <w:rsid w:val="00636EEA"/>
    <w:rsid w:val="00640BDF"/>
    <w:rsid w:val="006416FC"/>
    <w:rsid w:val="00641B48"/>
    <w:rsid w:val="006430A0"/>
    <w:rsid w:val="0064313C"/>
    <w:rsid w:val="006437E7"/>
    <w:rsid w:val="00643B88"/>
    <w:rsid w:val="006441C4"/>
    <w:rsid w:val="0064439D"/>
    <w:rsid w:val="0064448A"/>
    <w:rsid w:val="00644867"/>
    <w:rsid w:val="00644A87"/>
    <w:rsid w:val="00644D8F"/>
    <w:rsid w:val="00644F23"/>
    <w:rsid w:val="006457FE"/>
    <w:rsid w:val="00645B03"/>
    <w:rsid w:val="00645CC6"/>
    <w:rsid w:val="00647066"/>
    <w:rsid w:val="006517BB"/>
    <w:rsid w:val="006524E4"/>
    <w:rsid w:val="00652614"/>
    <w:rsid w:val="0065263C"/>
    <w:rsid w:val="00652D96"/>
    <w:rsid w:val="006531C3"/>
    <w:rsid w:val="006533E0"/>
    <w:rsid w:val="00655842"/>
    <w:rsid w:val="00656C8D"/>
    <w:rsid w:val="00657664"/>
    <w:rsid w:val="00660D3D"/>
    <w:rsid w:val="0066181D"/>
    <w:rsid w:val="00661C4F"/>
    <w:rsid w:val="00662821"/>
    <w:rsid w:val="00663CB5"/>
    <w:rsid w:val="00664D92"/>
    <w:rsid w:val="00665D98"/>
    <w:rsid w:val="0066642B"/>
    <w:rsid w:val="0066733D"/>
    <w:rsid w:val="006675EE"/>
    <w:rsid w:val="006678A7"/>
    <w:rsid w:val="00667ADC"/>
    <w:rsid w:val="00667E65"/>
    <w:rsid w:val="0067164A"/>
    <w:rsid w:val="00671827"/>
    <w:rsid w:val="006735FC"/>
    <w:rsid w:val="00673662"/>
    <w:rsid w:val="006737DB"/>
    <w:rsid w:val="00673CC9"/>
    <w:rsid w:val="00675B12"/>
    <w:rsid w:val="00676486"/>
    <w:rsid w:val="00677279"/>
    <w:rsid w:val="00677BF5"/>
    <w:rsid w:val="00680058"/>
    <w:rsid w:val="00680598"/>
    <w:rsid w:val="00680B87"/>
    <w:rsid w:val="00680ED4"/>
    <w:rsid w:val="0068280A"/>
    <w:rsid w:val="00683FC8"/>
    <w:rsid w:val="006847C6"/>
    <w:rsid w:val="00684C33"/>
    <w:rsid w:val="006851F6"/>
    <w:rsid w:val="00686322"/>
    <w:rsid w:val="00686602"/>
    <w:rsid w:val="00687168"/>
    <w:rsid w:val="006871FA"/>
    <w:rsid w:val="0068740B"/>
    <w:rsid w:val="00687484"/>
    <w:rsid w:val="00687B81"/>
    <w:rsid w:val="006900FE"/>
    <w:rsid w:val="0069060A"/>
    <w:rsid w:val="006912B8"/>
    <w:rsid w:val="006912FF"/>
    <w:rsid w:val="006914C5"/>
    <w:rsid w:val="00691E03"/>
    <w:rsid w:val="006940FA"/>
    <w:rsid w:val="00694F91"/>
    <w:rsid w:val="00694FD2"/>
    <w:rsid w:val="00696AFF"/>
    <w:rsid w:val="00697086"/>
    <w:rsid w:val="006973A4"/>
    <w:rsid w:val="00697473"/>
    <w:rsid w:val="00697672"/>
    <w:rsid w:val="00697D89"/>
    <w:rsid w:val="006A0A40"/>
    <w:rsid w:val="006A0D74"/>
    <w:rsid w:val="006A2283"/>
    <w:rsid w:val="006A46A5"/>
    <w:rsid w:val="006A5415"/>
    <w:rsid w:val="006A5737"/>
    <w:rsid w:val="006A5D52"/>
    <w:rsid w:val="006A71EF"/>
    <w:rsid w:val="006A7ABC"/>
    <w:rsid w:val="006A7C3C"/>
    <w:rsid w:val="006B009E"/>
    <w:rsid w:val="006B18A8"/>
    <w:rsid w:val="006B233D"/>
    <w:rsid w:val="006B2349"/>
    <w:rsid w:val="006B3520"/>
    <w:rsid w:val="006B3A94"/>
    <w:rsid w:val="006B3B48"/>
    <w:rsid w:val="006B4757"/>
    <w:rsid w:val="006B498E"/>
    <w:rsid w:val="006B5AE3"/>
    <w:rsid w:val="006B5DA1"/>
    <w:rsid w:val="006C28E7"/>
    <w:rsid w:val="006C2FC4"/>
    <w:rsid w:val="006C3E33"/>
    <w:rsid w:val="006C4C76"/>
    <w:rsid w:val="006C52C5"/>
    <w:rsid w:val="006C5ABD"/>
    <w:rsid w:val="006C5C24"/>
    <w:rsid w:val="006C6157"/>
    <w:rsid w:val="006C6CA6"/>
    <w:rsid w:val="006C72CF"/>
    <w:rsid w:val="006C7356"/>
    <w:rsid w:val="006D0253"/>
    <w:rsid w:val="006D05D5"/>
    <w:rsid w:val="006D07F6"/>
    <w:rsid w:val="006D0E50"/>
    <w:rsid w:val="006D1086"/>
    <w:rsid w:val="006D1E1D"/>
    <w:rsid w:val="006D463B"/>
    <w:rsid w:val="006D563B"/>
    <w:rsid w:val="006D5ADA"/>
    <w:rsid w:val="006D5AEE"/>
    <w:rsid w:val="006D6908"/>
    <w:rsid w:val="006D7080"/>
    <w:rsid w:val="006D7144"/>
    <w:rsid w:val="006D7563"/>
    <w:rsid w:val="006E084B"/>
    <w:rsid w:val="006E1D05"/>
    <w:rsid w:val="006E1DB7"/>
    <w:rsid w:val="006E3DD5"/>
    <w:rsid w:val="006E40F8"/>
    <w:rsid w:val="006E5474"/>
    <w:rsid w:val="006E5933"/>
    <w:rsid w:val="006E6402"/>
    <w:rsid w:val="006E69BF"/>
    <w:rsid w:val="006E78C0"/>
    <w:rsid w:val="006F0C20"/>
    <w:rsid w:val="006F0C8C"/>
    <w:rsid w:val="006F2E2A"/>
    <w:rsid w:val="006F3777"/>
    <w:rsid w:val="006F46F9"/>
    <w:rsid w:val="006F4BAB"/>
    <w:rsid w:val="006F4DC9"/>
    <w:rsid w:val="006F502C"/>
    <w:rsid w:val="006F5124"/>
    <w:rsid w:val="006F5D3A"/>
    <w:rsid w:val="006F5DC0"/>
    <w:rsid w:val="007004AC"/>
    <w:rsid w:val="007006F5"/>
    <w:rsid w:val="00700A41"/>
    <w:rsid w:val="00700FA5"/>
    <w:rsid w:val="0070172E"/>
    <w:rsid w:val="00701A7D"/>
    <w:rsid w:val="00702083"/>
    <w:rsid w:val="0070280B"/>
    <w:rsid w:val="00702823"/>
    <w:rsid w:val="00702B5F"/>
    <w:rsid w:val="0070388F"/>
    <w:rsid w:val="00703BE9"/>
    <w:rsid w:val="00703D7B"/>
    <w:rsid w:val="007041E4"/>
    <w:rsid w:val="00704F6B"/>
    <w:rsid w:val="007059A0"/>
    <w:rsid w:val="00706156"/>
    <w:rsid w:val="0070665A"/>
    <w:rsid w:val="00707960"/>
    <w:rsid w:val="0071044B"/>
    <w:rsid w:val="007106FD"/>
    <w:rsid w:val="00711130"/>
    <w:rsid w:val="0071152D"/>
    <w:rsid w:val="00712184"/>
    <w:rsid w:val="00713D4E"/>
    <w:rsid w:val="00714587"/>
    <w:rsid w:val="0071458C"/>
    <w:rsid w:val="00715706"/>
    <w:rsid w:val="00716A7C"/>
    <w:rsid w:val="00716ECF"/>
    <w:rsid w:val="007173B0"/>
    <w:rsid w:val="00717AB6"/>
    <w:rsid w:val="00720409"/>
    <w:rsid w:val="007204D3"/>
    <w:rsid w:val="007208E0"/>
    <w:rsid w:val="0072223E"/>
    <w:rsid w:val="0072281F"/>
    <w:rsid w:val="00723575"/>
    <w:rsid w:val="00723F7F"/>
    <w:rsid w:val="00724D15"/>
    <w:rsid w:val="007253FC"/>
    <w:rsid w:val="0072555C"/>
    <w:rsid w:val="00725C6B"/>
    <w:rsid w:val="00725EBC"/>
    <w:rsid w:val="0072670E"/>
    <w:rsid w:val="00727659"/>
    <w:rsid w:val="007276C3"/>
    <w:rsid w:val="00727BE9"/>
    <w:rsid w:val="00730A39"/>
    <w:rsid w:val="007315B1"/>
    <w:rsid w:val="0073188E"/>
    <w:rsid w:val="00731D0D"/>
    <w:rsid w:val="007329D2"/>
    <w:rsid w:val="007336E5"/>
    <w:rsid w:val="007338A0"/>
    <w:rsid w:val="00734205"/>
    <w:rsid w:val="0073442F"/>
    <w:rsid w:val="00735322"/>
    <w:rsid w:val="007368B9"/>
    <w:rsid w:val="00736A2A"/>
    <w:rsid w:val="0073750B"/>
    <w:rsid w:val="00740942"/>
    <w:rsid w:val="00740DBD"/>
    <w:rsid w:val="00740FD3"/>
    <w:rsid w:val="007410DA"/>
    <w:rsid w:val="00741161"/>
    <w:rsid w:val="00742BFB"/>
    <w:rsid w:val="00743B5D"/>
    <w:rsid w:val="00743B6C"/>
    <w:rsid w:val="00743BDB"/>
    <w:rsid w:val="007464C1"/>
    <w:rsid w:val="00746FB8"/>
    <w:rsid w:val="00747051"/>
    <w:rsid w:val="00747332"/>
    <w:rsid w:val="007514D8"/>
    <w:rsid w:val="00752C58"/>
    <w:rsid w:val="00752DA4"/>
    <w:rsid w:val="00753048"/>
    <w:rsid w:val="00755B8E"/>
    <w:rsid w:val="00756531"/>
    <w:rsid w:val="00756C0B"/>
    <w:rsid w:val="00757BF0"/>
    <w:rsid w:val="00760398"/>
    <w:rsid w:val="0076063D"/>
    <w:rsid w:val="00760A47"/>
    <w:rsid w:val="00760D50"/>
    <w:rsid w:val="0076179E"/>
    <w:rsid w:val="00761ED7"/>
    <w:rsid w:val="00763629"/>
    <w:rsid w:val="00763A5C"/>
    <w:rsid w:val="00763E8A"/>
    <w:rsid w:val="00764E9B"/>
    <w:rsid w:val="00765AF7"/>
    <w:rsid w:val="00765D08"/>
    <w:rsid w:val="007661E4"/>
    <w:rsid w:val="00766EBB"/>
    <w:rsid w:val="0077094B"/>
    <w:rsid w:val="00770FA8"/>
    <w:rsid w:val="007741C7"/>
    <w:rsid w:val="0077423A"/>
    <w:rsid w:val="0077471E"/>
    <w:rsid w:val="00774FD8"/>
    <w:rsid w:val="007750C7"/>
    <w:rsid w:val="00775B97"/>
    <w:rsid w:val="00775C38"/>
    <w:rsid w:val="0077637F"/>
    <w:rsid w:val="007763B5"/>
    <w:rsid w:val="007763F6"/>
    <w:rsid w:val="007824CF"/>
    <w:rsid w:val="00782C8B"/>
    <w:rsid w:val="00783607"/>
    <w:rsid w:val="007838DF"/>
    <w:rsid w:val="00783BA7"/>
    <w:rsid w:val="00783C0D"/>
    <w:rsid w:val="007843F1"/>
    <w:rsid w:val="00784431"/>
    <w:rsid w:val="00784784"/>
    <w:rsid w:val="00784BE6"/>
    <w:rsid w:val="00784E92"/>
    <w:rsid w:val="00784EFC"/>
    <w:rsid w:val="007850F1"/>
    <w:rsid w:val="0078604A"/>
    <w:rsid w:val="00786EF5"/>
    <w:rsid w:val="00787D15"/>
    <w:rsid w:val="0079102C"/>
    <w:rsid w:val="007912B2"/>
    <w:rsid w:val="00792103"/>
    <w:rsid w:val="007923C6"/>
    <w:rsid w:val="0079253B"/>
    <w:rsid w:val="0079299D"/>
    <w:rsid w:val="0079397B"/>
    <w:rsid w:val="00794F79"/>
    <w:rsid w:val="00796116"/>
    <w:rsid w:val="0079719D"/>
    <w:rsid w:val="007A00C3"/>
    <w:rsid w:val="007A08CA"/>
    <w:rsid w:val="007A3767"/>
    <w:rsid w:val="007A3AAD"/>
    <w:rsid w:val="007A4046"/>
    <w:rsid w:val="007A4079"/>
    <w:rsid w:val="007A5968"/>
    <w:rsid w:val="007A59CF"/>
    <w:rsid w:val="007A5F9F"/>
    <w:rsid w:val="007A61AF"/>
    <w:rsid w:val="007A6F9D"/>
    <w:rsid w:val="007A7240"/>
    <w:rsid w:val="007A7686"/>
    <w:rsid w:val="007A7763"/>
    <w:rsid w:val="007B0069"/>
    <w:rsid w:val="007B0604"/>
    <w:rsid w:val="007B1193"/>
    <w:rsid w:val="007B11F2"/>
    <w:rsid w:val="007B2BB6"/>
    <w:rsid w:val="007B2EDD"/>
    <w:rsid w:val="007B3311"/>
    <w:rsid w:val="007B39B2"/>
    <w:rsid w:val="007B39D6"/>
    <w:rsid w:val="007B3D2C"/>
    <w:rsid w:val="007B479E"/>
    <w:rsid w:val="007B5DBD"/>
    <w:rsid w:val="007B6416"/>
    <w:rsid w:val="007B7A08"/>
    <w:rsid w:val="007C05F0"/>
    <w:rsid w:val="007C0D6B"/>
    <w:rsid w:val="007C17E5"/>
    <w:rsid w:val="007C1883"/>
    <w:rsid w:val="007C1DB8"/>
    <w:rsid w:val="007C337A"/>
    <w:rsid w:val="007C425E"/>
    <w:rsid w:val="007C4924"/>
    <w:rsid w:val="007C60F9"/>
    <w:rsid w:val="007C683F"/>
    <w:rsid w:val="007C720D"/>
    <w:rsid w:val="007D060D"/>
    <w:rsid w:val="007D07B0"/>
    <w:rsid w:val="007D0C49"/>
    <w:rsid w:val="007D0E28"/>
    <w:rsid w:val="007D1401"/>
    <w:rsid w:val="007D16A8"/>
    <w:rsid w:val="007D1CB6"/>
    <w:rsid w:val="007D3346"/>
    <w:rsid w:val="007D3448"/>
    <w:rsid w:val="007D38D4"/>
    <w:rsid w:val="007D3938"/>
    <w:rsid w:val="007D47E0"/>
    <w:rsid w:val="007D4FBD"/>
    <w:rsid w:val="007D59CA"/>
    <w:rsid w:val="007D5BC9"/>
    <w:rsid w:val="007D5CC5"/>
    <w:rsid w:val="007D6A24"/>
    <w:rsid w:val="007D6E52"/>
    <w:rsid w:val="007D6F4B"/>
    <w:rsid w:val="007E09B6"/>
    <w:rsid w:val="007E1810"/>
    <w:rsid w:val="007E2320"/>
    <w:rsid w:val="007E2D2C"/>
    <w:rsid w:val="007E321F"/>
    <w:rsid w:val="007E33AE"/>
    <w:rsid w:val="007E3442"/>
    <w:rsid w:val="007E4329"/>
    <w:rsid w:val="007E4921"/>
    <w:rsid w:val="007E4F20"/>
    <w:rsid w:val="007E51E6"/>
    <w:rsid w:val="007E600E"/>
    <w:rsid w:val="007E616B"/>
    <w:rsid w:val="007E6545"/>
    <w:rsid w:val="007E79FA"/>
    <w:rsid w:val="007F08F8"/>
    <w:rsid w:val="007F132B"/>
    <w:rsid w:val="007F2E73"/>
    <w:rsid w:val="007F2F5D"/>
    <w:rsid w:val="007F38EC"/>
    <w:rsid w:val="007F47ED"/>
    <w:rsid w:val="007F7384"/>
    <w:rsid w:val="007F7854"/>
    <w:rsid w:val="007F7CD4"/>
    <w:rsid w:val="0080001A"/>
    <w:rsid w:val="0080066D"/>
    <w:rsid w:val="00801AD5"/>
    <w:rsid w:val="00801C3E"/>
    <w:rsid w:val="00802443"/>
    <w:rsid w:val="00802658"/>
    <w:rsid w:val="00803926"/>
    <w:rsid w:val="0080489A"/>
    <w:rsid w:val="00804FE9"/>
    <w:rsid w:val="00807C54"/>
    <w:rsid w:val="00810805"/>
    <w:rsid w:val="00810E6C"/>
    <w:rsid w:val="008116EA"/>
    <w:rsid w:val="00811E6B"/>
    <w:rsid w:val="0081295E"/>
    <w:rsid w:val="008134F7"/>
    <w:rsid w:val="00813827"/>
    <w:rsid w:val="00813BB0"/>
    <w:rsid w:val="0081425B"/>
    <w:rsid w:val="008146D8"/>
    <w:rsid w:val="0081508A"/>
    <w:rsid w:val="00815416"/>
    <w:rsid w:val="00815E6A"/>
    <w:rsid w:val="00816609"/>
    <w:rsid w:val="008175E1"/>
    <w:rsid w:val="00820447"/>
    <w:rsid w:val="00820B09"/>
    <w:rsid w:val="00821EB4"/>
    <w:rsid w:val="008223ED"/>
    <w:rsid w:val="008243D1"/>
    <w:rsid w:val="00824675"/>
    <w:rsid w:val="0082528D"/>
    <w:rsid w:val="008272E7"/>
    <w:rsid w:val="00831C73"/>
    <w:rsid w:val="00831C75"/>
    <w:rsid w:val="00831E12"/>
    <w:rsid w:val="0083389F"/>
    <w:rsid w:val="008338B7"/>
    <w:rsid w:val="00834CF7"/>
    <w:rsid w:val="0083524E"/>
    <w:rsid w:val="00835505"/>
    <w:rsid w:val="00836ABE"/>
    <w:rsid w:val="00837926"/>
    <w:rsid w:val="008402F5"/>
    <w:rsid w:val="008430DC"/>
    <w:rsid w:val="00843D71"/>
    <w:rsid w:val="00844B85"/>
    <w:rsid w:val="0084542D"/>
    <w:rsid w:val="008454E9"/>
    <w:rsid w:val="0084583B"/>
    <w:rsid w:val="00846F14"/>
    <w:rsid w:val="008479A2"/>
    <w:rsid w:val="00850ABF"/>
    <w:rsid w:val="00851804"/>
    <w:rsid w:val="0085206E"/>
    <w:rsid w:val="00852FFB"/>
    <w:rsid w:val="008534DD"/>
    <w:rsid w:val="00853899"/>
    <w:rsid w:val="00853A6C"/>
    <w:rsid w:val="0085523E"/>
    <w:rsid w:val="0085643B"/>
    <w:rsid w:val="00860447"/>
    <w:rsid w:val="0086117D"/>
    <w:rsid w:val="00861290"/>
    <w:rsid w:val="00861B62"/>
    <w:rsid w:val="00861DAF"/>
    <w:rsid w:val="00862071"/>
    <w:rsid w:val="00862BB7"/>
    <w:rsid w:val="00862EC0"/>
    <w:rsid w:val="008640B8"/>
    <w:rsid w:val="008640E2"/>
    <w:rsid w:val="008648DA"/>
    <w:rsid w:val="00865326"/>
    <w:rsid w:val="008656CE"/>
    <w:rsid w:val="00867E22"/>
    <w:rsid w:val="00867FAF"/>
    <w:rsid w:val="008702D3"/>
    <w:rsid w:val="00870919"/>
    <w:rsid w:val="00870B87"/>
    <w:rsid w:val="00871F25"/>
    <w:rsid w:val="00873A30"/>
    <w:rsid w:val="0087443F"/>
    <w:rsid w:val="00874469"/>
    <w:rsid w:val="00874FEC"/>
    <w:rsid w:val="008767C5"/>
    <w:rsid w:val="00876EE8"/>
    <w:rsid w:val="00877800"/>
    <w:rsid w:val="00877B7A"/>
    <w:rsid w:val="008816DA"/>
    <w:rsid w:val="00881BB8"/>
    <w:rsid w:val="00882EAC"/>
    <w:rsid w:val="00882F3F"/>
    <w:rsid w:val="0088361B"/>
    <w:rsid w:val="00883C25"/>
    <w:rsid w:val="008846AE"/>
    <w:rsid w:val="00884B80"/>
    <w:rsid w:val="00884CE3"/>
    <w:rsid w:val="0088541C"/>
    <w:rsid w:val="008854D7"/>
    <w:rsid w:val="00885CB4"/>
    <w:rsid w:val="00886452"/>
    <w:rsid w:val="008868D1"/>
    <w:rsid w:val="00886C0D"/>
    <w:rsid w:val="00886EBD"/>
    <w:rsid w:val="00886F57"/>
    <w:rsid w:val="00887D59"/>
    <w:rsid w:val="00890242"/>
    <w:rsid w:val="00892166"/>
    <w:rsid w:val="008922E8"/>
    <w:rsid w:val="00892FA3"/>
    <w:rsid w:val="00893152"/>
    <w:rsid w:val="00893989"/>
    <w:rsid w:val="00893E5C"/>
    <w:rsid w:val="00894697"/>
    <w:rsid w:val="008948F8"/>
    <w:rsid w:val="0089525F"/>
    <w:rsid w:val="0089533C"/>
    <w:rsid w:val="00896149"/>
    <w:rsid w:val="008964DE"/>
    <w:rsid w:val="00896D59"/>
    <w:rsid w:val="00896D5E"/>
    <w:rsid w:val="0089700B"/>
    <w:rsid w:val="0089702D"/>
    <w:rsid w:val="00897F41"/>
    <w:rsid w:val="008A0F75"/>
    <w:rsid w:val="008A1604"/>
    <w:rsid w:val="008A1DEB"/>
    <w:rsid w:val="008A249D"/>
    <w:rsid w:val="008A3292"/>
    <w:rsid w:val="008A4C46"/>
    <w:rsid w:val="008A588F"/>
    <w:rsid w:val="008A6798"/>
    <w:rsid w:val="008A6B0D"/>
    <w:rsid w:val="008A6DAE"/>
    <w:rsid w:val="008A7B3C"/>
    <w:rsid w:val="008B00C3"/>
    <w:rsid w:val="008B03CF"/>
    <w:rsid w:val="008B0DA1"/>
    <w:rsid w:val="008B0FAE"/>
    <w:rsid w:val="008B172F"/>
    <w:rsid w:val="008B216A"/>
    <w:rsid w:val="008B22AA"/>
    <w:rsid w:val="008B3705"/>
    <w:rsid w:val="008B38F9"/>
    <w:rsid w:val="008B4029"/>
    <w:rsid w:val="008B5043"/>
    <w:rsid w:val="008B6670"/>
    <w:rsid w:val="008B7145"/>
    <w:rsid w:val="008C043E"/>
    <w:rsid w:val="008C0E52"/>
    <w:rsid w:val="008C19DA"/>
    <w:rsid w:val="008C302E"/>
    <w:rsid w:val="008C4C30"/>
    <w:rsid w:val="008C5461"/>
    <w:rsid w:val="008C6807"/>
    <w:rsid w:val="008C6AEC"/>
    <w:rsid w:val="008C7591"/>
    <w:rsid w:val="008C75B3"/>
    <w:rsid w:val="008D0B02"/>
    <w:rsid w:val="008D1BD9"/>
    <w:rsid w:val="008D246C"/>
    <w:rsid w:val="008D2B63"/>
    <w:rsid w:val="008D3400"/>
    <w:rsid w:val="008D4B9B"/>
    <w:rsid w:val="008D4ED9"/>
    <w:rsid w:val="008D515E"/>
    <w:rsid w:val="008D5927"/>
    <w:rsid w:val="008D5BFC"/>
    <w:rsid w:val="008D69AF"/>
    <w:rsid w:val="008E05DB"/>
    <w:rsid w:val="008E0B55"/>
    <w:rsid w:val="008E32CA"/>
    <w:rsid w:val="008E3315"/>
    <w:rsid w:val="008E3AD5"/>
    <w:rsid w:val="008E3B17"/>
    <w:rsid w:val="008E6664"/>
    <w:rsid w:val="008E71D0"/>
    <w:rsid w:val="008E743B"/>
    <w:rsid w:val="008F0E80"/>
    <w:rsid w:val="008F1074"/>
    <w:rsid w:val="008F18A1"/>
    <w:rsid w:val="008F2CE5"/>
    <w:rsid w:val="008F47F6"/>
    <w:rsid w:val="008F53D1"/>
    <w:rsid w:val="008F5477"/>
    <w:rsid w:val="008F54F6"/>
    <w:rsid w:val="008F5565"/>
    <w:rsid w:val="008F56E2"/>
    <w:rsid w:val="008F5794"/>
    <w:rsid w:val="008F6DAB"/>
    <w:rsid w:val="008F7300"/>
    <w:rsid w:val="008F76A5"/>
    <w:rsid w:val="008F777B"/>
    <w:rsid w:val="008F7EA9"/>
    <w:rsid w:val="009001B2"/>
    <w:rsid w:val="00900B2E"/>
    <w:rsid w:val="0090149C"/>
    <w:rsid w:val="00901DC8"/>
    <w:rsid w:val="00902114"/>
    <w:rsid w:val="00902FF8"/>
    <w:rsid w:val="00903EB6"/>
    <w:rsid w:val="00903F0B"/>
    <w:rsid w:val="009052C3"/>
    <w:rsid w:val="009061B9"/>
    <w:rsid w:val="00906280"/>
    <w:rsid w:val="00906599"/>
    <w:rsid w:val="00906C6C"/>
    <w:rsid w:val="00907E5C"/>
    <w:rsid w:val="00907E95"/>
    <w:rsid w:val="009103CF"/>
    <w:rsid w:val="00910B10"/>
    <w:rsid w:val="00911340"/>
    <w:rsid w:val="00911982"/>
    <w:rsid w:val="00912B63"/>
    <w:rsid w:val="0091354D"/>
    <w:rsid w:val="0091418F"/>
    <w:rsid w:val="00914879"/>
    <w:rsid w:val="0091490C"/>
    <w:rsid w:val="009160F4"/>
    <w:rsid w:val="009161B7"/>
    <w:rsid w:val="00916226"/>
    <w:rsid w:val="00916D5B"/>
    <w:rsid w:val="00916DA0"/>
    <w:rsid w:val="00917B5E"/>
    <w:rsid w:val="00920186"/>
    <w:rsid w:val="0092048E"/>
    <w:rsid w:val="00920F94"/>
    <w:rsid w:val="009214D4"/>
    <w:rsid w:val="009221B7"/>
    <w:rsid w:val="00922B9E"/>
    <w:rsid w:val="00923097"/>
    <w:rsid w:val="00923467"/>
    <w:rsid w:val="00923B1D"/>
    <w:rsid w:val="00924002"/>
    <w:rsid w:val="0092528D"/>
    <w:rsid w:val="00925367"/>
    <w:rsid w:val="0092625E"/>
    <w:rsid w:val="00926AB1"/>
    <w:rsid w:val="0092754F"/>
    <w:rsid w:val="00927952"/>
    <w:rsid w:val="00927982"/>
    <w:rsid w:val="00930B50"/>
    <w:rsid w:val="00930C2D"/>
    <w:rsid w:val="00931249"/>
    <w:rsid w:val="00932059"/>
    <w:rsid w:val="0093223A"/>
    <w:rsid w:val="00932597"/>
    <w:rsid w:val="00932BDC"/>
    <w:rsid w:val="00933026"/>
    <w:rsid w:val="00933E12"/>
    <w:rsid w:val="0093467A"/>
    <w:rsid w:val="009347AD"/>
    <w:rsid w:val="00934C1C"/>
    <w:rsid w:val="00935045"/>
    <w:rsid w:val="009350E4"/>
    <w:rsid w:val="00935FA4"/>
    <w:rsid w:val="00937344"/>
    <w:rsid w:val="009373D3"/>
    <w:rsid w:val="0093781B"/>
    <w:rsid w:val="009407A6"/>
    <w:rsid w:val="00941773"/>
    <w:rsid w:val="00941CA0"/>
    <w:rsid w:val="0094328B"/>
    <w:rsid w:val="00943387"/>
    <w:rsid w:val="009438A2"/>
    <w:rsid w:val="009443FF"/>
    <w:rsid w:val="00944EB3"/>
    <w:rsid w:val="00945165"/>
    <w:rsid w:val="00946C3B"/>
    <w:rsid w:val="00947377"/>
    <w:rsid w:val="00947953"/>
    <w:rsid w:val="00947A4F"/>
    <w:rsid w:val="00947B93"/>
    <w:rsid w:val="009504E4"/>
    <w:rsid w:val="00950FB2"/>
    <w:rsid w:val="009514D1"/>
    <w:rsid w:val="0095163C"/>
    <w:rsid w:val="009525D6"/>
    <w:rsid w:val="0095324F"/>
    <w:rsid w:val="00953509"/>
    <w:rsid w:val="00953532"/>
    <w:rsid w:val="0095359D"/>
    <w:rsid w:val="00953817"/>
    <w:rsid w:val="009549C9"/>
    <w:rsid w:val="009568A6"/>
    <w:rsid w:val="009570F9"/>
    <w:rsid w:val="0095743B"/>
    <w:rsid w:val="0096051D"/>
    <w:rsid w:val="00960CA0"/>
    <w:rsid w:val="00961000"/>
    <w:rsid w:val="00961EE5"/>
    <w:rsid w:val="00962577"/>
    <w:rsid w:val="0096375E"/>
    <w:rsid w:val="00963960"/>
    <w:rsid w:val="009643C2"/>
    <w:rsid w:val="0096472F"/>
    <w:rsid w:val="00964E70"/>
    <w:rsid w:val="00966DE0"/>
    <w:rsid w:val="009707E6"/>
    <w:rsid w:val="00971CD9"/>
    <w:rsid w:val="00971DEA"/>
    <w:rsid w:val="009722AA"/>
    <w:rsid w:val="009734D4"/>
    <w:rsid w:val="009736A0"/>
    <w:rsid w:val="009736FF"/>
    <w:rsid w:val="00973787"/>
    <w:rsid w:val="00973BE9"/>
    <w:rsid w:val="00974495"/>
    <w:rsid w:val="0097452C"/>
    <w:rsid w:val="00974BEA"/>
    <w:rsid w:val="0097646F"/>
    <w:rsid w:val="00976D6B"/>
    <w:rsid w:val="0097700E"/>
    <w:rsid w:val="00977ABF"/>
    <w:rsid w:val="00980B44"/>
    <w:rsid w:val="00980D4A"/>
    <w:rsid w:val="00980E14"/>
    <w:rsid w:val="00981862"/>
    <w:rsid w:val="00981D55"/>
    <w:rsid w:val="00981EA2"/>
    <w:rsid w:val="0098270B"/>
    <w:rsid w:val="0098322E"/>
    <w:rsid w:val="00983796"/>
    <w:rsid w:val="00983957"/>
    <w:rsid w:val="00984890"/>
    <w:rsid w:val="0098498A"/>
    <w:rsid w:val="00984A4A"/>
    <w:rsid w:val="00985F43"/>
    <w:rsid w:val="0098605C"/>
    <w:rsid w:val="00986619"/>
    <w:rsid w:val="00986D17"/>
    <w:rsid w:val="0098771D"/>
    <w:rsid w:val="00987C16"/>
    <w:rsid w:val="00987C9E"/>
    <w:rsid w:val="00990383"/>
    <w:rsid w:val="009907AD"/>
    <w:rsid w:val="00990C77"/>
    <w:rsid w:val="009912FB"/>
    <w:rsid w:val="00992319"/>
    <w:rsid w:val="00993FBD"/>
    <w:rsid w:val="00994EB0"/>
    <w:rsid w:val="0099537C"/>
    <w:rsid w:val="00996B9C"/>
    <w:rsid w:val="00996ED6"/>
    <w:rsid w:val="009A077C"/>
    <w:rsid w:val="009A0986"/>
    <w:rsid w:val="009A35AC"/>
    <w:rsid w:val="009A48D1"/>
    <w:rsid w:val="009A5BF7"/>
    <w:rsid w:val="009A5E3D"/>
    <w:rsid w:val="009A63EB"/>
    <w:rsid w:val="009A754E"/>
    <w:rsid w:val="009A7EAB"/>
    <w:rsid w:val="009B0845"/>
    <w:rsid w:val="009B135C"/>
    <w:rsid w:val="009B15F1"/>
    <w:rsid w:val="009B2545"/>
    <w:rsid w:val="009B2C1B"/>
    <w:rsid w:val="009B3414"/>
    <w:rsid w:val="009B366A"/>
    <w:rsid w:val="009B3739"/>
    <w:rsid w:val="009B4276"/>
    <w:rsid w:val="009B4EF4"/>
    <w:rsid w:val="009B4F1B"/>
    <w:rsid w:val="009B502D"/>
    <w:rsid w:val="009B5375"/>
    <w:rsid w:val="009B5B10"/>
    <w:rsid w:val="009B66AC"/>
    <w:rsid w:val="009B6BB9"/>
    <w:rsid w:val="009B6E6F"/>
    <w:rsid w:val="009B77AE"/>
    <w:rsid w:val="009B7E8D"/>
    <w:rsid w:val="009B7EA3"/>
    <w:rsid w:val="009C04F3"/>
    <w:rsid w:val="009C081F"/>
    <w:rsid w:val="009C247D"/>
    <w:rsid w:val="009C32EF"/>
    <w:rsid w:val="009C50C6"/>
    <w:rsid w:val="009C6541"/>
    <w:rsid w:val="009C70B7"/>
    <w:rsid w:val="009C7D5D"/>
    <w:rsid w:val="009D0870"/>
    <w:rsid w:val="009D0BAF"/>
    <w:rsid w:val="009D1419"/>
    <w:rsid w:val="009D14F4"/>
    <w:rsid w:val="009D2109"/>
    <w:rsid w:val="009D22F1"/>
    <w:rsid w:val="009D2DF2"/>
    <w:rsid w:val="009D308D"/>
    <w:rsid w:val="009D37B9"/>
    <w:rsid w:val="009D3A7B"/>
    <w:rsid w:val="009D471C"/>
    <w:rsid w:val="009D4A1E"/>
    <w:rsid w:val="009D50C4"/>
    <w:rsid w:val="009D52C4"/>
    <w:rsid w:val="009D5372"/>
    <w:rsid w:val="009D601E"/>
    <w:rsid w:val="009D6062"/>
    <w:rsid w:val="009D6C3F"/>
    <w:rsid w:val="009D6E50"/>
    <w:rsid w:val="009D6EC5"/>
    <w:rsid w:val="009E06B3"/>
    <w:rsid w:val="009E1ADF"/>
    <w:rsid w:val="009E2165"/>
    <w:rsid w:val="009E269E"/>
    <w:rsid w:val="009E26CF"/>
    <w:rsid w:val="009E36BA"/>
    <w:rsid w:val="009E401B"/>
    <w:rsid w:val="009E4315"/>
    <w:rsid w:val="009E6309"/>
    <w:rsid w:val="009E6798"/>
    <w:rsid w:val="009E70C0"/>
    <w:rsid w:val="009E7685"/>
    <w:rsid w:val="009E7839"/>
    <w:rsid w:val="009E7ABD"/>
    <w:rsid w:val="009E7DFC"/>
    <w:rsid w:val="009F23EE"/>
    <w:rsid w:val="009F2863"/>
    <w:rsid w:val="009F2976"/>
    <w:rsid w:val="009F39B7"/>
    <w:rsid w:val="009F3B7C"/>
    <w:rsid w:val="009F3DEA"/>
    <w:rsid w:val="009F43DE"/>
    <w:rsid w:val="009F49F4"/>
    <w:rsid w:val="009F4A10"/>
    <w:rsid w:val="009F4E3E"/>
    <w:rsid w:val="009F4F96"/>
    <w:rsid w:val="009F5044"/>
    <w:rsid w:val="009F5329"/>
    <w:rsid w:val="009F5A6D"/>
    <w:rsid w:val="009F5DFD"/>
    <w:rsid w:val="009F5F83"/>
    <w:rsid w:val="009F69E7"/>
    <w:rsid w:val="009F706F"/>
    <w:rsid w:val="009F7600"/>
    <w:rsid w:val="009F7B1D"/>
    <w:rsid w:val="00A000FE"/>
    <w:rsid w:val="00A0097C"/>
    <w:rsid w:val="00A01B29"/>
    <w:rsid w:val="00A01C12"/>
    <w:rsid w:val="00A021DE"/>
    <w:rsid w:val="00A02383"/>
    <w:rsid w:val="00A0427F"/>
    <w:rsid w:val="00A06D2D"/>
    <w:rsid w:val="00A073C0"/>
    <w:rsid w:val="00A07A20"/>
    <w:rsid w:val="00A1077B"/>
    <w:rsid w:val="00A109E9"/>
    <w:rsid w:val="00A10ED4"/>
    <w:rsid w:val="00A118F4"/>
    <w:rsid w:val="00A11C69"/>
    <w:rsid w:val="00A123FF"/>
    <w:rsid w:val="00A132E4"/>
    <w:rsid w:val="00A134C3"/>
    <w:rsid w:val="00A135CB"/>
    <w:rsid w:val="00A1385E"/>
    <w:rsid w:val="00A1420B"/>
    <w:rsid w:val="00A15C84"/>
    <w:rsid w:val="00A15CFF"/>
    <w:rsid w:val="00A1624D"/>
    <w:rsid w:val="00A162C3"/>
    <w:rsid w:val="00A164D5"/>
    <w:rsid w:val="00A1660A"/>
    <w:rsid w:val="00A171EE"/>
    <w:rsid w:val="00A17C4E"/>
    <w:rsid w:val="00A2032D"/>
    <w:rsid w:val="00A20D1D"/>
    <w:rsid w:val="00A2105D"/>
    <w:rsid w:val="00A21943"/>
    <w:rsid w:val="00A21960"/>
    <w:rsid w:val="00A21F17"/>
    <w:rsid w:val="00A22136"/>
    <w:rsid w:val="00A2213A"/>
    <w:rsid w:val="00A22304"/>
    <w:rsid w:val="00A22856"/>
    <w:rsid w:val="00A22D59"/>
    <w:rsid w:val="00A23056"/>
    <w:rsid w:val="00A233D5"/>
    <w:rsid w:val="00A242AF"/>
    <w:rsid w:val="00A246A2"/>
    <w:rsid w:val="00A2696F"/>
    <w:rsid w:val="00A26C55"/>
    <w:rsid w:val="00A27D38"/>
    <w:rsid w:val="00A31EC4"/>
    <w:rsid w:val="00A32828"/>
    <w:rsid w:val="00A32A0C"/>
    <w:rsid w:val="00A34CFA"/>
    <w:rsid w:val="00A35329"/>
    <w:rsid w:val="00A35731"/>
    <w:rsid w:val="00A40236"/>
    <w:rsid w:val="00A40DDA"/>
    <w:rsid w:val="00A4134F"/>
    <w:rsid w:val="00A413A0"/>
    <w:rsid w:val="00A4178E"/>
    <w:rsid w:val="00A42DC9"/>
    <w:rsid w:val="00A4360F"/>
    <w:rsid w:val="00A4382C"/>
    <w:rsid w:val="00A44ED9"/>
    <w:rsid w:val="00A455B2"/>
    <w:rsid w:val="00A4584A"/>
    <w:rsid w:val="00A53411"/>
    <w:rsid w:val="00A53859"/>
    <w:rsid w:val="00A53E26"/>
    <w:rsid w:val="00A55774"/>
    <w:rsid w:val="00A56CDA"/>
    <w:rsid w:val="00A57105"/>
    <w:rsid w:val="00A571BF"/>
    <w:rsid w:val="00A57290"/>
    <w:rsid w:val="00A574C6"/>
    <w:rsid w:val="00A6023D"/>
    <w:rsid w:val="00A60CF5"/>
    <w:rsid w:val="00A61BB2"/>
    <w:rsid w:val="00A62436"/>
    <w:rsid w:val="00A6358C"/>
    <w:rsid w:val="00A639E5"/>
    <w:rsid w:val="00A63B00"/>
    <w:rsid w:val="00A6621F"/>
    <w:rsid w:val="00A66674"/>
    <w:rsid w:val="00A66FF0"/>
    <w:rsid w:val="00A67C2A"/>
    <w:rsid w:val="00A7142D"/>
    <w:rsid w:val="00A72925"/>
    <w:rsid w:val="00A72B2F"/>
    <w:rsid w:val="00A73544"/>
    <w:rsid w:val="00A73981"/>
    <w:rsid w:val="00A73E54"/>
    <w:rsid w:val="00A74017"/>
    <w:rsid w:val="00A74046"/>
    <w:rsid w:val="00A74130"/>
    <w:rsid w:val="00A75A39"/>
    <w:rsid w:val="00A763AD"/>
    <w:rsid w:val="00A76400"/>
    <w:rsid w:val="00A807B7"/>
    <w:rsid w:val="00A8092D"/>
    <w:rsid w:val="00A80C51"/>
    <w:rsid w:val="00A811B4"/>
    <w:rsid w:val="00A81891"/>
    <w:rsid w:val="00A819A4"/>
    <w:rsid w:val="00A81A5D"/>
    <w:rsid w:val="00A81B22"/>
    <w:rsid w:val="00A823F2"/>
    <w:rsid w:val="00A82A9D"/>
    <w:rsid w:val="00A83005"/>
    <w:rsid w:val="00A83EDB"/>
    <w:rsid w:val="00A8401B"/>
    <w:rsid w:val="00A84630"/>
    <w:rsid w:val="00A86844"/>
    <w:rsid w:val="00A86A22"/>
    <w:rsid w:val="00A86BF4"/>
    <w:rsid w:val="00A87CED"/>
    <w:rsid w:val="00A90370"/>
    <w:rsid w:val="00A9123E"/>
    <w:rsid w:val="00A9235E"/>
    <w:rsid w:val="00A929C1"/>
    <w:rsid w:val="00A946AF"/>
    <w:rsid w:val="00A94D5A"/>
    <w:rsid w:val="00A94FA5"/>
    <w:rsid w:val="00A96383"/>
    <w:rsid w:val="00A96720"/>
    <w:rsid w:val="00AA0083"/>
    <w:rsid w:val="00AA1B87"/>
    <w:rsid w:val="00AA1C44"/>
    <w:rsid w:val="00AA225D"/>
    <w:rsid w:val="00AA3A85"/>
    <w:rsid w:val="00AA3DEC"/>
    <w:rsid w:val="00AA4232"/>
    <w:rsid w:val="00AA4B94"/>
    <w:rsid w:val="00AA53F9"/>
    <w:rsid w:val="00AA66C1"/>
    <w:rsid w:val="00AA791E"/>
    <w:rsid w:val="00AA7F15"/>
    <w:rsid w:val="00AB0984"/>
    <w:rsid w:val="00AB12DE"/>
    <w:rsid w:val="00AB1695"/>
    <w:rsid w:val="00AB245C"/>
    <w:rsid w:val="00AB28AB"/>
    <w:rsid w:val="00AB32E8"/>
    <w:rsid w:val="00AB3DF5"/>
    <w:rsid w:val="00AB4E2D"/>
    <w:rsid w:val="00AB52E8"/>
    <w:rsid w:val="00AB59C6"/>
    <w:rsid w:val="00AB5AF6"/>
    <w:rsid w:val="00AB5FBE"/>
    <w:rsid w:val="00AB6846"/>
    <w:rsid w:val="00AB7171"/>
    <w:rsid w:val="00AB718F"/>
    <w:rsid w:val="00AC14A1"/>
    <w:rsid w:val="00AC2CC8"/>
    <w:rsid w:val="00AC339B"/>
    <w:rsid w:val="00AC3661"/>
    <w:rsid w:val="00AC5DF3"/>
    <w:rsid w:val="00AC6A0C"/>
    <w:rsid w:val="00AD0C18"/>
    <w:rsid w:val="00AD1319"/>
    <w:rsid w:val="00AD18C1"/>
    <w:rsid w:val="00AD230A"/>
    <w:rsid w:val="00AD346A"/>
    <w:rsid w:val="00AD362A"/>
    <w:rsid w:val="00AD3A93"/>
    <w:rsid w:val="00AD45A5"/>
    <w:rsid w:val="00AD468F"/>
    <w:rsid w:val="00AD5085"/>
    <w:rsid w:val="00AD579B"/>
    <w:rsid w:val="00AD748B"/>
    <w:rsid w:val="00AE0A48"/>
    <w:rsid w:val="00AE19D4"/>
    <w:rsid w:val="00AE3229"/>
    <w:rsid w:val="00AE3356"/>
    <w:rsid w:val="00AE3BCC"/>
    <w:rsid w:val="00AE3CD3"/>
    <w:rsid w:val="00AE3D61"/>
    <w:rsid w:val="00AE6966"/>
    <w:rsid w:val="00AE727E"/>
    <w:rsid w:val="00AF012B"/>
    <w:rsid w:val="00AF1204"/>
    <w:rsid w:val="00AF12C8"/>
    <w:rsid w:val="00AF1A75"/>
    <w:rsid w:val="00AF20C6"/>
    <w:rsid w:val="00AF2C3D"/>
    <w:rsid w:val="00AF2CF9"/>
    <w:rsid w:val="00AF5093"/>
    <w:rsid w:val="00AF6850"/>
    <w:rsid w:val="00AF7520"/>
    <w:rsid w:val="00AF7825"/>
    <w:rsid w:val="00B0068E"/>
    <w:rsid w:val="00B006E9"/>
    <w:rsid w:val="00B01A20"/>
    <w:rsid w:val="00B01F72"/>
    <w:rsid w:val="00B02142"/>
    <w:rsid w:val="00B023BF"/>
    <w:rsid w:val="00B02B92"/>
    <w:rsid w:val="00B02D8F"/>
    <w:rsid w:val="00B04A02"/>
    <w:rsid w:val="00B05B52"/>
    <w:rsid w:val="00B05C2B"/>
    <w:rsid w:val="00B0613F"/>
    <w:rsid w:val="00B061EF"/>
    <w:rsid w:val="00B06244"/>
    <w:rsid w:val="00B06364"/>
    <w:rsid w:val="00B067EA"/>
    <w:rsid w:val="00B07343"/>
    <w:rsid w:val="00B07526"/>
    <w:rsid w:val="00B101BD"/>
    <w:rsid w:val="00B10E90"/>
    <w:rsid w:val="00B111DD"/>
    <w:rsid w:val="00B1137C"/>
    <w:rsid w:val="00B11829"/>
    <w:rsid w:val="00B119AD"/>
    <w:rsid w:val="00B11DA5"/>
    <w:rsid w:val="00B12534"/>
    <w:rsid w:val="00B12970"/>
    <w:rsid w:val="00B13D24"/>
    <w:rsid w:val="00B13E78"/>
    <w:rsid w:val="00B14581"/>
    <w:rsid w:val="00B159E8"/>
    <w:rsid w:val="00B15E5E"/>
    <w:rsid w:val="00B15EFE"/>
    <w:rsid w:val="00B161C3"/>
    <w:rsid w:val="00B162B9"/>
    <w:rsid w:val="00B16520"/>
    <w:rsid w:val="00B16AFB"/>
    <w:rsid w:val="00B16ECD"/>
    <w:rsid w:val="00B17079"/>
    <w:rsid w:val="00B17393"/>
    <w:rsid w:val="00B20345"/>
    <w:rsid w:val="00B21BE6"/>
    <w:rsid w:val="00B22727"/>
    <w:rsid w:val="00B22A64"/>
    <w:rsid w:val="00B243C2"/>
    <w:rsid w:val="00B24537"/>
    <w:rsid w:val="00B2456B"/>
    <w:rsid w:val="00B2481D"/>
    <w:rsid w:val="00B24E97"/>
    <w:rsid w:val="00B25DF7"/>
    <w:rsid w:val="00B27851"/>
    <w:rsid w:val="00B27EEE"/>
    <w:rsid w:val="00B30002"/>
    <w:rsid w:val="00B3042E"/>
    <w:rsid w:val="00B30B38"/>
    <w:rsid w:val="00B31246"/>
    <w:rsid w:val="00B31F1F"/>
    <w:rsid w:val="00B33410"/>
    <w:rsid w:val="00B33667"/>
    <w:rsid w:val="00B33967"/>
    <w:rsid w:val="00B33D10"/>
    <w:rsid w:val="00B34122"/>
    <w:rsid w:val="00B34C14"/>
    <w:rsid w:val="00B34C9F"/>
    <w:rsid w:val="00B355D9"/>
    <w:rsid w:val="00B3645F"/>
    <w:rsid w:val="00B376DC"/>
    <w:rsid w:val="00B379C8"/>
    <w:rsid w:val="00B40E17"/>
    <w:rsid w:val="00B41FFF"/>
    <w:rsid w:val="00B420EE"/>
    <w:rsid w:val="00B422C4"/>
    <w:rsid w:val="00B4262F"/>
    <w:rsid w:val="00B42715"/>
    <w:rsid w:val="00B43416"/>
    <w:rsid w:val="00B4415A"/>
    <w:rsid w:val="00B44749"/>
    <w:rsid w:val="00B44EB7"/>
    <w:rsid w:val="00B46F61"/>
    <w:rsid w:val="00B46F6B"/>
    <w:rsid w:val="00B470FA"/>
    <w:rsid w:val="00B47389"/>
    <w:rsid w:val="00B47C22"/>
    <w:rsid w:val="00B509E7"/>
    <w:rsid w:val="00B511D0"/>
    <w:rsid w:val="00B51722"/>
    <w:rsid w:val="00B5204D"/>
    <w:rsid w:val="00B533B3"/>
    <w:rsid w:val="00B5418E"/>
    <w:rsid w:val="00B54A4A"/>
    <w:rsid w:val="00B56110"/>
    <w:rsid w:val="00B56A76"/>
    <w:rsid w:val="00B608E7"/>
    <w:rsid w:val="00B63E23"/>
    <w:rsid w:val="00B6465F"/>
    <w:rsid w:val="00B6487F"/>
    <w:rsid w:val="00B651A8"/>
    <w:rsid w:val="00B66889"/>
    <w:rsid w:val="00B67746"/>
    <w:rsid w:val="00B67C32"/>
    <w:rsid w:val="00B7091A"/>
    <w:rsid w:val="00B7187D"/>
    <w:rsid w:val="00B725F7"/>
    <w:rsid w:val="00B72983"/>
    <w:rsid w:val="00B72E42"/>
    <w:rsid w:val="00B72F9A"/>
    <w:rsid w:val="00B74319"/>
    <w:rsid w:val="00B743AF"/>
    <w:rsid w:val="00B751BD"/>
    <w:rsid w:val="00B75850"/>
    <w:rsid w:val="00B75B71"/>
    <w:rsid w:val="00B75FFB"/>
    <w:rsid w:val="00B7675A"/>
    <w:rsid w:val="00B76D71"/>
    <w:rsid w:val="00B8004A"/>
    <w:rsid w:val="00B80759"/>
    <w:rsid w:val="00B80786"/>
    <w:rsid w:val="00B80BB3"/>
    <w:rsid w:val="00B80F3D"/>
    <w:rsid w:val="00B813ED"/>
    <w:rsid w:val="00B821F5"/>
    <w:rsid w:val="00B82B1F"/>
    <w:rsid w:val="00B82D4E"/>
    <w:rsid w:val="00B8338B"/>
    <w:rsid w:val="00B8391E"/>
    <w:rsid w:val="00B84B62"/>
    <w:rsid w:val="00B84F28"/>
    <w:rsid w:val="00B86977"/>
    <w:rsid w:val="00B8700E"/>
    <w:rsid w:val="00B90902"/>
    <w:rsid w:val="00B91BFE"/>
    <w:rsid w:val="00B92057"/>
    <w:rsid w:val="00B925B6"/>
    <w:rsid w:val="00B93A57"/>
    <w:rsid w:val="00B961F2"/>
    <w:rsid w:val="00B96289"/>
    <w:rsid w:val="00B96731"/>
    <w:rsid w:val="00B9710D"/>
    <w:rsid w:val="00BA09ED"/>
    <w:rsid w:val="00BA0E10"/>
    <w:rsid w:val="00BA2783"/>
    <w:rsid w:val="00BA3894"/>
    <w:rsid w:val="00BA3A98"/>
    <w:rsid w:val="00BA3B24"/>
    <w:rsid w:val="00BA4545"/>
    <w:rsid w:val="00BA45D0"/>
    <w:rsid w:val="00BA4B02"/>
    <w:rsid w:val="00BA521F"/>
    <w:rsid w:val="00BA5CCC"/>
    <w:rsid w:val="00BA64AB"/>
    <w:rsid w:val="00BA6697"/>
    <w:rsid w:val="00BB09B8"/>
    <w:rsid w:val="00BB115D"/>
    <w:rsid w:val="00BB1D6F"/>
    <w:rsid w:val="00BB20A0"/>
    <w:rsid w:val="00BB2488"/>
    <w:rsid w:val="00BB2E29"/>
    <w:rsid w:val="00BB365D"/>
    <w:rsid w:val="00BB3C62"/>
    <w:rsid w:val="00BB3DDE"/>
    <w:rsid w:val="00BB42E2"/>
    <w:rsid w:val="00BB4B15"/>
    <w:rsid w:val="00BB5184"/>
    <w:rsid w:val="00BB5322"/>
    <w:rsid w:val="00BB5D97"/>
    <w:rsid w:val="00BB5DC3"/>
    <w:rsid w:val="00BB5EDB"/>
    <w:rsid w:val="00BB6742"/>
    <w:rsid w:val="00BB6CA3"/>
    <w:rsid w:val="00BB6DC8"/>
    <w:rsid w:val="00BB7974"/>
    <w:rsid w:val="00BB7C08"/>
    <w:rsid w:val="00BB7F3D"/>
    <w:rsid w:val="00BC04E0"/>
    <w:rsid w:val="00BC0D2F"/>
    <w:rsid w:val="00BC1621"/>
    <w:rsid w:val="00BC20B3"/>
    <w:rsid w:val="00BC2245"/>
    <w:rsid w:val="00BC2AB0"/>
    <w:rsid w:val="00BC3581"/>
    <w:rsid w:val="00BC3B81"/>
    <w:rsid w:val="00BC490C"/>
    <w:rsid w:val="00BC4E89"/>
    <w:rsid w:val="00BC5778"/>
    <w:rsid w:val="00BC659D"/>
    <w:rsid w:val="00BC65D6"/>
    <w:rsid w:val="00BC6774"/>
    <w:rsid w:val="00BC6FC3"/>
    <w:rsid w:val="00BC790F"/>
    <w:rsid w:val="00BD1527"/>
    <w:rsid w:val="00BD15FE"/>
    <w:rsid w:val="00BD1905"/>
    <w:rsid w:val="00BD1C29"/>
    <w:rsid w:val="00BD3232"/>
    <w:rsid w:val="00BD3471"/>
    <w:rsid w:val="00BD3618"/>
    <w:rsid w:val="00BD4B32"/>
    <w:rsid w:val="00BD70F0"/>
    <w:rsid w:val="00BD7EA3"/>
    <w:rsid w:val="00BE2D92"/>
    <w:rsid w:val="00BE2E61"/>
    <w:rsid w:val="00BE5DA1"/>
    <w:rsid w:val="00BE6CED"/>
    <w:rsid w:val="00BE7E59"/>
    <w:rsid w:val="00BF0578"/>
    <w:rsid w:val="00BF05EB"/>
    <w:rsid w:val="00BF08BE"/>
    <w:rsid w:val="00BF13AB"/>
    <w:rsid w:val="00BF1522"/>
    <w:rsid w:val="00BF3A76"/>
    <w:rsid w:val="00BF411D"/>
    <w:rsid w:val="00BF5D38"/>
    <w:rsid w:val="00BF6056"/>
    <w:rsid w:val="00BF618B"/>
    <w:rsid w:val="00BF626C"/>
    <w:rsid w:val="00BF679D"/>
    <w:rsid w:val="00BF6B82"/>
    <w:rsid w:val="00BF7FF2"/>
    <w:rsid w:val="00C00B5E"/>
    <w:rsid w:val="00C01BCB"/>
    <w:rsid w:val="00C02972"/>
    <w:rsid w:val="00C02A66"/>
    <w:rsid w:val="00C04ACC"/>
    <w:rsid w:val="00C051F8"/>
    <w:rsid w:val="00C05802"/>
    <w:rsid w:val="00C06804"/>
    <w:rsid w:val="00C07835"/>
    <w:rsid w:val="00C07CB0"/>
    <w:rsid w:val="00C10880"/>
    <w:rsid w:val="00C10AF0"/>
    <w:rsid w:val="00C10CDF"/>
    <w:rsid w:val="00C13DB1"/>
    <w:rsid w:val="00C1436A"/>
    <w:rsid w:val="00C1441E"/>
    <w:rsid w:val="00C14A51"/>
    <w:rsid w:val="00C150B4"/>
    <w:rsid w:val="00C1621B"/>
    <w:rsid w:val="00C16BA4"/>
    <w:rsid w:val="00C172E8"/>
    <w:rsid w:val="00C179C4"/>
    <w:rsid w:val="00C17CFA"/>
    <w:rsid w:val="00C202DB"/>
    <w:rsid w:val="00C2124B"/>
    <w:rsid w:val="00C21EF3"/>
    <w:rsid w:val="00C249DF"/>
    <w:rsid w:val="00C24A34"/>
    <w:rsid w:val="00C24CE6"/>
    <w:rsid w:val="00C24E57"/>
    <w:rsid w:val="00C26754"/>
    <w:rsid w:val="00C26C4A"/>
    <w:rsid w:val="00C27323"/>
    <w:rsid w:val="00C276AD"/>
    <w:rsid w:val="00C279E0"/>
    <w:rsid w:val="00C27A5F"/>
    <w:rsid w:val="00C310DF"/>
    <w:rsid w:val="00C31B43"/>
    <w:rsid w:val="00C31BA9"/>
    <w:rsid w:val="00C31D62"/>
    <w:rsid w:val="00C31D81"/>
    <w:rsid w:val="00C32A72"/>
    <w:rsid w:val="00C32D2A"/>
    <w:rsid w:val="00C3302D"/>
    <w:rsid w:val="00C340EA"/>
    <w:rsid w:val="00C35298"/>
    <w:rsid w:val="00C36090"/>
    <w:rsid w:val="00C363E5"/>
    <w:rsid w:val="00C36D73"/>
    <w:rsid w:val="00C3729B"/>
    <w:rsid w:val="00C37E4C"/>
    <w:rsid w:val="00C4004C"/>
    <w:rsid w:val="00C40AC6"/>
    <w:rsid w:val="00C40AE5"/>
    <w:rsid w:val="00C425D5"/>
    <w:rsid w:val="00C425F2"/>
    <w:rsid w:val="00C42982"/>
    <w:rsid w:val="00C42A8F"/>
    <w:rsid w:val="00C43779"/>
    <w:rsid w:val="00C43BB8"/>
    <w:rsid w:val="00C43E1F"/>
    <w:rsid w:val="00C43F6F"/>
    <w:rsid w:val="00C442DF"/>
    <w:rsid w:val="00C4469C"/>
    <w:rsid w:val="00C44D5A"/>
    <w:rsid w:val="00C44DF9"/>
    <w:rsid w:val="00C45F58"/>
    <w:rsid w:val="00C465C8"/>
    <w:rsid w:val="00C46B05"/>
    <w:rsid w:val="00C46F9B"/>
    <w:rsid w:val="00C475E4"/>
    <w:rsid w:val="00C505CB"/>
    <w:rsid w:val="00C50EE5"/>
    <w:rsid w:val="00C52920"/>
    <w:rsid w:val="00C52DA8"/>
    <w:rsid w:val="00C5310E"/>
    <w:rsid w:val="00C53DBC"/>
    <w:rsid w:val="00C53F58"/>
    <w:rsid w:val="00C5642E"/>
    <w:rsid w:val="00C570BD"/>
    <w:rsid w:val="00C572AE"/>
    <w:rsid w:val="00C575A6"/>
    <w:rsid w:val="00C57856"/>
    <w:rsid w:val="00C578B2"/>
    <w:rsid w:val="00C57FD7"/>
    <w:rsid w:val="00C608CC"/>
    <w:rsid w:val="00C611C9"/>
    <w:rsid w:val="00C61F33"/>
    <w:rsid w:val="00C62130"/>
    <w:rsid w:val="00C62474"/>
    <w:rsid w:val="00C62B7E"/>
    <w:rsid w:val="00C642E8"/>
    <w:rsid w:val="00C655AE"/>
    <w:rsid w:val="00C65901"/>
    <w:rsid w:val="00C661BC"/>
    <w:rsid w:val="00C663CC"/>
    <w:rsid w:val="00C66405"/>
    <w:rsid w:val="00C679D3"/>
    <w:rsid w:val="00C67E56"/>
    <w:rsid w:val="00C70271"/>
    <w:rsid w:val="00C70DD7"/>
    <w:rsid w:val="00C711F9"/>
    <w:rsid w:val="00C725FC"/>
    <w:rsid w:val="00C7265B"/>
    <w:rsid w:val="00C72996"/>
    <w:rsid w:val="00C72B37"/>
    <w:rsid w:val="00C72D7E"/>
    <w:rsid w:val="00C72F61"/>
    <w:rsid w:val="00C7340E"/>
    <w:rsid w:val="00C73631"/>
    <w:rsid w:val="00C755DC"/>
    <w:rsid w:val="00C761C5"/>
    <w:rsid w:val="00C762E4"/>
    <w:rsid w:val="00C76845"/>
    <w:rsid w:val="00C76907"/>
    <w:rsid w:val="00C76CAB"/>
    <w:rsid w:val="00C77024"/>
    <w:rsid w:val="00C8134A"/>
    <w:rsid w:val="00C81CBD"/>
    <w:rsid w:val="00C82D87"/>
    <w:rsid w:val="00C83287"/>
    <w:rsid w:val="00C8371D"/>
    <w:rsid w:val="00C848F7"/>
    <w:rsid w:val="00C861E3"/>
    <w:rsid w:val="00C8735C"/>
    <w:rsid w:val="00C87381"/>
    <w:rsid w:val="00C87C5E"/>
    <w:rsid w:val="00C90CC4"/>
    <w:rsid w:val="00C913DE"/>
    <w:rsid w:val="00C9154A"/>
    <w:rsid w:val="00C91666"/>
    <w:rsid w:val="00C92D4E"/>
    <w:rsid w:val="00C93FC7"/>
    <w:rsid w:val="00C945A7"/>
    <w:rsid w:val="00C945FA"/>
    <w:rsid w:val="00C96EFD"/>
    <w:rsid w:val="00C97793"/>
    <w:rsid w:val="00C97E3F"/>
    <w:rsid w:val="00CA0EAF"/>
    <w:rsid w:val="00CA17E1"/>
    <w:rsid w:val="00CA20A9"/>
    <w:rsid w:val="00CA2791"/>
    <w:rsid w:val="00CA2DF7"/>
    <w:rsid w:val="00CA2F06"/>
    <w:rsid w:val="00CA2FF1"/>
    <w:rsid w:val="00CA3135"/>
    <w:rsid w:val="00CA39AC"/>
    <w:rsid w:val="00CA4037"/>
    <w:rsid w:val="00CA40AE"/>
    <w:rsid w:val="00CB0A46"/>
    <w:rsid w:val="00CB0E68"/>
    <w:rsid w:val="00CB24FB"/>
    <w:rsid w:val="00CB34FE"/>
    <w:rsid w:val="00CB3C81"/>
    <w:rsid w:val="00CB3D85"/>
    <w:rsid w:val="00CB3EA4"/>
    <w:rsid w:val="00CB3FBB"/>
    <w:rsid w:val="00CB4A4C"/>
    <w:rsid w:val="00CB51B4"/>
    <w:rsid w:val="00CB5AA5"/>
    <w:rsid w:val="00CB6023"/>
    <w:rsid w:val="00CB6C02"/>
    <w:rsid w:val="00CB707D"/>
    <w:rsid w:val="00CB766C"/>
    <w:rsid w:val="00CB775C"/>
    <w:rsid w:val="00CC22E5"/>
    <w:rsid w:val="00CC30B7"/>
    <w:rsid w:val="00CC39A9"/>
    <w:rsid w:val="00CC3C64"/>
    <w:rsid w:val="00CC40EA"/>
    <w:rsid w:val="00CC57FB"/>
    <w:rsid w:val="00CC5E59"/>
    <w:rsid w:val="00CC64C6"/>
    <w:rsid w:val="00CC67BD"/>
    <w:rsid w:val="00CC717E"/>
    <w:rsid w:val="00CC7774"/>
    <w:rsid w:val="00CC784A"/>
    <w:rsid w:val="00CC7ADF"/>
    <w:rsid w:val="00CD212C"/>
    <w:rsid w:val="00CD2DCE"/>
    <w:rsid w:val="00CD3B12"/>
    <w:rsid w:val="00CD4864"/>
    <w:rsid w:val="00CD53C6"/>
    <w:rsid w:val="00CD5A6D"/>
    <w:rsid w:val="00CD6516"/>
    <w:rsid w:val="00CE0212"/>
    <w:rsid w:val="00CE0C12"/>
    <w:rsid w:val="00CE1007"/>
    <w:rsid w:val="00CE1B26"/>
    <w:rsid w:val="00CE1D08"/>
    <w:rsid w:val="00CE2734"/>
    <w:rsid w:val="00CE292C"/>
    <w:rsid w:val="00CE4C53"/>
    <w:rsid w:val="00CE4F3A"/>
    <w:rsid w:val="00CE5465"/>
    <w:rsid w:val="00CE6207"/>
    <w:rsid w:val="00CE6727"/>
    <w:rsid w:val="00CE7241"/>
    <w:rsid w:val="00CE76BF"/>
    <w:rsid w:val="00CE7FF1"/>
    <w:rsid w:val="00CF0C6F"/>
    <w:rsid w:val="00CF17E2"/>
    <w:rsid w:val="00CF25F1"/>
    <w:rsid w:val="00CF2CBD"/>
    <w:rsid w:val="00CF4781"/>
    <w:rsid w:val="00CF4818"/>
    <w:rsid w:val="00CF49C7"/>
    <w:rsid w:val="00CF4DDA"/>
    <w:rsid w:val="00CF51CB"/>
    <w:rsid w:val="00D006E6"/>
    <w:rsid w:val="00D03571"/>
    <w:rsid w:val="00D03600"/>
    <w:rsid w:val="00D0413E"/>
    <w:rsid w:val="00D04960"/>
    <w:rsid w:val="00D05D57"/>
    <w:rsid w:val="00D065A3"/>
    <w:rsid w:val="00D065B6"/>
    <w:rsid w:val="00D06D37"/>
    <w:rsid w:val="00D10DEB"/>
    <w:rsid w:val="00D11E8F"/>
    <w:rsid w:val="00D12885"/>
    <w:rsid w:val="00D129ED"/>
    <w:rsid w:val="00D1320E"/>
    <w:rsid w:val="00D1349B"/>
    <w:rsid w:val="00D13955"/>
    <w:rsid w:val="00D13C6F"/>
    <w:rsid w:val="00D15D72"/>
    <w:rsid w:val="00D163B8"/>
    <w:rsid w:val="00D16655"/>
    <w:rsid w:val="00D168AA"/>
    <w:rsid w:val="00D17102"/>
    <w:rsid w:val="00D17CC2"/>
    <w:rsid w:val="00D20136"/>
    <w:rsid w:val="00D20383"/>
    <w:rsid w:val="00D211FA"/>
    <w:rsid w:val="00D21DE8"/>
    <w:rsid w:val="00D220B7"/>
    <w:rsid w:val="00D2242F"/>
    <w:rsid w:val="00D228D5"/>
    <w:rsid w:val="00D232F1"/>
    <w:rsid w:val="00D2361B"/>
    <w:rsid w:val="00D23724"/>
    <w:rsid w:val="00D239DE"/>
    <w:rsid w:val="00D23C17"/>
    <w:rsid w:val="00D24849"/>
    <w:rsid w:val="00D24C3F"/>
    <w:rsid w:val="00D25441"/>
    <w:rsid w:val="00D255E0"/>
    <w:rsid w:val="00D257B3"/>
    <w:rsid w:val="00D26147"/>
    <w:rsid w:val="00D31548"/>
    <w:rsid w:val="00D318DB"/>
    <w:rsid w:val="00D33890"/>
    <w:rsid w:val="00D33ADB"/>
    <w:rsid w:val="00D33D1E"/>
    <w:rsid w:val="00D356C2"/>
    <w:rsid w:val="00D35D0D"/>
    <w:rsid w:val="00D36A50"/>
    <w:rsid w:val="00D36DC5"/>
    <w:rsid w:val="00D3722D"/>
    <w:rsid w:val="00D37365"/>
    <w:rsid w:val="00D374C6"/>
    <w:rsid w:val="00D37E46"/>
    <w:rsid w:val="00D40C02"/>
    <w:rsid w:val="00D42A44"/>
    <w:rsid w:val="00D435DC"/>
    <w:rsid w:val="00D437B2"/>
    <w:rsid w:val="00D44637"/>
    <w:rsid w:val="00D44857"/>
    <w:rsid w:val="00D45A60"/>
    <w:rsid w:val="00D466C2"/>
    <w:rsid w:val="00D472BB"/>
    <w:rsid w:val="00D474B9"/>
    <w:rsid w:val="00D474DE"/>
    <w:rsid w:val="00D476B1"/>
    <w:rsid w:val="00D5009E"/>
    <w:rsid w:val="00D515F8"/>
    <w:rsid w:val="00D51887"/>
    <w:rsid w:val="00D52775"/>
    <w:rsid w:val="00D53162"/>
    <w:rsid w:val="00D53DB6"/>
    <w:rsid w:val="00D54E1D"/>
    <w:rsid w:val="00D55264"/>
    <w:rsid w:val="00D552E5"/>
    <w:rsid w:val="00D5580A"/>
    <w:rsid w:val="00D55E0E"/>
    <w:rsid w:val="00D55F31"/>
    <w:rsid w:val="00D561CA"/>
    <w:rsid w:val="00D57C0F"/>
    <w:rsid w:val="00D601D8"/>
    <w:rsid w:val="00D60310"/>
    <w:rsid w:val="00D60881"/>
    <w:rsid w:val="00D60BF6"/>
    <w:rsid w:val="00D63187"/>
    <w:rsid w:val="00D6580C"/>
    <w:rsid w:val="00D66012"/>
    <w:rsid w:val="00D66D0F"/>
    <w:rsid w:val="00D6734B"/>
    <w:rsid w:val="00D714F3"/>
    <w:rsid w:val="00D71944"/>
    <w:rsid w:val="00D7292B"/>
    <w:rsid w:val="00D73570"/>
    <w:rsid w:val="00D7510A"/>
    <w:rsid w:val="00D75209"/>
    <w:rsid w:val="00D75CB2"/>
    <w:rsid w:val="00D7642B"/>
    <w:rsid w:val="00D76EB4"/>
    <w:rsid w:val="00D7707F"/>
    <w:rsid w:val="00D80547"/>
    <w:rsid w:val="00D8277A"/>
    <w:rsid w:val="00D82A11"/>
    <w:rsid w:val="00D82EAE"/>
    <w:rsid w:val="00D8341A"/>
    <w:rsid w:val="00D8361B"/>
    <w:rsid w:val="00D83910"/>
    <w:rsid w:val="00D8684F"/>
    <w:rsid w:val="00D87E75"/>
    <w:rsid w:val="00D90857"/>
    <w:rsid w:val="00D90EAF"/>
    <w:rsid w:val="00D9105C"/>
    <w:rsid w:val="00D91440"/>
    <w:rsid w:val="00D9186B"/>
    <w:rsid w:val="00D92E24"/>
    <w:rsid w:val="00D92F8A"/>
    <w:rsid w:val="00D93463"/>
    <w:rsid w:val="00D9443B"/>
    <w:rsid w:val="00D949B1"/>
    <w:rsid w:val="00D95007"/>
    <w:rsid w:val="00D955A6"/>
    <w:rsid w:val="00D96272"/>
    <w:rsid w:val="00D96846"/>
    <w:rsid w:val="00D97822"/>
    <w:rsid w:val="00DA039C"/>
    <w:rsid w:val="00DA0573"/>
    <w:rsid w:val="00DA1103"/>
    <w:rsid w:val="00DA119F"/>
    <w:rsid w:val="00DA289B"/>
    <w:rsid w:val="00DA2FC3"/>
    <w:rsid w:val="00DA3147"/>
    <w:rsid w:val="00DA40D2"/>
    <w:rsid w:val="00DA459C"/>
    <w:rsid w:val="00DA45DB"/>
    <w:rsid w:val="00DA4606"/>
    <w:rsid w:val="00DA6054"/>
    <w:rsid w:val="00DA62BC"/>
    <w:rsid w:val="00DB01E0"/>
    <w:rsid w:val="00DB0EC9"/>
    <w:rsid w:val="00DB0F91"/>
    <w:rsid w:val="00DB1753"/>
    <w:rsid w:val="00DB179B"/>
    <w:rsid w:val="00DB369F"/>
    <w:rsid w:val="00DB3900"/>
    <w:rsid w:val="00DB4144"/>
    <w:rsid w:val="00DB4933"/>
    <w:rsid w:val="00DB4A03"/>
    <w:rsid w:val="00DB5062"/>
    <w:rsid w:val="00DB5348"/>
    <w:rsid w:val="00DB5438"/>
    <w:rsid w:val="00DB6E7F"/>
    <w:rsid w:val="00DB6F56"/>
    <w:rsid w:val="00DB7C31"/>
    <w:rsid w:val="00DC093D"/>
    <w:rsid w:val="00DC0E48"/>
    <w:rsid w:val="00DC1A90"/>
    <w:rsid w:val="00DC3945"/>
    <w:rsid w:val="00DC4075"/>
    <w:rsid w:val="00DC605B"/>
    <w:rsid w:val="00DC692C"/>
    <w:rsid w:val="00DC7D28"/>
    <w:rsid w:val="00DD0A02"/>
    <w:rsid w:val="00DD0FB5"/>
    <w:rsid w:val="00DD1E16"/>
    <w:rsid w:val="00DD3073"/>
    <w:rsid w:val="00DD3079"/>
    <w:rsid w:val="00DD31CF"/>
    <w:rsid w:val="00DD3A5F"/>
    <w:rsid w:val="00DD3B29"/>
    <w:rsid w:val="00DD509C"/>
    <w:rsid w:val="00DD5264"/>
    <w:rsid w:val="00DD5E11"/>
    <w:rsid w:val="00DD5E91"/>
    <w:rsid w:val="00DD7500"/>
    <w:rsid w:val="00DD7BD5"/>
    <w:rsid w:val="00DE226B"/>
    <w:rsid w:val="00DE271B"/>
    <w:rsid w:val="00DE4A6C"/>
    <w:rsid w:val="00DE50FC"/>
    <w:rsid w:val="00DE6CB3"/>
    <w:rsid w:val="00DE6F6D"/>
    <w:rsid w:val="00DF00F4"/>
    <w:rsid w:val="00DF0BE6"/>
    <w:rsid w:val="00DF0ECC"/>
    <w:rsid w:val="00DF133D"/>
    <w:rsid w:val="00DF19B4"/>
    <w:rsid w:val="00DF2638"/>
    <w:rsid w:val="00DF277E"/>
    <w:rsid w:val="00DF2CB9"/>
    <w:rsid w:val="00DF3528"/>
    <w:rsid w:val="00DF3BD6"/>
    <w:rsid w:val="00DF3F31"/>
    <w:rsid w:val="00DF51D3"/>
    <w:rsid w:val="00DF52CE"/>
    <w:rsid w:val="00DF571D"/>
    <w:rsid w:val="00DF673C"/>
    <w:rsid w:val="00DF6FF5"/>
    <w:rsid w:val="00E00ABA"/>
    <w:rsid w:val="00E0183F"/>
    <w:rsid w:val="00E01D1E"/>
    <w:rsid w:val="00E02459"/>
    <w:rsid w:val="00E027FB"/>
    <w:rsid w:val="00E03926"/>
    <w:rsid w:val="00E04FB5"/>
    <w:rsid w:val="00E05083"/>
    <w:rsid w:val="00E0579F"/>
    <w:rsid w:val="00E05E70"/>
    <w:rsid w:val="00E064D8"/>
    <w:rsid w:val="00E069A0"/>
    <w:rsid w:val="00E079E2"/>
    <w:rsid w:val="00E07EAF"/>
    <w:rsid w:val="00E11420"/>
    <w:rsid w:val="00E118ED"/>
    <w:rsid w:val="00E124DB"/>
    <w:rsid w:val="00E13477"/>
    <w:rsid w:val="00E15315"/>
    <w:rsid w:val="00E21482"/>
    <w:rsid w:val="00E21F99"/>
    <w:rsid w:val="00E22AF0"/>
    <w:rsid w:val="00E22E88"/>
    <w:rsid w:val="00E230A0"/>
    <w:rsid w:val="00E23FD4"/>
    <w:rsid w:val="00E2467E"/>
    <w:rsid w:val="00E25576"/>
    <w:rsid w:val="00E25D0B"/>
    <w:rsid w:val="00E25FE1"/>
    <w:rsid w:val="00E2602E"/>
    <w:rsid w:val="00E2621B"/>
    <w:rsid w:val="00E26467"/>
    <w:rsid w:val="00E26720"/>
    <w:rsid w:val="00E27615"/>
    <w:rsid w:val="00E27913"/>
    <w:rsid w:val="00E303A9"/>
    <w:rsid w:val="00E308CC"/>
    <w:rsid w:val="00E3150C"/>
    <w:rsid w:val="00E3172E"/>
    <w:rsid w:val="00E324CE"/>
    <w:rsid w:val="00E3388A"/>
    <w:rsid w:val="00E33C0B"/>
    <w:rsid w:val="00E3500D"/>
    <w:rsid w:val="00E353AD"/>
    <w:rsid w:val="00E36741"/>
    <w:rsid w:val="00E37159"/>
    <w:rsid w:val="00E3781B"/>
    <w:rsid w:val="00E37883"/>
    <w:rsid w:val="00E379F7"/>
    <w:rsid w:val="00E37BE8"/>
    <w:rsid w:val="00E41939"/>
    <w:rsid w:val="00E42233"/>
    <w:rsid w:val="00E424E4"/>
    <w:rsid w:val="00E43061"/>
    <w:rsid w:val="00E43BF8"/>
    <w:rsid w:val="00E4421E"/>
    <w:rsid w:val="00E44806"/>
    <w:rsid w:val="00E44C22"/>
    <w:rsid w:val="00E45024"/>
    <w:rsid w:val="00E4507C"/>
    <w:rsid w:val="00E45833"/>
    <w:rsid w:val="00E45A33"/>
    <w:rsid w:val="00E470C4"/>
    <w:rsid w:val="00E47B57"/>
    <w:rsid w:val="00E47F44"/>
    <w:rsid w:val="00E50051"/>
    <w:rsid w:val="00E50A5D"/>
    <w:rsid w:val="00E50B22"/>
    <w:rsid w:val="00E54736"/>
    <w:rsid w:val="00E54B48"/>
    <w:rsid w:val="00E60127"/>
    <w:rsid w:val="00E60983"/>
    <w:rsid w:val="00E60AA9"/>
    <w:rsid w:val="00E61A61"/>
    <w:rsid w:val="00E61EC5"/>
    <w:rsid w:val="00E624E7"/>
    <w:rsid w:val="00E62FF8"/>
    <w:rsid w:val="00E63167"/>
    <w:rsid w:val="00E63963"/>
    <w:rsid w:val="00E6484E"/>
    <w:rsid w:val="00E64BA3"/>
    <w:rsid w:val="00E64D94"/>
    <w:rsid w:val="00E65F6A"/>
    <w:rsid w:val="00E664AA"/>
    <w:rsid w:val="00E66C13"/>
    <w:rsid w:val="00E66F1C"/>
    <w:rsid w:val="00E67640"/>
    <w:rsid w:val="00E67BDE"/>
    <w:rsid w:val="00E67DCB"/>
    <w:rsid w:val="00E707A2"/>
    <w:rsid w:val="00E70B78"/>
    <w:rsid w:val="00E70C23"/>
    <w:rsid w:val="00E70F8C"/>
    <w:rsid w:val="00E71164"/>
    <w:rsid w:val="00E718BF"/>
    <w:rsid w:val="00E72BB7"/>
    <w:rsid w:val="00E72C79"/>
    <w:rsid w:val="00E73158"/>
    <w:rsid w:val="00E739D7"/>
    <w:rsid w:val="00E75A70"/>
    <w:rsid w:val="00E75F22"/>
    <w:rsid w:val="00E76C03"/>
    <w:rsid w:val="00E8024F"/>
    <w:rsid w:val="00E80589"/>
    <w:rsid w:val="00E80CB1"/>
    <w:rsid w:val="00E81463"/>
    <w:rsid w:val="00E814B1"/>
    <w:rsid w:val="00E81B49"/>
    <w:rsid w:val="00E8214A"/>
    <w:rsid w:val="00E827F9"/>
    <w:rsid w:val="00E829A8"/>
    <w:rsid w:val="00E829AA"/>
    <w:rsid w:val="00E82DC4"/>
    <w:rsid w:val="00E832F5"/>
    <w:rsid w:val="00E857A1"/>
    <w:rsid w:val="00E8617B"/>
    <w:rsid w:val="00E86CAF"/>
    <w:rsid w:val="00E878A2"/>
    <w:rsid w:val="00E90672"/>
    <w:rsid w:val="00E91B89"/>
    <w:rsid w:val="00E9342D"/>
    <w:rsid w:val="00E93890"/>
    <w:rsid w:val="00E94605"/>
    <w:rsid w:val="00E953BE"/>
    <w:rsid w:val="00E96180"/>
    <w:rsid w:val="00E9642B"/>
    <w:rsid w:val="00E96825"/>
    <w:rsid w:val="00E96D39"/>
    <w:rsid w:val="00E97892"/>
    <w:rsid w:val="00E97FB5"/>
    <w:rsid w:val="00EA22F9"/>
    <w:rsid w:val="00EA2D11"/>
    <w:rsid w:val="00EA3185"/>
    <w:rsid w:val="00EA3B3C"/>
    <w:rsid w:val="00EA4114"/>
    <w:rsid w:val="00EA4233"/>
    <w:rsid w:val="00EA4376"/>
    <w:rsid w:val="00EA438F"/>
    <w:rsid w:val="00EA50D8"/>
    <w:rsid w:val="00EA54A6"/>
    <w:rsid w:val="00EA5875"/>
    <w:rsid w:val="00EA7ED7"/>
    <w:rsid w:val="00EB0A5C"/>
    <w:rsid w:val="00EB1143"/>
    <w:rsid w:val="00EB137F"/>
    <w:rsid w:val="00EB16DD"/>
    <w:rsid w:val="00EB3193"/>
    <w:rsid w:val="00EB3D2E"/>
    <w:rsid w:val="00EB3F11"/>
    <w:rsid w:val="00EB471C"/>
    <w:rsid w:val="00EB612D"/>
    <w:rsid w:val="00EB79D0"/>
    <w:rsid w:val="00EB7C43"/>
    <w:rsid w:val="00EC0A1A"/>
    <w:rsid w:val="00EC1826"/>
    <w:rsid w:val="00EC22D2"/>
    <w:rsid w:val="00EC3E3A"/>
    <w:rsid w:val="00EC4E2D"/>
    <w:rsid w:val="00EC550A"/>
    <w:rsid w:val="00EC6101"/>
    <w:rsid w:val="00EC6ED7"/>
    <w:rsid w:val="00EC7091"/>
    <w:rsid w:val="00EC79C0"/>
    <w:rsid w:val="00ED0347"/>
    <w:rsid w:val="00ED036A"/>
    <w:rsid w:val="00ED03A6"/>
    <w:rsid w:val="00ED03BE"/>
    <w:rsid w:val="00ED062B"/>
    <w:rsid w:val="00ED0940"/>
    <w:rsid w:val="00ED17B2"/>
    <w:rsid w:val="00ED1848"/>
    <w:rsid w:val="00ED1B6A"/>
    <w:rsid w:val="00ED2B31"/>
    <w:rsid w:val="00ED3A85"/>
    <w:rsid w:val="00ED3BE7"/>
    <w:rsid w:val="00ED4A29"/>
    <w:rsid w:val="00ED4B7D"/>
    <w:rsid w:val="00ED57AB"/>
    <w:rsid w:val="00ED5FD2"/>
    <w:rsid w:val="00ED5FD7"/>
    <w:rsid w:val="00ED64B0"/>
    <w:rsid w:val="00ED6F56"/>
    <w:rsid w:val="00EE0B9E"/>
    <w:rsid w:val="00EE19B3"/>
    <w:rsid w:val="00EE1D78"/>
    <w:rsid w:val="00EE259B"/>
    <w:rsid w:val="00EE2ABC"/>
    <w:rsid w:val="00EE3789"/>
    <w:rsid w:val="00EE3809"/>
    <w:rsid w:val="00EE3EFC"/>
    <w:rsid w:val="00EE41CB"/>
    <w:rsid w:val="00EE69AC"/>
    <w:rsid w:val="00EE7EDB"/>
    <w:rsid w:val="00EF04A0"/>
    <w:rsid w:val="00EF05A6"/>
    <w:rsid w:val="00EF12EA"/>
    <w:rsid w:val="00EF28F7"/>
    <w:rsid w:val="00EF2DB3"/>
    <w:rsid w:val="00EF43A5"/>
    <w:rsid w:val="00EF563F"/>
    <w:rsid w:val="00EF5AB6"/>
    <w:rsid w:val="00EF6B84"/>
    <w:rsid w:val="00EF6D2C"/>
    <w:rsid w:val="00EF7753"/>
    <w:rsid w:val="00EF78DE"/>
    <w:rsid w:val="00EF7C7B"/>
    <w:rsid w:val="00F006B5"/>
    <w:rsid w:val="00F015B8"/>
    <w:rsid w:val="00F01607"/>
    <w:rsid w:val="00F01650"/>
    <w:rsid w:val="00F01968"/>
    <w:rsid w:val="00F0198C"/>
    <w:rsid w:val="00F01A6A"/>
    <w:rsid w:val="00F02159"/>
    <w:rsid w:val="00F02E9D"/>
    <w:rsid w:val="00F0357D"/>
    <w:rsid w:val="00F04945"/>
    <w:rsid w:val="00F049FA"/>
    <w:rsid w:val="00F057A9"/>
    <w:rsid w:val="00F060AD"/>
    <w:rsid w:val="00F0616B"/>
    <w:rsid w:val="00F0654C"/>
    <w:rsid w:val="00F07D07"/>
    <w:rsid w:val="00F101A1"/>
    <w:rsid w:val="00F10342"/>
    <w:rsid w:val="00F1293C"/>
    <w:rsid w:val="00F13863"/>
    <w:rsid w:val="00F13B58"/>
    <w:rsid w:val="00F13F6F"/>
    <w:rsid w:val="00F14556"/>
    <w:rsid w:val="00F165F9"/>
    <w:rsid w:val="00F166B5"/>
    <w:rsid w:val="00F1672A"/>
    <w:rsid w:val="00F16ABB"/>
    <w:rsid w:val="00F16DF8"/>
    <w:rsid w:val="00F17372"/>
    <w:rsid w:val="00F20039"/>
    <w:rsid w:val="00F2045E"/>
    <w:rsid w:val="00F208B9"/>
    <w:rsid w:val="00F21001"/>
    <w:rsid w:val="00F21958"/>
    <w:rsid w:val="00F21AF2"/>
    <w:rsid w:val="00F21B31"/>
    <w:rsid w:val="00F22FD2"/>
    <w:rsid w:val="00F2369C"/>
    <w:rsid w:val="00F2433A"/>
    <w:rsid w:val="00F24E82"/>
    <w:rsid w:val="00F2513A"/>
    <w:rsid w:val="00F26C3D"/>
    <w:rsid w:val="00F31967"/>
    <w:rsid w:val="00F31A9E"/>
    <w:rsid w:val="00F31C71"/>
    <w:rsid w:val="00F3272E"/>
    <w:rsid w:val="00F328E9"/>
    <w:rsid w:val="00F32D6C"/>
    <w:rsid w:val="00F3358F"/>
    <w:rsid w:val="00F36A65"/>
    <w:rsid w:val="00F36B07"/>
    <w:rsid w:val="00F37A27"/>
    <w:rsid w:val="00F40B5A"/>
    <w:rsid w:val="00F41884"/>
    <w:rsid w:val="00F42ED4"/>
    <w:rsid w:val="00F43C51"/>
    <w:rsid w:val="00F43CBE"/>
    <w:rsid w:val="00F443E4"/>
    <w:rsid w:val="00F45802"/>
    <w:rsid w:val="00F4635A"/>
    <w:rsid w:val="00F469B7"/>
    <w:rsid w:val="00F47C3C"/>
    <w:rsid w:val="00F47E09"/>
    <w:rsid w:val="00F51305"/>
    <w:rsid w:val="00F5134F"/>
    <w:rsid w:val="00F52315"/>
    <w:rsid w:val="00F52614"/>
    <w:rsid w:val="00F529F4"/>
    <w:rsid w:val="00F52BFB"/>
    <w:rsid w:val="00F53B34"/>
    <w:rsid w:val="00F551C9"/>
    <w:rsid w:val="00F553A4"/>
    <w:rsid w:val="00F55E4D"/>
    <w:rsid w:val="00F5623F"/>
    <w:rsid w:val="00F5633C"/>
    <w:rsid w:val="00F56AF2"/>
    <w:rsid w:val="00F56F21"/>
    <w:rsid w:val="00F56F53"/>
    <w:rsid w:val="00F5788B"/>
    <w:rsid w:val="00F60ADE"/>
    <w:rsid w:val="00F610AC"/>
    <w:rsid w:val="00F611A5"/>
    <w:rsid w:val="00F611E0"/>
    <w:rsid w:val="00F62AB9"/>
    <w:rsid w:val="00F6311F"/>
    <w:rsid w:val="00F63293"/>
    <w:rsid w:val="00F64128"/>
    <w:rsid w:val="00F6435D"/>
    <w:rsid w:val="00F64364"/>
    <w:rsid w:val="00F6541F"/>
    <w:rsid w:val="00F658D4"/>
    <w:rsid w:val="00F66A27"/>
    <w:rsid w:val="00F66E12"/>
    <w:rsid w:val="00F6737A"/>
    <w:rsid w:val="00F67DAF"/>
    <w:rsid w:val="00F703A5"/>
    <w:rsid w:val="00F71157"/>
    <w:rsid w:val="00F71DD8"/>
    <w:rsid w:val="00F72449"/>
    <w:rsid w:val="00F73DC1"/>
    <w:rsid w:val="00F74328"/>
    <w:rsid w:val="00F7506F"/>
    <w:rsid w:val="00F758A1"/>
    <w:rsid w:val="00F758D5"/>
    <w:rsid w:val="00F75E12"/>
    <w:rsid w:val="00F7658E"/>
    <w:rsid w:val="00F76968"/>
    <w:rsid w:val="00F76CAE"/>
    <w:rsid w:val="00F779A5"/>
    <w:rsid w:val="00F805A0"/>
    <w:rsid w:val="00F81886"/>
    <w:rsid w:val="00F81EFB"/>
    <w:rsid w:val="00F8239E"/>
    <w:rsid w:val="00F82A4C"/>
    <w:rsid w:val="00F83481"/>
    <w:rsid w:val="00F83F97"/>
    <w:rsid w:val="00F85603"/>
    <w:rsid w:val="00F85D68"/>
    <w:rsid w:val="00F85F74"/>
    <w:rsid w:val="00F86229"/>
    <w:rsid w:val="00F87AAC"/>
    <w:rsid w:val="00F9016E"/>
    <w:rsid w:val="00F90690"/>
    <w:rsid w:val="00F90D39"/>
    <w:rsid w:val="00F90E5C"/>
    <w:rsid w:val="00F9333B"/>
    <w:rsid w:val="00F93716"/>
    <w:rsid w:val="00F938D5"/>
    <w:rsid w:val="00F93C50"/>
    <w:rsid w:val="00F948F9"/>
    <w:rsid w:val="00F94A05"/>
    <w:rsid w:val="00F95027"/>
    <w:rsid w:val="00F9577F"/>
    <w:rsid w:val="00F97155"/>
    <w:rsid w:val="00F97240"/>
    <w:rsid w:val="00F97DE1"/>
    <w:rsid w:val="00FA0954"/>
    <w:rsid w:val="00FA09D7"/>
    <w:rsid w:val="00FA0E1D"/>
    <w:rsid w:val="00FA100F"/>
    <w:rsid w:val="00FA16FB"/>
    <w:rsid w:val="00FA1FA5"/>
    <w:rsid w:val="00FA1FE2"/>
    <w:rsid w:val="00FA221A"/>
    <w:rsid w:val="00FA2D87"/>
    <w:rsid w:val="00FA37FC"/>
    <w:rsid w:val="00FA3956"/>
    <w:rsid w:val="00FA51F7"/>
    <w:rsid w:val="00FA5800"/>
    <w:rsid w:val="00FA5EC0"/>
    <w:rsid w:val="00FA609E"/>
    <w:rsid w:val="00FA6106"/>
    <w:rsid w:val="00FA68BE"/>
    <w:rsid w:val="00FA68C6"/>
    <w:rsid w:val="00FA7E8D"/>
    <w:rsid w:val="00FB06A9"/>
    <w:rsid w:val="00FB06CF"/>
    <w:rsid w:val="00FB189E"/>
    <w:rsid w:val="00FB23A4"/>
    <w:rsid w:val="00FB2BD1"/>
    <w:rsid w:val="00FB354E"/>
    <w:rsid w:val="00FB603F"/>
    <w:rsid w:val="00FB6A48"/>
    <w:rsid w:val="00FB77E7"/>
    <w:rsid w:val="00FB7820"/>
    <w:rsid w:val="00FC0BD1"/>
    <w:rsid w:val="00FC1847"/>
    <w:rsid w:val="00FC19F0"/>
    <w:rsid w:val="00FC3C20"/>
    <w:rsid w:val="00FC4641"/>
    <w:rsid w:val="00FC48A5"/>
    <w:rsid w:val="00FC4955"/>
    <w:rsid w:val="00FC4B08"/>
    <w:rsid w:val="00FC4C50"/>
    <w:rsid w:val="00FC58DA"/>
    <w:rsid w:val="00FC64A7"/>
    <w:rsid w:val="00FC68CA"/>
    <w:rsid w:val="00FC68CB"/>
    <w:rsid w:val="00FC6CAC"/>
    <w:rsid w:val="00FD0652"/>
    <w:rsid w:val="00FD073D"/>
    <w:rsid w:val="00FD0EFD"/>
    <w:rsid w:val="00FD194A"/>
    <w:rsid w:val="00FD35E8"/>
    <w:rsid w:val="00FD3981"/>
    <w:rsid w:val="00FD451E"/>
    <w:rsid w:val="00FD470F"/>
    <w:rsid w:val="00FD56AE"/>
    <w:rsid w:val="00FD594F"/>
    <w:rsid w:val="00FD59CF"/>
    <w:rsid w:val="00FD6FC2"/>
    <w:rsid w:val="00FD7522"/>
    <w:rsid w:val="00FD7B12"/>
    <w:rsid w:val="00FD7BFE"/>
    <w:rsid w:val="00FD7C78"/>
    <w:rsid w:val="00FE1774"/>
    <w:rsid w:val="00FE1969"/>
    <w:rsid w:val="00FE1DF1"/>
    <w:rsid w:val="00FE27E9"/>
    <w:rsid w:val="00FE2BE7"/>
    <w:rsid w:val="00FE2CF1"/>
    <w:rsid w:val="00FE2FC0"/>
    <w:rsid w:val="00FE315A"/>
    <w:rsid w:val="00FE37EA"/>
    <w:rsid w:val="00FE478B"/>
    <w:rsid w:val="00FE5631"/>
    <w:rsid w:val="00FE6A4A"/>
    <w:rsid w:val="00FE7158"/>
    <w:rsid w:val="00FE7242"/>
    <w:rsid w:val="00FE76EB"/>
    <w:rsid w:val="00FF0072"/>
    <w:rsid w:val="00FF040C"/>
    <w:rsid w:val="00FF051C"/>
    <w:rsid w:val="00FF2DD8"/>
    <w:rsid w:val="00FF45F8"/>
    <w:rsid w:val="00FF4D01"/>
    <w:rsid w:val="00FF619D"/>
    <w:rsid w:val="00FF65BF"/>
    <w:rsid w:val="00FF77CC"/>
    <w:rsid w:val="00FF7D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6D24F25-7065-4EE5-B871-EAD235CF8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A1604"/>
    <w:pPr>
      <w:jc w:val="both"/>
    </w:pPr>
    <w:rPr>
      <w:rFonts w:asciiTheme="minorHAnsi" w:hAnsiTheme="minorHAnsi"/>
      <w:sz w:val="24"/>
    </w:rPr>
  </w:style>
  <w:style w:type="paragraph" w:styleId="Nadpis1">
    <w:name w:val="heading 1"/>
    <w:aliases w:val="Nadpis 1 Char,vlevo 18b."/>
    <w:basedOn w:val="Normln"/>
    <w:next w:val="Normln"/>
    <w:uiPriority w:val="9"/>
    <w:qFormat/>
    <w:rsid w:val="00E37883"/>
    <w:pPr>
      <w:keepNext/>
      <w:outlineLvl w:val="0"/>
    </w:pPr>
    <w:rPr>
      <w:b/>
      <w:bCs/>
      <w:sz w:val="28"/>
      <w:szCs w:val="34"/>
      <w:u w:val="single"/>
    </w:rPr>
  </w:style>
  <w:style w:type="paragraph" w:styleId="Nadpis2">
    <w:name w:val="heading 2"/>
    <w:aliases w:val="H2,POŘ-Nadpis 2,vlevo 16b."/>
    <w:basedOn w:val="Normln"/>
    <w:next w:val="Normln"/>
    <w:link w:val="Nadpis2Char"/>
    <w:uiPriority w:val="9"/>
    <w:qFormat/>
    <w:rsid w:val="00445CE4"/>
    <w:pPr>
      <w:keepNext/>
      <w:autoSpaceDE w:val="0"/>
      <w:autoSpaceDN w:val="0"/>
      <w:adjustRightInd w:val="0"/>
      <w:outlineLvl w:val="1"/>
    </w:pPr>
    <w:rPr>
      <w:rFonts w:eastAsia="SimSun"/>
      <w:b/>
    </w:rPr>
  </w:style>
  <w:style w:type="paragraph" w:styleId="Nadpis3">
    <w:name w:val="heading 3"/>
    <w:aliases w:val="H3,vlevo 14b."/>
    <w:basedOn w:val="Normln"/>
    <w:next w:val="Normln"/>
    <w:link w:val="Nadpis3Char"/>
    <w:uiPriority w:val="9"/>
    <w:qFormat/>
    <w:rsid w:val="00445CE4"/>
    <w:pPr>
      <w:keepNext/>
      <w:jc w:val="center"/>
      <w:outlineLvl w:val="2"/>
    </w:pPr>
    <w:rPr>
      <w:b/>
      <w:bCs/>
      <w:color w:val="000000"/>
    </w:rPr>
  </w:style>
  <w:style w:type="paragraph" w:styleId="Nadpis4">
    <w:name w:val="heading 4"/>
    <w:aliases w:val="vlevo 12b."/>
    <w:basedOn w:val="Normln"/>
    <w:next w:val="Normln"/>
    <w:link w:val="Nadpis4Char"/>
    <w:uiPriority w:val="9"/>
    <w:qFormat/>
    <w:rsid w:val="00445CE4"/>
    <w:pPr>
      <w:keepNext/>
      <w:ind w:firstLine="720"/>
      <w:outlineLvl w:val="3"/>
    </w:pPr>
    <w:rPr>
      <w:b/>
      <w:bCs/>
      <w:color w:val="FF0000"/>
    </w:rPr>
  </w:style>
  <w:style w:type="paragraph" w:styleId="Nadpis5">
    <w:name w:val="heading 5"/>
    <w:basedOn w:val="Normln"/>
    <w:next w:val="Normln"/>
    <w:link w:val="Nadpis5Char"/>
    <w:uiPriority w:val="9"/>
    <w:qFormat/>
    <w:rsid w:val="00445CE4"/>
    <w:pPr>
      <w:keepNext/>
      <w:spacing w:before="240" w:after="120"/>
      <w:outlineLvl w:val="4"/>
    </w:pPr>
    <w:rPr>
      <w:b/>
      <w:noProof/>
    </w:rPr>
  </w:style>
  <w:style w:type="paragraph" w:styleId="Nadpis6">
    <w:name w:val="heading 6"/>
    <w:aliases w:val="střed 14b."/>
    <w:basedOn w:val="Normln"/>
    <w:next w:val="Normln"/>
    <w:link w:val="Nadpis6Char"/>
    <w:uiPriority w:val="9"/>
    <w:qFormat/>
    <w:rsid w:val="00445CE4"/>
    <w:pPr>
      <w:keepNext/>
      <w:spacing w:before="360"/>
      <w:ind w:firstLine="720"/>
      <w:outlineLvl w:val="5"/>
    </w:pPr>
    <w:rPr>
      <w:b/>
      <w:bCs/>
      <w:noProof/>
      <w:u w:val="single"/>
    </w:rPr>
  </w:style>
  <w:style w:type="paragraph" w:styleId="Nadpis7">
    <w:name w:val="heading 7"/>
    <w:basedOn w:val="Normln"/>
    <w:next w:val="Normln"/>
    <w:link w:val="Nadpis7Char"/>
    <w:uiPriority w:val="9"/>
    <w:qFormat/>
    <w:rsid w:val="002E15D3"/>
    <w:pPr>
      <w:keepNext/>
      <w:ind w:left="1296" w:hanging="1296"/>
      <w:outlineLvl w:val="6"/>
    </w:pPr>
    <w:rPr>
      <w:rFonts w:ascii="Arial" w:hAnsi="Arial"/>
      <w:b/>
      <w:bCs/>
      <w:color w:val="0000FF"/>
      <w:sz w:val="22"/>
    </w:rPr>
  </w:style>
  <w:style w:type="paragraph" w:styleId="Nadpis8">
    <w:name w:val="heading 8"/>
    <w:basedOn w:val="Normln"/>
    <w:next w:val="Normln"/>
    <w:uiPriority w:val="9"/>
    <w:qFormat/>
    <w:rsid w:val="00445CE4"/>
    <w:pPr>
      <w:keepNext/>
      <w:jc w:val="center"/>
      <w:outlineLvl w:val="7"/>
    </w:pPr>
    <w:rPr>
      <w:b/>
      <w:bCs/>
      <w:noProof/>
    </w:rPr>
  </w:style>
  <w:style w:type="paragraph" w:styleId="Nadpis9">
    <w:name w:val="heading 9"/>
    <w:basedOn w:val="Normln"/>
    <w:next w:val="Normln"/>
    <w:link w:val="Nadpis9Char"/>
    <w:uiPriority w:val="9"/>
    <w:qFormat/>
    <w:rsid w:val="002E15D3"/>
    <w:pPr>
      <w:spacing w:before="240" w:after="60"/>
      <w:ind w:left="1584" w:hanging="1584"/>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KZ">
    <w:name w:val="Číslo KZ"/>
    <w:basedOn w:val="Normln"/>
    <w:rsid w:val="00445CE4"/>
    <w:rPr>
      <w:b/>
      <w:bCs/>
      <w:sz w:val="32"/>
    </w:rPr>
  </w:style>
  <w:style w:type="paragraph" w:customStyle="1" w:styleId="odsazen">
    <w:name w:val="odsazený"/>
    <w:basedOn w:val="Normln"/>
    <w:rsid w:val="00445CE4"/>
    <w:pPr>
      <w:spacing w:before="120"/>
      <w:ind w:firstLine="567"/>
    </w:pPr>
    <w:rPr>
      <w:iCs/>
    </w:rPr>
  </w:style>
  <w:style w:type="paragraph" w:styleId="Zkladntext">
    <w:name w:val="Body Text"/>
    <w:aliases w:val="?????1,Body ...,Body Text Char,Body Text Char Char,Body Text Char Char Char,Body Text Char1 Char Char,Body Text Char2 Char,Corps de texte INTSUM,Nornální,Základní text - D,Základní text Char,b,Číslovaný seznam (i),Текст1"/>
    <w:basedOn w:val="Normln"/>
    <w:link w:val="ZkladntextChar1"/>
    <w:rsid w:val="00445CE4"/>
    <w:rPr>
      <w:b/>
      <w:bCs/>
      <w:sz w:val="28"/>
      <w:szCs w:val="28"/>
    </w:rPr>
  </w:style>
  <w:style w:type="paragraph" w:styleId="Zkladntextodsazen2">
    <w:name w:val="Body Text Indent 2"/>
    <w:basedOn w:val="Normln"/>
    <w:semiHidden/>
    <w:rsid w:val="00445CE4"/>
    <w:pPr>
      <w:ind w:left="1080" w:hanging="1080"/>
    </w:pPr>
  </w:style>
  <w:style w:type="paragraph" w:customStyle="1" w:styleId="vod">
    <w:name w:val="Úvod"/>
    <w:basedOn w:val="Normln"/>
    <w:rsid w:val="00445CE4"/>
    <w:pPr>
      <w:keepNext/>
      <w:spacing w:before="360" w:after="240"/>
      <w:outlineLvl w:val="0"/>
    </w:pPr>
    <w:rPr>
      <w:b/>
      <w:bCs/>
      <w:sz w:val="28"/>
      <w:szCs w:val="28"/>
    </w:rPr>
  </w:style>
  <w:style w:type="paragraph" w:customStyle="1" w:styleId="PlainText1">
    <w:name w:val="Plain Text1"/>
    <w:basedOn w:val="Normln"/>
    <w:rsid w:val="00445CE4"/>
    <w:rPr>
      <w:rFonts w:ascii="Courier New" w:hAnsi="Courier New"/>
    </w:rPr>
  </w:style>
  <w:style w:type="paragraph" w:styleId="Zkladntextodsazen">
    <w:name w:val="Body Text Indent"/>
    <w:aliases w:val=" Char Char Char, Char Char Char Char Char, Char Char1, Char Char1 Char Char,Základní text odsazený Char Char,Základní text odsazený Char Char Char Char,Základní text odsazený Char1,Základní text odsazený Char1 Char Char"/>
    <w:basedOn w:val="Normln"/>
    <w:semiHidden/>
    <w:rsid w:val="00445CE4"/>
    <w:pPr>
      <w:ind w:firstLine="720"/>
    </w:pPr>
  </w:style>
  <w:style w:type="paragraph" w:styleId="Zkladntext3">
    <w:name w:val="Body Text 3"/>
    <w:basedOn w:val="Normln"/>
    <w:semiHidden/>
    <w:rsid w:val="00445CE4"/>
    <w:pPr>
      <w:keepNext/>
      <w:keepLines/>
    </w:pPr>
    <w:rPr>
      <w:b/>
      <w:bCs/>
    </w:rPr>
  </w:style>
  <w:style w:type="paragraph" w:styleId="Zkladntext2">
    <w:name w:val="Body Text 2"/>
    <w:basedOn w:val="Normln"/>
    <w:semiHidden/>
    <w:rsid w:val="00445CE4"/>
    <w:pPr>
      <w:spacing w:after="120" w:line="480" w:lineRule="auto"/>
    </w:pPr>
  </w:style>
  <w:style w:type="paragraph" w:customStyle="1" w:styleId="BodyText21">
    <w:name w:val="Body Text 21"/>
    <w:basedOn w:val="Normln"/>
    <w:rsid w:val="00445CE4"/>
    <w:pPr>
      <w:overflowPunct w:val="0"/>
      <w:autoSpaceDE w:val="0"/>
      <w:autoSpaceDN w:val="0"/>
      <w:adjustRightInd w:val="0"/>
      <w:spacing w:after="120"/>
      <w:textAlignment w:val="baseline"/>
    </w:pPr>
  </w:style>
  <w:style w:type="paragraph" w:styleId="Zpat">
    <w:name w:val="footer"/>
    <w:basedOn w:val="Normln"/>
    <w:link w:val="ZpatChar"/>
    <w:uiPriority w:val="99"/>
    <w:rsid w:val="00445CE4"/>
    <w:pPr>
      <w:tabs>
        <w:tab w:val="center" w:pos="4536"/>
        <w:tab w:val="right" w:pos="9072"/>
      </w:tabs>
    </w:pPr>
  </w:style>
  <w:style w:type="character" w:styleId="slostrnky">
    <w:name w:val="page number"/>
    <w:basedOn w:val="Standardnpsmoodstavce"/>
    <w:semiHidden/>
    <w:rsid w:val="00445CE4"/>
  </w:style>
  <w:style w:type="paragraph" w:styleId="Zhlav">
    <w:name w:val="header"/>
    <w:basedOn w:val="Normln"/>
    <w:link w:val="ZhlavChar"/>
    <w:uiPriority w:val="99"/>
    <w:rsid w:val="00445CE4"/>
    <w:pPr>
      <w:tabs>
        <w:tab w:val="center" w:pos="4536"/>
        <w:tab w:val="right" w:pos="9072"/>
      </w:tabs>
    </w:pPr>
  </w:style>
  <w:style w:type="character" w:styleId="Odkaznakoment">
    <w:name w:val="annotation reference"/>
    <w:basedOn w:val="Standardnpsmoodstavce"/>
    <w:uiPriority w:val="99"/>
    <w:semiHidden/>
    <w:rsid w:val="00445CE4"/>
    <w:rPr>
      <w:sz w:val="16"/>
      <w:szCs w:val="16"/>
    </w:rPr>
  </w:style>
  <w:style w:type="paragraph" w:styleId="Textkomente">
    <w:name w:val="annotation text"/>
    <w:basedOn w:val="Normln"/>
    <w:link w:val="TextkomenteChar"/>
    <w:uiPriority w:val="99"/>
    <w:semiHidden/>
    <w:rsid w:val="00445CE4"/>
  </w:style>
  <w:style w:type="paragraph" w:styleId="Zkladntextodsazen3">
    <w:name w:val="Body Text Indent 3"/>
    <w:basedOn w:val="Normln"/>
    <w:semiHidden/>
    <w:rsid w:val="00445CE4"/>
    <w:pPr>
      <w:tabs>
        <w:tab w:val="center" w:pos="4535"/>
      </w:tabs>
      <w:ind w:left="360"/>
    </w:pPr>
    <w:rPr>
      <w:noProof/>
    </w:rPr>
  </w:style>
  <w:style w:type="paragraph" w:customStyle="1" w:styleId="Styl1">
    <w:name w:val="Styl1"/>
    <w:basedOn w:val="Normln"/>
    <w:rsid w:val="00445CE4"/>
    <w:pPr>
      <w:widowControl w:val="0"/>
      <w:autoSpaceDE w:val="0"/>
      <w:autoSpaceDN w:val="0"/>
      <w:adjustRightInd w:val="0"/>
      <w:spacing w:before="120"/>
      <w:ind w:firstLine="709"/>
    </w:pPr>
    <w:rPr>
      <w:noProof/>
    </w:rPr>
  </w:style>
  <w:style w:type="paragraph" w:customStyle="1" w:styleId="Odstavec">
    <w:name w:val="Odstavec"/>
    <w:basedOn w:val="Normln"/>
    <w:rsid w:val="00445CE4"/>
    <w:pPr>
      <w:spacing w:before="120"/>
      <w:ind w:firstLine="709"/>
    </w:pPr>
    <w:rPr>
      <w:noProof/>
    </w:rPr>
  </w:style>
  <w:style w:type="paragraph" w:styleId="Bezmezer">
    <w:name w:val="No Spacing"/>
    <w:uiPriority w:val="1"/>
    <w:qFormat/>
    <w:rsid w:val="00CF0D65"/>
    <w:rPr>
      <w:sz w:val="24"/>
      <w:szCs w:val="24"/>
      <w:lang w:eastAsia="en-US"/>
    </w:rPr>
  </w:style>
  <w:style w:type="paragraph" w:styleId="Odstavecseseznamem">
    <w:name w:val="List Paragraph"/>
    <w:aliases w:val="odrážky,Nadpis pro KZ,List Paragraph_0,můj Nadpis 2"/>
    <w:basedOn w:val="Normln"/>
    <w:link w:val="OdstavecseseznamemChar"/>
    <w:uiPriority w:val="34"/>
    <w:qFormat/>
    <w:rsid w:val="00814C74"/>
    <w:pPr>
      <w:ind w:left="708"/>
    </w:pPr>
  </w:style>
  <w:style w:type="character" w:styleId="Siln">
    <w:name w:val="Strong"/>
    <w:basedOn w:val="Standardnpsmoodstavce"/>
    <w:uiPriority w:val="22"/>
    <w:qFormat/>
    <w:rsid w:val="00B35C94"/>
    <w:rPr>
      <w:b/>
      <w:bCs/>
    </w:rPr>
  </w:style>
  <w:style w:type="character" w:styleId="Znakapoznpodarou">
    <w:name w:val="footnote reference"/>
    <w:aliases w:val="BVI fnr Char Char Char,Char1 Char Char Char,Footnote Char Char Char,Footnote reference number Char Char Char,Footnote symbol Char Char Char,Ref Char Char Char,Times 10 Point Char Char Char,de nota al pie Char Char Char"/>
    <w:basedOn w:val="Standardnpsmoodstavce"/>
    <w:link w:val="BVIfnrCharChar"/>
    <w:uiPriority w:val="99"/>
    <w:rsid w:val="00DC76F7"/>
    <w:rPr>
      <w:vertAlign w:val="superscript"/>
    </w:rPr>
  </w:style>
  <w:style w:type="paragraph" w:styleId="Textpoznpodarou">
    <w:name w:val="footnote text"/>
    <w:aliases w:val="Char,Char Char Char1,Char Char1,FSR footnote,Footnote Text Char1,Fußnote,Geneva 9,Plonk,Schriftart: 10 pt,Schriftart: 8 pt,Schriftart: 9 pt,Text pozn. pod čarou1,Text pozn. pod čarou_martin_ang,f,fn,lábléc,pozn. pod čarou"/>
    <w:basedOn w:val="Normln"/>
    <w:link w:val="TextpoznpodarouChar"/>
    <w:uiPriority w:val="99"/>
    <w:rsid w:val="00DC76F7"/>
  </w:style>
  <w:style w:type="character" w:customStyle="1" w:styleId="TextpoznpodarouChar">
    <w:name w:val="Text pozn. pod čarou Char"/>
    <w:aliases w:val="Char Char,Char Char Char1 Char,Char Char1 Char,FSR footnote Char,Footnote Text Char1 Char,Fußnote Char,Geneva 9 Char,Plonk Char,Schriftart: 10 pt Char,Schriftart: 8 pt Char,Schriftart: 9 pt Char,Text pozn. pod čarou1 Char"/>
    <w:basedOn w:val="Standardnpsmoodstavce"/>
    <w:link w:val="Textpoznpodarou"/>
    <w:uiPriority w:val="99"/>
    <w:rsid w:val="00DC76F7"/>
    <w:rPr>
      <w:lang w:val="en-US" w:eastAsia="en-US"/>
    </w:rPr>
  </w:style>
  <w:style w:type="paragraph" w:styleId="Nzev">
    <w:name w:val="Title"/>
    <w:basedOn w:val="Normln"/>
    <w:link w:val="NzevChar"/>
    <w:uiPriority w:val="99"/>
    <w:qFormat/>
    <w:rsid w:val="00AA4EA4"/>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jc w:val="center"/>
    </w:pPr>
    <w:rPr>
      <w:rFonts w:ascii="Times New Roman CE obyeejné" w:hAnsi="Times New Roman CE obyeejné" w:cs="Times New Roman CE obyeejné"/>
      <w:b/>
      <w:bCs/>
      <w:sz w:val="28"/>
      <w:szCs w:val="28"/>
    </w:rPr>
  </w:style>
  <w:style w:type="character" w:customStyle="1" w:styleId="NzevChar">
    <w:name w:val="Název Char"/>
    <w:basedOn w:val="Standardnpsmoodstavce"/>
    <w:link w:val="Nzev"/>
    <w:uiPriority w:val="99"/>
    <w:rsid w:val="00AA4EA4"/>
    <w:rPr>
      <w:rFonts w:ascii="Times New Roman CE obyeejné" w:hAnsi="Times New Roman CE obyeejné" w:cs="Times New Roman CE obyeejné"/>
      <w:b/>
      <w:bCs/>
      <w:sz w:val="28"/>
      <w:szCs w:val="28"/>
    </w:rPr>
  </w:style>
  <w:style w:type="character" w:styleId="Hypertextovodkaz">
    <w:name w:val="Hyperlink"/>
    <w:basedOn w:val="Standardnpsmoodstavce"/>
    <w:uiPriority w:val="99"/>
    <w:rsid w:val="00FE449A"/>
    <w:rPr>
      <w:color w:val="0000FF"/>
      <w:u w:val="single"/>
    </w:rPr>
  </w:style>
  <w:style w:type="paragraph" w:styleId="Prosttext">
    <w:name w:val="Plain Text"/>
    <w:basedOn w:val="Normln"/>
    <w:link w:val="ProsttextChar"/>
    <w:uiPriority w:val="99"/>
    <w:unhideWhenUsed/>
    <w:rsid w:val="00CC77E3"/>
    <w:rPr>
      <w:rFonts w:ascii="Consolas" w:eastAsia="Calibri" w:hAnsi="Consolas"/>
      <w:sz w:val="21"/>
      <w:szCs w:val="21"/>
    </w:rPr>
  </w:style>
  <w:style w:type="character" w:customStyle="1" w:styleId="ProsttextChar">
    <w:name w:val="Prostý text Char"/>
    <w:basedOn w:val="Standardnpsmoodstavce"/>
    <w:link w:val="Prosttext"/>
    <w:uiPriority w:val="99"/>
    <w:rsid w:val="00CC77E3"/>
    <w:rPr>
      <w:rFonts w:ascii="Consolas" w:eastAsia="Calibri" w:hAnsi="Consolas"/>
      <w:sz w:val="21"/>
      <w:szCs w:val="21"/>
      <w:lang w:eastAsia="en-US"/>
    </w:rPr>
  </w:style>
  <w:style w:type="table" w:styleId="Mkatabulky">
    <w:name w:val="Table Grid"/>
    <w:basedOn w:val="Normlntabulka"/>
    <w:uiPriority w:val="59"/>
    <w:rsid w:val="00CA6F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ulek">
    <w:name w:val="caption"/>
    <w:basedOn w:val="Normln"/>
    <w:next w:val="Normln"/>
    <w:uiPriority w:val="35"/>
    <w:unhideWhenUsed/>
    <w:qFormat/>
    <w:rsid w:val="00891AB3"/>
    <w:pPr>
      <w:spacing w:after="200"/>
    </w:pPr>
    <w:rPr>
      <w:rFonts w:ascii="Arial" w:eastAsia="Calibri" w:hAnsi="Arial"/>
      <w:b/>
      <w:bCs/>
      <w:color w:val="4F81BD"/>
      <w:sz w:val="18"/>
      <w:szCs w:val="18"/>
    </w:rPr>
  </w:style>
  <w:style w:type="paragraph" w:styleId="Textbubliny">
    <w:name w:val="Balloon Text"/>
    <w:basedOn w:val="Normln"/>
    <w:link w:val="TextbublinyChar"/>
    <w:uiPriority w:val="99"/>
    <w:semiHidden/>
    <w:unhideWhenUsed/>
    <w:rsid w:val="001711B8"/>
    <w:rPr>
      <w:rFonts w:ascii="Tahoma" w:hAnsi="Tahoma" w:cs="Tahoma"/>
      <w:sz w:val="16"/>
      <w:szCs w:val="16"/>
    </w:rPr>
  </w:style>
  <w:style w:type="character" w:customStyle="1" w:styleId="TextbublinyChar">
    <w:name w:val="Text bubliny Char"/>
    <w:basedOn w:val="Standardnpsmoodstavce"/>
    <w:link w:val="Textbubliny"/>
    <w:uiPriority w:val="99"/>
    <w:semiHidden/>
    <w:rsid w:val="001711B8"/>
    <w:rPr>
      <w:rFonts w:ascii="Tahoma" w:hAnsi="Tahoma" w:cs="Tahoma"/>
      <w:sz w:val="16"/>
      <w:szCs w:val="16"/>
      <w:lang w:val="en-US" w:eastAsia="en-US"/>
    </w:rPr>
  </w:style>
  <w:style w:type="paragraph" w:customStyle="1" w:styleId="normalodsazene3">
    <w:name w:val="normalodsazene3"/>
    <w:basedOn w:val="Normln"/>
    <w:rsid w:val="00834C0F"/>
    <w:pPr>
      <w:spacing w:before="30" w:after="75"/>
    </w:pPr>
    <w:rPr>
      <w:rFonts w:ascii="Verdana" w:hAnsi="Verdana"/>
      <w:color w:val="585858"/>
      <w:sz w:val="26"/>
      <w:szCs w:val="26"/>
    </w:rPr>
  </w:style>
  <w:style w:type="paragraph" w:styleId="Normlnweb">
    <w:name w:val="Normal (Web)"/>
    <w:basedOn w:val="Normln"/>
    <w:uiPriority w:val="99"/>
    <w:unhideWhenUsed/>
    <w:rsid w:val="004B5A40"/>
    <w:pPr>
      <w:spacing w:before="100" w:beforeAutospacing="1" w:after="100" w:afterAutospacing="1"/>
    </w:pPr>
  </w:style>
  <w:style w:type="paragraph" w:customStyle="1" w:styleId="Odstavecseseznamem1">
    <w:name w:val="Odstavec se seznamem1"/>
    <w:aliases w:val="Odstavec se seznamem2"/>
    <w:basedOn w:val="Normln"/>
    <w:uiPriority w:val="34"/>
    <w:qFormat/>
    <w:rsid w:val="0055636A"/>
    <w:pPr>
      <w:spacing w:after="200" w:line="276" w:lineRule="auto"/>
      <w:ind w:left="720"/>
      <w:contextualSpacing/>
    </w:pPr>
    <w:rPr>
      <w:rFonts w:ascii="Calibri" w:hAnsi="Calibri"/>
      <w:sz w:val="22"/>
      <w:szCs w:val="22"/>
    </w:rPr>
  </w:style>
  <w:style w:type="character" w:customStyle="1" w:styleId="bbtext">
    <w:name w:val="bbtext"/>
    <w:basedOn w:val="Standardnpsmoodstavce"/>
    <w:rsid w:val="005F012E"/>
  </w:style>
  <w:style w:type="paragraph" w:customStyle="1" w:styleId="lnek3">
    <w:name w:val="článek3"/>
    <w:basedOn w:val="Normln"/>
    <w:rsid w:val="00E579E8"/>
    <w:pPr>
      <w:numPr>
        <w:ilvl w:val="2"/>
        <w:numId w:val="1"/>
      </w:numPr>
      <w:tabs>
        <w:tab w:val="clear" w:pos="1277"/>
      </w:tabs>
      <w:spacing w:after="120"/>
      <w:ind w:left="2220" w:hanging="360"/>
    </w:pPr>
  </w:style>
  <w:style w:type="paragraph" w:customStyle="1" w:styleId="lnek1">
    <w:name w:val="článek1"/>
    <w:basedOn w:val="Normln"/>
    <w:next w:val="lnek2"/>
    <w:rsid w:val="00E579E8"/>
    <w:pPr>
      <w:keepNext/>
      <w:keepLines/>
      <w:numPr>
        <w:numId w:val="1"/>
      </w:numPr>
      <w:spacing w:before="240" w:after="240"/>
      <w:jc w:val="center"/>
    </w:pPr>
    <w:rPr>
      <w:b/>
      <w:sz w:val="28"/>
      <w:szCs w:val="28"/>
    </w:rPr>
  </w:style>
  <w:style w:type="paragraph" w:customStyle="1" w:styleId="lnek2">
    <w:name w:val="článek2"/>
    <w:basedOn w:val="Normln"/>
    <w:next w:val="lnek3"/>
    <w:rsid w:val="00E579E8"/>
    <w:pPr>
      <w:numPr>
        <w:ilvl w:val="1"/>
        <w:numId w:val="1"/>
      </w:numPr>
      <w:spacing w:before="120" w:after="120"/>
    </w:pPr>
    <w:rPr>
      <w:b/>
    </w:rPr>
  </w:style>
  <w:style w:type="paragraph" w:customStyle="1" w:styleId="NormlnKZ">
    <w:name w:val="Normální KZ"/>
    <w:basedOn w:val="Normln"/>
    <w:rsid w:val="006A7F16"/>
    <w:pPr>
      <w:spacing w:after="120"/>
      <w:ind w:firstLine="425"/>
    </w:pPr>
    <w:rPr>
      <w:sz w:val="22"/>
    </w:rPr>
  </w:style>
  <w:style w:type="paragraph" w:customStyle="1" w:styleId="Fous">
    <w:name w:val="Fous"/>
    <w:basedOn w:val="Normln"/>
    <w:rsid w:val="006A7F16"/>
    <w:pPr>
      <w:numPr>
        <w:numId w:val="2"/>
      </w:numPr>
      <w:tabs>
        <w:tab w:val="clear" w:pos="722"/>
        <w:tab w:val="num" w:pos="360"/>
      </w:tabs>
      <w:ind w:left="360" w:hanging="360"/>
    </w:pPr>
    <w:rPr>
      <w:sz w:val="22"/>
    </w:rPr>
  </w:style>
  <w:style w:type="paragraph" w:customStyle="1" w:styleId="Default">
    <w:name w:val="Default"/>
    <w:rsid w:val="00C50826"/>
    <w:pPr>
      <w:autoSpaceDE w:val="0"/>
      <w:autoSpaceDN w:val="0"/>
      <w:adjustRightInd w:val="0"/>
    </w:pPr>
    <w:rPr>
      <w:rFonts w:ascii="Arial" w:hAnsi="Arial" w:cs="Arial"/>
      <w:color w:val="000000"/>
      <w:sz w:val="24"/>
      <w:szCs w:val="24"/>
      <w:lang w:eastAsia="en-US"/>
    </w:rPr>
  </w:style>
  <w:style w:type="paragraph" w:customStyle="1" w:styleId="BVIfnrCharChar">
    <w:name w:val="BVI fnr Char Char"/>
    <w:aliases w:val="Char1 Char Char,Exposant 3 Point Char Char,Footnote Char Char,Footnote reference number Char Char,Footnote symbol Char Char,Ref Char Char,Times 10 Point Char Char,de nota al pie Char Char"/>
    <w:basedOn w:val="Normln"/>
    <w:link w:val="Znakapoznpodarou"/>
    <w:uiPriority w:val="99"/>
    <w:rsid w:val="00A30E79"/>
    <w:pPr>
      <w:spacing w:after="160" w:line="240" w:lineRule="exact"/>
    </w:pPr>
    <w:rPr>
      <w:vertAlign w:val="superscript"/>
    </w:rPr>
  </w:style>
  <w:style w:type="character" w:styleId="Zdraznn">
    <w:name w:val="Emphasis"/>
    <w:basedOn w:val="Standardnpsmoodstavce"/>
    <w:uiPriority w:val="20"/>
    <w:qFormat/>
    <w:rsid w:val="00524340"/>
    <w:rPr>
      <w:b/>
      <w:bCs/>
      <w:i w:val="0"/>
      <w:iCs w:val="0"/>
    </w:rPr>
  </w:style>
  <w:style w:type="character" w:customStyle="1" w:styleId="st1">
    <w:name w:val="st1"/>
    <w:basedOn w:val="Standardnpsmoodstavce"/>
    <w:rsid w:val="004C70C2"/>
  </w:style>
  <w:style w:type="character" w:customStyle="1" w:styleId="cizojazycne">
    <w:name w:val="cizojazycne"/>
    <w:basedOn w:val="Standardnpsmoodstavce"/>
    <w:rsid w:val="004C70C2"/>
  </w:style>
  <w:style w:type="character" w:customStyle="1" w:styleId="red-icon">
    <w:name w:val="red-icon"/>
    <w:basedOn w:val="Standardnpsmoodstavce"/>
    <w:rsid w:val="00A91E58"/>
  </w:style>
  <w:style w:type="character" w:customStyle="1" w:styleId="black-icon">
    <w:name w:val="black-icon"/>
    <w:basedOn w:val="Standardnpsmoodstavce"/>
    <w:rsid w:val="00A91E58"/>
  </w:style>
  <w:style w:type="character" w:customStyle="1" w:styleId="hps">
    <w:name w:val="hps"/>
    <w:basedOn w:val="Standardnpsmoodstavce"/>
    <w:rsid w:val="00692B18"/>
  </w:style>
  <w:style w:type="character" w:customStyle="1" w:styleId="shorttext">
    <w:name w:val="short_text"/>
    <w:basedOn w:val="Standardnpsmoodstavce"/>
    <w:rsid w:val="00692B18"/>
  </w:style>
  <w:style w:type="character" w:customStyle="1" w:styleId="Nadpis3Char">
    <w:name w:val="Nadpis 3 Char"/>
    <w:aliases w:val="H3 Char,vlevo 14b. Char"/>
    <w:basedOn w:val="Standardnpsmoodstavce"/>
    <w:link w:val="Nadpis3"/>
    <w:uiPriority w:val="9"/>
    <w:rsid w:val="00174C92"/>
    <w:rPr>
      <w:b/>
      <w:bCs/>
      <w:color w:val="000000"/>
    </w:rPr>
  </w:style>
  <w:style w:type="character" w:customStyle="1" w:styleId="ZpatChar">
    <w:name w:val="Zápatí Char"/>
    <w:basedOn w:val="Standardnpsmoodstavce"/>
    <w:link w:val="Zpat"/>
    <w:uiPriority w:val="99"/>
    <w:rsid w:val="003D7541"/>
    <w:rPr>
      <w:sz w:val="24"/>
      <w:szCs w:val="24"/>
      <w:lang w:eastAsia="en-US"/>
    </w:rPr>
  </w:style>
  <w:style w:type="character" w:customStyle="1" w:styleId="OdstavecseseznamemChar">
    <w:name w:val="Odstavec se seznamem Char"/>
    <w:aliases w:val="odrážky Char,Nadpis pro KZ Char,List Paragraph_0 Char,můj Nadpis 2 Char"/>
    <w:basedOn w:val="Standardnpsmoodstavce"/>
    <w:link w:val="Odstavecseseznamem"/>
    <w:uiPriority w:val="34"/>
    <w:locked/>
    <w:rsid w:val="00CF2CBD"/>
    <w:rPr>
      <w:sz w:val="24"/>
      <w:szCs w:val="24"/>
      <w:lang w:eastAsia="en-US"/>
    </w:rPr>
  </w:style>
  <w:style w:type="character" w:customStyle="1" w:styleId="Nadpis7Char">
    <w:name w:val="Nadpis 7 Char"/>
    <w:basedOn w:val="Standardnpsmoodstavce"/>
    <w:link w:val="Nadpis7"/>
    <w:uiPriority w:val="9"/>
    <w:rsid w:val="002E15D3"/>
    <w:rPr>
      <w:rFonts w:ascii="Arial" w:hAnsi="Arial"/>
      <w:b/>
      <w:bCs/>
      <w:color w:val="0000FF"/>
      <w:sz w:val="22"/>
      <w:szCs w:val="24"/>
      <w:lang w:eastAsia="en-US"/>
    </w:rPr>
  </w:style>
  <w:style w:type="character" w:customStyle="1" w:styleId="Nadpis9Char">
    <w:name w:val="Nadpis 9 Char"/>
    <w:basedOn w:val="Standardnpsmoodstavce"/>
    <w:link w:val="Nadpis9"/>
    <w:uiPriority w:val="9"/>
    <w:rsid w:val="002E15D3"/>
    <w:rPr>
      <w:rFonts w:ascii="Cambria" w:hAnsi="Cambria"/>
      <w:sz w:val="22"/>
      <w:szCs w:val="22"/>
      <w:lang w:eastAsia="en-US"/>
    </w:rPr>
  </w:style>
  <w:style w:type="character" w:customStyle="1" w:styleId="ZhlavChar">
    <w:name w:val="Záhlaví Char"/>
    <w:basedOn w:val="Standardnpsmoodstavce"/>
    <w:link w:val="Zhlav"/>
    <w:uiPriority w:val="99"/>
    <w:rsid w:val="0024209B"/>
    <w:rPr>
      <w:sz w:val="24"/>
      <w:szCs w:val="24"/>
      <w:lang w:eastAsia="en-US"/>
    </w:rPr>
  </w:style>
  <w:style w:type="character" w:customStyle="1" w:styleId="Nadpis5Char">
    <w:name w:val="Nadpis 5 Char"/>
    <w:basedOn w:val="Standardnpsmoodstavce"/>
    <w:link w:val="Nadpis5"/>
    <w:uiPriority w:val="9"/>
    <w:rsid w:val="006441C4"/>
    <w:rPr>
      <w:b/>
      <w:noProof/>
      <w:sz w:val="24"/>
      <w:szCs w:val="24"/>
      <w:lang w:eastAsia="en-US"/>
    </w:rPr>
  </w:style>
  <w:style w:type="character" w:customStyle="1" w:styleId="TextkomenteChar">
    <w:name w:val="Text komentáře Char"/>
    <w:basedOn w:val="Standardnpsmoodstavce"/>
    <w:link w:val="Textkomente"/>
    <w:uiPriority w:val="99"/>
    <w:semiHidden/>
    <w:rsid w:val="00D75209"/>
    <w:rPr>
      <w:lang w:eastAsia="en-US"/>
    </w:rPr>
  </w:style>
  <w:style w:type="paragraph" w:styleId="Revize">
    <w:name w:val="Revision"/>
    <w:hidden/>
    <w:uiPriority w:val="99"/>
    <w:semiHidden/>
    <w:rsid w:val="00F208B9"/>
    <w:rPr>
      <w:sz w:val="24"/>
      <w:szCs w:val="24"/>
      <w:lang w:eastAsia="en-US"/>
    </w:rPr>
  </w:style>
  <w:style w:type="paragraph" w:styleId="Pedmtkomente">
    <w:name w:val="annotation subject"/>
    <w:basedOn w:val="Textkomente"/>
    <w:next w:val="Textkomente"/>
    <w:link w:val="PedmtkomenteChar"/>
    <w:uiPriority w:val="99"/>
    <w:semiHidden/>
    <w:unhideWhenUsed/>
    <w:rsid w:val="009B2545"/>
    <w:rPr>
      <w:b/>
      <w:bCs/>
    </w:rPr>
  </w:style>
  <w:style w:type="character" w:customStyle="1" w:styleId="PedmtkomenteChar">
    <w:name w:val="Předmět komentáře Char"/>
    <w:basedOn w:val="TextkomenteChar"/>
    <w:link w:val="Pedmtkomente"/>
    <w:uiPriority w:val="99"/>
    <w:semiHidden/>
    <w:rsid w:val="009B2545"/>
    <w:rPr>
      <w:b/>
      <w:bCs/>
      <w:lang w:eastAsia="en-US"/>
    </w:rPr>
  </w:style>
  <w:style w:type="paragraph" w:customStyle="1" w:styleId="Poznmka">
    <w:name w:val="Poznámka"/>
    <w:basedOn w:val="Normln"/>
    <w:link w:val="PoznmkaChar"/>
    <w:autoRedefine/>
    <w:qFormat/>
    <w:rsid w:val="00C3302D"/>
    <w:pPr>
      <w:spacing w:before="60"/>
    </w:pPr>
    <w:rPr>
      <w:i/>
      <w:szCs w:val="18"/>
    </w:rPr>
  </w:style>
  <w:style w:type="character" w:customStyle="1" w:styleId="PoznmkaChar">
    <w:name w:val="Poznámka Char"/>
    <w:link w:val="Poznmka"/>
    <w:rsid w:val="00C3302D"/>
    <w:rPr>
      <w:rFonts w:asciiTheme="minorHAnsi" w:hAnsiTheme="minorHAnsi"/>
      <w:i/>
      <w:szCs w:val="18"/>
      <w:lang w:eastAsia="en-US"/>
    </w:rPr>
  </w:style>
  <w:style w:type="paragraph" w:customStyle="1" w:styleId="Nzevtabulky">
    <w:name w:val="Název tabulky"/>
    <w:basedOn w:val="Normln"/>
    <w:qFormat/>
    <w:rsid w:val="00C3302D"/>
    <w:pPr>
      <w:keepNext/>
      <w:numPr>
        <w:ilvl w:val="1"/>
        <w:numId w:val="3"/>
      </w:numPr>
      <w:spacing w:before="240"/>
      <w:ind w:left="1276" w:hanging="1276"/>
    </w:pPr>
    <w:rPr>
      <w:rFonts w:cs="Arial"/>
      <w:szCs w:val="22"/>
    </w:rPr>
  </w:style>
  <w:style w:type="paragraph" w:customStyle="1" w:styleId="Zdroj">
    <w:name w:val="Zdroj"/>
    <w:basedOn w:val="Normln"/>
    <w:link w:val="ZdrojChar"/>
    <w:qFormat/>
    <w:rsid w:val="007F2E73"/>
    <w:pPr>
      <w:ind w:left="57"/>
    </w:pPr>
    <w:rPr>
      <w:i/>
      <w:sz w:val="20"/>
      <w:szCs w:val="18"/>
    </w:rPr>
  </w:style>
  <w:style w:type="character" w:customStyle="1" w:styleId="ZdrojChar">
    <w:name w:val="Zdroj Char"/>
    <w:basedOn w:val="Standardnpsmoodstavce"/>
    <w:link w:val="Zdroj"/>
    <w:locked/>
    <w:rsid w:val="007F2E73"/>
    <w:rPr>
      <w:rFonts w:asciiTheme="minorHAnsi" w:hAnsiTheme="minorHAnsi"/>
      <w:i/>
      <w:szCs w:val="18"/>
    </w:rPr>
  </w:style>
  <w:style w:type="character" w:customStyle="1" w:styleId="Nadpis2Char">
    <w:name w:val="Nadpis 2 Char"/>
    <w:aliases w:val="H2 Char,POŘ-Nadpis 2 Char,vlevo 16b. Char"/>
    <w:basedOn w:val="Standardnpsmoodstavce"/>
    <w:link w:val="Nadpis2"/>
    <w:uiPriority w:val="9"/>
    <w:rsid w:val="00C21EF3"/>
    <w:rPr>
      <w:rFonts w:eastAsia="SimSun"/>
      <w:b/>
      <w:sz w:val="24"/>
    </w:rPr>
  </w:style>
  <w:style w:type="character" w:customStyle="1" w:styleId="Nadpis6Char">
    <w:name w:val="Nadpis 6 Char"/>
    <w:aliases w:val="střed 14b. Char"/>
    <w:basedOn w:val="Standardnpsmoodstavce"/>
    <w:link w:val="Nadpis6"/>
    <w:uiPriority w:val="9"/>
    <w:rsid w:val="00C21EF3"/>
    <w:rPr>
      <w:b/>
      <w:bCs/>
      <w:noProof/>
      <w:sz w:val="24"/>
      <w:szCs w:val="24"/>
      <w:u w:val="single"/>
      <w:lang w:eastAsia="en-US"/>
    </w:rPr>
  </w:style>
  <w:style w:type="paragraph" w:styleId="Citt">
    <w:name w:val="Quote"/>
    <w:basedOn w:val="Normln"/>
    <w:next w:val="Normln"/>
    <w:link w:val="CittChar"/>
    <w:uiPriority w:val="29"/>
    <w:qFormat/>
    <w:rsid w:val="00C21EF3"/>
    <w:pPr>
      <w:spacing w:before="120"/>
    </w:pPr>
    <w:rPr>
      <w:rFonts w:ascii="Arial" w:eastAsiaTheme="minorHAnsi" w:hAnsi="Arial" w:cstheme="minorBidi"/>
      <w:i/>
      <w:iCs/>
      <w:color w:val="000000" w:themeColor="text1"/>
      <w:sz w:val="22"/>
      <w:szCs w:val="22"/>
    </w:rPr>
  </w:style>
  <w:style w:type="character" w:customStyle="1" w:styleId="CittChar">
    <w:name w:val="Citát Char"/>
    <w:basedOn w:val="Standardnpsmoodstavce"/>
    <w:link w:val="Citt"/>
    <w:uiPriority w:val="29"/>
    <w:rsid w:val="00C21EF3"/>
    <w:rPr>
      <w:rFonts w:ascii="Arial" w:eastAsiaTheme="minorHAnsi" w:hAnsi="Arial" w:cstheme="minorBidi"/>
      <w:i/>
      <w:iCs/>
      <w:color w:val="000000" w:themeColor="text1"/>
      <w:sz w:val="22"/>
      <w:szCs w:val="22"/>
      <w:lang w:eastAsia="en-US"/>
    </w:rPr>
  </w:style>
  <w:style w:type="paragraph" w:customStyle="1" w:styleId="N1">
    <w:name w:val="N1"/>
    <w:basedOn w:val="Normln"/>
    <w:qFormat/>
    <w:rsid w:val="00C21EF3"/>
    <w:pPr>
      <w:keepNext/>
      <w:numPr>
        <w:numId w:val="6"/>
      </w:numPr>
      <w:spacing w:before="240" w:after="240"/>
    </w:pPr>
    <w:rPr>
      <w:rFonts w:ascii="Arial" w:eastAsiaTheme="minorHAnsi" w:hAnsi="Arial" w:cstheme="minorBidi"/>
      <w:b/>
      <w:i/>
      <w:szCs w:val="22"/>
    </w:rPr>
  </w:style>
  <w:style w:type="paragraph" w:customStyle="1" w:styleId="N2">
    <w:name w:val="N2"/>
    <w:basedOn w:val="Normln"/>
    <w:link w:val="N2Char"/>
    <w:qFormat/>
    <w:rsid w:val="00C21EF3"/>
    <w:pPr>
      <w:numPr>
        <w:ilvl w:val="1"/>
        <w:numId w:val="7"/>
      </w:numPr>
      <w:spacing w:before="240" w:after="240"/>
    </w:pPr>
    <w:rPr>
      <w:rFonts w:ascii="Arial" w:eastAsiaTheme="minorHAnsi" w:hAnsi="Arial" w:cstheme="minorBidi"/>
      <w:b/>
      <w:sz w:val="22"/>
      <w:szCs w:val="22"/>
    </w:rPr>
  </w:style>
  <w:style w:type="character" w:customStyle="1" w:styleId="N2Char">
    <w:name w:val="N2 Char"/>
    <w:basedOn w:val="OdstavecseseznamemChar"/>
    <w:link w:val="N2"/>
    <w:rsid w:val="00C21EF3"/>
    <w:rPr>
      <w:rFonts w:ascii="Arial" w:eastAsiaTheme="minorHAnsi" w:hAnsi="Arial" w:cstheme="minorBidi"/>
      <w:b/>
      <w:sz w:val="22"/>
      <w:szCs w:val="22"/>
      <w:lang w:eastAsia="en-US"/>
    </w:rPr>
  </w:style>
  <w:style w:type="paragraph" w:customStyle="1" w:styleId="N3">
    <w:name w:val="N3"/>
    <w:basedOn w:val="Normln"/>
    <w:link w:val="N3Char"/>
    <w:qFormat/>
    <w:rsid w:val="00C21EF3"/>
    <w:pPr>
      <w:keepNext/>
      <w:numPr>
        <w:numId w:val="8"/>
      </w:numPr>
      <w:spacing w:before="240" w:after="240"/>
    </w:pPr>
    <w:rPr>
      <w:rFonts w:ascii="Arial" w:eastAsiaTheme="minorHAnsi" w:hAnsi="Arial" w:cstheme="minorBidi"/>
      <w:i/>
      <w:sz w:val="22"/>
      <w:szCs w:val="22"/>
    </w:rPr>
  </w:style>
  <w:style w:type="character" w:customStyle="1" w:styleId="N3Char">
    <w:name w:val="N3 Char"/>
    <w:basedOn w:val="OdstavecseseznamemChar"/>
    <w:link w:val="N3"/>
    <w:rsid w:val="00C21EF3"/>
    <w:rPr>
      <w:rFonts w:ascii="Arial" w:eastAsiaTheme="minorHAnsi" w:hAnsi="Arial" w:cstheme="minorBidi"/>
      <w:i/>
      <w:sz w:val="22"/>
      <w:szCs w:val="22"/>
      <w:lang w:eastAsia="en-US"/>
    </w:rPr>
  </w:style>
  <w:style w:type="paragraph" w:styleId="Normlnodsazen">
    <w:name w:val="Normal Indent"/>
    <w:basedOn w:val="Normln"/>
    <w:uiPriority w:val="99"/>
    <w:semiHidden/>
    <w:unhideWhenUsed/>
    <w:rsid w:val="00C21EF3"/>
    <w:pPr>
      <w:spacing w:before="120"/>
      <w:ind w:left="708"/>
    </w:pPr>
    <w:rPr>
      <w:rFonts w:ascii="Arial" w:eastAsiaTheme="minorHAnsi" w:hAnsi="Arial" w:cstheme="minorBidi"/>
      <w:sz w:val="22"/>
      <w:szCs w:val="22"/>
    </w:rPr>
  </w:style>
  <w:style w:type="table" w:customStyle="1" w:styleId="Mkatabulky1">
    <w:name w:val="Mřížka tabulky1"/>
    <w:basedOn w:val="Normlntabulka"/>
    <w:next w:val="Mkatabulky"/>
    <w:uiPriority w:val="59"/>
    <w:rsid w:val="00C2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
    <w:name w:val="Bez seznamu1"/>
    <w:next w:val="Bezseznamu"/>
    <w:uiPriority w:val="99"/>
    <w:semiHidden/>
    <w:unhideWhenUsed/>
    <w:rsid w:val="00C21EF3"/>
  </w:style>
  <w:style w:type="numbering" w:customStyle="1" w:styleId="Bezseznamu2">
    <w:name w:val="Bez seznamu2"/>
    <w:next w:val="Bezseznamu"/>
    <w:uiPriority w:val="99"/>
    <w:semiHidden/>
    <w:unhideWhenUsed/>
    <w:rsid w:val="00C21EF3"/>
  </w:style>
  <w:style w:type="numbering" w:customStyle="1" w:styleId="Bezseznamu3">
    <w:name w:val="Bez seznamu3"/>
    <w:next w:val="Bezseznamu"/>
    <w:uiPriority w:val="99"/>
    <w:semiHidden/>
    <w:unhideWhenUsed/>
    <w:rsid w:val="00C21EF3"/>
  </w:style>
  <w:style w:type="paragraph" w:customStyle="1" w:styleId="Nadpis71">
    <w:name w:val="Nadpis 71"/>
    <w:basedOn w:val="Normln"/>
    <w:next w:val="Normln"/>
    <w:uiPriority w:val="9"/>
    <w:unhideWhenUsed/>
    <w:qFormat/>
    <w:rsid w:val="0093467A"/>
    <w:pPr>
      <w:keepNext/>
      <w:keepLines/>
      <w:spacing w:before="200"/>
      <w:outlineLvl w:val="6"/>
    </w:pPr>
    <w:rPr>
      <w:rFonts w:ascii="Cambria" w:hAnsi="Cambria"/>
      <w:i/>
      <w:iCs/>
      <w:color w:val="404040"/>
    </w:rPr>
  </w:style>
  <w:style w:type="numbering" w:customStyle="1" w:styleId="Bezseznamu11">
    <w:name w:val="Bez seznamu11"/>
    <w:next w:val="Bezseznamu"/>
    <w:uiPriority w:val="99"/>
    <w:semiHidden/>
    <w:unhideWhenUsed/>
    <w:rsid w:val="00C21EF3"/>
  </w:style>
  <w:style w:type="paragraph" w:customStyle="1" w:styleId="Citt1">
    <w:name w:val="Citát1"/>
    <w:basedOn w:val="Normln"/>
    <w:next w:val="Normln"/>
    <w:uiPriority w:val="29"/>
    <w:qFormat/>
    <w:rsid w:val="00C21EF3"/>
    <w:pPr>
      <w:spacing w:before="120"/>
    </w:pPr>
    <w:rPr>
      <w:rFonts w:ascii="Arial" w:eastAsia="Calibri" w:hAnsi="Arial"/>
      <w:i/>
      <w:iCs/>
      <w:color w:val="000000"/>
      <w:sz w:val="22"/>
      <w:szCs w:val="22"/>
    </w:rPr>
  </w:style>
  <w:style w:type="table" w:customStyle="1" w:styleId="Mkatabulky21">
    <w:name w:val="Mřížka tabulky21"/>
    <w:basedOn w:val="Normlntabulka"/>
    <w:next w:val="Mkatabulky"/>
    <w:uiPriority w:val="59"/>
    <w:rsid w:val="00C21E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1">
    <w:name w:val="Nadpis 7 Char1"/>
    <w:basedOn w:val="Standardnpsmoodstavce"/>
    <w:uiPriority w:val="9"/>
    <w:semiHidden/>
    <w:rsid w:val="00C21EF3"/>
    <w:rPr>
      <w:rFonts w:ascii="Cambria" w:eastAsia="Times New Roman" w:hAnsi="Cambria" w:cs="Times New Roman"/>
      <w:i/>
      <w:iCs/>
      <w:color w:val="404040"/>
      <w:sz w:val="24"/>
      <w:szCs w:val="24"/>
      <w:lang w:val="en-US" w:eastAsia="en-US"/>
    </w:rPr>
  </w:style>
  <w:style w:type="character" w:customStyle="1" w:styleId="CittChar1">
    <w:name w:val="Citát Char1"/>
    <w:basedOn w:val="Standardnpsmoodstavce"/>
    <w:uiPriority w:val="29"/>
    <w:rsid w:val="00C21EF3"/>
    <w:rPr>
      <w:i/>
      <w:iCs/>
      <w:color w:val="000000"/>
      <w:sz w:val="24"/>
      <w:szCs w:val="24"/>
      <w:lang w:val="en-US" w:eastAsia="en-US"/>
    </w:rPr>
  </w:style>
  <w:style w:type="table" w:customStyle="1" w:styleId="Mkatabulky3">
    <w:name w:val="Mřížka tabulky3"/>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
    <w:name w:val="Mřížka tabulky22"/>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4Char">
    <w:name w:val="Nadpis 4 Char"/>
    <w:aliases w:val="vlevo 12b. Char"/>
    <w:basedOn w:val="Standardnpsmoodstavce"/>
    <w:link w:val="Nadpis4"/>
    <w:uiPriority w:val="9"/>
    <w:rsid w:val="00C21EF3"/>
    <w:rPr>
      <w:b/>
      <w:bCs/>
      <w:color w:val="FF0000"/>
      <w:sz w:val="24"/>
      <w:szCs w:val="24"/>
      <w:lang w:eastAsia="en-US"/>
    </w:rPr>
  </w:style>
  <w:style w:type="numbering" w:customStyle="1" w:styleId="Bezseznamu4">
    <w:name w:val="Bez seznamu4"/>
    <w:next w:val="Bezseznamu"/>
    <w:uiPriority w:val="99"/>
    <w:semiHidden/>
    <w:unhideWhenUsed/>
    <w:rsid w:val="00C21EF3"/>
  </w:style>
  <w:style w:type="paragraph" w:styleId="Nadpisobsahu">
    <w:name w:val="TOC Heading"/>
    <w:basedOn w:val="Nadpis1"/>
    <w:next w:val="Normln"/>
    <w:uiPriority w:val="39"/>
    <w:qFormat/>
    <w:rsid w:val="00C21EF3"/>
    <w:pPr>
      <w:keepLines/>
      <w:spacing w:before="240" w:line="259" w:lineRule="auto"/>
      <w:jc w:val="left"/>
      <w:outlineLvl w:val="9"/>
    </w:pPr>
    <w:rPr>
      <w:rFonts w:ascii="Calibri Light" w:hAnsi="Calibri Light"/>
      <w:b w:val="0"/>
      <w:bCs w:val="0"/>
      <w:color w:val="2E74B5"/>
      <w:sz w:val="32"/>
      <w:szCs w:val="32"/>
    </w:rPr>
  </w:style>
  <w:style w:type="paragraph" w:styleId="Obsah2">
    <w:name w:val="toc 2"/>
    <w:basedOn w:val="Normln"/>
    <w:next w:val="Normln"/>
    <w:autoRedefine/>
    <w:uiPriority w:val="39"/>
    <w:unhideWhenUsed/>
    <w:rsid w:val="00C21EF3"/>
    <w:pPr>
      <w:ind w:left="240"/>
    </w:pPr>
    <w:rPr>
      <w:rFonts w:ascii="Calibri" w:hAnsi="Calibri"/>
    </w:rPr>
  </w:style>
  <w:style w:type="paragraph" w:styleId="Obsah3">
    <w:name w:val="toc 3"/>
    <w:basedOn w:val="Normln"/>
    <w:next w:val="Normln"/>
    <w:autoRedefine/>
    <w:uiPriority w:val="39"/>
    <w:unhideWhenUsed/>
    <w:rsid w:val="00C21EF3"/>
    <w:pPr>
      <w:tabs>
        <w:tab w:val="left" w:pos="960"/>
        <w:tab w:val="right" w:leader="dot" w:pos="9062"/>
      </w:tabs>
      <w:ind w:left="480"/>
    </w:pPr>
    <w:rPr>
      <w:rFonts w:ascii="Calibri" w:hAnsi="Calibri"/>
      <w:noProof/>
    </w:rPr>
  </w:style>
  <w:style w:type="paragraph" w:styleId="Rozloendokumentu">
    <w:name w:val="Document Map"/>
    <w:basedOn w:val="Normln"/>
    <w:link w:val="RozloendokumentuChar"/>
    <w:semiHidden/>
    <w:rsid w:val="00C21EF3"/>
    <w:pPr>
      <w:shd w:val="clear" w:color="auto" w:fill="000080"/>
    </w:pPr>
    <w:rPr>
      <w:rFonts w:ascii="Tahoma" w:hAnsi="Tahoma" w:cs="Tahoma"/>
    </w:rPr>
  </w:style>
  <w:style w:type="character" w:customStyle="1" w:styleId="RozloendokumentuChar">
    <w:name w:val="Rozložení dokumentu Char"/>
    <w:basedOn w:val="Standardnpsmoodstavce"/>
    <w:link w:val="Rozloendokumentu"/>
    <w:semiHidden/>
    <w:rsid w:val="00C21EF3"/>
    <w:rPr>
      <w:rFonts w:ascii="Tahoma" w:hAnsi="Tahoma" w:cs="Tahoma"/>
      <w:shd w:val="clear" w:color="auto" w:fill="000080"/>
      <w:lang w:eastAsia="en-US"/>
    </w:rPr>
  </w:style>
  <w:style w:type="paragraph" w:styleId="Zkladntext-prvnodsazen">
    <w:name w:val="Body Text First Indent"/>
    <w:basedOn w:val="Zkladntext"/>
    <w:link w:val="Zkladntext-prvnodsazenChar"/>
    <w:rsid w:val="00C21EF3"/>
    <w:pPr>
      <w:spacing w:after="120"/>
      <w:ind w:firstLine="210"/>
      <w:jc w:val="left"/>
    </w:pPr>
    <w:rPr>
      <w:rFonts w:ascii="Calibri" w:hAnsi="Calibri"/>
      <w:b w:val="0"/>
      <w:bCs w:val="0"/>
      <w:sz w:val="24"/>
      <w:szCs w:val="24"/>
    </w:rPr>
  </w:style>
  <w:style w:type="character" w:customStyle="1" w:styleId="ZkladntextChar1">
    <w:name w:val="Základní text Char1"/>
    <w:aliases w:val="?????1 Char,Body ... Char,Body Text Char Char1,Body Text Char Char Char1,Body Text Char Char Char Char,Body Text Char1 Char Char Char,Body Text Char2 Char Char,Corps de texte INTSUM Char,Nornální Char,Základní text - D Char,b Char"/>
    <w:basedOn w:val="Standardnpsmoodstavce"/>
    <w:link w:val="Zkladntext"/>
    <w:rsid w:val="00C21EF3"/>
    <w:rPr>
      <w:b/>
      <w:bCs/>
      <w:sz w:val="28"/>
      <w:szCs w:val="28"/>
      <w:lang w:eastAsia="en-US"/>
    </w:rPr>
  </w:style>
  <w:style w:type="character" w:customStyle="1" w:styleId="Zkladntext-prvnodsazenChar">
    <w:name w:val="Základní text - první odsazený Char"/>
    <w:basedOn w:val="ZkladntextChar1"/>
    <w:link w:val="Zkladntext-prvnodsazen"/>
    <w:rsid w:val="00C21EF3"/>
    <w:rPr>
      <w:rFonts w:ascii="Calibri" w:hAnsi="Calibri"/>
      <w:b w:val="0"/>
      <w:bCs w:val="0"/>
      <w:sz w:val="24"/>
      <w:szCs w:val="24"/>
      <w:lang w:eastAsia="en-US"/>
    </w:rPr>
  </w:style>
  <w:style w:type="table" w:customStyle="1" w:styleId="Mkatabulky6">
    <w:name w:val="Mřížka tabulky6"/>
    <w:basedOn w:val="Normlntabulka"/>
    <w:next w:val="Mkatabulky"/>
    <w:rsid w:val="00C21EF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C21EF3"/>
  </w:style>
  <w:style w:type="numbering" w:customStyle="1" w:styleId="Bezseznamu5">
    <w:name w:val="Bez seznamu5"/>
    <w:next w:val="Bezseznamu"/>
    <w:uiPriority w:val="99"/>
    <w:semiHidden/>
    <w:unhideWhenUsed/>
    <w:rsid w:val="00C21EF3"/>
  </w:style>
  <w:style w:type="table" w:customStyle="1" w:styleId="Mkatabulky7">
    <w:name w:val="Mřížka tabulky7"/>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2">
    <w:name w:val="Bez seznamu12"/>
    <w:next w:val="Bezseznamu"/>
    <w:uiPriority w:val="99"/>
    <w:semiHidden/>
    <w:unhideWhenUsed/>
    <w:rsid w:val="00C21EF3"/>
  </w:style>
  <w:style w:type="table" w:customStyle="1" w:styleId="Mkatabulky31">
    <w:name w:val="Mřížka tabulky31"/>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71">
    <w:name w:val="Mřížka tabulky71"/>
    <w:basedOn w:val="Normlntabulka"/>
    <w:next w:val="Mkatabulky"/>
    <w:uiPriority w:val="59"/>
    <w:rsid w:val="00C2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8">
    <w:name w:val="Mřížka tabulky8"/>
    <w:basedOn w:val="Normlntabulka"/>
    <w:next w:val="Mkatabulky"/>
    <w:uiPriority w:val="59"/>
    <w:rsid w:val="00C2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
    <w:name w:val="Mřížka tabulky12"/>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3">
    <w:name w:val="Mřížka tabulky23"/>
    <w:basedOn w:val="Normlntabulka"/>
    <w:next w:val="Mkatabulky"/>
    <w:uiPriority w:val="59"/>
    <w:rsid w:val="00C2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1">
    <w:name w:val="Mřížka tabulky41"/>
    <w:basedOn w:val="Normlntabulka"/>
    <w:next w:val="Mkatabulky"/>
    <w:uiPriority w:val="59"/>
    <w:rsid w:val="00C2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6">
    <w:name w:val="Bez seznamu6"/>
    <w:next w:val="Bezseznamu"/>
    <w:uiPriority w:val="99"/>
    <w:semiHidden/>
    <w:unhideWhenUsed/>
    <w:rsid w:val="00C21EF3"/>
  </w:style>
  <w:style w:type="paragraph" w:customStyle="1" w:styleId="Nadpis21">
    <w:name w:val="Nadpis 21"/>
    <w:basedOn w:val="Normln"/>
    <w:next w:val="Normln"/>
    <w:unhideWhenUsed/>
    <w:qFormat/>
    <w:rsid w:val="00C21EF3"/>
    <w:pPr>
      <w:keepNext/>
      <w:keepLines/>
      <w:spacing w:before="200"/>
      <w:outlineLvl w:val="1"/>
    </w:pPr>
    <w:rPr>
      <w:rFonts w:ascii="Cambria" w:hAnsi="Cambria"/>
      <w:b/>
      <w:bCs/>
      <w:color w:val="4F81BD"/>
      <w:sz w:val="26"/>
      <w:szCs w:val="26"/>
    </w:rPr>
  </w:style>
  <w:style w:type="paragraph" w:customStyle="1" w:styleId="Nadpis31">
    <w:name w:val="Nadpis 31"/>
    <w:basedOn w:val="Normln"/>
    <w:next w:val="Normln"/>
    <w:uiPriority w:val="9"/>
    <w:unhideWhenUsed/>
    <w:qFormat/>
    <w:rsid w:val="00C21EF3"/>
    <w:pPr>
      <w:keepNext/>
      <w:keepLines/>
      <w:spacing w:before="40"/>
      <w:outlineLvl w:val="2"/>
    </w:pPr>
    <w:rPr>
      <w:rFonts w:ascii="Cambria" w:hAnsi="Cambria"/>
      <w:color w:val="243F60"/>
    </w:rPr>
  </w:style>
  <w:style w:type="paragraph" w:customStyle="1" w:styleId="Nadpis41">
    <w:name w:val="Nadpis 41"/>
    <w:basedOn w:val="Normln"/>
    <w:next w:val="Normln"/>
    <w:uiPriority w:val="9"/>
    <w:unhideWhenUsed/>
    <w:qFormat/>
    <w:rsid w:val="00C21EF3"/>
    <w:pPr>
      <w:keepNext/>
      <w:keepLines/>
      <w:spacing w:before="40"/>
      <w:outlineLvl w:val="3"/>
    </w:pPr>
    <w:rPr>
      <w:rFonts w:ascii="Cambria" w:hAnsi="Cambria"/>
      <w:i/>
      <w:iCs/>
      <w:color w:val="365F91"/>
      <w:sz w:val="22"/>
      <w:szCs w:val="22"/>
    </w:rPr>
  </w:style>
  <w:style w:type="table" w:customStyle="1" w:styleId="Mkatabulky9">
    <w:name w:val="Mřížka tabulky9"/>
    <w:basedOn w:val="Normlntabulka"/>
    <w:next w:val="Mkatabulky"/>
    <w:uiPriority w:val="59"/>
    <w:rsid w:val="00C2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3">
    <w:name w:val="Mřížka tabulky13"/>
    <w:basedOn w:val="Normlntabulka"/>
    <w:next w:val="Mkatabulky"/>
    <w:uiPriority w:val="59"/>
    <w:rsid w:val="00C2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4">
    <w:name w:val="Mřížka tabulky24"/>
    <w:basedOn w:val="Normlntabulka"/>
    <w:next w:val="Mkatabulky"/>
    <w:uiPriority w:val="59"/>
    <w:rsid w:val="00C21EF3"/>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1">
    <w:name w:val="Mřížka tabulky211"/>
    <w:basedOn w:val="Normlntabulka"/>
    <w:next w:val="Mkatabulky"/>
    <w:uiPriority w:val="59"/>
    <w:rsid w:val="00C21EF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2">
    <w:name w:val="Mřížka tabulky32"/>
    <w:basedOn w:val="Normlntabulka"/>
    <w:next w:val="Mkatabulky"/>
    <w:uiPriority w:val="39"/>
    <w:rsid w:val="00C21EF3"/>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1">
    <w:name w:val="Mřížka tabulky111"/>
    <w:basedOn w:val="Normlntabulka"/>
    <w:next w:val="Mkatabulky"/>
    <w:uiPriority w:val="39"/>
    <w:rsid w:val="00C21EF3"/>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2">
    <w:name w:val="Mřížka tabulky42"/>
    <w:basedOn w:val="Normlntabulka"/>
    <w:next w:val="Mkatabulky"/>
    <w:uiPriority w:val="39"/>
    <w:rsid w:val="00C21EF3"/>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1">
    <w:name w:val="Mřížka tabulky51"/>
    <w:basedOn w:val="Normlntabulka"/>
    <w:next w:val="Mkatabulky"/>
    <w:uiPriority w:val="39"/>
    <w:rsid w:val="00C21EF3"/>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1">
    <w:name w:val="Mřížka tabulky221"/>
    <w:basedOn w:val="Normlntabulka"/>
    <w:next w:val="Mkatabulky"/>
    <w:uiPriority w:val="39"/>
    <w:rsid w:val="00C21EF3"/>
    <w:rPr>
      <w:rFonts w:asciiTheme="minorHAnsi" w:hAnsiTheme="minorHAns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61">
    <w:name w:val="Mřížka tabulky61"/>
    <w:basedOn w:val="Normlntabulka"/>
    <w:next w:val="Mkatabulky"/>
    <w:rsid w:val="00C21EF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1">
    <w:name w:val="Nadpis 2 Char1"/>
    <w:basedOn w:val="Standardnpsmoodstavce"/>
    <w:uiPriority w:val="9"/>
    <w:semiHidden/>
    <w:rsid w:val="00C21EF3"/>
    <w:rPr>
      <w:rFonts w:ascii="Calibri Light" w:eastAsia="Times New Roman" w:hAnsi="Calibri Light" w:cs="Times New Roman"/>
      <w:color w:val="2E74B5"/>
      <w:sz w:val="26"/>
      <w:szCs w:val="26"/>
    </w:rPr>
  </w:style>
  <w:style w:type="character" w:customStyle="1" w:styleId="Nadpis7Char2">
    <w:name w:val="Nadpis 7 Char2"/>
    <w:basedOn w:val="Standardnpsmoodstavce"/>
    <w:uiPriority w:val="9"/>
    <w:semiHidden/>
    <w:rsid w:val="00C21EF3"/>
    <w:rPr>
      <w:rFonts w:ascii="Calibri Light" w:eastAsia="Times New Roman" w:hAnsi="Calibri Light" w:cs="Times New Roman"/>
      <w:i/>
      <w:iCs/>
      <w:color w:val="1F4D78"/>
    </w:rPr>
  </w:style>
  <w:style w:type="character" w:customStyle="1" w:styleId="CittChar2">
    <w:name w:val="Citát Char2"/>
    <w:basedOn w:val="Standardnpsmoodstavce"/>
    <w:uiPriority w:val="29"/>
    <w:rsid w:val="00C21EF3"/>
    <w:rPr>
      <w:rFonts w:cs="Times New Roman"/>
      <w:i/>
      <w:iCs/>
      <w:color w:val="404040"/>
    </w:rPr>
  </w:style>
  <w:style w:type="character" w:customStyle="1" w:styleId="CittChar21">
    <w:name w:val="Citát Char21"/>
    <w:basedOn w:val="Standardnpsmoodstavce"/>
    <w:uiPriority w:val="29"/>
    <w:rsid w:val="00C21EF3"/>
    <w:rPr>
      <w:rFonts w:cs="Times New Roman"/>
      <w:i/>
      <w:iCs/>
      <w:color w:val="404040"/>
    </w:rPr>
  </w:style>
  <w:style w:type="character" w:customStyle="1" w:styleId="Nadpis3Char1">
    <w:name w:val="Nadpis 3 Char1"/>
    <w:basedOn w:val="Standardnpsmoodstavce"/>
    <w:uiPriority w:val="9"/>
    <w:semiHidden/>
    <w:rsid w:val="00C21EF3"/>
    <w:rPr>
      <w:rFonts w:ascii="Calibri Light" w:eastAsia="Times New Roman" w:hAnsi="Calibri Light" w:cs="Times New Roman"/>
      <w:color w:val="1F4D78"/>
      <w:sz w:val="24"/>
      <w:szCs w:val="24"/>
    </w:rPr>
  </w:style>
  <w:style w:type="character" w:customStyle="1" w:styleId="Nadpis4Char1">
    <w:name w:val="Nadpis 4 Char1"/>
    <w:basedOn w:val="Standardnpsmoodstavce"/>
    <w:uiPriority w:val="9"/>
    <w:semiHidden/>
    <w:rsid w:val="00C21EF3"/>
    <w:rPr>
      <w:rFonts w:ascii="Calibri Light" w:eastAsia="Times New Roman" w:hAnsi="Calibri Light" w:cs="Times New Roman"/>
      <w:i/>
      <w:iCs/>
      <w:color w:val="2E74B5"/>
    </w:rPr>
  </w:style>
  <w:style w:type="numbering" w:customStyle="1" w:styleId="Bezseznamu7">
    <w:name w:val="Bez seznamu7"/>
    <w:next w:val="Bezseznamu"/>
    <w:uiPriority w:val="99"/>
    <w:semiHidden/>
    <w:unhideWhenUsed/>
    <w:rsid w:val="00C21EF3"/>
  </w:style>
  <w:style w:type="numbering" w:customStyle="1" w:styleId="Bezseznamu13">
    <w:name w:val="Bez seznamu13"/>
    <w:next w:val="Bezseznamu"/>
    <w:uiPriority w:val="99"/>
    <w:semiHidden/>
    <w:unhideWhenUsed/>
    <w:rsid w:val="00C21EF3"/>
  </w:style>
  <w:style w:type="numbering" w:customStyle="1" w:styleId="Bezseznamu111">
    <w:name w:val="Bez seznamu111"/>
    <w:next w:val="Bezseznamu"/>
    <w:uiPriority w:val="99"/>
    <w:semiHidden/>
    <w:unhideWhenUsed/>
    <w:rsid w:val="00C21EF3"/>
  </w:style>
  <w:style w:type="numbering" w:customStyle="1" w:styleId="Bezseznamu21">
    <w:name w:val="Bez seznamu21"/>
    <w:next w:val="Bezseznamu"/>
    <w:uiPriority w:val="99"/>
    <w:semiHidden/>
    <w:unhideWhenUsed/>
    <w:rsid w:val="00C21EF3"/>
  </w:style>
  <w:style w:type="numbering" w:customStyle="1" w:styleId="Bezseznamu31">
    <w:name w:val="Bez seznamu31"/>
    <w:next w:val="Bezseznamu"/>
    <w:uiPriority w:val="99"/>
    <w:semiHidden/>
    <w:unhideWhenUsed/>
    <w:rsid w:val="00C21EF3"/>
  </w:style>
  <w:style w:type="numbering" w:customStyle="1" w:styleId="Bezseznamu1111">
    <w:name w:val="Bez seznamu1111"/>
    <w:next w:val="Bezseznamu"/>
    <w:uiPriority w:val="99"/>
    <w:semiHidden/>
    <w:unhideWhenUsed/>
    <w:rsid w:val="00C21EF3"/>
  </w:style>
  <w:style w:type="numbering" w:customStyle="1" w:styleId="Bezseznamu41">
    <w:name w:val="Bez seznamu41"/>
    <w:next w:val="Bezseznamu"/>
    <w:uiPriority w:val="99"/>
    <w:semiHidden/>
    <w:unhideWhenUsed/>
    <w:rsid w:val="00C21EF3"/>
  </w:style>
  <w:style w:type="character" w:styleId="slodku">
    <w:name w:val="line number"/>
    <w:basedOn w:val="Standardnpsmoodstavce"/>
    <w:uiPriority w:val="99"/>
    <w:semiHidden/>
    <w:unhideWhenUsed/>
    <w:rsid w:val="00C21EF3"/>
  </w:style>
  <w:style w:type="paragraph" w:customStyle="1" w:styleId="Hlava">
    <w:name w:val="Hlava"/>
    <w:basedOn w:val="Normln"/>
    <w:link w:val="HlavaChar"/>
    <w:qFormat/>
    <w:rsid w:val="00C21EF3"/>
    <w:pPr>
      <w:suppressAutoHyphens/>
      <w:jc w:val="center"/>
    </w:pPr>
    <w:rPr>
      <w:lang w:eastAsia="ar-SA"/>
    </w:rPr>
  </w:style>
  <w:style w:type="character" w:customStyle="1" w:styleId="HlavaChar">
    <w:name w:val="Hlava Char"/>
    <w:link w:val="Hlava"/>
    <w:rsid w:val="00C21EF3"/>
    <w:rPr>
      <w:sz w:val="24"/>
      <w:szCs w:val="24"/>
      <w:lang w:eastAsia="ar-SA"/>
    </w:rPr>
  </w:style>
  <w:style w:type="paragraph" w:customStyle="1" w:styleId="BodyText22">
    <w:name w:val="Body Text 22"/>
    <w:basedOn w:val="Normln"/>
    <w:rsid w:val="00C21EF3"/>
    <w:pPr>
      <w:overflowPunct w:val="0"/>
      <w:autoSpaceDE w:val="0"/>
      <w:autoSpaceDN w:val="0"/>
      <w:adjustRightInd w:val="0"/>
      <w:ind w:firstLine="709"/>
      <w:textAlignment w:val="baseline"/>
    </w:pPr>
  </w:style>
  <w:style w:type="numbering" w:customStyle="1" w:styleId="Styl2">
    <w:name w:val="Styl2"/>
    <w:uiPriority w:val="99"/>
    <w:rsid w:val="006F2E2A"/>
    <w:pPr>
      <w:numPr>
        <w:numId w:val="12"/>
      </w:numPr>
    </w:pPr>
  </w:style>
  <w:style w:type="paragraph" w:customStyle="1" w:styleId="Pa18">
    <w:name w:val="Pa18"/>
    <w:basedOn w:val="Normln"/>
    <w:next w:val="Normln"/>
    <w:uiPriority w:val="99"/>
    <w:rsid w:val="0079253B"/>
    <w:pPr>
      <w:autoSpaceDE w:val="0"/>
      <w:autoSpaceDN w:val="0"/>
      <w:adjustRightInd w:val="0"/>
      <w:spacing w:line="211" w:lineRule="atLeast"/>
      <w:jc w:val="left"/>
    </w:pPr>
    <w:rPr>
      <w:rFonts w:ascii="Calibri" w:hAnsi="Calibri"/>
      <w:szCs w:val="24"/>
    </w:rPr>
  </w:style>
  <w:style w:type="character" w:customStyle="1" w:styleId="A14">
    <w:name w:val="A14"/>
    <w:uiPriority w:val="99"/>
    <w:rsid w:val="0079253B"/>
    <w:rPr>
      <w:b/>
      <w:color w:val="000000"/>
      <w:sz w:val="54"/>
    </w:rPr>
  </w:style>
  <w:style w:type="paragraph" w:customStyle="1" w:styleId="Pa19">
    <w:name w:val="Pa19"/>
    <w:basedOn w:val="Normln"/>
    <w:next w:val="Normln"/>
    <w:uiPriority w:val="99"/>
    <w:rsid w:val="0079253B"/>
    <w:pPr>
      <w:autoSpaceDE w:val="0"/>
      <w:autoSpaceDN w:val="0"/>
      <w:adjustRightInd w:val="0"/>
      <w:spacing w:line="211" w:lineRule="atLeast"/>
      <w:jc w:val="left"/>
    </w:pPr>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1937">
      <w:bodyDiv w:val="1"/>
      <w:marLeft w:val="0"/>
      <w:marRight w:val="0"/>
      <w:marTop w:val="0"/>
      <w:marBottom w:val="0"/>
      <w:divBdr>
        <w:top w:val="none" w:sz="0" w:space="0" w:color="auto"/>
        <w:left w:val="none" w:sz="0" w:space="0" w:color="auto"/>
        <w:bottom w:val="none" w:sz="0" w:space="0" w:color="auto"/>
        <w:right w:val="none" w:sz="0" w:space="0" w:color="auto"/>
      </w:divBdr>
    </w:div>
    <w:div w:id="123274900">
      <w:bodyDiv w:val="1"/>
      <w:marLeft w:val="0"/>
      <w:marRight w:val="0"/>
      <w:marTop w:val="0"/>
      <w:marBottom w:val="0"/>
      <w:divBdr>
        <w:top w:val="none" w:sz="0" w:space="0" w:color="auto"/>
        <w:left w:val="none" w:sz="0" w:space="0" w:color="auto"/>
        <w:bottom w:val="none" w:sz="0" w:space="0" w:color="auto"/>
        <w:right w:val="none" w:sz="0" w:space="0" w:color="auto"/>
      </w:divBdr>
    </w:div>
    <w:div w:id="127163080">
      <w:bodyDiv w:val="1"/>
      <w:marLeft w:val="0"/>
      <w:marRight w:val="0"/>
      <w:marTop w:val="0"/>
      <w:marBottom w:val="0"/>
      <w:divBdr>
        <w:top w:val="none" w:sz="0" w:space="0" w:color="auto"/>
        <w:left w:val="none" w:sz="0" w:space="0" w:color="auto"/>
        <w:bottom w:val="none" w:sz="0" w:space="0" w:color="auto"/>
        <w:right w:val="none" w:sz="0" w:space="0" w:color="auto"/>
      </w:divBdr>
    </w:div>
    <w:div w:id="166335869">
      <w:bodyDiv w:val="1"/>
      <w:marLeft w:val="0"/>
      <w:marRight w:val="0"/>
      <w:marTop w:val="0"/>
      <w:marBottom w:val="0"/>
      <w:divBdr>
        <w:top w:val="none" w:sz="0" w:space="0" w:color="auto"/>
        <w:left w:val="none" w:sz="0" w:space="0" w:color="auto"/>
        <w:bottom w:val="none" w:sz="0" w:space="0" w:color="auto"/>
        <w:right w:val="none" w:sz="0" w:space="0" w:color="auto"/>
      </w:divBdr>
    </w:div>
    <w:div w:id="169175116">
      <w:bodyDiv w:val="1"/>
      <w:marLeft w:val="0"/>
      <w:marRight w:val="0"/>
      <w:marTop w:val="0"/>
      <w:marBottom w:val="0"/>
      <w:divBdr>
        <w:top w:val="none" w:sz="0" w:space="0" w:color="auto"/>
        <w:left w:val="none" w:sz="0" w:space="0" w:color="auto"/>
        <w:bottom w:val="none" w:sz="0" w:space="0" w:color="auto"/>
        <w:right w:val="none" w:sz="0" w:space="0" w:color="auto"/>
      </w:divBdr>
    </w:div>
    <w:div w:id="173540885">
      <w:bodyDiv w:val="1"/>
      <w:marLeft w:val="0"/>
      <w:marRight w:val="0"/>
      <w:marTop w:val="0"/>
      <w:marBottom w:val="0"/>
      <w:divBdr>
        <w:top w:val="none" w:sz="0" w:space="0" w:color="auto"/>
        <w:left w:val="none" w:sz="0" w:space="0" w:color="auto"/>
        <w:bottom w:val="none" w:sz="0" w:space="0" w:color="auto"/>
        <w:right w:val="none" w:sz="0" w:space="0" w:color="auto"/>
      </w:divBdr>
    </w:div>
    <w:div w:id="179517282">
      <w:bodyDiv w:val="1"/>
      <w:marLeft w:val="0"/>
      <w:marRight w:val="0"/>
      <w:marTop w:val="0"/>
      <w:marBottom w:val="0"/>
      <w:divBdr>
        <w:top w:val="none" w:sz="0" w:space="0" w:color="auto"/>
        <w:left w:val="none" w:sz="0" w:space="0" w:color="auto"/>
        <w:bottom w:val="none" w:sz="0" w:space="0" w:color="auto"/>
        <w:right w:val="none" w:sz="0" w:space="0" w:color="auto"/>
      </w:divBdr>
    </w:div>
    <w:div w:id="209611271">
      <w:bodyDiv w:val="1"/>
      <w:marLeft w:val="0"/>
      <w:marRight w:val="0"/>
      <w:marTop w:val="0"/>
      <w:marBottom w:val="0"/>
      <w:divBdr>
        <w:top w:val="none" w:sz="0" w:space="0" w:color="auto"/>
        <w:left w:val="none" w:sz="0" w:space="0" w:color="auto"/>
        <w:bottom w:val="none" w:sz="0" w:space="0" w:color="auto"/>
        <w:right w:val="none" w:sz="0" w:space="0" w:color="auto"/>
      </w:divBdr>
    </w:div>
    <w:div w:id="222185248">
      <w:bodyDiv w:val="1"/>
      <w:marLeft w:val="0"/>
      <w:marRight w:val="0"/>
      <w:marTop w:val="0"/>
      <w:marBottom w:val="0"/>
      <w:divBdr>
        <w:top w:val="none" w:sz="0" w:space="0" w:color="auto"/>
        <w:left w:val="none" w:sz="0" w:space="0" w:color="auto"/>
        <w:bottom w:val="none" w:sz="0" w:space="0" w:color="auto"/>
        <w:right w:val="none" w:sz="0" w:space="0" w:color="auto"/>
      </w:divBdr>
    </w:div>
    <w:div w:id="233974015">
      <w:bodyDiv w:val="1"/>
      <w:marLeft w:val="0"/>
      <w:marRight w:val="0"/>
      <w:marTop w:val="0"/>
      <w:marBottom w:val="0"/>
      <w:divBdr>
        <w:top w:val="none" w:sz="0" w:space="0" w:color="auto"/>
        <w:left w:val="none" w:sz="0" w:space="0" w:color="auto"/>
        <w:bottom w:val="none" w:sz="0" w:space="0" w:color="auto"/>
        <w:right w:val="none" w:sz="0" w:space="0" w:color="auto"/>
      </w:divBdr>
    </w:div>
    <w:div w:id="237207119">
      <w:bodyDiv w:val="1"/>
      <w:marLeft w:val="0"/>
      <w:marRight w:val="0"/>
      <w:marTop w:val="0"/>
      <w:marBottom w:val="0"/>
      <w:divBdr>
        <w:top w:val="none" w:sz="0" w:space="0" w:color="auto"/>
        <w:left w:val="none" w:sz="0" w:space="0" w:color="auto"/>
        <w:bottom w:val="none" w:sz="0" w:space="0" w:color="auto"/>
        <w:right w:val="none" w:sz="0" w:space="0" w:color="auto"/>
      </w:divBdr>
    </w:div>
    <w:div w:id="283854771">
      <w:bodyDiv w:val="1"/>
      <w:marLeft w:val="0"/>
      <w:marRight w:val="0"/>
      <w:marTop w:val="0"/>
      <w:marBottom w:val="0"/>
      <w:divBdr>
        <w:top w:val="none" w:sz="0" w:space="0" w:color="auto"/>
        <w:left w:val="none" w:sz="0" w:space="0" w:color="auto"/>
        <w:bottom w:val="none" w:sz="0" w:space="0" w:color="auto"/>
        <w:right w:val="none" w:sz="0" w:space="0" w:color="auto"/>
      </w:divBdr>
    </w:div>
    <w:div w:id="373770148">
      <w:bodyDiv w:val="1"/>
      <w:marLeft w:val="0"/>
      <w:marRight w:val="0"/>
      <w:marTop w:val="0"/>
      <w:marBottom w:val="0"/>
      <w:divBdr>
        <w:top w:val="none" w:sz="0" w:space="0" w:color="auto"/>
        <w:left w:val="none" w:sz="0" w:space="0" w:color="auto"/>
        <w:bottom w:val="none" w:sz="0" w:space="0" w:color="auto"/>
        <w:right w:val="none" w:sz="0" w:space="0" w:color="auto"/>
      </w:divBdr>
    </w:div>
    <w:div w:id="450713098">
      <w:bodyDiv w:val="1"/>
      <w:marLeft w:val="0"/>
      <w:marRight w:val="0"/>
      <w:marTop w:val="0"/>
      <w:marBottom w:val="0"/>
      <w:divBdr>
        <w:top w:val="none" w:sz="0" w:space="0" w:color="auto"/>
        <w:left w:val="none" w:sz="0" w:space="0" w:color="auto"/>
        <w:bottom w:val="none" w:sz="0" w:space="0" w:color="auto"/>
        <w:right w:val="none" w:sz="0" w:space="0" w:color="auto"/>
      </w:divBdr>
    </w:div>
    <w:div w:id="457188425">
      <w:bodyDiv w:val="1"/>
      <w:marLeft w:val="0"/>
      <w:marRight w:val="0"/>
      <w:marTop w:val="0"/>
      <w:marBottom w:val="0"/>
      <w:divBdr>
        <w:top w:val="none" w:sz="0" w:space="0" w:color="auto"/>
        <w:left w:val="none" w:sz="0" w:space="0" w:color="auto"/>
        <w:bottom w:val="none" w:sz="0" w:space="0" w:color="auto"/>
        <w:right w:val="none" w:sz="0" w:space="0" w:color="auto"/>
      </w:divBdr>
    </w:div>
    <w:div w:id="461465138">
      <w:bodyDiv w:val="1"/>
      <w:marLeft w:val="0"/>
      <w:marRight w:val="0"/>
      <w:marTop w:val="0"/>
      <w:marBottom w:val="0"/>
      <w:divBdr>
        <w:top w:val="none" w:sz="0" w:space="0" w:color="auto"/>
        <w:left w:val="none" w:sz="0" w:space="0" w:color="auto"/>
        <w:bottom w:val="none" w:sz="0" w:space="0" w:color="auto"/>
        <w:right w:val="none" w:sz="0" w:space="0" w:color="auto"/>
      </w:divBdr>
    </w:div>
    <w:div w:id="466630434">
      <w:bodyDiv w:val="1"/>
      <w:marLeft w:val="0"/>
      <w:marRight w:val="0"/>
      <w:marTop w:val="0"/>
      <w:marBottom w:val="0"/>
      <w:divBdr>
        <w:top w:val="none" w:sz="0" w:space="0" w:color="auto"/>
        <w:left w:val="none" w:sz="0" w:space="0" w:color="auto"/>
        <w:bottom w:val="none" w:sz="0" w:space="0" w:color="auto"/>
        <w:right w:val="none" w:sz="0" w:space="0" w:color="auto"/>
      </w:divBdr>
    </w:div>
    <w:div w:id="488591887">
      <w:bodyDiv w:val="1"/>
      <w:marLeft w:val="0"/>
      <w:marRight w:val="0"/>
      <w:marTop w:val="0"/>
      <w:marBottom w:val="0"/>
      <w:divBdr>
        <w:top w:val="none" w:sz="0" w:space="0" w:color="auto"/>
        <w:left w:val="none" w:sz="0" w:space="0" w:color="auto"/>
        <w:bottom w:val="none" w:sz="0" w:space="0" w:color="auto"/>
        <w:right w:val="none" w:sz="0" w:space="0" w:color="auto"/>
      </w:divBdr>
    </w:div>
    <w:div w:id="501747825">
      <w:bodyDiv w:val="1"/>
      <w:marLeft w:val="0"/>
      <w:marRight w:val="0"/>
      <w:marTop w:val="0"/>
      <w:marBottom w:val="0"/>
      <w:divBdr>
        <w:top w:val="none" w:sz="0" w:space="0" w:color="auto"/>
        <w:left w:val="none" w:sz="0" w:space="0" w:color="auto"/>
        <w:bottom w:val="none" w:sz="0" w:space="0" w:color="auto"/>
        <w:right w:val="none" w:sz="0" w:space="0" w:color="auto"/>
      </w:divBdr>
    </w:div>
    <w:div w:id="510265857">
      <w:bodyDiv w:val="1"/>
      <w:marLeft w:val="0"/>
      <w:marRight w:val="0"/>
      <w:marTop w:val="0"/>
      <w:marBottom w:val="0"/>
      <w:divBdr>
        <w:top w:val="none" w:sz="0" w:space="0" w:color="auto"/>
        <w:left w:val="none" w:sz="0" w:space="0" w:color="auto"/>
        <w:bottom w:val="none" w:sz="0" w:space="0" w:color="auto"/>
        <w:right w:val="none" w:sz="0" w:space="0" w:color="auto"/>
      </w:divBdr>
    </w:div>
    <w:div w:id="538666512">
      <w:bodyDiv w:val="1"/>
      <w:marLeft w:val="0"/>
      <w:marRight w:val="0"/>
      <w:marTop w:val="0"/>
      <w:marBottom w:val="0"/>
      <w:divBdr>
        <w:top w:val="none" w:sz="0" w:space="0" w:color="auto"/>
        <w:left w:val="none" w:sz="0" w:space="0" w:color="auto"/>
        <w:bottom w:val="none" w:sz="0" w:space="0" w:color="auto"/>
        <w:right w:val="none" w:sz="0" w:space="0" w:color="auto"/>
      </w:divBdr>
    </w:div>
    <w:div w:id="552153802">
      <w:bodyDiv w:val="1"/>
      <w:marLeft w:val="0"/>
      <w:marRight w:val="0"/>
      <w:marTop w:val="0"/>
      <w:marBottom w:val="0"/>
      <w:divBdr>
        <w:top w:val="none" w:sz="0" w:space="0" w:color="auto"/>
        <w:left w:val="none" w:sz="0" w:space="0" w:color="auto"/>
        <w:bottom w:val="none" w:sz="0" w:space="0" w:color="auto"/>
        <w:right w:val="none" w:sz="0" w:space="0" w:color="auto"/>
      </w:divBdr>
    </w:div>
    <w:div w:id="562563393">
      <w:bodyDiv w:val="1"/>
      <w:marLeft w:val="0"/>
      <w:marRight w:val="0"/>
      <w:marTop w:val="0"/>
      <w:marBottom w:val="0"/>
      <w:divBdr>
        <w:top w:val="none" w:sz="0" w:space="0" w:color="auto"/>
        <w:left w:val="none" w:sz="0" w:space="0" w:color="auto"/>
        <w:bottom w:val="none" w:sz="0" w:space="0" w:color="auto"/>
        <w:right w:val="none" w:sz="0" w:space="0" w:color="auto"/>
      </w:divBdr>
    </w:div>
    <w:div w:id="591745080">
      <w:bodyDiv w:val="1"/>
      <w:marLeft w:val="0"/>
      <w:marRight w:val="0"/>
      <w:marTop w:val="0"/>
      <w:marBottom w:val="0"/>
      <w:divBdr>
        <w:top w:val="none" w:sz="0" w:space="0" w:color="auto"/>
        <w:left w:val="none" w:sz="0" w:space="0" w:color="auto"/>
        <w:bottom w:val="none" w:sz="0" w:space="0" w:color="auto"/>
        <w:right w:val="none" w:sz="0" w:space="0" w:color="auto"/>
      </w:divBdr>
    </w:div>
    <w:div w:id="627050395">
      <w:bodyDiv w:val="1"/>
      <w:marLeft w:val="0"/>
      <w:marRight w:val="0"/>
      <w:marTop w:val="0"/>
      <w:marBottom w:val="0"/>
      <w:divBdr>
        <w:top w:val="none" w:sz="0" w:space="0" w:color="auto"/>
        <w:left w:val="none" w:sz="0" w:space="0" w:color="auto"/>
        <w:bottom w:val="none" w:sz="0" w:space="0" w:color="auto"/>
        <w:right w:val="none" w:sz="0" w:space="0" w:color="auto"/>
      </w:divBdr>
    </w:div>
    <w:div w:id="636495894">
      <w:bodyDiv w:val="1"/>
      <w:marLeft w:val="0"/>
      <w:marRight w:val="0"/>
      <w:marTop w:val="0"/>
      <w:marBottom w:val="0"/>
      <w:divBdr>
        <w:top w:val="none" w:sz="0" w:space="0" w:color="auto"/>
        <w:left w:val="none" w:sz="0" w:space="0" w:color="auto"/>
        <w:bottom w:val="none" w:sz="0" w:space="0" w:color="auto"/>
        <w:right w:val="none" w:sz="0" w:space="0" w:color="auto"/>
      </w:divBdr>
    </w:div>
    <w:div w:id="645428361">
      <w:bodyDiv w:val="1"/>
      <w:marLeft w:val="0"/>
      <w:marRight w:val="0"/>
      <w:marTop w:val="0"/>
      <w:marBottom w:val="0"/>
      <w:divBdr>
        <w:top w:val="none" w:sz="0" w:space="0" w:color="auto"/>
        <w:left w:val="none" w:sz="0" w:space="0" w:color="auto"/>
        <w:bottom w:val="none" w:sz="0" w:space="0" w:color="auto"/>
        <w:right w:val="none" w:sz="0" w:space="0" w:color="auto"/>
      </w:divBdr>
    </w:div>
    <w:div w:id="667445267">
      <w:bodyDiv w:val="1"/>
      <w:marLeft w:val="0"/>
      <w:marRight w:val="0"/>
      <w:marTop w:val="0"/>
      <w:marBottom w:val="0"/>
      <w:divBdr>
        <w:top w:val="none" w:sz="0" w:space="0" w:color="auto"/>
        <w:left w:val="none" w:sz="0" w:space="0" w:color="auto"/>
        <w:bottom w:val="none" w:sz="0" w:space="0" w:color="auto"/>
        <w:right w:val="none" w:sz="0" w:space="0" w:color="auto"/>
      </w:divBdr>
    </w:div>
    <w:div w:id="676687608">
      <w:bodyDiv w:val="1"/>
      <w:marLeft w:val="0"/>
      <w:marRight w:val="0"/>
      <w:marTop w:val="0"/>
      <w:marBottom w:val="0"/>
      <w:divBdr>
        <w:top w:val="none" w:sz="0" w:space="0" w:color="auto"/>
        <w:left w:val="none" w:sz="0" w:space="0" w:color="auto"/>
        <w:bottom w:val="none" w:sz="0" w:space="0" w:color="auto"/>
        <w:right w:val="none" w:sz="0" w:space="0" w:color="auto"/>
      </w:divBdr>
    </w:div>
    <w:div w:id="719867876">
      <w:bodyDiv w:val="1"/>
      <w:marLeft w:val="0"/>
      <w:marRight w:val="0"/>
      <w:marTop w:val="0"/>
      <w:marBottom w:val="0"/>
      <w:divBdr>
        <w:top w:val="none" w:sz="0" w:space="0" w:color="auto"/>
        <w:left w:val="none" w:sz="0" w:space="0" w:color="auto"/>
        <w:bottom w:val="none" w:sz="0" w:space="0" w:color="auto"/>
        <w:right w:val="none" w:sz="0" w:space="0" w:color="auto"/>
      </w:divBdr>
    </w:div>
    <w:div w:id="741296534">
      <w:bodyDiv w:val="1"/>
      <w:marLeft w:val="0"/>
      <w:marRight w:val="0"/>
      <w:marTop w:val="0"/>
      <w:marBottom w:val="0"/>
      <w:divBdr>
        <w:top w:val="none" w:sz="0" w:space="0" w:color="auto"/>
        <w:left w:val="none" w:sz="0" w:space="0" w:color="auto"/>
        <w:bottom w:val="none" w:sz="0" w:space="0" w:color="auto"/>
        <w:right w:val="none" w:sz="0" w:space="0" w:color="auto"/>
      </w:divBdr>
    </w:div>
    <w:div w:id="801072643">
      <w:bodyDiv w:val="1"/>
      <w:marLeft w:val="0"/>
      <w:marRight w:val="0"/>
      <w:marTop w:val="0"/>
      <w:marBottom w:val="0"/>
      <w:divBdr>
        <w:top w:val="none" w:sz="0" w:space="0" w:color="auto"/>
        <w:left w:val="none" w:sz="0" w:space="0" w:color="auto"/>
        <w:bottom w:val="none" w:sz="0" w:space="0" w:color="auto"/>
        <w:right w:val="none" w:sz="0" w:space="0" w:color="auto"/>
      </w:divBdr>
    </w:div>
    <w:div w:id="860314503">
      <w:bodyDiv w:val="1"/>
      <w:marLeft w:val="0"/>
      <w:marRight w:val="0"/>
      <w:marTop w:val="0"/>
      <w:marBottom w:val="0"/>
      <w:divBdr>
        <w:top w:val="none" w:sz="0" w:space="0" w:color="auto"/>
        <w:left w:val="none" w:sz="0" w:space="0" w:color="auto"/>
        <w:bottom w:val="none" w:sz="0" w:space="0" w:color="auto"/>
        <w:right w:val="none" w:sz="0" w:space="0" w:color="auto"/>
      </w:divBdr>
    </w:div>
    <w:div w:id="900553185">
      <w:bodyDiv w:val="1"/>
      <w:marLeft w:val="0"/>
      <w:marRight w:val="0"/>
      <w:marTop w:val="0"/>
      <w:marBottom w:val="0"/>
      <w:divBdr>
        <w:top w:val="none" w:sz="0" w:space="0" w:color="auto"/>
        <w:left w:val="none" w:sz="0" w:space="0" w:color="auto"/>
        <w:bottom w:val="none" w:sz="0" w:space="0" w:color="auto"/>
        <w:right w:val="none" w:sz="0" w:space="0" w:color="auto"/>
      </w:divBdr>
    </w:div>
    <w:div w:id="903487889">
      <w:bodyDiv w:val="1"/>
      <w:marLeft w:val="0"/>
      <w:marRight w:val="0"/>
      <w:marTop w:val="0"/>
      <w:marBottom w:val="0"/>
      <w:divBdr>
        <w:top w:val="none" w:sz="0" w:space="0" w:color="auto"/>
        <w:left w:val="none" w:sz="0" w:space="0" w:color="auto"/>
        <w:bottom w:val="none" w:sz="0" w:space="0" w:color="auto"/>
        <w:right w:val="none" w:sz="0" w:space="0" w:color="auto"/>
      </w:divBdr>
    </w:div>
    <w:div w:id="937521830">
      <w:bodyDiv w:val="1"/>
      <w:marLeft w:val="0"/>
      <w:marRight w:val="0"/>
      <w:marTop w:val="0"/>
      <w:marBottom w:val="0"/>
      <w:divBdr>
        <w:top w:val="none" w:sz="0" w:space="0" w:color="auto"/>
        <w:left w:val="none" w:sz="0" w:space="0" w:color="auto"/>
        <w:bottom w:val="none" w:sz="0" w:space="0" w:color="auto"/>
        <w:right w:val="none" w:sz="0" w:space="0" w:color="auto"/>
      </w:divBdr>
    </w:div>
    <w:div w:id="938028828">
      <w:bodyDiv w:val="1"/>
      <w:marLeft w:val="0"/>
      <w:marRight w:val="0"/>
      <w:marTop w:val="0"/>
      <w:marBottom w:val="0"/>
      <w:divBdr>
        <w:top w:val="none" w:sz="0" w:space="0" w:color="auto"/>
        <w:left w:val="none" w:sz="0" w:space="0" w:color="auto"/>
        <w:bottom w:val="none" w:sz="0" w:space="0" w:color="auto"/>
        <w:right w:val="none" w:sz="0" w:space="0" w:color="auto"/>
      </w:divBdr>
    </w:div>
    <w:div w:id="992949075">
      <w:bodyDiv w:val="1"/>
      <w:marLeft w:val="0"/>
      <w:marRight w:val="0"/>
      <w:marTop w:val="0"/>
      <w:marBottom w:val="0"/>
      <w:divBdr>
        <w:top w:val="none" w:sz="0" w:space="0" w:color="auto"/>
        <w:left w:val="none" w:sz="0" w:space="0" w:color="auto"/>
        <w:bottom w:val="none" w:sz="0" w:space="0" w:color="auto"/>
        <w:right w:val="none" w:sz="0" w:space="0" w:color="auto"/>
      </w:divBdr>
    </w:div>
    <w:div w:id="1018773054">
      <w:bodyDiv w:val="1"/>
      <w:marLeft w:val="0"/>
      <w:marRight w:val="0"/>
      <w:marTop w:val="0"/>
      <w:marBottom w:val="0"/>
      <w:divBdr>
        <w:top w:val="none" w:sz="0" w:space="0" w:color="auto"/>
        <w:left w:val="none" w:sz="0" w:space="0" w:color="auto"/>
        <w:bottom w:val="none" w:sz="0" w:space="0" w:color="auto"/>
        <w:right w:val="none" w:sz="0" w:space="0" w:color="auto"/>
      </w:divBdr>
    </w:div>
    <w:div w:id="1082676344">
      <w:bodyDiv w:val="1"/>
      <w:marLeft w:val="0"/>
      <w:marRight w:val="0"/>
      <w:marTop w:val="0"/>
      <w:marBottom w:val="0"/>
      <w:divBdr>
        <w:top w:val="none" w:sz="0" w:space="0" w:color="auto"/>
        <w:left w:val="none" w:sz="0" w:space="0" w:color="auto"/>
        <w:bottom w:val="none" w:sz="0" w:space="0" w:color="auto"/>
        <w:right w:val="none" w:sz="0" w:space="0" w:color="auto"/>
      </w:divBdr>
    </w:div>
    <w:div w:id="1084104632">
      <w:bodyDiv w:val="1"/>
      <w:marLeft w:val="0"/>
      <w:marRight w:val="0"/>
      <w:marTop w:val="0"/>
      <w:marBottom w:val="0"/>
      <w:divBdr>
        <w:top w:val="none" w:sz="0" w:space="0" w:color="auto"/>
        <w:left w:val="none" w:sz="0" w:space="0" w:color="auto"/>
        <w:bottom w:val="none" w:sz="0" w:space="0" w:color="auto"/>
        <w:right w:val="none" w:sz="0" w:space="0" w:color="auto"/>
      </w:divBdr>
    </w:div>
    <w:div w:id="1163618434">
      <w:bodyDiv w:val="1"/>
      <w:marLeft w:val="0"/>
      <w:marRight w:val="0"/>
      <w:marTop w:val="0"/>
      <w:marBottom w:val="0"/>
      <w:divBdr>
        <w:top w:val="none" w:sz="0" w:space="0" w:color="auto"/>
        <w:left w:val="none" w:sz="0" w:space="0" w:color="auto"/>
        <w:bottom w:val="none" w:sz="0" w:space="0" w:color="auto"/>
        <w:right w:val="none" w:sz="0" w:space="0" w:color="auto"/>
      </w:divBdr>
    </w:div>
    <w:div w:id="1234782244">
      <w:bodyDiv w:val="1"/>
      <w:marLeft w:val="0"/>
      <w:marRight w:val="0"/>
      <w:marTop w:val="0"/>
      <w:marBottom w:val="0"/>
      <w:divBdr>
        <w:top w:val="none" w:sz="0" w:space="0" w:color="auto"/>
        <w:left w:val="none" w:sz="0" w:space="0" w:color="auto"/>
        <w:bottom w:val="none" w:sz="0" w:space="0" w:color="auto"/>
        <w:right w:val="none" w:sz="0" w:space="0" w:color="auto"/>
      </w:divBdr>
    </w:div>
    <w:div w:id="1259602576">
      <w:bodyDiv w:val="1"/>
      <w:marLeft w:val="0"/>
      <w:marRight w:val="0"/>
      <w:marTop w:val="0"/>
      <w:marBottom w:val="0"/>
      <w:divBdr>
        <w:top w:val="none" w:sz="0" w:space="0" w:color="auto"/>
        <w:left w:val="none" w:sz="0" w:space="0" w:color="auto"/>
        <w:bottom w:val="none" w:sz="0" w:space="0" w:color="auto"/>
        <w:right w:val="none" w:sz="0" w:space="0" w:color="auto"/>
      </w:divBdr>
    </w:div>
    <w:div w:id="1272205887">
      <w:bodyDiv w:val="1"/>
      <w:marLeft w:val="0"/>
      <w:marRight w:val="0"/>
      <w:marTop w:val="0"/>
      <w:marBottom w:val="0"/>
      <w:divBdr>
        <w:top w:val="none" w:sz="0" w:space="0" w:color="auto"/>
        <w:left w:val="none" w:sz="0" w:space="0" w:color="auto"/>
        <w:bottom w:val="none" w:sz="0" w:space="0" w:color="auto"/>
        <w:right w:val="none" w:sz="0" w:space="0" w:color="auto"/>
      </w:divBdr>
    </w:div>
    <w:div w:id="1279920215">
      <w:bodyDiv w:val="1"/>
      <w:marLeft w:val="0"/>
      <w:marRight w:val="0"/>
      <w:marTop w:val="0"/>
      <w:marBottom w:val="0"/>
      <w:divBdr>
        <w:top w:val="none" w:sz="0" w:space="0" w:color="auto"/>
        <w:left w:val="none" w:sz="0" w:space="0" w:color="auto"/>
        <w:bottom w:val="none" w:sz="0" w:space="0" w:color="auto"/>
        <w:right w:val="none" w:sz="0" w:space="0" w:color="auto"/>
      </w:divBdr>
    </w:div>
    <w:div w:id="1359313333">
      <w:bodyDiv w:val="1"/>
      <w:marLeft w:val="0"/>
      <w:marRight w:val="0"/>
      <w:marTop w:val="0"/>
      <w:marBottom w:val="0"/>
      <w:divBdr>
        <w:top w:val="none" w:sz="0" w:space="0" w:color="auto"/>
        <w:left w:val="none" w:sz="0" w:space="0" w:color="auto"/>
        <w:bottom w:val="none" w:sz="0" w:space="0" w:color="auto"/>
        <w:right w:val="none" w:sz="0" w:space="0" w:color="auto"/>
      </w:divBdr>
    </w:div>
    <w:div w:id="1365862458">
      <w:bodyDiv w:val="1"/>
      <w:marLeft w:val="0"/>
      <w:marRight w:val="0"/>
      <w:marTop w:val="0"/>
      <w:marBottom w:val="0"/>
      <w:divBdr>
        <w:top w:val="none" w:sz="0" w:space="0" w:color="auto"/>
        <w:left w:val="none" w:sz="0" w:space="0" w:color="auto"/>
        <w:bottom w:val="none" w:sz="0" w:space="0" w:color="auto"/>
        <w:right w:val="none" w:sz="0" w:space="0" w:color="auto"/>
      </w:divBdr>
    </w:div>
    <w:div w:id="1419015280">
      <w:bodyDiv w:val="1"/>
      <w:marLeft w:val="0"/>
      <w:marRight w:val="0"/>
      <w:marTop w:val="0"/>
      <w:marBottom w:val="0"/>
      <w:divBdr>
        <w:top w:val="none" w:sz="0" w:space="0" w:color="auto"/>
        <w:left w:val="none" w:sz="0" w:space="0" w:color="auto"/>
        <w:bottom w:val="none" w:sz="0" w:space="0" w:color="auto"/>
        <w:right w:val="none" w:sz="0" w:space="0" w:color="auto"/>
      </w:divBdr>
    </w:div>
    <w:div w:id="1458182435">
      <w:bodyDiv w:val="1"/>
      <w:marLeft w:val="0"/>
      <w:marRight w:val="0"/>
      <w:marTop w:val="0"/>
      <w:marBottom w:val="0"/>
      <w:divBdr>
        <w:top w:val="none" w:sz="0" w:space="0" w:color="auto"/>
        <w:left w:val="none" w:sz="0" w:space="0" w:color="auto"/>
        <w:bottom w:val="none" w:sz="0" w:space="0" w:color="auto"/>
        <w:right w:val="none" w:sz="0" w:space="0" w:color="auto"/>
      </w:divBdr>
    </w:div>
    <w:div w:id="1524048740">
      <w:bodyDiv w:val="1"/>
      <w:marLeft w:val="0"/>
      <w:marRight w:val="0"/>
      <w:marTop w:val="0"/>
      <w:marBottom w:val="0"/>
      <w:divBdr>
        <w:top w:val="none" w:sz="0" w:space="0" w:color="auto"/>
        <w:left w:val="none" w:sz="0" w:space="0" w:color="auto"/>
        <w:bottom w:val="none" w:sz="0" w:space="0" w:color="auto"/>
        <w:right w:val="none" w:sz="0" w:space="0" w:color="auto"/>
      </w:divBdr>
    </w:div>
    <w:div w:id="1555971202">
      <w:bodyDiv w:val="1"/>
      <w:marLeft w:val="0"/>
      <w:marRight w:val="0"/>
      <w:marTop w:val="0"/>
      <w:marBottom w:val="0"/>
      <w:divBdr>
        <w:top w:val="none" w:sz="0" w:space="0" w:color="auto"/>
        <w:left w:val="none" w:sz="0" w:space="0" w:color="auto"/>
        <w:bottom w:val="none" w:sz="0" w:space="0" w:color="auto"/>
        <w:right w:val="none" w:sz="0" w:space="0" w:color="auto"/>
      </w:divBdr>
    </w:div>
    <w:div w:id="1695031713">
      <w:bodyDiv w:val="1"/>
      <w:marLeft w:val="0"/>
      <w:marRight w:val="0"/>
      <w:marTop w:val="0"/>
      <w:marBottom w:val="0"/>
      <w:divBdr>
        <w:top w:val="none" w:sz="0" w:space="0" w:color="auto"/>
        <w:left w:val="none" w:sz="0" w:space="0" w:color="auto"/>
        <w:bottom w:val="none" w:sz="0" w:space="0" w:color="auto"/>
        <w:right w:val="none" w:sz="0" w:space="0" w:color="auto"/>
      </w:divBdr>
    </w:div>
    <w:div w:id="1750347376">
      <w:bodyDiv w:val="1"/>
      <w:marLeft w:val="0"/>
      <w:marRight w:val="0"/>
      <w:marTop w:val="0"/>
      <w:marBottom w:val="0"/>
      <w:divBdr>
        <w:top w:val="none" w:sz="0" w:space="0" w:color="auto"/>
        <w:left w:val="none" w:sz="0" w:space="0" w:color="auto"/>
        <w:bottom w:val="none" w:sz="0" w:space="0" w:color="auto"/>
        <w:right w:val="none" w:sz="0" w:space="0" w:color="auto"/>
      </w:divBdr>
    </w:div>
    <w:div w:id="1761368853">
      <w:bodyDiv w:val="1"/>
      <w:marLeft w:val="0"/>
      <w:marRight w:val="0"/>
      <w:marTop w:val="0"/>
      <w:marBottom w:val="0"/>
      <w:divBdr>
        <w:top w:val="none" w:sz="0" w:space="0" w:color="auto"/>
        <w:left w:val="none" w:sz="0" w:space="0" w:color="auto"/>
        <w:bottom w:val="none" w:sz="0" w:space="0" w:color="auto"/>
        <w:right w:val="none" w:sz="0" w:space="0" w:color="auto"/>
      </w:divBdr>
    </w:div>
    <w:div w:id="1774746156">
      <w:bodyDiv w:val="1"/>
      <w:marLeft w:val="0"/>
      <w:marRight w:val="0"/>
      <w:marTop w:val="0"/>
      <w:marBottom w:val="0"/>
      <w:divBdr>
        <w:top w:val="none" w:sz="0" w:space="0" w:color="auto"/>
        <w:left w:val="none" w:sz="0" w:space="0" w:color="auto"/>
        <w:bottom w:val="none" w:sz="0" w:space="0" w:color="auto"/>
        <w:right w:val="none" w:sz="0" w:space="0" w:color="auto"/>
      </w:divBdr>
    </w:div>
    <w:div w:id="1785730739">
      <w:bodyDiv w:val="1"/>
      <w:marLeft w:val="0"/>
      <w:marRight w:val="0"/>
      <w:marTop w:val="0"/>
      <w:marBottom w:val="0"/>
      <w:divBdr>
        <w:top w:val="none" w:sz="0" w:space="0" w:color="auto"/>
        <w:left w:val="none" w:sz="0" w:space="0" w:color="auto"/>
        <w:bottom w:val="none" w:sz="0" w:space="0" w:color="auto"/>
        <w:right w:val="none" w:sz="0" w:space="0" w:color="auto"/>
      </w:divBdr>
    </w:div>
    <w:div w:id="1872960778">
      <w:bodyDiv w:val="1"/>
      <w:marLeft w:val="0"/>
      <w:marRight w:val="0"/>
      <w:marTop w:val="0"/>
      <w:marBottom w:val="0"/>
      <w:divBdr>
        <w:top w:val="none" w:sz="0" w:space="0" w:color="auto"/>
        <w:left w:val="none" w:sz="0" w:space="0" w:color="auto"/>
        <w:bottom w:val="none" w:sz="0" w:space="0" w:color="auto"/>
        <w:right w:val="none" w:sz="0" w:space="0" w:color="auto"/>
      </w:divBdr>
    </w:div>
    <w:div w:id="1901095018">
      <w:bodyDiv w:val="1"/>
      <w:marLeft w:val="0"/>
      <w:marRight w:val="0"/>
      <w:marTop w:val="0"/>
      <w:marBottom w:val="0"/>
      <w:divBdr>
        <w:top w:val="none" w:sz="0" w:space="0" w:color="auto"/>
        <w:left w:val="none" w:sz="0" w:space="0" w:color="auto"/>
        <w:bottom w:val="none" w:sz="0" w:space="0" w:color="auto"/>
        <w:right w:val="none" w:sz="0" w:space="0" w:color="auto"/>
      </w:divBdr>
    </w:div>
    <w:div w:id="1982691176">
      <w:bodyDiv w:val="1"/>
      <w:marLeft w:val="0"/>
      <w:marRight w:val="0"/>
      <w:marTop w:val="0"/>
      <w:marBottom w:val="0"/>
      <w:divBdr>
        <w:top w:val="none" w:sz="0" w:space="0" w:color="auto"/>
        <w:left w:val="none" w:sz="0" w:space="0" w:color="auto"/>
        <w:bottom w:val="none" w:sz="0" w:space="0" w:color="auto"/>
        <w:right w:val="none" w:sz="0" w:space="0" w:color="auto"/>
      </w:divBdr>
    </w:div>
    <w:div w:id="2007243846">
      <w:bodyDiv w:val="1"/>
      <w:marLeft w:val="0"/>
      <w:marRight w:val="0"/>
      <w:marTop w:val="0"/>
      <w:marBottom w:val="0"/>
      <w:divBdr>
        <w:top w:val="none" w:sz="0" w:space="0" w:color="auto"/>
        <w:left w:val="none" w:sz="0" w:space="0" w:color="auto"/>
        <w:bottom w:val="none" w:sz="0" w:space="0" w:color="auto"/>
        <w:right w:val="none" w:sz="0" w:space="0" w:color="auto"/>
      </w:divBdr>
    </w:div>
    <w:div w:id="2034070037">
      <w:bodyDiv w:val="1"/>
      <w:marLeft w:val="0"/>
      <w:marRight w:val="0"/>
      <w:marTop w:val="0"/>
      <w:marBottom w:val="0"/>
      <w:divBdr>
        <w:top w:val="none" w:sz="0" w:space="0" w:color="auto"/>
        <w:left w:val="none" w:sz="0" w:space="0" w:color="auto"/>
        <w:bottom w:val="none" w:sz="0" w:space="0" w:color="auto"/>
        <w:right w:val="none" w:sz="0" w:space="0" w:color="auto"/>
      </w:divBdr>
    </w:div>
    <w:div w:id="2039504490">
      <w:bodyDiv w:val="1"/>
      <w:marLeft w:val="0"/>
      <w:marRight w:val="0"/>
      <w:marTop w:val="0"/>
      <w:marBottom w:val="0"/>
      <w:divBdr>
        <w:top w:val="none" w:sz="0" w:space="0" w:color="auto"/>
        <w:left w:val="none" w:sz="0" w:space="0" w:color="auto"/>
        <w:bottom w:val="none" w:sz="0" w:space="0" w:color="auto"/>
        <w:right w:val="none" w:sz="0" w:space="0" w:color="auto"/>
      </w:divBdr>
    </w:div>
    <w:div w:id="204520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09736fd4d2dc7a7ec8b641ae14df0e5a">
  <xsd:schema xmlns:xsd="http://www.w3.org/2001/XMLSchema" xmlns:xs="http://www.w3.org/2001/XMLSchema" xmlns:p="http://schemas.microsoft.com/office/2006/metadata/properties" xmlns:ns1="http://schemas.microsoft.com/sharepoint/v3" targetNamespace="http://schemas.microsoft.com/office/2006/metadata/properties" ma:root="true" ma:fieldsID="c91a41dfb025b41eb9943aabee4318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B52D9-05C5-401F-9408-AED6596E0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167C8-2C01-4ECC-9A5D-5D9CA6877A28}">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sharepoint/v3"/>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B186D2D-E3EE-4292-AD7E-3A26B8A0022F}">
  <ds:schemaRefs>
    <ds:schemaRef ds:uri="http://schemas.microsoft.com/sharepoint/v3/contenttype/forms"/>
  </ds:schemaRefs>
</ds:datastoreItem>
</file>

<file path=customXml/itemProps4.xml><?xml version="1.0" encoding="utf-8"?>
<ds:datastoreItem xmlns:ds="http://schemas.openxmlformats.org/officeDocument/2006/customXml" ds:itemID="{99D36A53-F817-46C7-BF45-6481FD412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BF680028.dotm</Template>
  <TotalTime>49</TotalTime>
  <Pages>36</Pages>
  <Words>13183</Words>
  <Characters>77781</Characters>
  <Application>Microsoft Office Word</Application>
  <DocSecurity>0</DocSecurity>
  <Lines>648</Lines>
  <Paragraphs>181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Audit Conclusion No 17/19 - Funds spent by selected hospitals for the reimbursement of costs</vt:lpstr>
      <vt:lpstr/>
    </vt:vector>
  </TitlesOfParts>
  <Company>NKU</Company>
  <LinksUpToDate>false</LinksUpToDate>
  <CharactersWithSpaces>90783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Conclusion No 17/19 - Funds spent by selected hospitals for the reimbursement of costs</dc:title>
  <dc:subject>Kontrolní závěr z kontrolní akce NKÚ č. 17/19 - Peněžní prostředky vynakládané vybranými nemocnicemi na úhradu nákladů z činnosti</dc:subject>
  <dc:creator>Nejvyšší kontrolní úřad</dc:creator>
  <cp:keywords/>
  <dc:description/>
  <cp:lastModifiedBy>KOKRDA Daniel</cp:lastModifiedBy>
  <cp:revision>15</cp:revision>
  <cp:lastPrinted>2018-12-18T13:49:00Z</cp:lastPrinted>
  <dcterms:created xsi:type="dcterms:W3CDTF">2018-12-12T08:44:00Z</dcterms:created>
  <dcterms:modified xsi:type="dcterms:W3CDTF">2018-12-18T13:49:00Z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J">
    <vt:lpwstr>184/16-NKU200/641/16</vt:lpwstr>
  </property>
  <property fmtid="{D5CDD505-2E9C-101B-9397-08002B2CF9AE}" pid="4" name="CJ_Spis_Pisemnost">
    <vt:lpwstr>CJ/SPIS/ROK</vt:lpwstr>
  </property>
  <property fmtid="{D5CDD505-2E9C-101B-9397-08002B2CF9AE}" pid="5" name="Contact_PostaOdes_All">
    <vt:lpwstr>ROZDĚLOVNÍK...</vt:lpwstr>
  </property>
  <property fmtid="{D5CDD505-2E9C-101B-9397-08002B2CF9AE}" pid="6" name="DatumPlatnosti_PisemnostTypZpristupneniInformaciZOSZ_Pisemnost">
    <vt:lpwstr>ZOSZ_DatumPlatnosti</vt:lpwstr>
  </property>
  <property fmtid="{D5CDD505-2E9C-101B-9397-08002B2CF9AE}" pid="7" name="DatumPoriz_Pisemnost">
    <vt:lpwstr>22.9.2016</vt:lpwstr>
  </property>
  <property fmtid="{D5CDD505-2E9C-101B-9397-08002B2CF9AE}" pid="8" name="DisplayName_CisloObalky_PostaOdes">
    <vt:lpwstr>{DisplayName_CisloObalky_PostaOdes}</vt:lpwstr>
  </property>
  <property fmtid="{D5CDD505-2E9C-101B-9397-08002B2CF9AE}" pid="9" name="DisplayName_SpisovyUzel_PoziceZodpo_Pisemnost">
    <vt:lpwstr>200</vt:lpwstr>
  </property>
  <property fmtid="{D5CDD505-2E9C-101B-9397-08002B2CF9AE}" pid="10" name="DisplayName_UserPoriz_Pisemnost">
    <vt:lpwstr>Ivana Růžičková</vt:lpwstr>
  </property>
  <property fmtid="{D5CDD505-2E9C-101B-9397-08002B2CF9AE}" pid="11" name="EC_Pisemnost">
    <vt:lpwstr>16-13279/NKU</vt:lpwstr>
  </property>
  <property fmtid="{D5CDD505-2E9C-101B-9397-08002B2CF9AE}" pid="12" name="Key_BarCode_Pisemnost">
    <vt:lpwstr>*B000273530*</vt:lpwstr>
  </property>
  <property fmtid="{D5CDD505-2E9C-101B-9397-08002B2CF9AE}" pid="13" name="KRukam">
    <vt:lpwstr>{KRukam}</vt:lpwstr>
  </property>
  <property fmtid="{D5CDD505-2E9C-101B-9397-08002B2CF9AE}" pid="14" name="Odkaz">
    <vt:lpwstr>ODKAZ</vt:lpwstr>
  </property>
  <property fmtid="{D5CDD505-2E9C-101B-9397-08002B2CF9AE}" pid="15" name="Password_PisemnostTypZpristupneniInformaciZOSZ_Pisemnost">
    <vt:lpwstr>ZOSZ_Password</vt:lpwstr>
  </property>
  <property fmtid="{D5CDD505-2E9C-101B-9397-08002B2CF9AE}" pid="16" name="PocetListuDokumentu_Pisemnost">
    <vt:lpwstr>1</vt:lpwstr>
  </property>
  <property fmtid="{D5CDD505-2E9C-101B-9397-08002B2CF9AE}" pid="17" name="PocetListu_Pisemnost">
    <vt:lpwstr>1</vt:lpwstr>
  </property>
  <property fmtid="{D5CDD505-2E9C-101B-9397-08002B2CF9AE}" pid="18" name="PocetPriloh_Pisemnost">
    <vt:lpwstr>0</vt:lpwstr>
  </property>
  <property fmtid="{D5CDD505-2E9C-101B-9397-08002B2CF9AE}" pid="19" name="Podpis">
    <vt:lpwstr/>
  </property>
  <property fmtid="{D5CDD505-2E9C-101B-9397-08002B2CF9AE}" pid="20" name="SkartacniZnakLhuta_PisemnostZnak">
    <vt:lpwstr>?/?</vt:lpwstr>
  </property>
  <property fmtid="{D5CDD505-2E9C-101B-9397-08002B2CF9AE}" pid="21" name="SmlouvaCislo">
    <vt:lpwstr>ČÍSLO SMLOUVY</vt:lpwstr>
  </property>
  <property fmtid="{D5CDD505-2E9C-101B-9397-08002B2CF9AE}" pid="22" name="SZ_Spis_Pisemnost">
    <vt:lpwstr>184/16</vt:lpwstr>
  </property>
  <property fmtid="{D5CDD505-2E9C-101B-9397-08002B2CF9AE}" pid="23" name="TEST">
    <vt:lpwstr>testovací pole</vt:lpwstr>
  </property>
  <property fmtid="{D5CDD505-2E9C-101B-9397-08002B2CF9AE}" pid="24" name="TypPrilohy_Pisemnost">
    <vt:lpwstr>TYP PŘÍLOHY</vt:lpwstr>
  </property>
  <property fmtid="{D5CDD505-2E9C-101B-9397-08002B2CF9AE}" pid="25" name="UserName_PisemnostTypZpristupneniInformaciZOSZ_Pisemnost">
    <vt:lpwstr>ZOSZ_UserName</vt:lpwstr>
  </property>
  <property fmtid="{D5CDD505-2E9C-101B-9397-08002B2CF9AE}" pid="26" name="Vec_Pisemnost">
    <vt:lpwstr>KZ 16/04 - připomínkové řízení</vt:lpwstr>
  </property>
  <property fmtid="{D5CDD505-2E9C-101B-9397-08002B2CF9AE}" pid="27" name="Zkratka_SpisovyUzel_PoziceZodpo_Pisemnost">
    <vt:lpwstr>200</vt:lpwstr>
  </property>
  <property fmtid="{D5CDD505-2E9C-101B-9397-08002B2CF9AE}" pid="28" name="ContentTypeId">
    <vt:lpwstr>0x0101002F7A625AE9F5AB4A939F92BCAA7FEC02</vt:lpwstr>
  </property>
</Properties>
</file>