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3E3D7" w14:textId="06CE8036" w:rsidR="0058538C" w:rsidRDefault="0058538C" w:rsidP="0058538C">
      <w:pPr>
        <w:spacing w:after="0" w:line="240" w:lineRule="auto"/>
        <w:ind w:left="0" w:right="0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13347CB" wp14:editId="3A3920D0">
            <wp:simplePos x="0" y="0"/>
            <wp:positionH relativeFrom="column">
              <wp:posOffset>2519045</wp:posOffset>
            </wp:positionH>
            <wp:positionV relativeFrom="paragraph">
              <wp:posOffset>111</wp:posOffset>
            </wp:positionV>
            <wp:extent cx="763905" cy="539623"/>
            <wp:effectExtent l="0" t="0" r="0" b="0"/>
            <wp:wrapTopAndBottom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64E44" w14:textId="03BFF1F9" w:rsidR="0058538C" w:rsidRDefault="0058538C" w:rsidP="0058538C">
      <w:pPr>
        <w:spacing w:after="0" w:line="240" w:lineRule="auto"/>
        <w:ind w:left="0" w:right="0" w:firstLine="0"/>
        <w:jc w:val="center"/>
      </w:pPr>
    </w:p>
    <w:p w14:paraId="5620DAAB" w14:textId="418E2FD9" w:rsidR="00095556" w:rsidRDefault="00095556" w:rsidP="0058538C">
      <w:pPr>
        <w:spacing w:after="0" w:line="240" w:lineRule="auto"/>
        <w:ind w:left="0" w:right="0" w:firstLine="0"/>
        <w:jc w:val="center"/>
      </w:pPr>
    </w:p>
    <w:p w14:paraId="0AA30364" w14:textId="77777777" w:rsidR="00095556" w:rsidRDefault="00AE7EF5">
      <w:pPr>
        <w:spacing w:after="11" w:line="250" w:lineRule="auto"/>
        <w:ind w:left="361" w:right="358"/>
        <w:jc w:val="center"/>
      </w:pPr>
      <w:r>
        <w:rPr>
          <w:b/>
          <w:sz w:val="28"/>
        </w:rPr>
        <w:t xml:space="preserve">Kontrolní závěr z kontrolní akce </w:t>
      </w:r>
    </w:p>
    <w:p w14:paraId="2AC5C575" w14:textId="1F28053A" w:rsidR="00095556" w:rsidRDefault="00095556">
      <w:pPr>
        <w:spacing w:after="15" w:line="259" w:lineRule="auto"/>
        <w:ind w:left="46" w:right="0" w:firstLine="0"/>
        <w:jc w:val="center"/>
      </w:pPr>
    </w:p>
    <w:p w14:paraId="0034E0D7" w14:textId="7E3E0D76" w:rsidR="00095556" w:rsidRDefault="004F7A61">
      <w:pPr>
        <w:spacing w:after="11" w:line="250" w:lineRule="auto"/>
        <w:ind w:left="361" w:right="358"/>
        <w:jc w:val="center"/>
      </w:pPr>
      <w:r>
        <w:rPr>
          <w:b/>
          <w:sz w:val="28"/>
        </w:rPr>
        <w:t>18/30</w:t>
      </w:r>
    </w:p>
    <w:p w14:paraId="07A24896" w14:textId="250FDBA4" w:rsidR="00095556" w:rsidRDefault="00095556">
      <w:pPr>
        <w:spacing w:after="15" w:line="259" w:lineRule="auto"/>
        <w:ind w:left="46" w:right="0" w:firstLine="0"/>
        <w:jc w:val="center"/>
      </w:pPr>
    </w:p>
    <w:p w14:paraId="77C769F9" w14:textId="00B39DC9" w:rsidR="00095556" w:rsidRDefault="004F7A61">
      <w:pPr>
        <w:spacing w:after="0" w:line="250" w:lineRule="auto"/>
        <w:ind w:left="361" w:right="351"/>
        <w:jc w:val="center"/>
      </w:pPr>
      <w:r>
        <w:rPr>
          <w:b/>
          <w:sz w:val="28"/>
        </w:rPr>
        <w:t>Peněžní prostředky a majetek státu, se kterými jsou příslušné hospodařit vybrané policejní školy</w:t>
      </w:r>
      <w:r w:rsidR="00AE7EF5">
        <w:rPr>
          <w:b/>
          <w:sz w:val="28"/>
        </w:rPr>
        <w:t xml:space="preserve"> Ministerstva vnitra</w:t>
      </w:r>
    </w:p>
    <w:p w14:paraId="3839689D" w14:textId="62A82331" w:rsidR="00095556" w:rsidRDefault="00095556" w:rsidP="0058538C">
      <w:pPr>
        <w:spacing w:after="0"/>
        <w:ind w:left="0" w:right="0" w:firstLine="0"/>
        <w:jc w:val="left"/>
      </w:pPr>
    </w:p>
    <w:p w14:paraId="0D6F20A3" w14:textId="7F202757" w:rsidR="00095556" w:rsidRDefault="00095556" w:rsidP="0058538C">
      <w:pPr>
        <w:spacing w:after="0"/>
        <w:ind w:left="0" w:right="0" w:firstLine="0"/>
        <w:jc w:val="left"/>
      </w:pPr>
    </w:p>
    <w:p w14:paraId="7B43B945" w14:textId="72A35DCE" w:rsidR="00095556" w:rsidRDefault="00AE7EF5" w:rsidP="0058538C">
      <w:pPr>
        <w:spacing w:after="0"/>
        <w:ind w:left="0" w:right="0" w:firstLine="0"/>
      </w:pPr>
      <w:r>
        <w:t>Kontrolní akce byla zařazena do plánu kontrolní činnosti Nejvyššího kontrolního úřadu (dále také „NK</w:t>
      </w:r>
      <w:r w:rsidR="006F6F3F">
        <w:t>Ú“) na rok 2018 pod číslem 18/30</w:t>
      </w:r>
      <w:r>
        <w:t>. Kontrolní akci řídil a kontrolní závěr vypracoval člen</w:t>
      </w:r>
      <w:r w:rsidR="00EC2492">
        <w:t> </w:t>
      </w:r>
      <w:r>
        <w:t>NKÚ Ing.</w:t>
      </w:r>
      <w:r w:rsidR="00EC2492">
        <w:t> </w:t>
      </w:r>
      <w:r w:rsidR="006F6F3F">
        <w:t>Jan Stárek</w:t>
      </w:r>
      <w:r>
        <w:t xml:space="preserve">. </w:t>
      </w:r>
    </w:p>
    <w:p w14:paraId="702784C6" w14:textId="388DB48B" w:rsidR="00095556" w:rsidRDefault="00095556" w:rsidP="0058538C">
      <w:pPr>
        <w:spacing w:after="0"/>
        <w:ind w:left="0" w:right="0" w:firstLine="0"/>
        <w:jc w:val="left"/>
      </w:pPr>
    </w:p>
    <w:p w14:paraId="371D91BF" w14:textId="273A04EC" w:rsidR="00095556" w:rsidRDefault="00AE7EF5" w:rsidP="0058538C">
      <w:pPr>
        <w:spacing w:after="0"/>
        <w:ind w:left="0" w:right="0" w:firstLine="0"/>
      </w:pPr>
      <w:r>
        <w:t xml:space="preserve">Cílem kontroly bylo prověřit, zda vybrané </w:t>
      </w:r>
      <w:r w:rsidR="006F6F3F">
        <w:t>policejní školy</w:t>
      </w:r>
      <w:r w:rsidR="000966C3">
        <w:t xml:space="preserve"> Ministerstva vnitra hospodaří s </w:t>
      </w:r>
      <w:r>
        <w:t>majetkem</w:t>
      </w:r>
      <w:r w:rsidR="00EC2492">
        <w:t xml:space="preserve"> a peněžními prostředky státu v </w:t>
      </w:r>
      <w:r>
        <w:t>souladu s právními předpisy, účelně a efektivně.</w:t>
      </w:r>
    </w:p>
    <w:p w14:paraId="384B14F6" w14:textId="413851C5" w:rsidR="000966C3" w:rsidRDefault="000966C3" w:rsidP="0058538C">
      <w:pPr>
        <w:spacing w:after="0"/>
        <w:ind w:left="0" w:right="0" w:firstLine="0"/>
        <w:jc w:val="left"/>
      </w:pPr>
    </w:p>
    <w:p w14:paraId="361BDD1D" w14:textId="2B53802B" w:rsidR="00095556" w:rsidRDefault="00AE7EF5" w:rsidP="0058538C">
      <w:pPr>
        <w:spacing w:after="0"/>
        <w:ind w:left="0" w:right="0" w:firstLine="0"/>
      </w:pPr>
      <w:r>
        <w:t xml:space="preserve">Kontrola byla prováděna u kontrolovaných osob v období od </w:t>
      </w:r>
      <w:r w:rsidR="006F6F3F">
        <w:t>listopadu 2018</w:t>
      </w:r>
      <w:r>
        <w:t xml:space="preserve"> do </w:t>
      </w:r>
      <w:r w:rsidR="006F6F3F">
        <w:t>dubna</w:t>
      </w:r>
      <w:r>
        <w:t xml:space="preserve"> 201</w:t>
      </w:r>
      <w:r w:rsidR="006F6F3F">
        <w:t>9</w:t>
      </w:r>
      <w:r>
        <w:t>.</w:t>
      </w:r>
    </w:p>
    <w:p w14:paraId="65FE7D8C" w14:textId="623CE5FC" w:rsidR="00095556" w:rsidRDefault="00095556" w:rsidP="0058538C">
      <w:pPr>
        <w:spacing w:after="0"/>
        <w:ind w:left="0" w:right="0" w:firstLine="0"/>
        <w:jc w:val="left"/>
      </w:pPr>
    </w:p>
    <w:p w14:paraId="6F233FCB" w14:textId="1F7A0285" w:rsidR="00095556" w:rsidRDefault="00AE7EF5" w:rsidP="0058538C">
      <w:pPr>
        <w:spacing w:after="0"/>
        <w:ind w:left="0" w:right="0" w:firstLine="0"/>
      </w:pPr>
      <w:r>
        <w:t>Kontrolovaným obdobím byly roky 201</w:t>
      </w:r>
      <w:r w:rsidR="006F6F3F">
        <w:t>2</w:t>
      </w:r>
      <w:r w:rsidR="002D4D8E">
        <w:t xml:space="preserve"> </w:t>
      </w:r>
      <w:r>
        <w:t>až 201</w:t>
      </w:r>
      <w:r w:rsidR="006F6F3F">
        <w:t>7</w:t>
      </w:r>
      <w:r>
        <w:t>, v případě věcných souvislostí i období předcházející</w:t>
      </w:r>
      <w:r w:rsidR="006F6F3F">
        <w:t xml:space="preserve"> a </w:t>
      </w:r>
      <w:r w:rsidR="00B26945">
        <w:t>následující</w:t>
      </w:r>
      <w:r>
        <w:t xml:space="preserve">. </w:t>
      </w:r>
    </w:p>
    <w:p w14:paraId="26BF6FA6" w14:textId="00C866B0" w:rsidR="005D427E" w:rsidRDefault="005D427E" w:rsidP="0058538C">
      <w:pPr>
        <w:spacing w:after="0"/>
        <w:ind w:left="0" w:right="0" w:firstLine="0"/>
      </w:pPr>
    </w:p>
    <w:p w14:paraId="7478CF84" w14:textId="77777777" w:rsidR="005D427E" w:rsidRDefault="005D427E" w:rsidP="0058538C">
      <w:pPr>
        <w:spacing w:after="0"/>
        <w:ind w:left="0" w:right="0" w:firstLine="0"/>
      </w:pPr>
      <w:r>
        <w:rPr>
          <w:b/>
        </w:rPr>
        <w:t xml:space="preserve">Kontrolované osoby: </w:t>
      </w:r>
    </w:p>
    <w:p w14:paraId="59BDFE4D" w14:textId="5C37D4C2" w:rsidR="005D427E" w:rsidRDefault="005D427E" w:rsidP="0058538C">
      <w:pPr>
        <w:spacing w:after="0"/>
        <w:ind w:left="0" w:right="0" w:firstLine="0"/>
      </w:pPr>
      <w:r>
        <w:t>Ministe</w:t>
      </w:r>
      <w:r w:rsidR="00196FD2">
        <w:t>rstvo vnitra (dále také „MV“),</w:t>
      </w:r>
    </w:p>
    <w:p w14:paraId="68D1B9D8" w14:textId="43D0C8FE" w:rsidR="005D427E" w:rsidRDefault="005D427E" w:rsidP="0058538C">
      <w:pPr>
        <w:spacing w:after="0"/>
        <w:ind w:left="0" w:right="0" w:firstLine="0"/>
      </w:pPr>
      <w:r>
        <w:t>Vyšší policejní škola a Střední policejní škola Ministerstva vnitra v Holešově (dále také „VPŠ a</w:t>
      </w:r>
      <w:r w:rsidR="00E7556C">
        <w:t> </w:t>
      </w:r>
      <w:r>
        <w:t>SPŠ v Holešově“),</w:t>
      </w:r>
    </w:p>
    <w:p w14:paraId="23181653" w14:textId="514FDADC" w:rsidR="005D427E" w:rsidRDefault="005D427E" w:rsidP="0058538C">
      <w:pPr>
        <w:spacing w:after="0"/>
        <w:ind w:left="0" w:right="0" w:firstLine="0"/>
      </w:pPr>
      <w:r>
        <w:t>Vyšší policejní škola a Střední policejní škola Ministerstva vnitra v Praze (dále také „VPŠ a SPŠ v</w:t>
      </w:r>
      <w:r w:rsidR="00E7556C">
        <w:t> </w:t>
      </w:r>
      <w:r>
        <w:t>Praze“).</w:t>
      </w:r>
    </w:p>
    <w:p w14:paraId="36534A14" w14:textId="2A089784" w:rsidR="00095556" w:rsidRDefault="00095556" w:rsidP="0058538C">
      <w:pPr>
        <w:spacing w:after="0"/>
        <w:ind w:left="0" w:right="0" w:firstLine="0"/>
        <w:jc w:val="left"/>
      </w:pPr>
    </w:p>
    <w:p w14:paraId="26A97B38" w14:textId="77777777" w:rsidR="0058538C" w:rsidRDefault="0058538C" w:rsidP="0058538C">
      <w:pPr>
        <w:spacing w:after="0"/>
        <w:ind w:left="0" w:right="0" w:firstLine="0"/>
        <w:jc w:val="left"/>
      </w:pPr>
    </w:p>
    <w:p w14:paraId="344DBA82" w14:textId="5D4A6A54" w:rsidR="007F7D25" w:rsidRPr="00196FD2" w:rsidRDefault="00AE7EF5">
      <w:pPr>
        <w:spacing w:line="338" w:lineRule="auto"/>
        <w:ind w:left="-5" w:right="1462"/>
      </w:pPr>
      <w:r w:rsidRPr="00196FD2">
        <w:rPr>
          <w:b/>
          <w:i/>
          <w:spacing w:val="20"/>
        </w:rPr>
        <w:t>Kolegium</w:t>
      </w:r>
      <w:r w:rsidRPr="00196FD2">
        <w:rPr>
          <w:b/>
          <w:i/>
        </w:rPr>
        <w:t xml:space="preserve">   </w:t>
      </w:r>
      <w:r w:rsidRPr="00196FD2">
        <w:rPr>
          <w:b/>
          <w:i/>
          <w:spacing w:val="20"/>
        </w:rPr>
        <w:t>NKÚ</w:t>
      </w:r>
      <w:r w:rsidRPr="00196FD2">
        <w:rPr>
          <w:b/>
          <w:i/>
        </w:rPr>
        <w:t xml:space="preserve">   </w:t>
      </w:r>
      <w:r>
        <w:t xml:space="preserve">na </w:t>
      </w:r>
      <w:r w:rsidRPr="00E62437">
        <w:t xml:space="preserve">svém XI. jednání, které se konalo dne </w:t>
      </w:r>
      <w:r w:rsidR="00E62437">
        <w:t xml:space="preserve">29. července </w:t>
      </w:r>
      <w:r w:rsidRPr="00E62437">
        <w:t>201</w:t>
      </w:r>
      <w:r w:rsidR="006F6F3F" w:rsidRPr="00E62437">
        <w:t>9</w:t>
      </w:r>
      <w:r w:rsidR="00196FD2">
        <w:t>,</w:t>
      </w:r>
    </w:p>
    <w:p w14:paraId="41416DE1" w14:textId="2ACEA7A2" w:rsidR="009062F1" w:rsidRDefault="00AE7EF5">
      <w:pPr>
        <w:spacing w:line="338" w:lineRule="auto"/>
        <w:ind w:left="-5" w:right="1462"/>
        <w:rPr>
          <w:b/>
          <w:i/>
        </w:rPr>
      </w:pPr>
      <w:r w:rsidRPr="00196FD2">
        <w:rPr>
          <w:b/>
          <w:i/>
          <w:spacing w:val="20"/>
        </w:rPr>
        <w:t>schválilo</w:t>
      </w:r>
      <w:r w:rsidRPr="00E62437">
        <w:rPr>
          <w:b/>
          <w:i/>
        </w:rPr>
        <w:t xml:space="preserve">   </w:t>
      </w:r>
      <w:r w:rsidRPr="00E62437">
        <w:t xml:space="preserve">usnesením č. </w:t>
      </w:r>
      <w:r w:rsidR="00BB5134">
        <w:t>7</w:t>
      </w:r>
      <w:r w:rsidRPr="00E62437">
        <w:t>/</w:t>
      </w:r>
      <w:r w:rsidR="00BB5134">
        <w:t>XI</w:t>
      </w:r>
      <w:r w:rsidRPr="00E62437">
        <w:t>/201</w:t>
      </w:r>
      <w:r w:rsidR="006F6F3F" w:rsidRPr="00E62437">
        <w:t>9</w:t>
      </w:r>
      <w:r>
        <w:rPr>
          <w:b/>
          <w:i/>
        </w:rPr>
        <w:t xml:space="preserve"> </w:t>
      </w:r>
    </w:p>
    <w:p w14:paraId="24F8CD84" w14:textId="7582BB0D" w:rsidR="00095556" w:rsidRDefault="00AE7EF5">
      <w:pPr>
        <w:spacing w:line="338" w:lineRule="auto"/>
        <w:ind w:left="-5" w:right="1462"/>
      </w:pPr>
      <w:r w:rsidRPr="00196FD2">
        <w:rPr>
          <w:b/>
          <w:i/>
          <w:spacing w:val="20"/>
        </w:rPr>
        <w:t>kontrolní</w:t>
      </w:r>
      <w:r>
        <w:rPr>
          <w:b/>
          <w:i/>
        </w:rPr>
        <w:t xml:space="preserve">   </w:t>
      </w:r>
      <w:r w:rsidRPr="00196FD2">
        <w:rPr>
          <w:b/>
          <w:i/>
          <w:spacing w:val="20"/>
        </w:rPr>
        <w:t>závěr</w:t>
      </w:r>
      <w:r>
        <w:rPr>
          <w:b/>
          <w:i/>
        </w:rPr>
        <w:t xml:space="preserve">   </w:t>
      </w:r>
      <w:r>
        <w:t>v tomto znění:</w:t>
      </w:r>
    </w:p>
    <w:p w14:paraId="77F114F2" w14:textId="7DCF8DE6" w:rsidR="0058538C" w:rsidRDefault="0058538C">
      <w:pPr>
        <w:spacing w:after="160" w:line="259" w:lineRule="auto"/>
        <w:ind w:left="0" w:right="0" w:firstLine="0"/>
        <w:jc w:val="left"/>
        <w:rPr>
          <w:noProof/>
        </w:rPr>
      </w:pPr>
      <w:r>
        <w:rPr>
          <w:noProof/>
        </w:rPr>
        <w:br w:type="page"/>
      </w:r>
    </w:p>
    <w:p w14:paraId="111F6587" w14:textId="1B0A1256" w:rsidR="0058538C" w:rsidRPr="00171D23" w:rsidRDefault="00F92707" w:rsidP="0058538C">
      <w:pPr>
        <w:spacing w:after="50" w:line="259" w:lineRule="auto"/>
        <w:ind w:left="4" w:right="0" w:firstLine="0"/>
        <w:jc w:val="left"/>
        <w:rPr>
          <w:b/>
          <w:color w:val="FFFFFF" w:themeColor="background1"/>
        </w:rPr>
      </w:pPr>
      <w:r w:rsidRPr="00F92707">
        <w:rPr>
          <w:noProof/>
        </w:rPr>
        <w:lastRenderedPageBreak/>
        <w:drawing>
          <wp:inline distT="0" distB="0" distL="0" distR="0" wp14:anchorId="0985FA7D" wp14:editId="606F44F3">
            <wp:extent cx="5760000" cy="9000000"/>
            <wp:effectExtent l="0" t="0" r="0" b="0"/>
            <wp:docPr id="6" name="Obrázek 6" descr="C:\Users\ZUZANKOVA\AppData\Local\Microsoft\Windows\INetCache\Content.Outlook\WAEZ06EU\18_30 (1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ZANKOVA\AppData\Local\Microsoft\Windows\INetCache\Content.Outlook\WAEZ06EU\18_30 (1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2" t="4312" r="6197" b="677"/>
                    <a:stretch/>
                  </pic:blipFill>
                  <pic:spPr bwMode="auto">
                    <a:xfrm>
                      <a:off x="0" y="0"/>
                      <a:ext cx="57600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324D9" w14:textId="3111C0D4" w:rsidR="00095556" w:rsidRDefault="0058538C" w:rsidP="000400B2">
      <w:pPr>
        <w:pStyle w:val="Nadpis1"/>
        <w:keepNext/>
        <w:spacing w:after="120" w:line="240" w:lineRule="auto"/>
        <w:ind w:left="0" w:firstLine="0"/>
      </w:pPr>
      <w:r>
        <w:t xml:space="preserve">I. </w:t>
      </w:r>
      <w:r w:rsidR="00AE7EF5">
        <w:t xml:space="preserve">Shrnutí a vyhodnocení </w:t>
      </w:r>
    </w:p>
    <w:p w14:paraId="66D944BD" w14:textId="756C77DC" w:rsidR="00095556" w:rsidRPr="00467A21" w:rsidRDefault="00A337A8" w:rsidP="000400B2">
      <w:pPr>
        <w:spacing w:line="240" w:lineRule="auto"/>
        <w:ind w:left="0" w:right="-2" w:firstLine="0"/>
      </w:pPr>
      <w:r w:rsidRPr="00467A21">
        <w:t xml:space="preserve">NKÚ provedl kontrolu </w:t>
      </w:r>
      <w:r w:rsidR="00DC5E6A">
        <w:t xml:space="preserve">hospodaření s </w:t>
      </w:r>
      <w:r w:rsidRPr="00467A21">
        <w:t>peněžní</w:t>
      </w:r>
      <w:r w:rsidR="00DC5E6A">
        <w:t>mi</w:t>
      </w:r>
      <w:r w:rsidRPr="00467A21">
        <w:t xml:space="preserve"> prostředk</w:t>
      </w:r>
      <w:r w:rsidR="00DC5E6A">
        <w:t>y</w:t>
      </w:r>
      <w:r w:rsidRPr="00467A21">
        <w:t xml:space="preserve"> a majet</w:t>
      </w:r>
      <w:r w:rsidR="00DC5E6A">
        <w:t>kem</w:t>
      </w:r>
      <w:r w:rsidRPr="00467A21">
        <w:t xml:space="preserve"> státu</w:t>
      </w:r>
      <w:r w:rsidR="00467A21" w:rsidRPr="00467A21">
        <w:t>,</w:t>
      </w:r>
      <w:r w:rsidRPr="00467A21">
        <w:t xml:space="preserve"> </w:t>
      </w:r>
      <w:r w:rsidR="00467A21" w:rsidRPr="00467A21">
        <w:rPr>
          <w:rFonts w:cstheme="minorHAnsi"/>
        </w:rPr>
        <w:t>se kterými jsou příslušné hospodařit vybrané policejní školy Ministerstva vnitra</w:t>
      </w:r>
      <w:r w:rsidR="00DE6955">
        <w:rPr>
          <w:rFonts w:cstheme="minorHAnsi"/>
        </w:rPr>
        <w:t xml:space="preserve"> (VPŠ a SPŠ v Holešově a VPŠ a </w:t>
      </w:r>
      <w:r w:rsidR="0038090B">
        <w:rPr>
          <w:rFonts w:cstheme="minorHAnsi"/>
        </w:rPr>
        <w:t>SPŠ v Praze)</w:t>
      </w:r>
      <w:r w:rsidR="00467A21">
        <w:rPr>
          <w:rFonts w:cstheme="minorHAnsi"/>
        </w:rPr>
        <w:t xml:space="preserve">. Cílem kontrolní akce bylo </w:t>
      </w:r>
      <w:r w:rsidRPr="00467A21">
        <w:t xml:space="preserve">prověřit, zda </w:t>
      </w:r>
      <w:r w:rsidR="006C2AB5" w:rsidRPr="00467A21">
        <w:t xml:space="preserve">jejich </w:t>
      </w:r>
      <w:r w:rsidR="00DE6955">
        <w:t>hospodaření bylo v souladu s </w:t>
      </w:r>
      <w:r w:rsidRPr="00467A21">
        <w:t xml:space="preserve">právními předpisy, účelné a efektivní. Kontrola </w:t>
      </w:r>
      <w:r w:rsidR="00B612C9">
        <w:t xml:space="preserve">také </w:t>
      </w:r>
      <w:r w:rsidR="00A73F84">
        <w:t>posoudila</w:t>
      </w:r>
      <w:r w:rsidR="00B60D27">
        <w:t>, zda reorganizace policejních škol dosáhly</w:t>
      </w:r>
      <w:r w:rsidR="008F5024" w:rsidRPr="00467A21">
        <w:t xml:space="preserve"> předpokládaných cílů</w:t>
      </w:r>
      <w:r w:rsidR="000C7867">
        <w:t>,</w:t>
      </w:r>
      <w:r w:rsidR="008F5024" w:rsidRPr="00467A21">
        <w:t xml:space="preserve"> </w:t>
      </w:r>
      <w:r w:rsidR="00797F78" w:rsidRPr="00467A21">
        <w:t xml:space="preserve">tj. </w:t>
      </w:r>
      <w:r w:rsidR="008F5024" w:rsidRPr="00467A21">
        <w:t>úspory peněžních prostředků a zefektivnění</w:t>
      </w:r>
      <w:r w:rsidR="00797F78" w:rsidRPr="00467A21">
        <w:t xml:space="preserve"> systému policejního vzdělávání</w:t>
      </w:r>
      <w:r w:rsidR="008F5024" w:rsidRPr="00467A21">
        <w:t xml:space="preserve">. </w:t>
      </w:r>
    </w:p>
    <w:p w14:paraId="1049BCFC" w14:textId="5598D8AB" w:rsidR="004F6FFB" w:rsidRDefault="004F6FFB" w:rsidP="000400B2">
      <w:pPr>
        <w:spacing w:line="240" w:lineRule="auto"/>
        <w:ind w:left="0" w:right="0" w:firstLine="0"/>
        <w:rPr>
          <w:b/>
          <w:bCs/>
        </w:rPr>
      </w:pPr>
      <w:r>
        <w:rPr>
          <w:b/>
          <w:bCs/>
        </w:rPr>
        <w:t xml:space="preserve">NKÚ při kontrole zjistil, že </w:t>
      </w:r>
      <w:r w:rsidR="003D3805">
        <w:rPr>
          <w:b/>
          <w:bCs/>
        </w:rPr>
        <w:t xml:space="preserve">vybrané </w:t>
      </w:r>
      <w:r>
        <w:rPr>
          <w:b/>
          <w:bCs/>
        </w:rPr>
        <w:t>policejní školy při hospodaření se svěřeným ma</w:t>
      </w:r>
      <w:r w:rsidR="0038090B">
        <w:rPr>
          <w:b/>
          <w:bCs/>
        </w:rPr>
        <w:t xml:space="preserve">jetkem porušily právní předpisy </w:t>
      </w:r>
      <w:r>
        <w:rPr>
          <w:b/>
          <w:bCs/>
        </w:rPr>
        <w:t xml:space="preserve">v oblasti nabytí, inventarizace a odpisování majetku. </w:t>
      </w:r>
      <w:r w:rsidR="00B60D27">
        <w:rPr>
          <w:b/>
          <w:bCs/>
        </w:rPr>
        <w:t>R</w:t>
      </w:r>
      <w:r>
        <w:rPr>
          <w:b/>
          <w:bCs/>
        </w:rPr>
        <w:t xml:space="preserve">eorganizace policejních škol </w:t>
      </w:r>
      <w:r w:rsidR="00B60D27">
        <w:rPr>
          <w:b/>
          <w:bCs/>
        </w:rPr>
        <w:t xml:space="preserve">provedené Ministerstvem vnitra </w:t>
      </w:r>
      <w:r>
        <w:rPr>
          <w:b/>
          <w:bCs/>
        </w:rPr>
        <w:t>nedosáhl</w:t>
      </w:r>
      <w:r w:rsidR="00B60D27">
        <w:rPr>
          <w:b/>
          <w:bCs/>
        </w:rPr>
        <w:t>y</w:t>
      </w:r>
      <w:r>
        <w:rPr>
          <w:b/>
          <w:bCs/>
        </w:rPr>
        <w:t xml:space="preserve"> předpokládaných úspor peněžních prostředků a nedošlo k zefektivnění systému policejního vzdělávání</w:t>
      </w:r>
      <w:r w:rsidR="00B60D27">
        <w:rPr>
          <w:b/>
          <w:bCs/>
        </w:rPr>
        <w:t xml:space="preserve">, </w:t>
      </w:r>
      <w:r w:rsidR="00A73F84">
        <w:rPr>
          <w:b/>
          <w:bCs/>
        </w:rPr>
        <w:t xml:space="preserve">a tedy </w:t>
      </w:r>
      <w:r w:rsidR="00B60D27">
        <w:rPr>
          <w:b/>
          <w:bCs/>
        </w:rPr>
        <w:t>nebyly provedeny účelně a efektivně</w:t>
      </w:r>
      <w:r>
        <w:rPr>
          <w:b/>
          <w:bCs/>
        </w:rPr>
        <w:t xml:space="preserve">. </w:t>
      </w:r>
    </w:p>
    <w:p w14:paraId="7BF102F1" w14:textId="18A12C91" w:rsidR="00095556" w:rsidRDefault="00AE7EF5" w:rsidP="000400B2">
      <w:pPr>
        <w:spacing w:line="240" w:lineRule="auto"/>
        <w:ind w:left="0" w:right="0" w:firstLine="0"/>
      </w:pPr>
      <w:r>
        <w:t xml:space="preserve">Výše uvedené vyhodnocení vyplývá z následujících skutečností zjištěných kontrolou: </w:t>
      </w:r>
    </w:p>
    <w:p w14:paraId="3EC040E7" w14:textId="198DD104" w:rsidR="009A07D3" w:rsidRPr="00F304E5" w:rsidRDefault="009A07D3" w:rsidP="0001465F">
      <w:pPr>
        <w:pStyle w:val="Odstavecseseznamem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contextualSpacing w:val="0"/>
      </w:pPr>
      <w:r w:rsidRPr="006A0277">
        <w:t xml:space="preserve">MV nedosáhlo úspor, které byly hlavním </w:t>
      </w:r>
      <w:r w:rsidR="00843293">
        <w:t xml:space="preserve">cílem </w:t>
      </w:r>
      <w:r w:rsidR="008E46B2">
        <w:t>reorganizace</w:t>
      </w:r>
      <w:r w:rsidR="007257D7">
        <w:t xml:space="preserve"> </w:t>
      </w:r>
      <w:r w:rsidR="00097164">
        <w:t xml:space="preserve">plánované </w:t>
      </w:r>
      <w:r w:rsidR="00DC5E6A">
        <w:t>v roce 2012</w:t>
      </w:r>
      <w:r w:rsidRPr="006A0277">
        <w:t xml:space="preserve">. </w:t>
      </w:r>
      <w:r w:rsidR="00D61F78" w:rsidRPr="00012FF9">
        <w:t>Od roku 201</w:t>
      </w:r>
      <w:r w:rsidR="009A18EF" w:rsidRPr="00012FF9">
        <w:t>3</w:t>
      </w:r>
      <w:r w:rsidR="00D61F78" w:rsidRPr="00012FF9">
        <w:t xml:space="preserve"> náklady na police</w:t>
      </w:r>
      <w:r w:rsidR="009A18EF" w:rsidRPr="00012FF9">
        <w:t>jní vzdělávání meziročně rostly</w:t>
      </w:r>
      <w:r w:rsidR="00D61F78" w:rsidRPr="00012FF9">
        <w:t xml:space="preserve"> i přesto</w:t>
      </w:r>
      <w:r w:rsidR="009A18EF" w:rsidRPr="00012FF9">
        <w:t>,</w:t>
      </w:r>
      <w:r w:rsidR="00D61F78" w:rsidRPr="00012FF9">
        <w:t xml:space="preserve"> že počet absolventů základní odborné přípravy</w:t>
      </w:r>
      <w:r w:rsidR="00D61F78" w:rsidRPr="00012FF9">
        <w:rPr>
          <w:rStyle w:val="Znakapoznpodarou"/>
        </w:rPr>
        <w:footnoteReference w:id="1"/>
      </w:r>
      <w:r w:rsidR="00D61F78" w:rsidRPr="00012FF9">
        <w:t xml:space="preserve"> (dále také „ZOP“) </w:t>
      </w:r>
      <w:r w:rsidR="00FF7B13">
        <w:t xml:space="preserve">do doby ukončení kontroly NKÚ </w:t>
      </w:r>
      <w:r w:rsidR="00E93965">
        <w:t xml:space="preserve">po výrazném poklesu </w:t>
      </w:r>
      <w:r w:rsidR="007C2E69">
        <w:t>nedosáhl úrovně let 2013 a 2014</w:t>
      </w:r>
      <w:r w:rsidR="00D61F78" w:rsidRPr="00012FF9">
        <w:t>.</w:t>
      </w:r>
      <w:r w:rsidR="00D61F78" w:rsidRPr="00D61F78">
        <w:t xml:space="preserve"> </w:t>
      </w:r>
      <w:r w:rsidR="0066553D">
        <w:rPr>
          <w:color w:val="auto"/>
        </w:rPr>
        <w:t>N</w:t>
      </w:r>
      <w:r w:rsidR="00C14FD5">
        <w:rPr>
          <w:color w:val="auto"/>
        </w:rPr>
        <w:t>áklady v roce 2018 byly v</w:t>
      </w:r>
      <w:r w:rsidR="00C14FD5" w:rsidRPr="00E71DD2">
        <w:rPr>
          <w:color w:val="auto"/>
        </w:rPr>
        <w:t> porovnání s</w:t>
      </w:r>
      <w:r w:rsidR="00C14FD5">
        <w:rPr>
          <w:color w:val="auto"/>
        </w:rPr>
        <w:t> </w:t>
      </w:r>
      <w:r w:rsidR="003D3805">
        <w:rPr>
          <w:color w:val="auto"/>
        </w:rPr>
        <w:t xml:space="preserve">náklady </w:t>
      </w:r>
      <w:r w:rsidR="00C14FD5">
        <w:rPr>
          <w:color w:val="auto"/>
        </w:rPr>
        <w:t>p</w:t>
      </w:r>
      <w:r w:rsidR="00CB1B27">
        <w:rPr>
          <w:color w:val="auto"/>
        </w:rPr>
        <w:t>o</w:t>
      </w:r>
      <w:r w:rsidR="00C14FD5">
        <w:rPr>
          <w:color w:val="auto"/>
        </w:rPr>
        <w:t xml:space="preserve"> reorganizac</w:t>
      </w:r>
      <w:r w:rsidR="00CB1B27">
        <w:rPr>
          <w:color w:val="auto"/>
        </w:rPr>
        <w:t>i</w:t>
      </w:r>
      <w:r w:rsidR="00C14FD5">
        <w:rPr>
          <w:color w:val="auto"/>
        </w:rPr>
        <w:t xml:space="preserve"> </w:t>
      </w:r>
      <w:r w:rsidR="003D3805">
        <w:rPr>
          <w:color w:val="auto"/>
        </w:rPr>
        <w:t xml:space="preserve">v roce </w:t>
      </w:r>
      <w:r w:rsidR="00C14FD5">
        <w:rPr>
          <w:color w:val="auto"/>
        </w:rPr>
        <w:t>201</w:t>
      </w:r>
      <w:r w:rsidR="00CB1B27">
        <w:rPr>
          <w:color w:val="auto"/>
        </w:rPr>
        <w:t>3</w:t>
      </w:r>
      <w:r w:rsidR="00F76C7B">
        <w:rPr>
          <w:rStyle w:val="Znakapoznpodarou"/>
          <w:color w:val="auto"/>
        </w:rPr>
        <w:footnoteReference w:id="2"/>
      </w:r>
      <w:r w:rsidR="00C14FD5">
        <w:rPr>
          <w:color w:val="auto"/>
        </w:rPr>
        <w:t xml:space="preserve"> vyšší o</w:t>
      </w:r>
      <w:r w:rsidR="0019215E">
        <w:rPr>
          <w:color w:val="auto"/>
        </w:rPr>
        <w:t xml:space="preserve"> 1</w:t>
      </w:r>
      <w:r w:rsidR="00E641CF">
        <w:rPr>
          <w:color w:val="auto"/>
        </w:rPr>
        <w:t>96</w:t>
      </w:r>
      <w:r w:rsidR="00C14FD5">
        <w:rPr>
          <w:color w:val="auto"/>
        </w:rPr>
        <w:t xml:space="preserve"> mil. Kč, tj. o </w:t>
      </w:r>
      <w:r w:rsidR="00CB1B27">
        <w:rPr>
          <w:color w:val="auto"/>
        </w:rPr>
        <w:t>35</w:t>
      </w:r>
      <w:r w:rsidR="0066553D">
        <w:rPr>
          <w:color w:val="auto"/>
        </w:rPr>
        <w:t xml:space="preserve"> </w:t>
      </w:r>
      <w:r w:rsidR="00C14FD5">
        <w:rPr>
          <w:color w:val="auto"/>
        </w:rPr>
        <w:t xml:space="preserve">%. </w:t>
      </w:r>
      <w:r w:rsidR="00771FAF">
        <w:rPr>
          <w:color w:val="auto"/>
        </w:rPr>
        <w:t xml:space="preserve"> </w:t>
      </w:r>
    </w:p>
    <w:p w14:paraId="13D0FCBD" w14:textId="1800B991" w:rsidR="00956B18" w:rsidRPr="006629AF" w:rsidRDefault="00DF7B64" w:rsidP="0001465F">
      <w:pPr>
        <w:pStyle w:val="Odstavecseseznamem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contextualSpacing w:val="0"/>
      </w:pPr>
      <w:r>
        <w:t xml:space="preserve">MV </w:t>
      </w:r>
      <w:r w:rsidR="00180875">
        <w:t xml:space="preserve">nevyhodnotilo </w:t>
      </w:r>
      <w:r w:rsidR="00162A92">
        <w:t>dopad</w:t>
      </w:r>
      <w:r w:rsidR="00287DEA">
        <w:t>y</w:t>
      </w:r>
      <w:r w:rsidR="00547E06">
        <w:t xml:space="preserve"> </w:t>
      </w:r>
      <w:r>
        <w:t>reorganizac</w:t>
      </w:r>
      <w:r w:rsidR="000A594B">
        <w:t>í</w:t>
      </w:r>
      <w:r>
        <w:t xml:space="preserve"> </w:t>
      </w:r>
      <w:r w:rsidR="003D3805">
        <w:t xml:space="preserve">policejních škol </w:t>
      </w:r>
      <w:r w:rsidR="000400B2">
        <w:t>provedených v letech 201</w:t>
      </w:r>
      <w:r w:rsidR="00097164">
        <w:t>3</w:t>
      </w:r>
      <w:r w:rsidR="000400B2">
        <w:t xml:space="preserve"> a 201</w:t>
      </w:r>
      <w:r w:rsidR="00097164">
        <w:t>6</w:t>
      </w:r>
      <w:r w:rsidR="000400B2">
        <w:t xml:space="preserve"> </w:t>
      </w:r>
      <w:r>
        <w:t xml:space="preserve">z hlediska </w:t>
      </w:r>
      <w:r w:rsidR="00E71DD2">
        <w:t>zkvalitnění</w:t>
      </w:r>
      <w:r>
        <w:t xml:space="preserve"> přípravy policistů</w:t>
      </w:r>
      <w:r w:rsidR="00731C09">
        <w:t xml:space="preserve"> ani z hlediska efektivnosti </w:t>
      </w:r>
      <w:r w:rsidR="004B49E4">
        <w:t xml:space="preserve">peněžních prostředků vynaložených na </w:t>
      </w:r>
      <w:r w:rsidR="00731C09">
        <w:t>policejní vzdělávání</w:t>
      </w:r>
      <w:r w:rsidR="00467A21">
        <w:t xml:space="preserve">. </w:t>
      </w:r>
      <w:r w:rsidR="00731C09">
        <w:t xml:space="preserve">MV </w:t>
      </w:r>
      <w:r w:rsidR="00912128">
        <w:t xml:space="preserve">např. </w:t>
      </w:r>
      <w:r w:rsidR="00731C09">
        <w:t>neznalo skutečné náklady na jednoho studujícího</w:t>
      </w:r>
      <w:r w:rsidR="00DC5E6A">
        <w:t xml:space="preserve">. </w:t>
      </w:r>
      <w:r w:rsidR="0066553D">
        <w:t xml:space="preserve">Dle zjištění NKÚ se </w:t>
      </w:r>
      <w:r w:rsidR="00912128">
        <w:t xml:space="preserve">odhad </w:t>
      </w:r>
      <w:r w:rsidR="0066553D" w:rsidRPr="00E71DD2">
        <w:t>náklad</w:t>
      </w:r>
      <w:r w:rsidR="00912128">
        <w:t>ů</w:t>
      </w:r>
      <w:r w:rsidR="0066553D" w:rsidRPr="00E71DD2">
        <w:t xml:space="preserve"> </w:t>
      </w:r>
      <w:r w:rsidR="0095000A">
        <w:t xml:space="preserve">na </w:t>
      </w:r>
      <w:r w:rsidR="0095000A" w:rsidRPr="006629AF">
        <w:t xml:space="preserve">jednotlivé typy vzdělávání v policejních školách </w:t>
      </w:r>
      <w:r w:rsidR="0066553D" w:rsidRPr="006629AF">
        <w:t>významně liší</w:t>
      </w:r>
      <w:r w:rsidR="0013272B">
        <w:t>.</w:t>
      </w:r>
      <w:r w:rsidR="0066553D" w:rsidRPr="006629AF">
        <w:t xml:space="preserve"> </w:t>
      </w:r>
      <w:r w:rsidR="0013272B">
        <w:t>S</w:t>
      </w:r>
      <w:r w:rsidR="0095000A" w:rsidRPr="006629AF">
        <w:t>oučasně</w:t>
      </w:r>
      <w:r w:rsidR="0066553D" w:rsidRPr="006629AF">
        <w:t xml:space="preserve"> </w:t>
      </w:r>
      <w:r w:rsidR="003D3805" w:rsidRPr="006629AF">
        <w:t>p</w:t>
      </w:r>
      <w:r w:rsidR="00893404" w:rsidRPr="006629AF">
        <w:t xml:space="preserve">očet osob </w:t>
      </w:r>
      <w:r w:rsidR="00FB77FC" w:rsidRPr="006629AF">
        <w:t>zajišťující</w:t>
      </w:r>
      <w:r w:rsidR="006F784C" w:rsidRPr="006629AF">
        <w:t>ch</w:t>
      </w:r>
      <w:r w:rsidR="00893404" w:rsidRPr="006629AF">
        <w:t xml:space="preserve"> policejní vzdělávání </w:t>
      </w:r>
      <w:r w:rsidR="0095000A" w:rsidRPr="006629AF">
        <w:t xml:space="preserve">byl </w:t>
      </w:r>
      <w:r w:rsidR="00893404" w:rsidRPr="006629AF">
        <w:t>v roce 2018 v porovnání s rokem 2013 o</w:t>
      </w:r>
      <w:r w:rsidR="000136B6">
        <w:t> </w:t>
      </w:r>
      <w:r w:rsidR="00893404" w:rsidRPr="006629AF">
        <w:t>18</w:t>
      </w:r>
      <w:r w:rsidR="00E62437">
        <w:t> </w:t>
      </w:r>
      <w:r w:rsidR="00893404" w:rsidRPr="006629AF">
        <w:t>%</w:t>
      </w:r>
      <w:r w:rsidR="0095000A" w:rsidRPr="006629AF">
        <w:t xml:space="preserve"> vyšší</w:t>
      </w:r>
      <w:r w:rsidR="009A07D3" w:rsidRPr="006629AF">
        <w:t xml:space="preserve">. </w:t>
      </w:r>
    </w:p>
    <w:p w14:paraId="136D49B7" w14:textId="2152A45E" w:rsidR="00956B18" w:rsidRDefault="00956B18" w:rsidP="0001465F">
      <w:pPr>
        <w:pStyle w:val="Odstavecseseznamem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contextualSpacing w:val="0"/>
      </w:pPr>
      <w:r w:rsidRPr="006629AF">
        <w:t xml:space="preserve">MV nevytvořilo podmínky pro plnění úkolů </w:t>
      </w:r>
      <w:r w:rsidR="004B49E4">
        <w:t>Policie České republiky</w:t>
      </w:r>
      <w:r w:rsidR="004B49E4" w:rsidRPr="006629AF">
        <w:rPr>
          <w:rStyle w:val="Znakapoznpodarou"/>
        </w:rPr>
        <w:footnoteReference w:id="3"/>
      </w:r>
      <w:r w:rsidR="004B49E4">
        <w:t xml:space="preserve"> (dále také „</w:t>
      </w:r>
      <w:r w:rsidRPr="006629AF">
        <w:t>PČR</w:t>
      </w:r>
      <w:r w:rsidR="004B49E4">
        <w:t>“)</w:t>
      </w:r>
      <w:r w:rsidRPr="006629AF">
        <w:t xml:space="preserve"> </w:t>
      </w:r>
      <w:r w:rsidR="00E20F28" w:rsidRPr="006629AF">
        <w:t xml:space="preserve">v oblasti vzdělávání, neboť </w:t>
      </w:r>
      <w:r w:rsidR="00F562E1">
        <w:t>do doby ukončení kontroly NKÚ</w:t>
      </w:r>
      <w:r w:rsidR="00E20F28" w:rsidRPr="006629AF">
        <w:t xml:space="preserve"> </w:t>
      </w:r>
      <w:r w:rsidR="00105018">
        <w:t xml:space="preserve">nezajistilo </w:t>
      </w:r>
      <w:r w:rsidRPr="006629AF">
        <w:t xml:space="preserve">realizaci </w:t>
      </w:r>
      <w:r w:rsidR="00105018">
        <w:t xml:space="preserve">koncepčních </w:t>
      </w:r>
      <w:r w:rsidRPr="006629AF">
        <w:t xml:space="preserve">opatření ke zvýšení efektivnosti systému vzdělávání dle </w:t>
      </w:r>
      <w:r w:rsidRPr="006629AF">
        <w:rPr>
          <w:i/>
        </w:rPr>
        <w:t>Koncepce rozvoje Policie České republiky do roku 2020</w:t>
      </w:r>
      <w:r w:rsidR="009458DD" w:rsidRPr="006629AF">
        <w:rPr>
          <w:i/>
        </w:rPr>
        <w:t xml:space="preserve"> </w:t>
      </w:r>
      <w:r w:rsidR="009458DD" w:rsidRPr="006629AF">
        <w:rPr>
          <w:iCs/>
        </w:rPr>
        <w:t>(např.</w:t>
      </w:r>
      <w:r w:rsidR="00A10A18" w:rsidRPr="006629AF">
        <w:rPr>
          <w:iCs/>
        </w:rPr>
        <w:t xml:space="preserve"> ucelený </w:t>
      </w:r>
      <w:r w:rsidR="00A10A18" w:rsidRPr="006629AF">
        <w:t>systém poža</w:t>
      </w:r>
      <w:r w:rsidR="00F04818">
        <w:t>davků na vzdělání příslušníků a </w:t>
      </w:r>
      <w:r w:rsidR="00A10A18" w:rsidRPr="006629AF">
        <w:t>zaměstnanců PČR</w:t>
      </w:r>
      <w:r w:rsidR="009458DD" w:rsidRPr="006629AF">
        <w:rPr>
          <w:iCs/>
        </w:rPr>
        <w:t>)</w:t>
      </w:r>
      <w:r w:rsidR="009458DD" w:rsidRPr="006629AF">
        <w:rPr>
          <w:i/>
        </w:rPr>
        <w:t xml:space="preserve">. </w:t>
      </w:r>
      <w:r w:rsidR="000A2987" w:rsidRPr="006629AF">
        <w:t xml:space="preserve">MV </w:t>
      </w:r>
      <w:r w:rsidR="00E20F28" w:rsidRPr="006629AF">
        <w:t xml:space="preserve">dále </w:t>
      </w:r>
      <w:r w:rsidR="004E6416">
        <w:t>nezohlednilo</w:t>
      </w:r>
      <w:r w:rsidR="009458DD" w:rsidRPr="006629AF">
        <w:rPr>
          <w:i/>
        </w:rPr>
        <w:t xml:space="preserve"> </w:t>
      </w:r>
      <w:r w:rsidR="000A2987" w:rsidRPr="006629AF">
        <w:t>v</w:t>
      </w:r>
      <w:r w:rsidRPr="006629AF">
        <w:t xml:space="preserve"> přijímacím řízení </w:t>
      </w:r>
      <w:r w:rsidR="009458DD" w:rsidRPr="006629AF">
        <w:t xml:space="preserve">k PČR </w:t>
      </w:r>
      <w:r w:rsidR="00F04818">
        <w:t>zákon č. </w:t>
      </w:r>
      <w:r w:rsidRPr="006629AF">
        <w:t>361/2003</w:t>
      </w:r>
      <w:r w:rsidR="008840BE">
        <w:t> </w:t>
      </w:r>
      <w:r w:rsidRPr="006629AF">
        <w:t>Sb.</w:t>
      </w:r>
      <w:r w:rsidRPr="006629AF">
        <w:rPr>
          <w:rStyle w:val="Znakapoznpodarou"/>
        </w:rPr>
        <w:footnoteReference w:id="4"/>
      </w:r>
      <w:r w:rsidR="009458DD" w:rsidRPr="006629AF">
        <w:t>,</w:t>
      </w:r>
      <w:r w:rsidRPr="006629AF">
        <w:t xml:space="preserve"> který služební místo </w:t>
      </w:r>
      <w:r w:rsidR="009458DD" w:rsidRPr="006629AF">
        <w:t>popisuje</w:t>
      </w:r>
      <w:r w:rsidRPr="006629AF">
        <w:t xml:space="preserve"> mj. oborem vzdělání, v tomto případě oborem </w:t>
      </w:r>
      <w:r w:rsidR="00F85C82">
        <w:rPr>
          <w:i/>
        </w:rPr>
        <w:t>b</w:t>
      </w:r>
      <w:r w:rsidRPr="006629AF">
        <w:rPr>
          <w:i/>
        </w:rPr>
        <w:t>ezpečnostně právní činnost</w:t>
      </w:r>
      <w:r w:rsidRPr="006629AF">
        <w:t xml:space="preserve"> (dále také „obor BPČ“)</w:t>
      </w:r>
      <w:r w:rsidR="00E20F28" w:rsidRPr="006629AF">
        <w:t>, který realizují i policejní školy</w:t>
      </w:r>
      <w:r w:rsidR="000A2987" w:rsidRPr="006629AF">
        <w:t>.</w:t>
      </w:r>
    </w:p>
    <w:p w14:paraId="316DBBDA" w14:textId="4111311E" w:rsidR="004B49E4" w:rsidRDefault="004B49E4" w:rsidP="0001465F">
      <w:pPr>
        <w:pStyle w:val="Odstavecseseznamem"/>
        <w:numPr>
          <w:ilvl w:val="0"/>
          <w:numId w:val="10"/>
        </w:numPr>
        <w:tabs>
          <w:tab w:val="left" w:pos="284"/>
        </w:tabs>
        <w:spacing w:line="240" w:lineRule="auto"/>
        <w:ind w:left="284" w:right="0" w:hanging="284"/>
        <w:contextualSpacing w:val="0"/>
      </w:pPr>
      <w:r>
        <w:t>P</w:t>
      </w:r>
      <w:r w:rsidRPr="006C2AB5">
        <w:t>olicejní školy</w:t>
      </w:r>
      <w:r>
        <w:t xml:space="preserve"> </w:t>
      </w:r>
      <w:r w:rsidRPr="006C2AB5">
        <w:t xml:space="preserve">nesloužily jako </w:t>
      </w:r>
      <w:r w:rsidR="00BB5134">
        <w:t xml:space="preserve">významný </w:t>
      </w:r>
      <w:r w:rsidRPr="006C2AB5">
        <w:t xml:space="preserve">zdroj nových policistů. </w:t>
      </w:r>
      <w:r>
        <w:t>Přitom d</w:t>
      </w:r>
      <w:r w:rsidRPr="006C2AB5">
        <w:t>le vnitřních dokumentů policejních škol</w:t>
      </w:r>
      <w:r>
        <w:rPr>
          <w:rStyle w:val="Znakapoznpodarou"/>
        </w:rPr>
        <w:footnoteReference w:id="5"/>
      </w:r>
      <w:r w:rsidRPr="006C2AB5">
        <w:t xml:space="preserve"> je účelem jejich existence připravit </w:t>
      </w:r>
      <w:r>
        <w:t xml:space="preserve">své </w:t>
      </w:r>
      <w:r w:rsidRPr="006C2AB5">
        <w:t xml:space="preserve">absolventy pro přijetí do služebního poměru </w:t>
      </w:r>
      <w:r>
        <w:t>k </w:t>
      </w:r>
      <w:r w:rsidRPr="006C2AB5">
        <w:t>PČR</w:t>
      </w:r>
      <w:r w:rsidRPr="006861FE">
        <w:rPr>
          <w:rStyle w:val="Znakapoznpodarou"/>
        </w:rPr>
        <w:footnoteReference w:id="6"/>
      </w:r>
      <w:r w:rsidRPr="006861FE">
        <w:t xml:space="preserve">. </w:t>
      </w:r>
      <w:r>
        <w:t>Policejní školu</w:t>
      </w:r>
      <w:r w:rsidRPr="006861FE">
        <w:rPr>
          <w:rStyle w:val="Znakapoznpodarou"/>
        </w:rPr>
        <w:footnoteReference w:id="7"/>
      </w:r>
      <w:r>
        <w:t xml:space="preserve"> absolvovala p</w:t>
      </w:r>
      <w:r w:rsidRPr="006861FE">
        <w:t>ouze necelá 2 %</w:t>
      </w:r>
      <w:r w:rsidR="00F85C82">
        <w:t>,</w:t>
      </w:r>
      <w:r w:rsidRPr="00D636B5">
        <w:t xml:space="preserve"> tj.</w:t>
      </w:r>
      <w:r w:rsidR="0001465F">
        <w:t> </w:t>
      </w:r>
      <w:r>
        <w:t>84</w:t>
      </w:r>
      <w:r w:rsidR="0001465F">
        <w:t xml:space="preserve"> </w:t>
      </w:r>
      <w:r w:rsidRPr="00D636B5">
        <w:t>z celkového počtu 5</w:t>
      </w:r>
      <w:r w:rsidR="00E62437">
        <w:t> </w:t>
      </w:r>
      <w:r w:rsidRPr="00D636B5">
        <w:t>160</w:t>
      </w:r>
      <w:r w:rsidR="00E62437">
        <w:t> </w:t>
      </w:r>
      <w:r w:rsidRPr="00D636B5">
        <w:t>přijatých uchazečů k PČR v období 2013 až 2017</w:t>
      </w:r>
      <w:r>
        <w:t>.</w:t>
      </w:r>
      <w:r w:rsidRPr="00D636B5">
        <w:t xml:space="preserve"> </w:t>
      </w:r>
      <w:r>
        <w:t>Z meziročního porovnání přijatých uchazečů vyplývá, že se podíl absolventů policejních škol přijatých k PČR nezvýšil. MV tak nedosáhlo zefektivnění systému vzdělávání policistů s ohledem na rostoucí náklady policejního vzdělávání.</w:t>
      </w:r>
      <w:r w:rsidR="00F562E1">
        <w:t xml:space="preserve"> Z celkového počtu 419 absolventů </w:t>
      </w:r>
      <w:r w:rsidR="0086068B">
        <w:t>policejní školy</w:t>
      </w:r>
      <w:r w:rsidR="00F562E1">
        <w:t xml:space="preserve"> v období 2013 až 2017 bylo k PČR přijato 84, tj. 20 %.</w:t>
      </w:r>
    </w:p>
    <w:p w14:paraId="0CECF35B" w14:textId="456D0C53" w:rsidR="00EA6E7E" w:rsidRPr="006629AF" w:rsidRDefault="009A07D3" w:rsidP="0001465F">
      <w:pPr>
        <w:pStyle w:val="Odstavecseseznamem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contextualSpacing w:val="0"/>
      </w:pPr>
      <w:r w:rsidRPr="006629AF">
        <w:t>MV neřídilo</w:t>
      </w:r>
      <w:r w:rsidR="00E20F28" w:rsidRPr="006629AF">
        <w:t xml:space="preserve"> efektivně</w:t>
      </w:r>
      <w:r w:rsidRPr="006629AF">
        <w:t xml:space="preserve"> programy </w:t>
      </w:r>
      <w:r w:rsidR="00DA4BA5" w:rsidRPr="006629AF">
        <w:rPr>
          <w:i/>
        </w:rPr>
        <w:t>R</w:t>
      </w:r>
      <w:r w:rsidRPr="006629AF">
        <w:rPr>
          <w:i/>
        </w:rPr>
        <w:t>ozvoje a obnov</w:t>
      </w:r>
      <w:r w:rsidR="00DA4BA5" w:rsidRPr="006629AF">
        <w:rPr>
          <w:i/>
        </w:rPr>
        <w:t>y</w:t>
      </w:r>
      <w:r w:rsidRPr="006629AF">
        <w:rPr>
          <w:i/>
        </w:rPr>
        <w:t xml:space="preserve"> materiálně-technické základny školství, vzdělávání a tělovýchovy</w:t>
      </w:r>
      <w:r w:rsidRPr="006629AF">
        <w:t xml:space="preserve">. MV provedlo </w:t>
      </w:r>
      <w:r w:rsidR="00E20F28" w:rsidRPr="006629AF">
        <w:t xml:space="preserve">několik změn </w:t>
      </w:r>
      <w:r w:rsidR="009458DD" w:rsidRPr="006629AF">
        <w:t xml:space="preserve">cílů </w:t>
      </w:r>
      <w:r w:rsidR="00293506" w:rsidRPr="006629AF">
        <w:t xml:space="preserve">dokumentace </w:t>
      </w:r>
      <w:r w:rsidR="00B73FBA" w:rsidRPr="006629AF">
        <w:t>programu</w:t>
      </w:r>
      <w:r w:rsidR="0000010F" w:rsidRPr="006629AF">
        <w:rPr>
          <w:rStyle w:val="Znakapoznpodarou"/>
        </w:rPr>
        <w:footnoteReference w:id="8"/>
      </w:r>
      <w:r w:rsidR="0000010F" w:rsidRPr="006629AF">
        <w:t xml:space="preserve"> </w:t>
      </w:r>
      <w:r w:rsidR="00F04818">
        <w:t>a </w:t>
      </w:r>
      <w:r w:rsidRPr="006629AF">
        <w:t>pětilet</w:t>
      </w:r>
      <w:r w:rsidR="00E20F28" w:rsidRPr="006629AF">
        <w:t>ou dobu</w:t>
      </w:r>
      <w:r w:rsidRPr="006629AF">
        <w:t xml:space="preserve"> realizace programu </w:t>
      </w:r>
      <w:r w:rsidR="00E20F28" w:rsidRPr="006629AF">
        <w:t xml:space="preserve">prodloužilo </w:t>
      </w:r>
      <w:r w:rsidRPr="006629AF">
        <w:t xml:space="preserve">o </w:t>
      </w:r>
      <w:r w:rsidR="00254130" w:rsidRPr="006629AF">
        <w:t xml:space="preserve">další </w:t>
      </w:r>
      <w:r w:rsidRPr="006629AF">
        <w:t xml:space="preserve">čtyři roky (tj. o 80 %). </w:t>
      </w:r>
      <w:r w:rsidR="00B73FBA" w:rsidRPr="006629AF">
        <w:t xml:space="preserve">U </w:t>
      </w:r>
      <w:r w:rsidRPr="006629AF">
        <w:t xml:space="preserve">programu </w:t>
      </w:r>
      <w:r w:rsidR="00F85C82">
        <w:t>ev. č. </w:t>
      </w:r>
      <w:r w:rsidRPr="006629AF">
        <w:t>014</w:t>
      </w:r>
      <w:r w:rsidR="00254130" w:rsidRPr="006629AF">
        <w:t> </w:t>
      </w:r>
      <w:r w:rsidRPr="006629AF">
        <w:t>020</w:t>
      </w:r>
      <w:r w:rsidR="00B73FBA" w:rsidRPr="006629AF">
        <w:rPr>
          <w:rStyle w:val="Znakapoznpodarou"/>
        </w:rPr>
        <w:footnoteReference w:id="9"/>
      </w:r>
      <w:r w:rsidRPr="006629AF">
        <w:t xml:space="preserve"> </w:t>
      </w:r>
      <w:r w:rsidR="00254130" w:rsidRPr="006629AF">
        <w:t>měly výdaje v období 2016</w:t>
      </w:r>
      <w:r w:rsidR="00B73FBA" w:rsidRPr="006629AF">
        <w:t xml:space="preserve"> až </w:t>
      </w:r>
      <w:r w:rsidR="00254130" w:rsidRPr="006629AF">
        <w:t xml:space="preserve">2018 činit 297 mil. Kč, ve skutečnosti </w:t>
      </w:r>
      <w:r w:rsidR="00B73FBA" w:rsidRPr="006629AF">
        <w:t>bylo</w:t>
      </w:r>
      <w:r w:rsidR="00254130" w:rsidRPr="006629AF">
        <w:t xml:space="preserve"> čerpáno cca 169 mil. Kč (tj. 57 %).</w:t>
      </w:r>
      <w:r w:rsidR="004C00DB" w:rsidRPr="006629AF">
        <w:t xml:space="preserve"> </w:t>
      </w:r>
      <w:r w:rsidR="006D510C">
        <w:t>Není tak vyloučena z</w:t>
      </w:r>
      <w:r w:rsidR="00E20F28" w:rsidRPr="006629AF">
        <w:t>měn</w:t>
      </w:r>
      <w:r w:rsidR="006D510C">
        <w:t>a</w:t>
      </w:r>
      <w:r w:rsidR="00E20F28" w:rsidRPr="006629AF">
        <w:t xml:space="preserve"> cílů programu a prodloužení </w:t>
      </w:r>
      <w:r w:rsidR="006D510C">
        <w:t xml:space="preserve">jeho </w:t>
      </w:r>
      <w:r w:rsidR="00E20F28" w:rsidRPr="006629AF">
        <w:t>realizace.</w:t>
      </w:r>
    </w:p>
    <w:p w14:paraId="71E8A224" w14:textId="0EED064C" w:rsidR="008766C3" w:rsidRDefault="00FE40E3" w:rsidP="0001465F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</w:pPr>
      <w:r w:rsidRPr="00FE40E3">
        <w:rPr>
          <w:color w:val="auto"/>
        </w:rPr>
        <w:t>MV a p</w:t>
      </w:r>
      <w:r w:rsidR="008766C3" w:rsidRPr="006A0277">
        <w:t xml:space="preserve">olicejní školy nepostupovaly v některých případech při nakládání s majetkem </w:t>
      </w:r>
      <w:r w:rsidR="00DA6424">
        <w:br/>
      </w:r>
      <w:r w:rsidR="008766C3" w:rsidRPr="006A0277">
        <w:t>státu v souladu s právními předpisy</w:t>
      </w:r>
      <w:r w:rsidR="00B73FBA">
        <w:t xml:space="preserve">. </w:t>
      </w:r>
      <w:r w:rsidR="007C2E69">
        <w:t>NKÚ zjistil</w:t>
      </w:r>
      <w:r w:rsidR="00B73FBA">
        <w:t xml:space="preserve"> porušení </w:t>
      </w:r>
      <w:r w:rsidR="008766C3" w:rsidRPr="006A0277">
        <w:t>zákon</w:t>
      </w:r>
      <w:r w:rsidR="00B73FBA">
        <w:t>a</w:t>
      </w:r>
      <w:r w:rsidR="008766C3" w:rsidRPr="006A0277">
        <w:t xml:space="preserve"> č. 563/1991 Sb.</w:t>
      </w:r>
      <w:r w:rsidR="00950D22">
        <w:rPr>
          <w:rStyle w:val="Znakapoznpodarou"/>
        </w:rPr>
        <w:footnoteReference w:id="10"/>
      </w:r>
      <w:r w:rsidR="008766C3">
        <w:t xml:space="preserve"> </w:t>
      </w:r>
      <w:r w:rsidR="00DA6424">
        <w:br/>
      </w:r>
      <w:r w:rsidR="008766C3" w:rsidRPr="006A0277">
        <w:t>a zákon</w:t>
      </w:r>
      <w:r w:rsidR="00B73FBA">
        <w:t>a</w:t>
      </w:r>
      <w:r w:rsidR="00F04818">
        <w:t xml:space="preserve"> č. </w:t>
      </w:r>
      <w:r w:rsidR="008766C3" w:rsidRPr="006A0277">
        <w:t>219/2000</w:t>
      </w:r>
      <w:r w:rsidR="00E35D74">
        <w:t> </w:t>
      </w:r>
      <w:r w:rsidR="008766C3" w:rsidRPr="006A0277">
        <w:t>Sb.</w:t>
      </w:r>
      <w:r w:rsidR="00950D22">
        <w:rPr>
          <w:rStyle w:val="Znakapoznpodarou"/>
        </w:rPr>
        <w:footnoteReference w:id="11"/>
      </w:r>
      <w:r w:rsidR="00DE66FE">
        <w:t>.</w:t>
      </w:r>
      <w:r w:rsidR="008766C3" w:rsidRPr="006A0277">
        <w:t xml:space="preserve"> </w:t>
      </w:r>
      <w:r w:rsidR="007C2E69">
        <w:t>NKÚ dále zjistil nedostatky</w:t>
      </w:r>
      <w:r w:rsidR="00B73FBA">
        <w:t xml:space="preserve"> </w:t>
      </w:r>
      <w:r w:rsidR="008766C3" w:rsidRPr="006A0277">
        <w:t>v</w:t>
      </w:r>
      <w:r w:rsidR="00DA6424">
        <w:t xml:space="preserve"> </w:t>
      </w:r>
      <w:r w:rsidR="008766C3" w:rsidRPr="006A0277">
        <w:t xml:space="preserve">oblasti </w:t>
      </w:r>
      <w:r w:rsidR="00B73FBA">
        <w:t>převodu</w:t>
      </w:r>
      <w:r w:rsidR="00950D22" w:rsidRPr="006A0277">
        <w:t xml:space="preserve"> majetku v</w:t>
      </w:r>
      <w:r w:rsidR="00DA6424">
        <w:t xml:space="preserve"> </w:t>
      </w:r>
      <w:r w:rsidR="00950D22" w:rsidRPr="006A0277">
        <w:t xml:space="preserve">rámci </w:t>
      </w:r>
      <w:r w:rsidR="004C00DB">
        <w:t>reorganizace</w:t>
      </w:r>
      <w:r w:rsidR="00950D22">
        <w:t xml:space="preserve">, </w:t>
      </w:r>
      <w:r w:rsidR="004C00DB">
        <w:t xml:space="preserve">při </w:t>
      </w:r>
      <w:r w:rsidR="00950D22">
        <w:t xml:space="preserve">inventarizaci a odpisování majetku. </w:t>
      </w:r>
    </w:p>
    <w:p w14:paraId="75A35887" w14:textId="77777777" w:rsidR="000400B2" w:rsidRDefault="000400B2" w:rsidP="000400B2">
      <w:pPr>
        <w:spacing w:after="0"/>
        <w:ind w:left="-15" w:right="0" w:firstLine="0"/>
        <w:jc w:val="left"/>
      </w:pPr>
    </w:p>
    <w:p w14:paraId="16881DE5" w14:textId="77777777" w:rsidR="000400B2" w:rsidRDefault="000400B2" w:rsidP="000400B2">
      <w:pPr>
        <w:spacing w:after="0"/>
        <w:ind w:left="-15" w:right="0" w:firstLine="0"/>
        <w:jc w:val="left"/>
      </w:pPr>
    </w:p>
    <w:p w14:paraId="568F2C1A" w14:textId="3A36DB7F" w:rsidR="00095556" w:rsidRDefault="00AE7EF5" w:rsidP="000400B2">
      <w:pPr>
        <w:spacing w:after="0" w:line="240" w:lineRule="auto"/>
        <w:ind w:left="550" w:right="0" w:hanging="567"/>
        <w:jc w:val="left"/>
      </w:pPr>
      <w:r>
        <w:rPr>
          <w:b/>
          <w:sz w:val="20"/>
        </w:rPr>
        <w:t>Pozn.:</w:t>
      </w:r>
      <w:r>
        <w:rPr>
          <w:sz w:val="20"/>
        </w:rPr>
        <w:t xml:space="preserve"> Právní předpisy uvedené v tomto kontrolním závěru jsou aplikovány ve znění účinném pro kontrolované období. </w:t>
      </w:r>
      <w:r>
        <w:t xml:space="preserve"> </w:t>
      </w:r>
    </w:p>
    <w:p w14:paraId="658F601D" w14:textId="4CDFDAAD" w:rsidR="00BB5134" w:rsidRDefault="00BB5134" w:rsidP="00AB2BBE">
      <w:pPr>
        <w:spacing w:after="0"/>
        <w:ind w:left="0" w:right="0" w:firstLine="0"/>
        <w:jc w:val="left"/>
      </w:pPr>
    </w:p>
    <w:p w14:paraId="42D4FEAE" w14:textId="77777777" w:rsidR="00AB2BBE" w:rsidRDefault="00AB2BBE" w:rsidP="00AB2BBE">
      <w:pPr>
        <w:spacing w:after="0"/>
        <w:ind w:left="0" w:right="0" w:firstLine="0"/>
        <w:jc w:val="left"/>
      </w:pPr>
    </w:p>
    <w:p w14:paraId="4D9BCBC5" w14:textId="3276FA8D" w:rsidR="00095556" w:rsidRDefault="00AE7EF5" w:rsidP="00C86AAC">
      <w:pPr>
        <w:pStyle w:val="Nadpis1"/>
        <w:keepNext/>
        <w:spacing w:after="120" w:line="264" w:lineRule="auto"/>
        <w:ind w:left="0" w:firstLine="0"/>
      </w:pPr>
      <w:r>
        <w:t>II. Informace o kontrolované oblasti</w:t>
      </w:r>
    </w:p>
    <w:p w14:paraId="611D2909" w14:textId="6EA642C0" w:rsidR="001305C3" w:rsidRDefault="00E4388E" w:rsidP="000400B2">
      <w:pPr>
        <w:pStyle w:val="Odstavecseseznamem"/>
        <w:spacing w:line="240" w:lineRule="auto"/>
        <w:ind w:left="0" w:right="0" w:firstLine="0"/>
        <w:contextualSpacing w:val="0"/>
      </w:pPr>
      <w:r>
        <w:t>MV vytváří podmínky pro plnění úkolů PČR</w:t>
      </w:r>
      <w:r w:rsidR="00246A4E">
        <w:t xml:space="preserve">, </w:t>
      </w:r>
      <w:r>
        <w:t xml:space="preserve">odpovídá za její činnost, kterou koordinuje, usměrňuje a kontroluje. </w:t>
      </w:r>
      <w:r w:rsidR="0023642A">
        <w:t xml:space="preserve">PČR je podřízena MV. </w:t>
      </w:r>
    </w:p>
    <w:p w14:paraId="5FBAE636" w14:textId="5B40C92D" w:rsidR="001A5776" w:rsidRDefault="001A5776" w:rsidP="000400B2">
      <w:pPr>
        <w:pStyle w:val="Odstavecseseznamem"/>
        <w:spacing w:line="240" w:lineRule="auto"/>
        <w:ind w:left="0" w:right="0" w:firstLine="0"/>
        <w:contextualSpacing w:val="0"/>
      </w:pPr>
      <w:r>
        <w:t xml:space="preserve">V roce 1994 existovalo šest středních policejních škol, na kterých </w:t>
      </w:r>
      <w:r w:rsidR="00F85C82">
        <w:t xml:space="preserve">probíhala </w:t>
      </w:r>
      <w:r>
        <w:t xml:space="preserve">ZOP formou pomaturitního studia. </w:t>
      </w:r>
      <w:r w:rsidRPr="00284935">
        <w:t xml:space="preserve">Důvodem zavedení výuky oboru BPČ byla skutečnost, že se PČR nedařilo získávat dostatečný počet </w:t>
      </w:r>
      <w:r>
        <w:t>policistů. Zároveň MV předpokládalo zkrácení ZOP u</w:t>
      </w:r>
      <w:r w:rsidR="00F85C82">
        <w:t> </w:t>
      </w:r>
      <w:r>
        <w:t>nových policistů, kteří byli absolventi oboru BPČ, z 18 na 7 měsíců.</w:t>
      </w:r>
    </w:p>
    <w:p w14:paraId="5864E0AB" w14:textId="5F7298FD" w:rsidR="001A5776" w:rsidRDefault="001A5776" w:rsidP="000400B2">
      <w:pPr>
        <w:pStyle w:val="Odstavecseseznamem"/>
        <w:spacing w:line="240" w:lineRule="auto"/>
        <w:ind w:left="0" w:right="0" w:firstLine="0"/>
        <w:contextualSpacing w:val="0"/>
      </w:pPr>
      <w:r>
        <w:t xml:space="preserve">K 31. 12. 2012 existovalo </w:t>
      </w:r>
      <w:r w:rsidR="00F85C82">
        <w:t xml:space="preserve">v České republice </w:t>
      </w:r>
      <w:r>
        <w:t>šest policejních škol, a to čtyři VPŠ v Praze, VPŠ v</w:t>
      </w:r>
      <w:r w:rsidR="00F85C82">
        <w:t> </w:t>
      </w:r>
      <w:r>
        <w:t>Pardubicích, VPŠ v Jihlavě a VPŠ v Brně, dále Školské účelové zařízení</w:t>
      </w:r>
      <w:r w:rsidR="00F56570">
        <w:t xml:space="preserve"> (dále také „ŠÚZ“)</w:t>
      </w:r>
      <w:r>
        <w:t xml:space="preserve"> v Praze-Ruzyni a VPŠ a</w:t>
      </w:r>
      <w:r w:rsidR="000136B6">
        <w:t> </w:t>
      </w:r>
      <w:r>
        <w:t>SPŠ v Holešově.</w:t>
      </w:r>
    </w:p>
    <w:p w14:paraId="21140B46" w14:textId="4A64135A" w:rsidR="00FC28A5" w:rsidRDefault="003A5D65" w:rsidP="000400B2">
      <w:pPr>
        <w:pStyle w:val="Odstavecseseznamem"/>
        <w:spacing w:line="240" w:lineRule="auto"/>
        <w:ind w:left="0" w:right="0" w:firstLine="0"/>
        <w:contextualSpacing w:val="0"/>
      </w:pPr>
      <w:r>
        <w:t>VPŠ a SPŠ v Praze a</w:t>
      </w:r>
      <w:r w:rsidR="00A51DB0">
        <w:t xml:space="preserve"> VPŠ a SPŠ</w:t>
      </w:r>
      <w:r>
        <w:t xml:space="preserve"> v</w:t>
      </w:r>
      <w:r w:rsidR="0028323F">
        <w:t> </w:t>
      </w:r>
      <w:r>
        <w:t>Holešově</w:t>
      </w:r>
      <w:r w:rsidR="0028323F">
        <w:t xml:space="preserve">, jejichž zřizovatelem je MV, jsou střední a vyšší policejní školy, které po reorganizacích policejního vzdělávání </w:t>
      </w:r>
      <w:r w:rsidR="00246A4E">
        <w:t xml:space="preserve">provedených </w:t>
      </w:r>
      <w:r w:rsidR="0028323F">
        <w:t>v</w:t>
      </w:r>
      <w:r w:rsidR="00FE49ED">
        <w:t> letech 2012 a</w:t>
      </w:r>
      <w:r w:rsidR="000136B6">
        <w:t> </w:t>
      </w:r>
      <w:r w:rsidR="0028323F">
        <w:t>201</w:t>
      </w:r>
      <w:r w:rsidR="00FE49ED">
        <w:t>5</w:t>
      </w:r>
      <w:r w:rsidR="0028323F">
        <w:t xml:space="preserve"> </w:t>
      </w:r>
      <w:r w:rsidR="00FA453D">
        <w:t xml:space="preserve">poskytují </w:t>
      </w:r>
      <w:r w:rsidR="00DC5E6A">
        <w:t>střední</w:t>
      </w:r>
      <w:r w:rsidR="001A5776">
        <w:t xml:space="preserve"> a vyšší odborné</w:t>
      </w:r>
      <w:r w:rsidR="00DC5E6A">
        <w:t xml:space="preserve"> </w:t>
      </w:r>
      <w:r w:rsidR="00FA453D">
        <w:t>vzdělávání</w:t>
      </w:r>
      <w:r w:rsidR="00B11847">
        <w:t>, certifikované jazykové vzdělávání a kurzy v oblastech cizinecké agendy, informatiky, kontroly a stížností.</w:t>
      </w:r>
      <w:r w:rsidR="00FA453D">
        <w:t xml:space="preserve"> </w:t>
      </w:r>
      <w:r w:rsidR="00FC28A5">
        <w:t xml:space="preserve">Do </w:t>
      </w:r>
      <w:r w:rsidR="00A51DB0">
        <w:t xml:space="preserve">konce </w:t>
      </w:r>
      <w:r w:rsidR="00FC28A5">
        <w:t>roku 2015 poskytovaly i ZOP</w:t>
      </w:r>
      <w:r w:rsidR="00FC28A5" w:rsidRPr="0028323F">
        <w:t xml:space="preserve"> pro</w:t>
      </w:r>
      <w:r w:rsidR="00FC28A5">
        <w:t xml:space="preserve"> nově přijaté policisty</w:t>
      </w:r>
      <w:r w:rsidR="00246A4E">
        <w:t>. O</w:t>
      </w:r>
      <w:r w:rsidR="000A2987">
        <w:t xml:space="preserve">d 1. ledna 2016 </w:t>
      </w:r>
      <w:r w:rsidR="00A51DB0">
        <w:t>převzal</w:t>
      </w:r>
      <w:r w:rsidR="00F457F8">
        <w:t>a</w:t>
      </w:r>
      <w:r w:rsidR="00A51DB0">
        <w:t xml:space="preserve"> tuto činnost </w:t>
      </w:r>
      <w:r w:rsidR="00F457F8">
        <w:t>PČR, resp.</w:t>
      </w:r>
      <w:r w:rsidR="006516A4">
        <w:t> </w:t>
      </w:r>
      <w:r w:rsidR="00612D80">
        <w:t>ú</w:t>
      </w:r>
      <w:r w:rsidR="00A51DB0">
        <w:t>tvar</w:t>
      </w:r>
      <w:r w:rsidR="000A2987">
        <w:t xml:space="preserve"> policejního vzdělávání a služební přípravy (dále také „ÚPVSP“)</w:t>
      </w:r>
      <w:r w:rsidR="00246A4E">
        <w:t xml:space="preserve">, přesto policejní školy </w:t>
      </w:r>
      <w:r w:rsidR="00A51DB0">
        <w:t>zabezpečují</w:t>
      </w:r>
      <w:r w:rsidR="00FC28A5">
        <w:t xml:space="preserve"> pro ZOP </w:t>
      </w:r>
      <w:r w:rsidR="00F457F8">
        <w:t xml:space="preserve">ze svého rozpočtu </w:t>
      </w:r>
      <w:r w:rsidR="00FC28A5">
        <w:t>správu majetku předaného formou výpůjčky PČR,</w:t>
      </w:r>
      <w:r w:rsidR="004C00DB">
        <w:t xml:space="preserve"> </w:t>
      </w:r>
      <w:r w:rsidR="00FC28A5">
        <w:t xml:space="preserve">stravování a ubytování studujících. </w:t>
      </w:r>
    </w:p>
    <w:p w14:paraId="3843B0A2" w14:textId="31BE63FA" w:rsidR="00CE3599" w:rsidRDefault="00F457F8" w:rsidP="000400B2">
      <w:pPr>
        <w:spacing w:line="240" w:lineRule="auto"/>
        <w:ind w:left="0" w:right="0" w:firstLine="0"/>
      </w:pPr>
      <w:r>
        <w:t>Středoškolské vzdělávání v o</w:t>
      </w:r>
      <w:r w:rsidR="0028323F" w:rsidRPr="0028323F">
        <w:t>bor</w:t>
      </w:r>
      <w:r>
        <w:t>u</w:t>
      </w:r>
      <w:r w:rsidR="0028323F" w:rsidRPr="0028323F">
        <w:t xml:space="preserve"> BPČ v průběhu celého kontrolovaného období poskytovala </w:t>
      </w:r>
      <w:r w:rsidR="0028323F">
        <w:t xml:space="preserve">VPŠ a SPŠ v Holešově. </w:t>
      </w:r>
      <w:r w:rsidR="00406F85">
        <w:t>MV rozhodlo, že o</w:t>
      </w:r>
      <w:r w:rsidR="0028323F" w:rsidRPr="0028323F">
        <w:t xml:space="preserve">d </w:t>
      </w:r>
      <w:r w:rsidR="00406F85">
        <w:t xml:space="preserve">školního </w:t>
      </w:r>
      <w:r w:rsidR="0028323F" w:rsidRPr="0028323F">
        <w:t>roku 2016</w:t>
      </w:r>
      <w:r w:rsidR="00406F85">
        <w:t>/2017</w:t>
      </w:r>
      <w:r w:rsidR="0028323F" w:rsidRPr="0028323F">
        <w:t xml:space="preserve"> </w:t>
      </w:r>
      <w:r w:rsidR="00F561EF">
        <w:t>bude</w:t>
      </w:r>
      <w:r w:rsidR="00F561EF" w:rsidRPr="0028323F">
        <w:t xml:space="preserve"> </w:t>
      </w:r>
      <w:r w:rsidR="0028323F" w:rsidRPr="0028323F">
        <w:t xml:space="preserve">středoškolské vzdělávání </w:t>
      </w:r>
      <w:r w:rsidR="00A51DB0">
        <w:t>zavedeno také</w:t>
      </w:r>
      <w:r w:rsidR="0028323F" w:rsidRPr="0028323F">
        <w:t xml:space="preserve"> ve VPŠ a SPŠ v</w:t>
      </w:r>
      <w:r w:rsidR="00FE49ED">
        <w:t> </w:t>
      </w:r>
      <w:r w:rsidR="0028323F" w:rsidRPr="0028323F">
        <w:t>Praze</w:t>
      </w:r>
      <w:r w:rsidR="00FE49ED">
        <w:t xml:space="preserve">, která </w:t>
      </w:r>
      <w:r w:rsidR="00406F85">
        <w:t xml:space="preserve">následně </w:t>
      </w:r>
      <w:r w:rsidR="00FE49ED">
        <w:t xml:space="preserve">k 1. </w:t>
      </w:r>
      <w:r w:rsidR="00A51DB0">
        <w:t>září</w:t>
      </w:r>
      <w:r w:rsidR="00FE49ED">
        <w:t xml:space="preserve"> 2018 zřídila pobočku v Sokolov</w:t>
      </w:r>
      <w:r w:rsidR="00406F85">
        <w:t>ě</w:t>
      </w:r>
      <w:r w:rsidR="0028323F" w:rsidRPr="0028323F">
        <w:t>.</w:t>
      </w:r>
      <w:r w:rsidR="00CE3599">
        <w:t xml:space="preserve"> </w:t>
      </w:r>
      <w:r w:rsidR="003319B4">
        <w:t>V</w:t>
      </w:r>
      <w:r w:rsidR="00CE3599" w:rsidRPr="0028323F">
        <w:t>zdělávání v oboru BPČ</w:t>
      </w:r>
      <w:r w:rsidR="003319B4">
        <w:t xml:space="preserve"> poskytuje</w:t>
      </w:r>
      <w:r w:rsidR="00CE3599" w:rsidRPr="0028323F">
        <w:t xml:space="preserve"> také </w:t>
      </w:r>
      <w:r w:rsidR="003319B4">
        <w:t>29</w:t>
      </w:r>
      <w:r w:rsidR="00FC28A5">
        <w:t xml:space="preserve"> </w:t>
      </w:r>
      <w:r w:rsidR="000A2987">
        <w:t>dalších</w:t>
      </w:r>
      <w:r w:rsidR="00CE3599" w:rsidRPr="0028323F">
        <w:t xml:space="preserve"> střední</w:t>
      </w:r>
      <w:r w:rsidR="00FC28A5">
        <w:t>ch</w:t>
      </w:r>
      <w:r w:rsidR="00CE3599" w:rsidRPr="0028323F">
        <w:t xml:space="preserve"> odborn</w:t>
      </w:r>
      <w:r w:rsidR="00FC28A5">
        <w:t>ých</w:t>
      </w:r>
      <w:r w:rsidR="00CE3599" w:rsidRPr="0028323F">
        <w:t xml:space="preserve"> škol</w:t>
      </w:r>
      <w:r w:rsidR="00096838">
        <w:t xml:space="preserve">, kterým MV udělilo </w:t>
      </w:r>
      <w:r w:rsidR="00CE3599" w:rsidRPr="0028323F">
        <w:t>oprávnění k</w:t>
      </w:r>
      <w:r w:rsidR="0026171C">
        <w:t> </w:t>
      </w:r>
      <w:r w:rsidR="00CE3599" w:rsidRPr="0028323F">
        <w:t>výuce</w:t>
      </w:r>
      <w:r w:rsidR="0026171C">
        <w:t xml:space="preserve"> </w:t>
      </w:r>
      <w:r>
        <w:t xml:space="preserve">tohoto </w:t>
      </w:r>
      <w:r w:rsidR="0026171C">
        <w:t>oboru</w:t>
      </w:r>
      <w:r w:rsidR="00CE3599" w:rsidRPr="0028323F">
        <w:t>.</w:t>
      </w:r>
      <w:r w:rsidR="00FE49ED">
        <w:t xml:space="preserve"> </w:t>
      </w:r>
    </w:p>
    <w:p w14:paraId="381AE931" w14:textId="198A8E09" w:rsidR="0066110B" w:rsidRDefault="00527F14" w:rsidP="000400B2">
      <w:pPr>
        <w:spacing w:after="0" w:line="240" w:lineRule="auto"/>
        <w:ind w:left="0" w:right="0" w:firstLine="0"/>
      </w:pPr>
      <w:r>
        <w:t>V </w:t>
      </w:r>
      <w:r w:rsidR="000A2987">
        <w:t>současnosti</w:t>
      </w:r>
      <w:r w:rsidR="008F0CEF">
        <w:t xml:space="preserve"> </w:t>
      </w:r>
      <w:r w:rsidR="00096838">
        <w:t>jsou v provozu</w:t>
      </w:r>
      <w:r w:rsidR="008F0CEF">
        <w:t xml:space="preserve"> dvě policejní školy</w:t>
      </w:r>
      <w:r w:rsidR="0026171C">
        <w:t>,</w:t>
      </w:r>
      <w:r w:rsidR="008F0CEF">
        <w:t xml:space="preserve"> a to VPŠ a SPŠ v Praze a</w:t>
      </w:r>
      <w:r w:rsidR="00096838">
        <w:t xml:space="preserve"> VPŠ a SPŠ</w:t>
      </w:r>
      <w:r w:rsidR="008F0CEF">
        <w:t xml:space="preserve"> v</w:t>
      </w:r>
      <w:r w:rsidR="00B11847">
        <w:t> </w:t>
      </w:r>
      <w:r w:rsidR="008F0CEF">
        <w:t>Holešově</w:t>
      </w:r>
      <w:r w:rsidR="00B11847">
        <w:t xml:space="preserve">, </w:t>
      </w:r>
      <w:r w:rsidR="00AB2FB8">
        <w:t xml:space="preserve">organizační složky státu, </w:t>
      </w:r>
      <w:r w:rsidR="00B11847">
        <w:t xml:space="preserve">jejichž </w:t>
      </w:r>
      <w:r w:rsidR="00807B6E">
        <w:t>rozpočty</w:t>
      </w:r>
      <w:r w:rsidR="00B11847">
        <w:t xml:space="preserve"> jsou součástí rozpočtové kapitoly MV</w:t>
      </w:r>
      <w:r w:rsidR="008F0CEF">
        <w:t xml:space="preserve">. </w:t>
      </w:r>
    </w:p>
    <w:p w14:paraId="074248BB" w14:textId="702B27CF" w:rsidR="00CD61F5" w:rsidRDefault="00CD61F5" w:rsidP="00AB2BBE">
      <w:pPr>
        <w:spacing w:after="0"/>
        <w:ind w:left="0" w:right="0" w:firstLine="0"/>
        <w:jc w:val="left"/>
      </w:pPr>
    </w:p>
    <w:p w14:paraId="42A311FB" w14:textId="77777777" w:rsidR="00AB2BBE" w:rsidRDefault="00AB2BBE" w:rsidP="00AB2BBE">
      <w:pPr>
        <w:spacing w:after="0"/>
        <w:ind w:left="0" w:right="0" w:firstLine="0"/>
        <w:jc w:val="left"/>
      </w:pPr>
    </w:p>
    <w:p w14:paraId="38B7640D" w14:textId="44495EEB" w:rsidR="00906E86" w:rsidRDefault="00AE7EF5" w:rsidP="000400B2">
      <w:pPr>
        <w:pStyle w:val="Nadpis1"/>
        <w:keepNext/>
        <w:spacing w:after="120" w:line="240" w:lineRule="auto"/>
        <w:ind w:left="0" w:firstLine="0"/>
      </w:pPr>
      <w:r>
        <w:t>III. Rozsah kontroly</w:t>
      </w:r>
    </w:p>
    <w:p w14:paraId="541CE63D" w14:textId="7377B46D" w:rsidR="00095556" w:rsidRDefault="00AE7EF5" w:rsidP="000400B2">
      <w:pPr>
        <w:shd w:val="clear" w:color="auto" w:fill="FFFFFF" w:themeFill="background1"/>
        <w:spacing w:after="0" w:line="240" w:lineRule="auto"/>
        <w:ind w:left="0" w:right="0" w:firstLine="0"/>
      </w:pPr>
      <w:r w:rsidRPr="007D6730">
        <w:rPr>
          <w:shd w:val="clear" w:color="auto" w:fill="FFFFFF" w:themeFill="background1"/>
        </w:rPr>
        <w:t>Kontrolní akcí č. 18/</w:t>
      </w:r>
      <w:r w:rsidR="007D6730">
        <w:rPr>
          <w:shd w:val="clear" w:color="auto" w:fill="FFFFFF" w:themeFill="background1"/>
        </w:rPr>
        <w:t>30</w:t>
      </w:r>
      <w:r w:rsidRPr="007D6730">
        <w:rPr>
          <w:shd w:val="clear" w:color="auto" w:fill="FFFFFF" w:themeFill="background1"/>
        </w:rPr>
        <w:t xml:space="preserve"> bylo prověřeno, zda vybrané </w:t>
      </w:r>
      <w:r w:rsidR="007D6730">
        <w:rPr>
          <w:shd w:val="clear" w:color="auto" w:fill="FFFFFF" w:themeFill="background1"/>
        </w:rPr>
        <w:t>policejní školy</w:t>
      </w:r>
      <w:r w:rsidR="00527F14">
        <w:rPr>
          <w:shd w:val="clear" w:color="auto" w:fill="FFFFFF" w:themeFill="background1"/>
        </w:rPr>
        <w:t xml:space="preserve"> hospodař</w:t>
      </w:r>
      <w:r w:rsidR="00606EEE">
        <w:rPr>
          <w:shd w:val="clear" w:color="auto" w:fill="FFFFFF" w:themeFill="background1"/>
        </w:rPr>
        <w:t>í</w:t>
      </w:r>
      <w:r w:rsidR="00527F14">
        <w:rPr>
          <w:shd w:val="clear" w:color="auto" w:fill="FFFFFF" w:themeFill="background1"/>
        </w:rPr>
        <w:t xml:space="preserve"> s majetkem a </w:t>
      </w:r>
      <w:r w:rsidRPr="007D6730">
        <w:rPr>
          <w:shd w:val="clear" w:color="auto" w:fill="FFFFFF" w:themeFill="background1"/>
        </w:rPr>
        <w:t xml:space="preserve">peněžními prostředky státu v souladu s právními předpisy, účelně a efektivně. Byly stanoveny tyto cíle kontroly: </w:t>
      </w:r>
    </w:p>
    <w:p w14:paraId="089A0420" w14:textId="23CBA625" w:rsidR="009E0208" w:rsidRPr="006677A4" w:rsidRDefault="009E0208" w:rsidP="000400B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0" w:hanging="284"/>
      </w:pPr>
      <w:r w:rsidRPr="006677A4">
        <w:t xml:space="preserve">ověřit, zda prostřednictvím reorganizací </w:t>
      </w:r>
      <w:r w:rsidR="00906E86">
        <w:t>MV dosáhlo předpokládaných úspor peněžních prostředků</w:t>
      </w:r>
      <w:r w:rsidR="00A07C1E">
        <w:t xml:space="preserve"> a </w:t>
      </w:r>
      <w:r w:rsidR="00A07C1E" w:rsidRPr="006677A4">
        <w:t>zefektivnění systému policejního vzdělávání</w:t>
      </w:r>
      <w:r w:rsidR="006677A4" w:rsidRPr="006677A4">
        <w:t>;</w:t>
      </w:r>
    </w:p>
    <w:p w14:paraId="52F8DD54" w14:textId="35A72BE9" w:rsidR="00906E86" w:rsidRPr="006677A4" w:rsidRDefault="00906E86" w:rsidP="000400B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0" w:hanging="284"/>
      </w:pPr>
      <w:r w:rsidRPr="006677A4">
        <w:t xml:space="preserve">ověřit, zda MV vyhodnotilo </w:t>
      </w:r>
      <w:r>
        <w:t>splnění</w:t>
      </w:r>
      <w:r w:rsidRPr="006677A4">
        <w:t xml:space="preserve"> cíl</w:t>
      </w:r>
      <w:r>
        <w:t>ů</w:t>
      </w:r>
      <w:r w:rsidRPr="006677A4">
        <w:t xml:space="preserve"> reorganizací a zda</w:t>
      </w:r>
      <w:r w:rsidR="00450F5B">
        <w:t xml:space="preserve"> průběžně sleduje efektivnost a </w:t>
      </w:r>
      <w:r w:rsidRPr="006677A4">
        <w:t>nákladovost systému policejního vzdělávání;</w:t>
      </w:r>
    </w:p>
    <w:p w14:paraId="6C785400" w14:textId="7C473DAE" w:rsidR="00071022" w:rsidRPr="006677A4" w:rsidRDefault="00071022" w:rsidP="000400B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0" w:hanging="284"/>
      </w:pPr>
      <w:r w:rsidRPr="006677A4">
        <w:t>ověřit koncepční, říd</w:t>
      </w:r>
      <w:r w:rsidR="000400B2">
        <w:t>i</w:t>
      </w:r>
      <w:r w:rsidRPr="006677A4">
        <w:t>cí a koordinační činnost MV v</w:t>
      </w:r>
      <w:r w:rsidR="00906E86">
        <w:t xml:space="preserve"> této </w:t>
      </w:r>
      <w:r w:rsidRPr="006677A4">
        <w:t>oblasti;</w:t>
      </w:r>
    </w:p>
    <w:p w14:paraId="504CA707" w14:textId="02AE7B68" w:rsidR="00857397" w:rsidRPr="006677A4" w:rsidRDefault="00674E9C" w:rsidP="000400B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0" w:hanging="284"/>
      </w:pPr>
      <w:r w:rsidRPr="006677A4">
        <w:t xml:space="preserve">ověřit, zda MV zabezpečilo dostatečné podmínky pro dosažení předpokládaných cílů </w:t>
      </w:r>
      <w:r w:rsidR="00906E86">
        <w:t xml:space="preserve">realizovaných </w:t>
      </w:r>
      <w:r w:rsidRPr="006677A4">
        <w:t>investičních programů;</w:t>
      </w:r>
    </w:p>
    <w:p w14:paraId="72CFF2C9" w14:textId="77777777" w:rsidR="005B11C6" w:rsidRDefault="005B11C6" w:rsidP="000400B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0" w:hanging="284"/>
      </w:pPr>
      <w:r>
        <w:t>ověřit, zda policejní školy postupovaly při realizaci investičních akcí v souladu s právními předpisy.</w:t>
      </w:r>
    </w:p>
    <w:p w14:paraId="67070759" w14:textId="2D4F12E1" w:rsidR="006E7619" w:rsidRDefault="00071022" w:rsidP="000400B2">
      <w:pPr>
        <w:numPr>
          <w:ilvl w:val="0"/>
          <w:numId w:val="26"/>
        </w:numPr>
        <w:tabs>
          <w:tab w:val="left" w:pos="284"/>
        </w:tabs>
        <w:spacing w:line="240" w:lineRule="auto"/>
        <w:ind w:left="284" w:right="0" w:hanging="284"/>
      </w:pPr>
      <w:r w:rsidRPr="006677A4">
        <w:t xml:space="preserve">ověřit, zda policejní školy </w:t>
      </w:r>
      <w:r w:rsidR="006730FB" w:rsidRPr="006677A4">
        <w:t>hospodař</w:t>
      </w:r>
      <w:r w:rsidR="006730FB">
        <w:t>í</w:t>
      </w:r>
      <w:r w:rsidR="006730FB" w:rsidRPr="006677A4">
        <w:t xml:space="preserve"> </w:t>
      </w:r>
      <w:r w:rsidR="00906E86">
        <w:t>s</w:t>
      </w:r>
      <w:r w:rsidRPr="006677A4">
        <w:t xml:space="preserve"> majetkem státu nabytým </w:t>
      </w:r>
      <w:r w:rsidR="006677A4" w:rsidRPr="006677A4">
        <w:t xml:space="preserve">nebo převedeným při </w:t>
      </w:r>
      <w:r w:rsidRPr="006677A4">
        <w:t>reorganizací</w:t>
      </w:r>
      <w:r w:rsidR="006677A4" w:rsidRPr="006677A4">
        <w:t>ch</w:t>
      </w:r>
      <w:r w:rsidRPr="006677A4">
        <w:t xml:space="preserve"> škol hospodárně</w:t>
      </w:r>
      <w:r w:rsidR="00E20F28">
        <w:t xml:space="preserve">, </w:t>
      </w:r>
      <w:r w:rsidRPr="006677A4">
        <w:t>účelně</w:t>
      </w:r>
      <w:r w:rsidR="0026171C">
        <w:t xml:space="preserve"> a efektivně</w:t>
      </w:r>
      <w:r w:rsidRPr="006677A4">
        <w:t xml:space="preserve"> a zda převod majetku</w:t>
      </w:r>
      <w:r w:rsidR="007B4763">
        <w:t xml:space="preserve"> a jeho využití nebo vyřazování</w:t>
      </w:r>
      <w:r w:rsidRPr="006677A4">
        <w:t xml:space="preserve"> proběh</w:t>
      </w:r>
      <w:r w:rsidR="00906E86">
        <w:t>l</w:t>
      </w:r>
      <w:r w:rsidR="007B4763">
        <w:t>y</w:t>
      </w:r>
      <w:r w:rsidR="00906E86">
        <w:t xml:space="preserve"> v souladu s právními předpisy</w:t>
      </w:r>
      <w:r w:rsidR="006E7619">
        <w:t>;</w:t>
      </w:r>
    </w:p>
    <w:p w14:paraId="2D3922D9" w14:textId="2254F630" w:rsidR="00095556" w:rsidRDefault="00E37CD9" w:rsidP="000400B2">
      <w:pPr>
        <w:shd w:val="clear" w:color="auto" w:fill="FFFFFF" w:themeFill="background1"/>
        <w:spacing w:after="0" w:line="240" w:lineRule="auto"/>
        <w:ind w:left="0" w:right="0" w:firstLine="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Kontrole</w:t>
      </w:r>
      <w:r w:rsidR="005B72DA">
        <w:rPr>
          <w:shd w:val="clear" w:color="auto" w:fill="FFFFFF" w:themeFill="background1"/>
        </w:rPr>
        <w:t xml:space="preserve"> byl </w:t>
      </w:r>
      <w:r>
        <w:rPr>
          <w:shd w:val="clear" w:color="auto" w:fill="FFFFFF" w:themeFill="background1"/>
        </w:rPr>
        <w:t>podroben</w:t>
      </w:r>
      <w:r w:rsidR="005B72DA" w:rsidRPr="006B694E">
        <w:rPr>
          <w:shd w:val="clear" w:color="auto" w:fill="FFFFFF" w:themeFill="background1"/>
        </w:rPr>
        <w:t xml:space="preserve"> </w:t>
      </w:r>
      <w:r w:rsidR="005B72DA">
        <w:rPr>
          <w:shd w:val="clear" w:color="auto" w:fill="FFFFFF" w:themeFill="background1"/>
        </w:rPr>
        <w:t xml:space="preserve">dlouhodobý majetek u MV, VPŠ a SPŠ v Praze a </w:t>
      </w:r>
      <w:r>
        <w:rPr>
          <w:shd w:val="clear" w:color="auto" w:fill="FFFFFF" w:themeFill="background1"/>
        </w:rPr>
        <w:t xml:space="preserve">VPŠ a SPŠ </w:t>
      </w:r>
      <w:r w:rsidR="005B72DA">
        <w:rPr>
          <w:shd w:val="clear" w:color="auto" w:fill="FFFFFF" w:themeFill="background1"/>
        </w:rPr>
        <w:t xml:space="preserve">v Holešově </w:t>
      </w:r>
      <w:r w:rsidR="00450F5B">
        <w:rPr>
          <w:shd w:val="clear" w:color="auto" w:fill="FFFFFF" w:themeFill="background1"/>
        </w:rPr>
        <w:t>v </w:t>
      </w:r>
      <w:r w:rsidR="005B72DA" w:rsidRPr="006B694E">
        <w:rPr>
          <w:shd w:val="clear" w:color="auto" w:fill="FFFFFF" w:themeFill="background1"/>
        </w:rPr>
        <w:t xml:space="preserve">celkové výši </w:t>
      </w:r>
      <w:r w:rsidR="005B72DA">
        <w:rPr>
          <w:shd w:val="clear" w:color="auto" w:fill="FFFFFF" w:themeFill="background1"/>
        </w:rPr>
        <w:t xml:space="preserve">1 183 353 </w:t>
      </w:r>
      <w:r w:rsidR="005B72DA" w:rsidRPr="006B694E">
        <w:rPr>
          <w:shd w:val="clear" w:color="auto" w:fill="FFFFFF" w:themeFill="background1"/>
        </w:rPr>
        <w:t xml:space="preserve">tis. Kč, tj. cca </w:t>
      </w:r>
      <w:r w:rsidR="005B72DA">
        <w:rPr>
          <w:shd w:val="clear" w:color="auto" w:fill="FFFFFF" w:themeFill="background1"/>
        </w:rPr>
        <w:t>81</w:t>
      </w:r>
      <w:r w:rsidR="005B72DA" w:rsidRPr="006B694E">
        <w:rPr>
          <w:shd w:val="clear" w:color="auto" w:fill="FFFFFF" w:themeFill="background1"/>
        </w:rPr>
        <w:t xml:space="preserve"> % z celkové</w:t>
      </w:r>
      <w:r>
        <w:rPr>
          <w:shd w:val="clear" w:color="auto" w:fill="FFFFFF" w:themeFill="background1"/>
        </w:rPr>
        <w:t>ho</w:t>
      </w:r>
      <w:r w:rsidR="005B72DA" w:rsidRPr="006B694E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kontrolovatelného objemu</w:t>
      </w:r>
      <w:r w:rsidRPr="006B694E">
        <w:rPr>
          <w:shd w:val="clear" w:color="auto" w:fill="FFFFFF" w:themeFill="background1"/>
        </w:rPr>
        <w:t xml:space="preserve"> </w:t>
      </w:r>
      <w:r w:rsidR="005B72DA" w:rsidRPr="006B694E">
        <w:rPr>
          <w:shd w:val="clear" w:color="auto" w:fill="FFFFFF" w:themeFill="background1"/>
        </w:rPr>
        <w:t>dlouhodobého majetku</w:t>
      </w:r>
      <w:r w:rsidR="005B72DA">
        <w:rPr>
          <w:shd w:val="clear" w:color="auto" w:fill="FFFFFF" w:themeFill="background1"/>
        </w:rPr>
        <w:t xml:space="preserve">. </w:t>
      </w:r>
      <w:r w:rsidR="001A5776">
        <w:rPr>
          <w:shd w:val="clear" w:color="auto" w:fill="FFFFFF" w:themeFill="background1"/>
        </w:rPr>
        <w:t>V rámci programového financování</w:t>
      </w:r>
      <w:r>
        <w:rPr>
          <w:shd w:val="clear" w:color="auto" w:fill="FFFFFF" w:themeFill="background1"/>
        </w:rPr>
        <w:t xml:space="preserve"> byly na MV kontrole podrobeny peněžní prostředky ve výši 922 575 tis. Kč.</w:t>
      </w:r>
    </w:p>
    <w:p w14:paraId="7CB39199" w14:textId="77777777" w:rsidR="00AB2BBE" w:rsidRDefault="00AB2BBE" w:rsidP="00AB2BBE">
      <w:pPr>
        <w:spacing w:after="0"/>
        <w:ind w:left="0" w:right="0" w:firstLine="0"/>
        <w:jc w:val="left"/>
      </w:pPr>
    </w:p>
    <w:p w14:paraId="0FE59C23" w14:textId="77777777" w:rsidR="00AB2BBE" w:rsidRDefault="00AB2BBE" w:rsidP="00AB2BBE">
      <w:pPr>
        <w:spacing w:after="0"/>
        <w:ind w:left="0" w:right="0" w:firstLine="0"/>
        <w:jc w:val="left"/>
      </w:pPr>
    </w:p>
    <w:p w14:paraId="03FA97A2" w14:textId="41CC9CD3" w:rsidR="00095556" w:rsidRDefault="00AE7EF5" w:rsidP="008C1E44">
      <w:pPr>
        <w:pStyle w:val="Nadpis1"/>
        <w:keepNext/>
        <w:spacing w:after="120" w:line="240" w:lineRule="auto"/>
        <w:ind w:left="0" w:firstLine="0"/>
      </w:pPr>
      <w:r>
        <w:t>IV. Podrobné</w:t>
      </w:r>
      <w:r w:rsidR="0095505F">
        <w:t xml:space="preserve"> skutečnosti zjištěné kontrolou</w:t>
      </w:r>
    </w:p>
    <w:p w14:paraId="5D0BBB5A" w14:textId="79FE0A74" w:rsidR="008F0CEF" w:rsidRPr="006516A4" w:rsidRDefault="006516A4" w:rsidP="008C1E44">
      <w:pPr>
        <w:keepNext/>
        <w:spacing w:before="240" w:line="240" w:lineRule="auto"/>
        <w:ind w:left="0" w:right="0" w:firstLine="0"/>
        <w:rPr>
          <w:b/>
        </w:rPr>
      </w:pPr>
      <w:r>
        <w:rPr>
          <w:b/>
        </w:rPr>
        <w:t xml:space="preserve">1. </w:t>
      </w:r>
      <w:r w:rsidR="00C14FD5" w:rsidRPr="006516A4">
        <w:rPr>
          <w:b/>
        </w:rPr>
        <w:t>Ne</w:t>
      </w:r>
      <w:r w:rsidR="00E37CD9" w:rsidRPr="006516A4">
        <w:rPr>
          <w:b/>
        </w:rPr>
        <w:t>dosažení</w:t>
      </w:r>
      <w:r w:rsidR="00C14FD5" w:rsidRPr="006516A4">
        <w:rPr>
          <w:b/>
        </w:rPr>
        <w:t xml:space="preserve"> předpokládaných úspor </w:t>
      </w:r>
    </w:p>
    <w:p w14:paraId="70289032" w14:textId="74F5D638" w:rsidR="008F0CEF" w:rsidRPr="008F0CEF" w:rsidRDefault="00AA7206" w:rsidP="008C1E44">
      <w:pPr>
        <w:pStyle w:val="Odstavecseseznamem"/>
        <w:spacing w:line="240" w:lineRule="auto"/>
        <w:ind w:left="0" w:right="0" w:firstLine="0"/>
        <w:contextualSpacing w:val="0"/>
        <w:rPr>
          <w:b/>
        </w:rPr>
      </w:pPr>
      <w:r>
        <w:t>Z důvodu</w:t>
      </w:r>
      <w:r w:rsidR="008F0CEF">
        <w:t xml:space="preserve"> požadovaného snížen</w:t>
      </w:r>
      <w:r w:rsidR="00145803">
        <w:t>í</w:t>
      </w:r>
      <w:r w:rsidR="008F0CEF">
        <w:t xml:space="preserve"> počtu systemizovaných míst příslušníků PČR</w:t>
      </w:r>
      <w:r w:rsidR="008F0CEF">
        <w:rPr>
          <w:rStyle w:val="Znakapoznpodarou"/>
        </w:rPr>
        <w:footnoteReference w:id="12"/>
      </w:r>
      <w:r w:rsidR="008F0CEF">
        <w:t xml:space="preserve"> a</w:t>
      </w:r>
      <w:r>
        <w:t> </w:t>
      </w:r>
      <w:r w:rsidR="008F0CEF">
        <w:t>zastavení náborů uchazečů v letech 2010</w:t>
      </w:r>
      <w:r w:rsidR="00E37CD9">
        <w:t xml:space="preserve"> až </w:t>
      </w:r>
      <w:r w:rsidR="008F0CEF">
        <w:t xml:space="preserve">2011 </w:t>
      </w:r>
      <w:r w:rsidR="00E37CD9">
        <w:t>přistoupilo MV k reorganizaci policejních škol, jejímž cílem měla být původně úspora 144 mil. Kč. MV nakonec stanovilo policejním školám zajistit úsporu ve výši 80 % deklarované částky, tj. ve výši 115,2 mil. Kč.</w:t>
      </w:r>
      <w:r w:rsidR="008F0CEF">
        <w:t xml:space="preserve"> </w:t>
      </w:r>
    </w:p>
    <w:p w14:paraId="5F30B231" w14:textId="0CFD7961" w:rsidR="008F0CEF" w:rsidRDefault="002A6DE9" w:rsidP="008C1E44">
      <w:pPr>
        <w:pStyle w:val="Odstavecseseznamem"/>
        <w:spacing w:line="240" w:lineRule="auto"/>
        <w:ind w:left="0" w:right="0" w:firstLine="0"/>
        <w:contextualSpacing w:val="0"/>
      </w:pPr>
      <w:r>
        <w:t>Dle</w:t>
      </w:r>
      <w:r w:rsidR="008F0CEF">
        <w:t xml:space="preserve"> rozhodnutí MV byly k 31. </w:t>
      </w:r>
      <w:r w:rsidR="00E37CD9">
        <w:t>prosinci</w:t>
      </w:r>
      <w:r w:rsidR="008F0CEF">
        <w:t xml:space="preserve"> 2012 zrušeny VPŠ v Jihlavě, </w:t>
      </w:r>
      <w:r w:rsidR="00E37CD9">
        <w:t xml:space="preserve">VPŠ v </w:t>
      </w:r>
      <w:r w:rsidR="008F0CEF">
        <w:t xml:space="preserve">Brně a </w:t>
      </w:r>
      <w:r w:rsidR="00E37CD9">
        <w:t>Školské účelové zařízení</w:t>
      </w:r>
      <w:r w:rsidR="008F0CEF">
        <w:t xml:space="preserve"> v Praze-Ruzyni, ze kterých vznikla detašovaná pracoviště zbývajících tří policejních škol. </w:t>
      </w:r>
      <w:r w:rsidR="00E37CD9" w:rsidRPr="00E37CD9">
        <w:t>Současně došlo k převodu majetku, tabulkových míst i rozpočtovaných prostředků.</w:t>
      </w:r>
      <w:r w:rsidR="008F0CEF">
        <w:t xml:space="preserve"> </w:t>
      </w:r>
    </w:p>
    <w:p w14:paraId="0E8D3C63" w14:textId="27E37BE2" w:rsidR="002D22D3" w:rsidRDefault="008F0CEF" w:rsidP="008C1E44">
      <w:pPr>
        <w:pStyle w:val="Odstavecseseznamem"/>
        <w:spacing w:line="240" w:lineRule="auto"/>
        <w:ind w:left="0" w:right="0" w:firstLine="0"/>
        <w:contextualSpacing w:val="0"/>
      </w:pPr>
      <w:r>
        <w:t>Další reorganizace proběhla k 31.</w:t>
      </w:r>
      <w:r w:rsidR="00E05DFC">
        <w:t xml:space="preserve"> </w:t>
      </w:r>
      <w:r w:rsidR="00F97552">
        <w:t>prosinci</w:t>
      </w:r>
      <w:r>
        <w:t xml:space="preserve"> 2015.</w:t>
      </w:r>
      <w:r w:rsidR="00E05DFC">
        <w:t xml:space="preserve"> </w:t>
      </w:r>
      <w:r>
        <w:t xml:space="preserve">VPŠ pro </w:t>
      </w:r>
      <w:r w:rsidR="00DD1561">
        <w:t>kriminální policii (dříve VPŠ v </w:t>
      </w:r>
      <w:r>
        <w:t>Pardubicích) včetně detašovaného pracoviště Praha-Ruzyně, detašované pracoviště Brno v </w:t>
      </w:r>
      <w:r w:rsidR="00033590">
        <w:t>rámci</w:t>
      </w:r>
      <w:r>
        <w:t xml:space="preserve"> VPŠ a SPŠ v Holešově a detašované pracoviště v Jihlavě v </w:t>
      </w:r>
      <w:r w:rsidR="00033590">
        <w:t>rámci</w:t>
      </w:r>
      <w:r>
        <w:t xml:space="preserve"> VPŠ a SPŠ v Praze </w:t>
      </w:r>
      <w:r w:rsidR="00F97552">
        <w:t>převedlo MV</w:t>
      </w:r>
      <w:r w:rsidR="002A6DE9">
        <w:t> </w:t>
      </w:r>
      <w:r w:rsidR="00394A52">
        <w:t>k</w:t>
      </w:r>
      <w:r w:rsidR="009A5BA9">
        <w:t xml:space="preserve"> </w:t>
      </w:r>
      <w:r w:rsidR="002A6DE9">
        <w:t>Policejní</w:t>
      </w:r>
      <w:r w:rsidR="00394A52">
        <w:t>mu</w:t>
      </w:r>
      <w:r w:rsidR="002A6DE9">
        <w:t xml:space="preserve"> prezidiu ČR </w:t>
      </w:r>
      <w:r>
        <w:t xml:space="preserve">jako vzdělávací zařízení. V rámci </w:t>
      </w:r>
      <w:r w:rsidR="00F97552">
        <w:t>P</w:t>
      </w:r>
      <w:r>
        <w:t xml:space="preserve">ČR převzal </w:t>
      </w:r>
      <w:r w:rsidRPr="00935E3B">
        <w:t xml:space="preserve">zajišťování ZOP a další odborné přípravy </w:t>
      </w:r>
      <w:r>
        <w:t xml:space="preserve">policistů ÚPVSP. Záměrem přechodu ZOP pod PČR bylo </w:t>
      </w:r>
      <w:r w:rsidR="003D3119">
        <w:t>sjednocení zadavatele policejního vzdělávání a</w:t>
      </w:r>
      <w:r>
        <w:t xml:space="preserve"> odpovědného subjektu za připrave</w:t>
      </w:r>
      <w:r w:rsidR="00F97552">
        <w:t xml:space="preserve">nost policistů k výkonu služby. </w:t>
      </w:r>
      <w:r w:rsidR="002D22D3" w:rsidRPr="00535C84">
        <w:t xml:space="preserve">Údaje o nákladech </w:t>
      </w:r>
      <w:r w:rsidR="00985E0B">
        <w:t>na policejní vzdělávání</w:t>
      </w:r>
      <w:r w:rsidR="002D22D3">
        <w:t xml:space="preserve"> v letech </w:t>
      </w:r>
      <w:r w:rsidR="002D22D3" w:rsidRPr="00535C84">
        <w:t>201</w:t>
      </w:r>
      <w:r w:rsidR="002D22D3">
        <w:t>1 až</w:t>
      </w:r>
      <w:r w:rsidR="002D22D3" w:rsidRPr="00535C84">
        <w:t xml:space="preserve"> </w:t>
      </w:r>
      <w:r w:rsidR="002D22D3">
        <w:t xml:space="preserve">2018 jsou uvedeny v tabulce č. </w:t>
      </w:r>
      <w:r w:rsidR="003034F0">
        <w:t>1</w:t>
      </w:r>
      <w:r w:rsidR="002D22D3">
        <w:t>.</w:t>
      </w:r>
    </w:p>
    <w:p w14:paraId="5B526A45" w14:textId="3794ACA8" w:rsidR="002D22D3" w:rsidRPr="00196FD2" w:rsidRDefault="007A7CF8" w:rsidP="008C1E44">
      <w:pPr>
        <w:pStyle w:val="Nzevtabulka"/>
        <w:numPr>
          <w:ilvl w:val="0"/>
          <w:numId w:val="0"/>
        </w:numPr>
        <w:tabs>
          <w:tab w:val="right" w:pos="9072"/>
        </w:tabs>
        <w:spacing w:after="40"/>
        <w:rPr>
          <w:szCs w:val="24"/>
        </w:rPr>
      </w:pPr>
      <w:r>
        <w:t xml:space="preserve">Tabulka č. 1: </w:t>
      </w:r>
      <w:r w:rsidR="002D22D3" w:rsidRPr="00E30C81">
        <w:t xml:space="preserve">Vývoj nákladů na </w:t>
      </w:r>
      <w:r w:rsidR="00C44651">
        <w:t>policejní vzdělávání</w:t>
      </w:r>
      <w:r w:rsidR="002D22D3" w:rsidRPr="00E30C81">
        <w:t xml:space="preserve"> v letech 2011 až 2018</w:t>
      </w:r>
      <w:r>
        <w:tab/>
      </w:r>
      <w:r w:rsidR="00E62437" w:rsidRPr="00097164">
        <w:rPr>
          <w:szCs w:val="24"/>
        </w:rPr>
        <w:t>(</w:t>
      </w:r>
      <w:r w:rsidR="002D22D3" w:rsidRPr="00097164">
        <w:rPr>
          <w:szCs w:val="24"/>
        </w:rPr>
        <w:t>v tis. Kč</w:t>
      </w:r>
      <w:r w:rsidR="00E62437" w:rsidRPr="00097164">
        <w:rPr>
          <w:szCs w:val="24"/>
        </w:rPr>
        <w:t>)</w:t>
      </w:r>
    </w:p>
    <w:tbl>
      <w:tblPr>
        <w:tblStyle w:val="TableGrid"/>
        <w:tblW w:w="9070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0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907"/>
        <w:gridCol w:w="964"/>
        <w:gridCol w:w="907"/>
        <w:gridCol w:w="1247"/>
        <w:gridCol w:w="1304"/>
        <w:gridCol w:w="1020"/>
        <w:gridCol w:w="1020"/>
      </w:tblGrid>
      <w:tr w:rsidR="002D22D3" w:rsidRPr="006516A4" w14:paraId="059967D4" w14:textId="77777777" w:rsidTr="007A7CF8">
        <w:trPr>
          <w:trHeight w:val="255"/>
        </w:trPr>
        <w:tc>
          <w:tcPr>
            <w:tcW w:w="624" w:type="dxa"/>
            <w:shd w:val="clear" w:color="auto" w:fill="E5F1FF"/>
            <w:vAlign w:val="center"/>
          </w:tcPr>
          <w:p w14:paraId="03C3BDC6" w14:textId="77777777" w:rsidR="002D22D3" w:rsidRPr="006516A4" w:rsidRDefault="002D22D3" w:rsidP="00F107C0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077" w:type="dxa"/>
            <w:shd w:val="clear" w:color="auto" w:fill="E5F1FF"/>
            <w:vAlign w:val="center"/>
          </w:tcPr>
          <w:p w14:paraId="07540D34" w14:textId="48EB0EFC" w:rsidR="002D22D3" w:rsidRPr="006516A4" w:rsidRDefault="006516A4" w:rsidP="00F107C0">
            <w:pPr>
              <w:spacing w:after="0" w:line="240" w:lineRule="auto"/>
              <w:ind w:left="-28" w:right="-2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VPŠ a SPŠ v </w:t>
            </w:r>
            <w:r w:rsidR="002D22D3" w:rsidRPr="006516A4">
              <w:rPr>
                <w:b/>
                <w:sz w:val="20"/>
                <w:szCs w:val="20"/>
              </w:rPr>
              <w:t>Holešově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3E8B472D" w14:textId="337CE176" w:rsidR="002D22D3" w:rsidRPr="006516A4" w:rsidRDefault="002D22D3" w:rsidP="006516A4">
            <w:pPr>
              <w:spacing w:after="0" w:line="240" w:lineRule="auto"/>
              <w:ind w:left="13" w:right="0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VPŠ v</w:t>
            </w:r>
            <w:r w:rsidR="006516A4">
              <w:rPr>
                <w:b/>
                <w:sz w:val="20"/>
                <w:szCs w:val="20"/>
              </w:rPr>
              <w:t> </w:t>
            </w:r>
            <w:r w:rsidRPr="006516A4">
              <w:rPr>
                <w:b/>
                <w:sz w:val="20"/>
                <w:szCs w:val="20"/>
              </w:rPr>
              <w:t>Brně</w:t>
            </w:r>
          </w:p>
        </w:tc>
        <w:tc>
          <w:tcPr>
            <w:tcW w:w="964" w:type="dxa"/>
            <w:shd w:val="clear" w:color="auto" w:fill="E5F1FF"/>
            <w:vAlign w:val="center"/>
          </w:tcPr>
          <w:p w14:paraId="00366789" w14:textId="0C7A024C" w:rsidR="002D22D3" w:rsidRPr="006516A4" w:rsidRDefault="002D22D3" w:rsidP="00F107C0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VPŠ a</w:t>
            </w:r>
            <w:r w:rsidR="00F107C0">
              <w:rPr>
                <w:b/>
                <w:sz w:val="20"/>
                <w:szCs w:val="20"/>
              </w:rPr>
              <w:t> </w:t>
            </w:r>
            <w:r w:rsidRPr="006516A4">
              <w:rPr>
                <w:b/>
                <w:sz w:val="20"/>
                <w:szCs w:val="20"/>
              </w:rPr>
              <w:t>SPŠ v</w:t>
            </w:r>
            <w:r w:rsidR="006516A4">
              <w:rPr>
                <w:b/>
                <w:sz w:val="20"/>
                <w:szCs w:val="20"/>
              </w:rPr>
              <w:t> </w:t>
            </w:r>
            <w:r w:rsidRPr="006516A4">
              <w:rPr>
                <w:b/>
                <w:sz w:val="20"/>
                <w:szCs w:val="20"/>
              </w:rPr>
              <w:t>Praze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422EB29C" w14:textId="47969E69" w:rsidR="002D22D3" w:rsidRPr="006516A4" w:rsidRDefault="002D22D3" w:rsidP="00F107C0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VPŠ v</w:t>
            </w:r>
            <w:r w:rsidR="00F107C0">
              <w:rPr>
                <w:b/>
                <w:sz w:val="20"/>
                <w:szCs w:val="20"/>
              </w:rPr>
              <w:t> </w:t>
            </w:r>
            <w:r w:rsidRPr="006516A4">
              <w:rPr>
                <w:b/>
                <w:sz w:val="20"/>
                <w:szCs w:val="20"/>
              </w:rPr>
              <w:t>Jihlavě</w:t>
            </w:r>
          </w:p>
        </w:tc>
        <w:tc>
          <w:tcPr>
            <w:tcW w:w="1247" w:type="dxa"/>
            <w:shd w:val="clear" w:color="auto" w:fill="E5F1FF"/>
            <w:vAlign w:val="center"/>
          </w:tcPr>
          <w:p w14:paraId="1486DB39" w14:textId="338022E1" w:rsidR="002D22D3" w:rsidRPr="006516A4" w:rsidRDefault="002D22D3" w:rsidP="00F107C0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VPŠ v</w:t>
            </w:r>
            <w:r w:rsidR="00F107C0">
              <w:rPr>
                <w:b/>
                <w:sz w:val="20"/>
                <w:szCs w:val="20"/>
              </w:rPr>
              <w:t> </w:t>
            </w:r>
            <w:r w:rsidRPr="006516A4">
              <w:rPr>
                <w:b/>
                <w:sz w:val="20"/>
                <w:szCs w:val="20"/>
              </w:rPr>
              <w:t>Pardubicích</w:t>
            </w:r>
          </w:p>
        </w:tc>
        <w:tc>
          <w:tcPr>
            <w:tcW w:w="1304" w:type="dxa"/>
            <w:shd w:val="clear" w:color="auto" w:fill="E5F1FF"/>
            <w:vAlign w:val="center"/>
          </w:tcPr>
          <w:p w14:paraId="1494E5B0" w14:textId="1F870516" w:rsidR="002D22D3" w:rsidRPr="006516A4" w:rsidRDefault="002D22D3" w:rsidP="00F107C0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 xml:space="preserve">ŠÚZ </w:t>
            </w:r>
            <w:r w:rsidR="00F107C0">
              <w:rPr>
                <w:b/>
                <w:sz w:val="20"/>
                <w:szCs w:val="20"/>
              </w:rPr>
              <w:br/>
            </w:r>
            <w:r w:rsidRPr="006516A4">
              <w:rPr>
                <w:b/>
                <w:sz w:val="20"/>
                <w:szCs w:val="20"/>
              </w:rPr>
              <w:t>v Praze-Ruzyni</w:t>
            </w:r>
          </w:p>
        </w:tc>
        <w:tc>
          <w:tcPr>
            <w:tcW w:w="1020" w:type="dxa"/>
            <w:shd w:val="clear" w:color="auto" w:fill="E5F1FF"/>
            <w:vAlign w:val="center"/>
          </w:tcPr>
          <w:p w14:paraId="2F3C4B75" w14:textId="77777777" w:rsidR="002D22D3" w:rsidRPr="006516A4" w:rsidRDefault="002D22D3" w:rsidP="00F107C0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Vzdělávací zařízení ÚPVSP</w:t>
            </w:r>
          </w:p>
        </w:tc>
        <w:tc>
          <w:tcPr>
            <w:tcW w:w="1020" w:type="dxa"/>
            <w:shd w:val="clear" w:color="auto" w:fill="E5F1FF"/>
            <w:vAlign w:val="center"/>
          </w:tcPr>
          <w:p w14:paraId="37279C06" w14:textId="77777777" w:rsidR="002D22D3" w:rsidRPr="006516A4" w:rsidRDefault="002D22D3" w:rsidP="006516A4">
            <w:pPr>
              <w:spacing w:after="0" w:line="240" w:lineRule="auto"/>
              <w:ind w:left="0" w:right="39" w:firstLine="0"/>
              <w:jc w:val="center"/>
              <w:rPr>
                <w:b/>
                <w:sz w:val="20"/>
                <w:szCs w:val="20"/>
              </w:rPr>
            </w:pPr>
            <w:r w:rsidRPr="006516A4">
              <w:rPr>
                <w:b/>
                <w:sz w:val="20"/>
                <w:szCs w:val="20"/>
              </w:rPr>
              <w:t>Celkem</w:t>
            </w:r>
          </w:p>
        </w:tc>
      </w:tr>
      <w:tr w:rsidR="002D22D3" w:rsidRPr="006516A4" w14:paraId="7A178E47" w14:textId="77777777" w:rsidTr="007A7CF8">
        <w:trPr>
          <w:trHeight w:val="255"/>
        </w:trPr>
        <w:tc>
          <w:tcPr>
            <w:tcW w:w="624" w:type="dxa"/>
            <w:shd w:val="clear" w:color="auto" w:fill="auto"/>
            <w:vAlign w:val="center"/>
          </w:tcPr>
          <w:p w14:paraId="6930D4BA" w14:textId="77777777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DE3E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167 348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FDB457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145 265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FC651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195 010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1BFFEE0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55 380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A19C3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57 535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F380D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22 583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7A37AA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A5F0E6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643 121</w:t>
            </w:r>
          </w:p>
        </w:tc>
      </w:tr>
      <w:tr w:rsidR="002D22D3" w:rsidRPr="006516A4" w14:paraId="2B7B3FE3" w14:textId="77777777" w:rsidTr="007A7CF8">
        <w:trPr>
          <w:trHeight w:val="255"/>
        </w:trPr>
        <w:tc>
          <w:tcPr>
            <w:tcW w:w="624" w:type="dxa"/>
          </w:tcPr>
          <w:p w14:paraId="74BA3B31" w14:textId="77777777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2012</w:t>
            </w:r>
          </w:p>
        </w:tc>
        <w:tc>
          <w:tcPr>
            <w:tcW w:w="1077" w:type="dxa"/>
          </w:tcPr>
          <w:p w14:paraId="277DBB51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183 104</w:t>
            </w:r>
          </w:p>
        </w:tc>
        <w:tc>
          <w:tcPr>
            <w:tcW w:w="907" w:type="dxa"/>
          </w:tcPr>
          <w:p w14:paraId="1D87D74A" w14:textId="0979A390" w:rsidR="002D22D3" w:rsidRPr="006516A4" w:rsidRDefault="002D22D3" w:rsidP="0001465F">
            <w:pPr>
              <w:spacing w:after="0" w:line="240" w:lineRule="auto"/>
              <w:ind w:left="0" w:right="-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0</w:t>
            </w:r>
            <w:r w:rsidR="00F97552" w:rsidRPr="006516A4">
              <w:rPr>
                <w:sz w:val="20"/>
                <w:szCs w:val="20"/>
              </w:rPr>
              <w:t>*</w:t>
            </w:r>
          </w:p>
        </w:tc>
        <w:tc>
          <w:tcPr>
            <w:tcW w:w="964" w:type="dxa"/>
          </w:tcPr>
          <w:p w14:paraId="7F5AE295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194 443</w:t>
            </w:r>
          </w:p>
        </w:tc>
        <w:tc>
          <w:tcPr>
            <w:tcW w:w="907" w:type="dxa"/>
          </w:tcPr>
          <w:p w14:paraId="5CB370E1" w14:textId="7A8BCA8A" w:rsidR="002D22D3" w:rsidRPr="006516A4" w:rsidRDefault="002D22D3" w:rsidP="0001465F">
            <w:pPr>
              <w:spacing w:after="0" w:line="240" w:lineRule="auto"/>
              <w:ind w:left="0" w:right="-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0</w:t>
            </w:r>
            <w:r w:rsidR="00F97552" w:rsidRPr="006516A4">
              <w:rPr>
                <w:sz w:val="20"/>
                <w:szCs w:val="20"/>
              </w:rPr>
              <w:t>*</w:t>
            </w:r>
          </w:p>
        </w:tc>
        <w:tc>
          <w:tcPr>
            <w:tcW w:w="1247" w:type="dxa"/>
          </w:tcPr>
          <w:p w14:paraId="6AFE403A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65 630</w:t>
            </w:r>
          </w:p>
        </w:tc>
        <w:tc>
          <w:tcPr>
            <w:tcW w:w="1304" w:type="dxa"/>
          </w:tcPr>
          <w:p w14:paraId="36F2DEC4" w14:textId="6D7DE4D6" w:rsidR="002D22D3" w:rsidRPr="006516A4" w:rsidRDefault="002D22D3" w:rsidP="0001465F">
            <w:pPr>
              <w:spacing w:after="0" w:line="240" w:lineRule="auto"/>
              <w:ind w:left="0" w:right="-62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0</w:t>
            </w:r>
            <w:r w:rsidR="00F97552" w:rsidRPr="006516A4">
              <w:rPr>
                <w:sz w:val="20"/>
                <w:szCs w:val="20"/>
              </w:rPr>
              <w:t>*</w:t>
            </w:r>
          </w:p>
        </w:tc>
        <w:tc>
          <w:tcPr>
            <w:tcW w:w="1020" w:type="dxa"/>
          </w:tcPr>
          <w:p w14:paraId="1E58DC0C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51FE7FD7" w14:textId="5B883D31" w:rsidR="002D22D3" w:rsidRPr="006516A4" w:rsidRDefault="002D22D3" w:rsidP="00F107C0">
            <w:pPr>
              <w:spacing w:after="0" w:line="240" w:lineRule="auto"/>
              <w:ind w:left="0" w:right="28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443</w:t>
            </w:r>
            <w:r w:rsidR="00F97552" w:rsidRPr="006516A4">
              <w:rPr>
                <w:sz w:val="20"/>
                <w:szCs w:val="20"/>
              </w:rPr>
              <w:t> </w:t>
            </w:r>
            <w:r w:rsidRPr="006516A4">
              <w:rPr>
                <w:sz w:val="20"/>
                <w:szCs w:val="20"/>
              </w:rPr>
              <w:t>177</w:t>
            </w:r>
            <w:r w:rsidR="00F97552" w:rsidRPr="006516A4">
              <w:rPr>
                <w:sz w:val="20"/>
                <w:szCs w:val="20"/>
              </w:rPr>
              <w:t>*</w:t>
            </w:r>
          </w:p>
        </w:tc>
      </w:tr>
      <w:tr w:rsidR="002D22D3" w:rsidRPr="006516A4" w14:paraId="6E695ADC" w14:textId="77777777" w:rsidTr="007A7CF8">
        <w:trPr>
          <w:trHeight w:val="255"/>
        </w:trPr>
        <w:tc>
          <w:tcPr>
            <w:tcW w:w="624" w:type="dxa"/>
          </w:tcPr>
          <w:p w14:paraId="324EA6B5" w14:textId="77777777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2013</w:t>
            </w:r>
          </w:p>
        </w:tc>
        <w:tc>
          <w:tcPr>
            <w:tcW w:w="1077" w:type="dxa"/>
          </w:tcPr>
          <w:p w14:paraId="0E5E2CEC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252 413</w:t>
            </w:r>
          </w:p>
        </w:tc>
        <w:tc>
          <w:tcPr>
            <w:tcW w:w="907" w:type="dxa"/>
          </w:tcPr>
          <w:p w14:paraId="4DEE11E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14:paraId="4132BA24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226 260</w:t>
            </w:r>
          </w:p>
        </w:tc>
        <w:tc>
          <w:tcPr>
            <w:tcW w:w="907" w:type="dxa"/>
          </w:tcPr>
          <w:p w14:paraId="521BD962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116F6A6F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86 623</w:t>
            </w:r>
          </w:p>
        </w:tc>
        <w:tc>
          <w:tcPr>
            <w:tcW w:w="1304" w:type="dxa"/>
          </w:tcPr>
          <w:p w14:paraId="7A52D207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56504F1A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61F77C53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565 296</w:t>
            </w:r>
          </w:p>
        </w:tc>
      </w:tr>
      <w:tr w:rsidR="002D22D3" w:rsidRPr="006516A4" w14:paraId="4FB10915" w14:textId="77777777" w:rsidTr="007A7CF8">
        <w:trPr>
          <w:trHeight w:val="255"/>
        </w:trPr>
        <w:tc>
          <w:tcPr>
            <w:tcW w:w="624" w:type="dxa"/>
          </w:tcPr>
          <w:p w14:paraId="5ACF9A8A" w14:textId="77777777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2014</w:t>
            </w:r>
          </w:p>
        </w:tc>
        <w:tc>
          <w:tcPr>
            <w:tcW w:w="1077" w:type="dxa"/>
          </w:tcPr>
          <w:p w14:paraId="69687A45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282 819</w:t>
            </w:r>
          </w:p>
        </w:tc>
        <w:tc>
          <w:tcPr>
            <w:tcW w:w="907" w:type="dxa"/>
          </w:tcPr>
          <w:p w14:paraId="6827969C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14:paraId="51C9CDF1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248 949</w:t>
            </w:r>
          </w:p>
        </w:tc>
        <w:tc>
          <w:tcPr>
            <w:tcW w:w="907" w:type="dxa"/>
          </w:tcPr>
          <w:p w14:paraId="45EE6646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65D66F75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99 970</w:t>
            </w:r>
          </w:p>
        </w:tc>
        <w:tc>
          <w:tcPr>
            <w:tcW w:w="1304" w:type="dxa"/>
          </w:tcPr>
          <w:p w14:paraId="6E7EC826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10D1422F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46E4B999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631 738</w:t>
            </w:r>
          </w:p>
        </w:tc>
      </w:tr>
      <w:tr w:rsidR="002D22D3" w:rsidRPr="006516A4" w14:paraId="00DB192D" w14:textId="77777777" w:rsidTr="007A7CF8">
        <w:trPr>
          <w:trHeight w:val="255"/>
        </w:trPr>
        <w:tc>
          <w:tcPr>
            <w:tcW w:w="624" w:type="dxa"/>
          </w:tcPr>
          <w:p w14:paraId="55B6570D" w14:textId="77777777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2015</w:t>
            </w:r>
          </w:p>
        </w:tc>
        <w:tc>
          <w:tcPr>
            <w:tcW w:w="1077" w:type="dxa"/>
          </w:tcPr>
          <w:p w14:paraId="4F366131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283 550</w:t>
            </w:r>
          </w:p>
        </w:tc>
        <w:tc>
          <w:tcPr>
            <w:tcW w:w="907" w:type="dxa"/>
          </w:tcPr>
          <w:p w14:paraId="743B7BF9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14:paraId="2910043B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259 192</w:t>
            </w:r>
          </w:p>
        </w:tc>
        <w:tc>
          <w:tcPr>
            <w:tcW w:w="907" w:type="dxa"/>
          </w:tcPr>
          <w:p w14:paraId="667F202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360248E6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104 280</w:t>
            </w:r>
          </w:p>
        </w:tc>
        <w:tc>
          <w:tcPr>
            <w:tcW w:w="1304" w:type="dxa"/>
          </w:tcPr>
          <w:p w14:paraId="10B35E46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4C34582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0F27B1C2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647 022</w:t>
            </w:r>
          </w:p>
        </w:tc>
      </w:tr>
      <w:tr w:rsidR="002D22D3" w:rsidRPr="006516A4" w14:paraId="21B5F87A" w14:textId="77777777" w:rsidTr="007A7CF8">
        <w:trPr>
          <w:trHeight w:val="255"/>
        </w:trPr>
        <w:tc>
          <w:tcPr>
            <w:tcW w:w="624" w:type="dxa"/>
          </w:tcPr>
          <w:p w14:paraId="70618193" w14:textId="5E977F2A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2016</w:t>
            </w:r>
          </w:p>
        </w:tc>
        <w:tc>
          <w:tcPr>
            <w:tcW w:w="1077" w:type="dxa"/>
          </w:tcPr>
          <w:p w14:paraId="67B4E760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166 951</w:t>
            </w:r>
          </w:p>
        </w:tc>
        <w:tc>
          <w:tcPr>
            <w:tcW w:w="907" w:type="dxa"/>
          </w:tcPr>
          <w:p w14:paraId="221D46B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14:paraId="582F739C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168 755</w:t>
            </w:r>
          </w:p>
        </w:tc>
        <w:tc>
          <w:tcPr>
            <w:tcW w:w="907" w:type="dxa"/>
          </w:tcPr>
          <w:p w14:paraId="2F73154B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6D04AE1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6798A6D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664650C3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331 144</w:t>
            </w:r>
          </w:p>
        </w:tc>
        <w:tc>
          <w:tcPr>
            <w:tcW w:w="1020" w:type="dxa"/>
          </w:tcPr>
          <w:p w14:paraId="329538EF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666 850</w:t>
            </w:r>
          </w:p>
        </w:tc>
      </w:tr>
      <w:tr w:rsidR="002D22D3" w:rsidRPr="006516A4" w14:paraId="49BF0656" w14:textId="77777777" w:rsidTr="007A7CF8">
        <w:trPr>
          <w:trHeight w:val="255"/>
        </w:trPr>
        <w:tc>
          <w:tcPr>
            <w:tcW w:w="624" w:type="dxa"/>
          </w:tcPr>
          <w:p w14:paraId="5D0A1704" w14:textId="5B5ED66C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2017</w:t>
            </w:r>
          </w:p>
        </w:tc>
        <w:tc>
          <w:tcPr>
            <w:tcW w:w="1077" w:type="dxa"/>
          </w:tcPr>
          <w:p w14:paraId="6721E538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183 706</w:t>
            </w:r>
          </w:p>
        </w:tc>
        <w:tc>
          <w:tcPr>
            <w:tcW w:w="907" w:type="dxa"/>
          </w:tcPr>
          <w:p w14:paraId="1A637D59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14:paraId="75CC774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182 482</w:t>
            </w:r>
          </w:p>
        </w:tc>
        <w:tc>
          <w:tcPr>
            <w:tcW w:w="907" w:type="dxa"/>
          </w:tcPr>
          <w:p w14:paraId="4009B91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500F55F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7762BD8C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220EA09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349 219</w:t>
            </w:r>
          </w:p>
        </w:tc>
        <w:tc>
          <w:tcPr>
            <w:tcW w:w="1020" w:type="dxa"/>
          </w:tcPr>
          <w:p w14:paraId="26349183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715 407</w:t>
            </w:r>
          </w:p>
        </w:tc>
      </w:tr>
      <w:tr w:rsidR="002D22D3" w:rsidRPr="006516A4" w14:paraId="0678182A" w14:textId="77777777" w:rsidTr="007A7CF8">
        <w:trPr>
          <w:trHeight w:val="255"/>
        </w:trPr>
        <w:tc>
          <w:tcPr>
            <w:tcW w:w="624" w:type="dxa"/>
          </w:tcPr>
          <w:p w14:paraId="4062F07A" w14:textId="79400A62" w:rsidR="002D22D3" w:rsidRPr="006516A4" w:rsidRDefault="002D22D3" w:rsidP="00F107C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2018</w:t>
            </w:r>
          </w:p>
        </w:tc>
        <w:tc>
          <w:tcPr>
            <w:tcW w:w="1077" w:type="dxa"/>
          </w:tcPr>
          <w:p w14:paraId="2EB04CF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197 138</w:t>
            </w:r>
          </w:p>
        </w:tc>
        <w:tc>
          <w:tcPr>
            <w:tcW w:w="907" w:type="dxa"/>
          </w:tcPr>
          <w:p w14:paraId="3C86697E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14:paraId="0B89C99D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201 623</w:t>
            </w:r>
          </w:p>
        </w:tc>
        <w:tc>
          <w:tcPr>
            <w:tcW w:w="907" w:type="dxa"/>
          </w:tcPr>
          <w:p w14:paraId="40084069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179BD4B6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503C186B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14:paraId="2C819398" w14:textId="77777777" w:rsidR="002D22D3" w:rsidRPr="006516A4" w:rsidRDefault="002D22D3" w:rsidP="006516A4">
            <w:pPr>
              <w:spacing w:after="0" w:line="240" w:lineRule="auto"/>
              <w:ind w:left="0" w:right="57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362 145</w:t>
            </w:r>
          </w:p>
        </w:tc>
        <w:tc>
          <w:tcPr>
            <w:tcW w:w="1020" w:type="dxa"/>
          </w:tcPr>
          <w:p w14:paraId="0207F614" w14:textId="77777777" w:rsidR="002D22D3" w:rsidRPr="006516A4" w:rsidRDefault="002D22D3" w:rsidP="00F107C0">
            <w:pPr>
              <w:spacing w:after="0" w:line="240" w:lineRule="auto"/>
              <w:ind w:left="0" w:right="113" w:firstLine="0"/>
              <w:jc w:val="right"/>
              <w:rPr>
                <w:sz w:val="20"/>
                <w:szCs w:val="20"/>
              </w:rPr>
            </w:pPr>
            <w:r w:rsidRPr="006516A4">
              <w:rPr>
                <w:sz w:val="20"/>
                <w:szCs w:val="20"/>
              </w:rPr>
              <w:t>760 906</w:t>
            </w:r>
          </w:p>
        </w:tc>
      </w:tr>
    </w:tbl>
    <w:p w14:paraId="4843ADE5" w14:textId="2E9B7F6A" w:rsidR="002D22D3" w:rsidRDefault="002D22D3" w:rsidP="008C1E44">
      <w:pPr>
        <w:spacing w:before="40" w:after="0" w:line="240" w:lineRule="auto"/>
        <w:ind w:left="0" w:right="0" w:firstLine="0"/>
        <w:rPr>
          <w:sz w:val="20"/>
        </w:rPr>
      </w:pPr>
      <w:r>
        <w:rPr>
          <w:b/>
          <w:sz w:val="20"/>
        </w:rPr>
        <w:t xml:space="preserve">Zdroj: </w:t>
      </w:r>
      <w:r w:rsidR="00C86AAC" w:rsidRPr="00C86AAC">
        <w:rPr>
          <w:sz w:val="20"/>
        </w:rPr>
        <w:t xml:space="preserve">informační systém </w:t>
      </w:r>
      <w:r>
        <w:rPr>
          <w:i/>
          <w:sz w:val="20"/>
        </w:rPr>
        <w:t>MONITOR</w:t>
      </w:r>
      <w:r>
        <w:rPr>
          <w:sz w:val="20"/>
        </w:rPr>
        <w:t xml:space="preserve"> </w:t>
      </w:r>
      <w:r w:rsidRPr="0070496D">
        <w:rPr>
          <w:i/>
          <w:sz w:val="20"/>
        </w:rPr>
        <w:t>Státní pokladny</w:t>
      </w:r>
      <w:r>
        <w:rPr>
          <w:sz w:val="20"/>
        </w:rPr>
        <w:t>, informace PČR.</w:t>
      </w:r>
    </w:p>
    <w:p w14:paraId="4CABA756" w14:textId="1B215970" w:rsidR="00F97552" w:rsidRDefault="00F97552" w:rsidP="008C1E44">
      <w:pPr>
        <w:spacing w:after="0" w:line="240" w:lineRule="auto"/>
        <w:ind w:left="567" w:right="0" w:hanging="567"/>
        <w:rPr>
          <w:sz w:val="20"/>
        </w:rPr>
      </w:pPr>
      <w:r w:rsidRPr="00DD1561">
        <w:rPr>
          <w:b/>
          <w:sz w:val="20"/>
        </w:rPr>
        <w:t>Pozn.:</w:t>
      </w:r>
      <w:r>
        <w:rPr>
          <w:sz w:val="20"/>
        </w:rPr>
        <w:t xml:space="preserve"> </w:t>
      </w:r>
      <w:r w:rsidRPr="0070496D">
        <w:rPr>
          <w:sz w:val="20"/>
        </w:rPr>
        <w:t>*</w:t>
      </w:r>
      <w:r w:rsidR="00C86AAC">
        <w:rPr>
          <w:sz w:val="20"/>
        </w:rPr>
        <w:t xml:space="preserve"> </w:t>
      </w:r>
      <w:r w:rsidR="0070496D">
        <w:rPr>
          <w:sz w:val="20"/>
        </w:rPr>
        <w:t>N</w:t>
      </w:r>
      <w:r w:rsidR="0070496D" w:rsidRPr="0070496D">
        <w:rPr>
          <w:sz w:val="20"/>
        </w:rPr>
        <w:t xml:space="preserve">áklady </w:t>
      </w:r>
      <w:r w:rsidR="0070496D">
        <w:rPr>
          <w:sz w:val="20"/>
        </w:rPr>
        <w:t xml:space="preserve">na činnost </w:t>
      </w:r>
      <w:r w:rsidR="0070496D" w:rsidRPr="0070496D">
        <w:rPr>
          <w:sz w:val="20"/>
        </w:rPr>
        <w:t xml:space="preserve">u </w:t>
      </w:r>
      <w:r w:rsidR="00A94D32">
        <w:rPr>
          <w:sz w:val="20"/>
        </w:rPr>
        <w:t>da</w:t>
      </w:r>
      <w:r w:rsidR="00A94D32" w:rsidRPr="0070496D">
        <w:rPr>
          <w:sz w:val="20"/>
        </w:rPr>
        <w:t xml:space="preserve">ných </w:t>
      </w:r>
      <w:r w:rsidR="0070496D" w:rsidRPr="0070496D">
        <w:rPr>
          <w:sz w:val="20"/>
        </w:rPr>
        <w:t xml:space="preserve">policejních škol </w:t>
      </w:r>
      <w:r w:rsidR="00C86AAC" w:rsidRPr="0070496D">
        <w:rPr>
          <w:sz w:val="20"/>
        </w:rPr>
        <w:t xml:space="preserve">nebyly </w:t>
      </w:r>
      <w:r w:rsidR="0070496D" w:rsidRPr="0070496D">
        <w:rPr>
          <w:sz w:val="20"/>
        </w:rPr>
        <w:t>v</w:t>
      </w:r>
      <w:r w:rsidR="00C86AAC">
        <w:rPr>
          <w:sz w:val="20"/>
        </w:rPr>
        <w:t> informačním systému</w:t>
      </w:r>
      <w:r w:rsidR="0070496D" w:rsidRPr="0070496D">
        <w:rPr>
          <w:sz w:val="20"/>
        </w:rPr>
        <w:t xml:space="preserve"> </w:t>
      </w:r>
      <w:r w:rsidR="0070496D" w:rsidRPr="0070496D">
        <w:rPr>
          <w:i/>
          <w:sz w:val="20"/>
        </w:rPr>
        <w:t>MONITOR Státní pokladny</w:t>
      </w:r>
      <w:r w:rsidR="0070496D" w:rsidRPr="0070496D">
        <w:rPr>
          <w:sz w:val="20"/>
        </w:rPr>
        <w:t xml:space="preserve"> uvedeny.</w:t>
      </w:r>
    </w:p>
    <w:p w14:paraId="48D61D36" w14:textId="45739F3D" w:rsidR="00F63578" w:rsidRDefault="00F63578" w:rsidP="008C1E44">
      <w:pPr>
        <w:spacing w:line="240" w:lineRule="auto"/>
        <w:ind w:left="567" w:right="0" w:firstLine="0"/>
        <w:rPr>
          <w:sz w:val="20"/>
        </w:rPr>
      </w:pPr>
      <w:r>
        <w:rPr>
          <w:sz w:val="20"/>
        </w:rPr>
        <w:t xml:space="preserve">K 31. 12. 2012 byly zrušeny VPŠ v Jihlavě, VPŠ v Brně a ŠÚZ v Praze-Ruzyni, ze kterých vznikla detašovaná pracoviště zbývajících tří policejních škol. V letech 2013 až 2015 byly v rozpočtech policejních škol zahrnuty také náklady na činnost uvedených detašovaných pracovišť. </w:t>
      </w:r>
    </w:p>
    <w:p w14:paraId="5C17C0CC" w14:textId="6970CE64" w:rsidR="0019215E" w:rsidRDefault="00C14FD5" w:rsidP="008C1E44">
      <w:pPr>
        <w:pStyle w:val="Odstavecseseznamem"/>
        <w:spacing w:line="240" w:lineRule="auto"/>
        <w:ind w:left="0" w:right="0" w:firstLine="0"/>
        <w:contextualSpacing w:val="0"/>
        <w:rPr>
          <w:color w:val="auto"/>
        </w:rPr>
      </w:pPr>
      <w:r w:rsidRPr="006A0277">
        <w:t xml:space="preserve">MV </w:t>
      </w:r>
      <w:r w:rsidR="00F97552">
        <w:t>nedosáhlo</w:t>
      </w:r>
      <w:r w:rsidR="0095426B">
        <w:t xml:space="preserve"> výš</w:t>
      </w:r>
      <w:r w:rsidR="00F97552">
        <w:t>e</w:t>
      </w:r>
      <w:r w:rsidRPr="006A0277">
        <w:t xml:space="preserve"> úspor, které byly hlavním </w:t>
      </w:r>
      <w:r>
        <w:t>cílem provedené</w:t>
      </w:r>
      <w:r w:rsidRPr="006A0277">
        <w:t xml:space="preserve"> </w:t>
      </w:r>
      <w:r>
        <w:t xml:space="preserve">reorganizace </w:t>
      </w:r>
      <w:r w:rsidRPr="006A0277">
        <w:t xml:space="preserve">v roce 2012. </w:t>
      </w:r>
      <w:r w:rsidR="00DD1561">
        <w:t>VPŠ a </w:t>
      </w:r>
      <w:r w:rsidR="0095426B">
        <w:t xml:space="preserve">SPŠ v Praze </w:t>
      </w:r>
      <w:r w:rsidR="003C20C4">
        <w:t xml:space="preserve">v roce 2013 </w:t>
      </w:r>
      <w:r w:rsidR="0095426B">
        <w:t xml:space="preserve">provedla úsporná opatření ve výši </w:t>
      </w:r>
      <w:r w:rsidR="008D54A6">
        <w:t xml:space="preserve">44,2 </w:t>
      </w:r>
      <w:r w:rsidR="0095426B">
        <w:t>mil. Kč</w:t>
      </w:r>
      <w:r w:rsidR="00CD7AD3">
        <w:t>,</w:t>
      </w:r>
      <w:r w:rsidR="000843B8">
        <w:t xml:space="preserve"> a </w:t>
      </w:r>
      <w:r w:rsidR="002A6DE9">
        <w:t>nesplnil</w:t>
      </w:r>
      <w:r w:rsidR="0095426B">
        <w:t>a</w:t>
      </w:r>
      <w:r w:rsidR="002A6DE9">
        <w:t xml:space="preserve"> </w:t>
      </w:r>
      <w:r w:rsidR="0095426B">
        <w:t xml:space="preserve">tak </w:t>
      </w:r>
      <w:r w:rsidR="002A6DE9">
        <w:t xml:space="preserve">předpokládanou úsporu ve výši 44,9 mil. Kč. </w:t>
      </w:r>
      <w:r w:rsidR="003C20C4">
        <w:t xml:space="preserve">VPŠ a SPŠ v Holešově v roce 2013 předpokládanou úsporu ve výši </w:t>
      </w:r>
      <w:r w:rsidR="005D427E">
        <w:t>70,9</w:t>
      </w:r>
      <w:r w:rsidR="003C20C4">
        <w:t xml:space="preserve"> mil. Kč splnila. </w:t>
      </w:r>
      <w:r w:rsidR="008D54A6">
        <w:t xml:space="preserve">Vybrané </w:t>
      </w:r>
      <w:r w:rsidR="0095426B">
        <w:t>p</w:t>
      </w:r>
      <w:r w:rsidR="002A6DE9">
        <w:t xml:space="preserve">olicejní školy </w:t>
      </w:r>
      <w:r w:rsidR="003C20C4">
        <w:t xml:space="preserve">těchto úspor dosáhly </w:t>
      </w:r>
      <w:r w:rsidR="002A6DE9">
        <w:t xml:space="preserve">především </w:t>
      </w:r>
      <w:r w:rsidR="00F97552">
        <w:t>propuštěním 228 zaměstnanců</w:t>
      </w:r>
      <w:r w:rsidR="002A6DE9">
        <w:t>.</w:t>
      </w:r>
      <w:r w:rsidR="00E05DFC">
        <w:t xml:space="preserve"> </w:t>
      </w:r>
      <w:r w:rsidR="00B92729" w:rsidRPr="00D0731B">
        <w:t>Poté náklady na policejní vzdělávání rostly navýšením počtu zaměstnanců zajišťující</w:t>
      </w:r>
      <w:r w:rsidR="00D0731B">
        <w:t>ch</w:t>
      </w:r>
      <w:r w:rsidR="00CD7AD3">
        <w:t xml:space="preserve"> </w:t>
      </w:r>
      <w:r w:rsidR="00B92729" w:rsidRPr="00D0731B">
        <w:t>rostoucí potřebu náboru nových policistů</w:t>
      </w:r>
      <w:r w:rsidR="00F97552">
        <w:t>, a to</w:t>
      </w:r>
      <w:r w:rsidRPr="00E71DD2">
        <w:rPr>
          <w:color w:val="auto"/>
        </w:rPr>
        <w:t xml:space="preserve"> </w:t>
      </w:r>
      <w:r w:rsidR="00F97552">
        <w:rPr>
          <w:color w:val="auto"/>
        </w:rPr>
        <w:t>nárůst</w:t>
      </w:r>
      <w:r w:rsidR="00C32318">
        <w:rPr>
          <w:color w:val="auto"/>
        </w:rPr>
        <w:t>em</w:t>
      </w:r>
      <w:r w:rsidRPr="00E71DD2">
        <w:rPr>
          <w:color w:val="auto"/>
        </w:rPr>
        <w:t xml:space="preserve"> z</w:t>
      </w:r>
      <w:r w:rsidR="000136B6">
        <w:rPr>
          <w:color w:val="auto"/>
        </w:rPr>
        <w:t> </w:t>
      </w:r>
      <w:r w:rsidRPr="00E71DD2">
        <w:rPr>
          <w:color w:val="auto"/>
        </w:rPr>
        <w:t>565</w:t>
      </w:r>
      <w:r w:rsidR="000136B6">
        <w:rPr>
          <w:color w:val="auto"/>
        </w:rPr>
        <w:t> </w:t>
      </w:r>
      <w:r w:rsidRPr="00E71DD2">
        <w:rPr>
          <w:color w:val="auto"/>
        </w:rPr>
        <w:t>mil.</w:t>
      </w:r>
      <w:r w:rsidR="000136B6">
        <w:rPr>
          <w:color w:val="auto"/>
        </w:rPr>
        <w:t> </w:t>
      </w:r>
      <w:r w:rsidRPr="00E71DD2">
        <w:rPr>
          <w:color w:val="auto"/>
        </w:rPr>
        <w:t>Kč v roce 2013 na 76</w:t>
      </w:r>
      <w:r w:rsidR="00A23674">
        <w:rPr>
          <w:color w:val="auto"/>
        </w:rPr>
        <w:t>1</w:t>
      </w:r>
      <w:r w:rsidRPr="00E71DD2">
        <w:rPr>
          <w:color w:val="auto"/>
        </w:rPr>
        <w:t xml:space="preserve"> mil. Kč v roce 2018, tj. o 3</w:t>
      </w:r>
      <w:r w:rsidR="0091794F">
        <w:rPr>
          <w:color w:val="auto"/>
        </w:rPr>
        <w:t>5</w:t>
      </w:r>
      <w:r w:rsidRPr="00E71DD2">
        <w:rPr>
          <w:color w:val="auto"/>
        </w:rPr>
        <w:t xml:space="preserve"> %. </w:t>
      </w:r>
      <w:r w:rsidR="009168FA">
        <w:rPr>
          <w:color w:val="auto"/>
        </w:rPr>
        <w:t xml:space="preserve">Provedené reorganizace z hlediska dosažení </w:t>
      </w:r>
      <w:r w:rsidR="0095426B">
        <w:rPr>
          <w:color w:val="auto"/>
        </w:rPr>
        <w:t xml:space="preserve">dlouhodobých </w:t>
      </w:r>
      <w:r w:rsidR="00C82604">
        <w:rPr>
          <w:color w:val="auto"/>
        </w:rPr>
        <w:t xml:space="preserve">předpokládaných </w:t>
      </w:r>
      <w:r w:rsidR="009168FA">
        <w:rPr>
          <w:color w:val="auto"/>
        </w:rPr>
        <w:t xml:space="preserve">úspor </w:t>
      </w:r>
      <w:r w:rsidR="00CD7AD3">
        <w:rPr>
          <w:color w:val="auto"/>
        </w:rPr>
        <w:t xml:space="preserve">tedy </w:t>
      </w:r>
      <w:r w:rsidR="009168FA">
        <w:rPr>
          <w:color w:val="auto"/>
        </w:rPr>
        <w:t>nebyly účelné.</w:t>
      </w:r>
      <w:r w:rsidR="002A6DE9">
        <w:rPr>
          <w:color w:val="auto"/>
        </w:rPr>
        <w:t xml:space="preserve"> </w:t>
      </w:r>
    </w:p>
    <w:p w14:paraId="32CCFA2B" w14:textId="4CA8C01E" w:rsidR="00B1740F" w:rsidRPr="00012FF9" w:rsidRDefault="009A18EF" w:rsidP="008C1E44">
      <w:pPr>
        <w:pStyle w:val="Odstavecseseznamem"/>
        <w:spacing w:line="240" w:lineRule="auto"/>
        <w:ind w:left="0" w:right="0" w:firstLine="0"/>
        <w:contextualSpacing w:val="0"/>
        <w:rPr>
          <w:szCs w:val="24"/>
        </w:rPr>
      </w:pPr>
      <w:r w:rsidRPr="00012FF9">
        <w:t xml:space="preserve">Od roku 2013 náklady na policejní vzdělávání meziročně rostly i přesto, že počet absolventů ZOP </w:t>
      </w:r>
      <w:r w:rsidR="00FF7B13">
        <w:t xml:space="preserve">do doby ukončení kontroly NKÚ </w:t>
      </w:r>
      <w:r w:rsidR="00E8258D">
        <w:t xml:space="preserve">po výrazném poklesu </w:t>
      </w:r>
      <w:r w:rsidR="00E93965">
        <w:t xml:space="preserve">nedosáhl </w:t>
      </w:r>
      <w:r w:rsidR="00A10D48">
        <w:t>úrovně let 2013 a 2014</w:t>
      </w:r>
      <w:r w:rsidRPr="00012FF9">
        <w:t>.</w:t>
      </w:r>
    </w:p>
    <w:p w14:paraId="46FB2275" w14:textId="08F26515" w:rsidR="00B1740F" w:rsidRPr="00012FF9" w:rsidRDefault="007A7CF8" w:rsidP="007A7CF8">
      <w:pPr>
        <w:pStyle w:val="Nzevtabulka"/>
        <w:numPr>
          <w:ilvl w:val="0"/>
          <w:numId w:val="0"/>
        </w:numPr>
        <w:spacing w:after="40"/>
        <w:rPr>
          <w:szCs w:val="24"/>
        </w:rPr>
      </w:pPr>
      <w:r>
        <w:t xml:space="preserve">Tabulka č. 2: </w:t>
      </w:r>
      <w:r w:rsidR="00B1740F" w:rsidRPr="00012FF9">
        <w:t>Vývoj počtu absolventů ZOP v rámci policejního vzdělávání</w:t>
      </w:r>
    </w:p>
    <w:tbl>
      <w:tblPr>
        <w:tblW w:w="49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886"/>
        <w:gridCol w:w="886"/>
        <w:gridCol w:w="886"/>
        <w:gridCol w:w="886"/>
        <w:gridCol w:w="886"/>
        <w:gridCol w:w="886"/>
        <w:gridCol w:w="886"/>
        <w:gridCol w:w="887"/>
      </w:tblGrid>
      <w:tr w:rsidR="00B1740F" w:rsidRPr="00F461A9" w14:paraId="47D30BD7" w14:textId="77777777" w:rsidTr="00DE6955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27756A2" w14:textId="77777777" w:rsidR="00B1740F" w:rsidRPr="00F461A9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47435B3E" w14:textId="77777777" w:rsidR="00B1740F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7E1043EB" w14:textId="77777777" w:rsidR="00B1740F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510A8BE0" w14:textId="77777777" w:rsidR="00B1740F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1CA4F3CF" w14:textId="77777777" w:rsidR="00B1740F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</w:tcPr>
          <w:p w14:paraId="7F2A0118" w14:textId="77777777" w:rsidR="00B1740F" w:rsidRPr="00F461A9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</w:tcPr>
          <w:p w14:paraId="0978FF11" w14:textId="77777777" w:rsidR="00B1740F" w:rsidRPr="00F461A9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</w:tcPr>
          <w:p w14:paraId="01DDE0B5" w14:textId="77777777" w:rsidR="00B1740F" w:rsidRPr="00F461A9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380235B4" w14:textId="77777777" w:rsidR="00B1740F" w:rsidRDefault="00B1740F" w:rsidP="00DE6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B1740F" w:rsidRPr="00F461A9" w14:paraId="3F32B4AB" w14:textId="77777777" w:rsidTr="00B1740F">
        <w:trPr>
          <w:trHeight w:val="300"/>
          <w:jc w:val="center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1299" w14:textId="09AE2A7C" w:rsidR="00B1740F" w:rsidRPr="00C74776" w:rsidRDefault="00B1740F" w:rsidP="00DE695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Počty absolventů ZOP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22BE" w14:textId="59D17875" w:rsidR="00B1740F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E79" w14:textId="0068D6FF" w:rsidR="00B1740F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4C9" w14:textId="78BF3BDC" w:rsidR="00B1740F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0462" w14:textId="2EC52683" w:rsidR="00B1740F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1D10" w14:textId="2F9C6C9E" w:rsidR="00B1740F" w:rsidRPr="0029143D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B326" w14:textId="649B73C6" w:rsidR="00B1740F" w:rsidRPr="0029143D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8575" w14:textId="3CF49E9F" w:rsidR="00B1740F" w:rsidRPr="0029143D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AC60" w14:textId="1F17A706" w:rsidR="00B1740F" w:rsidRPr="0029143D" w:rsidRDefault="00B1740F" w:rsidP="00DE6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</w:t>
            </w:r>
          </w:p>
        </w:tc>
      </w:tr>
    </w:tbl>
    <w:p w14:paraId="25F8BD55" w14:textId="27AAAEB7" w:rsidR="00B1740F" w:rsidRDefault="00B1740F" w:rsidP="008C1E44">
      <w:pPr>
        <w:pStyle w:val="Odstavecseseznamem"/>
        <w:spacing w:before="40" w:line="240" w:lineRule="auto"/>
        <w:ind w:left="0" w:right="0" w:firstLine="0"/>
        <w:contextualSpacing w:val="0"/>
        <w:rPr>
          <w:szCs w:val="24"/>
        </w:rPr>
      </w:pPr>
      <w:r>
        <w:rPr>
          <w:b/>
          <w:color w:val="auto"/>
          <w:sz w:val="20"/>
          <w:szCs w:val="20"/>
        </w:rPr>
        <w:t xml:space="preserve">Zdroj: </w:t>
      </w:r>
      <w:r w:rsidR="00C86AAC">
        <w:rPr>
          <w:sz w:val="20"/>
          <w:szCs w:val="20"/>
        </w:rPr>
        <w:t>i</w:t>
      </w:r>
      <w:r w:rsidRPr="00FC2282">
        <w:rPr>
          <w:sz w:val="20"/>
          <w:szCs w:val="20"/>
        </w:rPr>
        <w:t xml:space="preserve">nformace z PČR, VPŠ a SPŠ v Holešově a </w:t>
      </w:r>
      <w:r>
        <w:rPr>
          <w:sz w:val="20"/>
          <w:szCs w:val="20"/>
        </w:rPr>
        <w:t xml:space="preserve">VPŠ a SPŠ </w:t>
      </w:r>
      <w:r w:rsidRPr="00FC2282">
        <w:rPr>
          <w:sz w:val="20"/>
          <w:szCs w:val="20"/>
        </w:rPr>
        <w:t>v</w:t>
      </w:r>
      <w:r w:rsidR="00DD1561">
        <w:rPr>
          <w:sz w:val="20"/>
          <w:szCs w:val="20"/>
        </w:rPr>
        <w:t> </w:t>
      </w:r>
      <w:r w:rsidRPr="00FC2282">
        <w:rPr>
          <w:sz w:val="20"/>
          <w:szCs w:val="20"/>
        </w:rPr>
        <w:t>Praze</w:t>
      </w:r>
      <w:r w:rsidR="00DD1561">
        <w:rPr>
          <w:sz w:val="20"/>
          <w:szCs w:val="20"/>
        </w:rPr>
        <w:t>.</w:t>
      </w:r>
    </w:p>
    <w:p w14:paraId="7F8C1D42" w14:textId="59FD7AE5" w:rsidR="00C82604" w:rsidRDefault="00C82604" w:rsidP="008C1E44">
      <w:pPr>
        <w:pStyle w:val="Odstavecseseznamem"/>
        <w:spacing w:line="240" w:lineRule="auto"/>
        <w:ind w:left="0" w:right="0" w:firstLine="0"/>
        <w:contextualSpacing w:val="0"/>
        <w:rPr>
          <w:szCs w:val="24"/>
        </w:rPr>
      </w:pPr>
      <w:r w:rsidRPr="00B74809">
        <w:rPr>
          <w:szCs w:val="24"/>
        </w:rPr>
        <w:t xml:space="preserve">Akutní nedostatek zaměstnanců pro zajištění ZOP </w:t>
      </w:r>
      <w:r w:rsidR="009260F1">
        <w:rPr>
          <w:szCs w:val="24"/>
        </w:rPr>
        <w:t>řešily vybrané policejní školy</w:t>
      </w:r>
      <w:r w:rsidRPr="00B74809">
        <w:rPr>
          <w:szCs w:val="24"/>
        </w:rPr>
        <w:t xml:space="preserve"> nesystémově</w:t>
      </w:r>
      <w:r w:rsidRPr="00B74809">
        <w:rPr>
          <w:rStyle w:val="Znakapoznpodarou"/>
          <w:szCs w:val="24"/>
        </w:rPr>
        <w:footnoteReference w:id="13"/>
      </w:r>
      <w:r w:rsidR="00FD4D21">
        <w:rPr>
          <w:szCs w:val="24"/>
        </w:rPr>
        <w:t>,</w:t>
      </w:r>
      <w:r w:rsidRPr="00B74809">
        <w:rPr>
          <w:szCs w:val="24"/>
        </w:rPr>
        <w:t xml:space="preserve"> </w:t>
      </w:r>
      <w:r w:rsidR="00FD4D21">
        <w:rPr>
          <w:szCs w:val="24"/>
        </w:rPr>
        <w:t xml:space="preserve">a to </w:t>
      </w:r>
      <w:r w:rsidRPr="00B74809">
        <w:rPr>
          <w:szCs w:val="24"/>
        </w:rPr>
        <w:t>uzavírání</w:t>
      </w:r>
      <w:r w:rsidR="00FD4D21">
        <w:rPr>
          <w:szCs w:val="24"/>
        </w:rPr>
        <w:t>m</w:t>
      </w:r>
      <w:r w:rsidRPr="00B74809">
        <w:rPr>
          <w:szCs w:val="24"/>
        </w:rPr>
        <w:t xml:space="preserve"> dohod o pracích konaných mimo pracovní poměr</w:t>
      </w:r>
      <w:r w:rsidR="00B74809">
        <w:rPr>
          <w:szCs w:val="24"/>
        </w:rPr>
        <w:t xml:space="preserve"> (viz tabulka č. </w:t>
      </w:r>
      <w:r w:rsidR="003034F0">
        <w:rPr>
          <w:szCs w:val="24"/>
        </w:rPr>
        <w:t>3</w:t>
      </w:r>
      <w:r w:rsidR="00B74809">
        <w:rPr>
          <w:szCs w:val="24"/>
        </w:rPr>
        <w:t>)</w:t>
      </w:r>
      <w:r w:rsidRPr="00B74809">
        <w:rPr>
          <w:szCs w:val="24"/>
        </w:rPr>
        <w:t>.</w:t>
      </w:r>
    </w:p>
    <w:p w14:paraId="1D4C5731" w14:textId="68FE7B63" w:rsidR="00B74809" w:rsidRPr="00E30C81" w:rsidRDefault="007A7CF8" w:rsidP="008C1E44">
      <w:pPr>
        <w:pStyle w:val="Nzevtabulka"/>
        <w:numPr>
          <w:ilvl w:val="0"/>
          <w:numId w:val="0"/>
        </w:numPr>
        <w:spacing w:after="40"/>
      </w:pPr>
      <w:r>
        <w:t xml:space="preserve">Tabulka č. 3: </w:t>
      </w:r>
      <w:r w:rsidR="00B74809" w:rsidRPr="00E30C81">
        <w:t>Počet DPČ</w:t>
      </w:r>
      <w:r w:rsidR="00B74809" w:rsidRPr="00E30C81">
        <w:rPr>
          <w:rStyle w:val="Znakapoznpodarou"/>
          <w:b w:val="0"/>
        </w:rPr>
        <w:footnoteReference w:id="14"/>
      </w:r>
      <w:r w:rsidR="00B74809" w:rsidRPr="00E30C81">
        <w:t xml:space="preserve"> a DPP</w:t>
      </w:r>
      <w:r w:rsidR="00B74809" w:rsidRPr="00E30C81">
        <w:rPr>
          <w:rStyle w:val="Znakapoznpodarou"/>
          <w:b w:val="0"/>
        </w:rPr>
        <w:footnoteReference w:id="15"/>
      </w:r>
      <w:r>
        <w:t xml:space="preserve"> včetně vynaložených nákladů</w:t>
      </w:r>
    </w:p>
    <w:tbl>
      <w:tblPr>
        <w:tblW w:w="907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984"/>
        <w:gridCol w:w="864"/>
        <w:gridCol w:w="815"/>
        <w:gridCol w:w="1395"/>
        <w:gridCol w:w="837"/>
        <w:gridCol w:w="838"/>
        <w:gridCol w:w="1117"/>
        <w:gridCol w:w="1534"/>
      </w:tblGrid>
      <w:tr w:rsidR="006C7CEA" w:rsidRPr="006C7CEA" w14:paraId="45488CE7" w14:textId="77777777" w:rsidTr="006C7CEA">
        <w:trPr>
          <w:trHeight w:val="255"/>
          <w:jc w:val="center"/>
        </w:trPr>
        <w:tc>
          <w:tcPr>
            <w:tcW w:w="695" w:type="dxa"/>
            <w:vMerge w:val="restart"/>
            <w:shd w:val="clear" w:color="000000" w:fill="E5F1FF"/>
            <w:noWrap/>
            <w:vAlign w:val="center"/>
            <w:hideMark/>
          </w:tcPr>
          <w:p w14:paraId="14B9A408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058" w:type="dxa"/>
            <w:gridSpan w:val="4"/>
            <w:shd w:val="clear" w:color="000000" w:fill="E5F1FF"/>
            <w:noWrap/>
            <w:vAlign w:val="bottom"/>
            <w:hideMark/>
          </w:tcPr>
          <w:p w14:paraId="30D68759" w14:textId="15A97BC3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VPŠ a SPŠ v Holešově</w:t>
            </w:r>
          </w:p>
        </w:tc>
        <w:tc>
          <w:tcPr>
            <w:tcW w:w="4326" w:type="dxa"/>
            <w:gridSpan w:val="4"/>
            <w:shd w:val="clear" w:color="000000" w:fill="E5F1FF"/>
            <w:noWrap/>
            <w:vAlign w:val="bottom"/>
            <w:hideMark/>
          </w:tcPr>
          <w:p w14:paraId="31131CE7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VPŠ a SPŠ v Praze</w:t>
            </w:r>
          </w:p>
        </w:tc>
      </w:tr>
      <w:tr w:rsidR="006C7CEA" w:rsidRPr="006C7CEA" w14:paraId="374A8077" w14:textId="77777777" w:rsidTr="006C7CEA">
        <w:trPr>
          <w:trHeight w:val="255"/>
          <w:jc w:val="center"/>
        </w:trPr>
        <w:tc>
          <w:tcPr>
            <w:tcW w:w="695" w:type="dxa"/>
            <w:vMerge/>
            <w:vAlign w:val="center"/>
            <w:hideMark/>
          </w:tcPr>
          <w:p w14:paraId="0B526299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shd w:val="clear" w:color="000000" w:fill="E5F1FF"/>
            <w:noWrap/>
            <w:vAlign w:val="center"/>
            <w:hideMark/>
          </w:tcPr>
          <w:p w14:paraId="729D318A" w14:textId="1C1C22FE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DPČ a DPP</w:t>
            </w:r>
          </w:p>
        </w:tc>
        <w:tc>
          <w:tcPr>
            <w:tcW w:w="815" w:type="dxa"/>
            <w:vMerge w:val="restart"/>
            <w:shd w:val="clear" w:color="000000" w:fill="E5F1FF"/>
            <w:vAlign w:val="center"/>
            <w:hideMark/>
          </w:tcPr>
          <w:p w14:paraId="1382708C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Dohody celkem</w:t>
            </w:r>
          </w:p>
        </w:tc>
        <w:tc>
          <w:tcPr>
            <w:tcW w:w="1395" w:type="dxa"/>
            <w:vMerge w:val="restart"/>
            <w:shd w:val="clear" w:color="000000" w:fill="E5F1FF"/>
            <w:vAlign w:val="center"/>
            <w:hideMark/>
          </w:tcPr>
          <w:p w14:paraId="0E24769E" w14:textId="7ED4EA66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Náklady na dohody (</w:t>
            </w:r>
            <w:r w:rsidR="00FD2007">
              <w:rPr>
                <w:rFonts w:eastAsia="Times New Roman"/>
                <w:b/>
                <w:bCs/>
                <w:sz w:val="20"/>
                <w:szCs w:val="20"/>
              </w:rPr>
              <w:t>v </w:t>
            </w: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1675" w:type="dxa"/>
            <w:gridSpan w:val="2"/>
            <w:shd w:val="clear" w:color="000000" w:fill="E5F1FF"/>
            <w:noWrap/>
            <w:vAlign w:val="center"/>
            <w:hideMark/>
          </w:tcPr>
          <w:p w14:paraId="27E73104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DPČ a DPP</w:t>
            </w:r>
          </w:p>
        </w:tc>
        <w:tc>
          <w:tcPr>
            <w:tcW w:w="1117" w:type="dxa"/>
            <w:vMerge w:val="restart"/>
            <w:shd w:val="clear" w:color="000000" w:fill="E5F1FF"/>
            <w:vAlign w:val="center"/>
            <w:hideMark/>
          </w:tcPr>
          <w:p w14:paraId="6B5020F8" w14:textId="77777777" w:rsidR="006C7CEA" w:rsidRPr="006C7CEA" w:rsidRDefault="006C7CEA" w:rsidP="00C86AA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Dohody celkem</w:t>
            </w:r>
          </w:p>
        </w:tc>
        <w:tc>
          <w:tcPr>
            <w:tcW w:w="1534" w:type="dxa"/>
            <w:vMerge w:val="restart"/>
            <w:shd w:val="clear" w:color="000000" w:fill="E5F1FF"/>
            <w:vAlign w:val="center"/>
            <w:hideMark/>
          </w:tcPr>
          <w:p w14:paraId="7C0DC4F9" w14:textId="2E2C52F5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Náklady na dohody (</w:t>
            </w:r>
            <w:r w:rsidR="00FD2007">
              <w:rPr>
                <w:rFonts w:eastAsia="Times New Roman"/>
                <w:b/>
                <w:bCs/>
                <w:sz w:val="20"/>
                <w:szCs w:val="20"/>
              </w:rPr>
              <w:t>v </w:t>
            </w: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Kč)</w:t>
            </w:r>
          </w:p>
        </w:tc>
      </w:tr>
      <w:tr w:rsidR="006C7CEA" w:rsidRPr="006C7CEA" w14:paraId="41BA0738" w14:textId="77777777" w:rsidTr="006C7CEA">
        <w:trPr>
          <w:trHeight w:val="255"/>
          <w:jc w:val="center"/>
        </w:trPr>
        <w:tc>
          <w:tcPr>
            <w:tcW w:w="695" w:type="dxa"/>
            <w:vMerge/>
            <w:vAlign w:val="center"/>
            <w:hideMark/>
          </w:tcPr>
          <w:p w14:paraId="402F2062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E5F1FF"/>
            <w:noWrap/>
            <w:vAlign w:val="center"/>
            <w:hideMark/>
          </w:tcPr>
          <w:p w14:paraId="6AFA308E" w14:textId="3D8BC01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Výuka</w:t>
            </w:r>
          </w:p>
        </w:tc>
        <w:tc>
          <w:tcPr>
            <w:tcW w:w="864" w:type="dxa"/>
            <w:shd w:val="clear" w:color="000000" w:fill="E5F1FF"/>
            <w:noWrap/>
            <w:vAlign w:val="center"/>
            <w:hideMark/>
          </w:tcPr>
          <w:p w14:paraId="1B25B970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815" w:type="dxa"/>
            <w:vMerge/>
            <w:vAlign w:val="center"/>
            <w:hideMark/>
          </w:tcPr>
          <w:p w14:paraId="1147CF4A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14:paraId="0AE7F5F2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000000" w:fill="E5F1FF"/>
            <w:noWrap/>
            <w:vAlign w:val="center"/>
            <w:hideMark/>
          </w:tcPr>
          <w:p w14:paraId="7FD2F0E5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Výuka</w:t>
            </w:r>
          </w:p>
        </w:tc>
        <w:tc>
          <w:tcPr>
            <w:tcW w:w="838" w:type="dxa"/>
            <w:shd w:val="clear" w:color="000000" w:fill="E5F1FF"/>
            <w:noWrap/>
            <w:vAlign w:val="center"/>
            <w:hideMark/>
          </w:tcPr>
          <w:p w14:paraId="5A7072EE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7CEA">
              <w:rPr>
                <w:rFonts w:eastAsia="Times New Roman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1117" w:type="dxa"/>
            <w:vMerge/>
            <w:vAlign w:val="center"/>
            <w:hideMark/>
          </w:tcPr>
          <w:p w14:paraId="26F60A7A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47FCA105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C7CEA" w:rsidRPr="006C7CEA" w14:paraId="75E679F0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8B3D759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659294E" w14:textId="1B85230B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592631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BF117D7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B2C77D0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1 391 974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3FD1ED5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094BB08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4D7D9BA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47C89AC6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1 586 875</w:t>
            </w:r>
          </w:p>
        </w:tc>
      </w:tr>
      <w:tr w:rsidR="006C7CEA" w:rsidRPr="006C7CEA" w14:paraId="7500649C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5E0EE7D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12A0674" w14:textId="17D8D65E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4467034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D4B2920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77566DF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2 360 815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DF86656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D7AA53E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522179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47F09E94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1 413 130</w:t>
            </w:r>
          </w:p>
        </w:tc>
      </w:tr>
      <w:tr w:rsidR="006C7CEA" w:rsidRPr="006C7CEA" w14:paraId="76D6C378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B20B480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0B967D8" w14:textId="6932BCEE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3D19F0A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CF06BF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0428521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4 146 862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2FA4896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6BF773D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A4E2358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32AECC0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862 344</w:t>
            </w:r>
          </w:p>
        </w:tc>
      </w:tr>
      <w:tr w:rsidR="006C7CEA" w:rsidRPr="006C7CEA" w14:paraId="6D28521E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815CE01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78CB622" w14:textId="03DD4A06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3411EB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4A01680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C8BF3D5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4 628 684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016093A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86C9730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8F0F138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3E62BE38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594 700</w:t>
            </w:r>
          </w:p>
        </w:tc>
      </w:tr>
      <w:tr w:rsidR="006C7CEA" w:rsidRPr="006C7CEA" w14:paraId="6B168A41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EE338B1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E02B871" w14:textId="1283E9D4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96A8E3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7DF5CB4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EF4351D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2 150 406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9A67D90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32BE9F5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6BB4462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793B180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392 917</w:t>
            </w:r>
          </w:p>
        </w:tc>
      </w:tr>
      <w:tr w:rsidR="006C7CEA" w:rsidRPr="006C7CEA" w14:paraId="6C3B3BDA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AC2D03B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EBB4192" w14:textId="56554BF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0CF6B95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05F228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CBD3298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5 034 833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14AD3F9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EB2E0BB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F6447A3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251D3306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354 772</w:t>
            </w:r>
          </w:p>
        </w:tc>
      </w:tr>
      <w:tr w:rsidR="006C7CEA" w:rsidRPr="006C7CEA" w14:paraId="4945FEF2" w14:textId="77777777" w:rsidTr="006C7CEA">
        <w:trPr>
          <w:trHeight w:val="255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7740FC2" w14:textId="77777777" w:rsidR="006C7CEA" w:rsidRPr="006C7CEA" w:rsidRDefault="006C7CEA" w:rsidP="00A277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A8D5F2A" w14:textId="18B2A6BB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88B85C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 68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4155CB1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291BFC8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5 299 053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C770817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D7E292E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BFEBDDA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16C61CA7" w14:textId="77777777" w:rsidR="006C7CEA" w:rsidRPr="006C7CEA" w:rsidRDefault="006C7CEA" w:rsidP="006C7CEA">
            <w:pPr>
              <w:spacing w:after="0" w:line="240" w:lineRule="auto"/>
              <w:ind w:left="0" w:right="5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6C7CEA">
              <w:rPr>
                <w:rFonts w:eastAsia="Times New Roman"/>
                <w:sz w:val="20"/>
                <w:szCs w:val="20"/>
              </w:rPr>
              <w:t>626 299</w:t>
            </w:r>
          </w:p>
        </w:tc>
      </w:tr>
    </w:tbl>
    <w:p w14:paraId="1D52604F" w14:textId="6C6089EA" w:rsidR="00B74809" w:rsidRDefault="00B74809" w:rsidP="008C1E44">
      <w:pPr>
        <w:spacing w:before="40" w:line="240" w:lineRule="auto"/>
        <w:ind w:left="0" w:right="0" w:firstLine="0"/>
      </w:pPr>
      <w:r w:rsidRPr="00F4423F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</w:t>
      </w:r>
      <w:r w:rsidR="00C86AAC">
        <w:rPr>
          <w:sz w:val="20"/>
          <w:szCs w:val="20"/>
        </w:rPr>
        <w:t>i</w:t>
      </w:r>
      <w:r>
        <w:rPr>
          <w:sz w:val="20"/>
          <w:szCs w:val="20"/>
        </w:rPr>
        <w:t>nformace z VPŠ a SPŠ v Holešově a</w:t>
      </w:r>
      <w:r w:rsidR="009260F1">
        <w:rPr>
          <w:sz w:val="20"/>
          <w:szCs w:val="20"/>
        </w:rPr>
        <w:t xml:space="preserve"> VPŠ a SPŠ</w:t>
      </w:r>
      <w:r>
        <w:rPr>
          <w:sz w:val="20"/>
          <w:szCs w:val="20"/>
        </w:rPr>
        <w:t xml:space="preserve"> v Praze.</w:t>
      </w:r>
    </w:p>
    <w:p w14:paraId="030172A6" w14:textId="42FFF143" w:rsidR="003F5AD5" w:rsidRPr="003F5AD5" w:rsidRDefault="00B74809" w:rsidP="008C1E44">
      <w:pPr>
        <w:shd w:val="clear" w:color="auto" w:fill="FFFFFF" w:themeFill="background1"/>
        <w:spacing w:line="240" w:lineRule="auto"/>
        <w:ind w:left="0" w:right="0" w:firstLine="0"/>
        <w:rPr>
          <w:bCs/>
        </w:rPr>
      </w:pPr>
      <w:r w:rsidRPr="0070496D">
        <w:rPr>
          <w:bCs/>
        </w:rPr>
        <w:t xml:space="preserve">V </w:t>
      </w:r>
      <w:r w:rsidR="00E30C81" w:rsidRPr="0070496D">
        <w:rPr>
          <w:bCs/>
        </w:rPr>
        <w:t>období</w:t>
      </w:r>
      <w:r w:rsidRPr="0070496D">
        <w:rPr>
          <w:bCs/>
        </w:rPr>
        <w:t xml:space="preserve"> </w:t>
      </w:r>
      <w:r w:rsidR="0070496D" w:rsidRPr="0070496D">
        <w:rPr>
          <w:bCs/>
        </w:rPr>
        <w:t xml:space="preserve">2012 až 2018 </w:t>
      </w:r>
      <w:r w:rsidRPr="0070496D">
        <w:rPr>
          <w:bCs/>
        </w:rPr>
        <w:t xml:space="preserve">se u VPŠ a SPŠ v Holešově </w:t>
      </w:r>
      <w:r w:rsidR="001409A3">
        <w:rPr>
          <w:bCs/>
        </w:rPr>
        <w:t xml:space="preserve">zhruba </w:t>
      </w:r>
      <w:r w:rsidR="000843B8" w:rsidRPr="0070496D">
        <w:rPr>
          <w:bCs/>
        </w:rPr>
        <w:t>zdvojnásobil</w:t>
      </w:r>
      <w:r w:rsidRPr="0070496D">
        <w:rPr>
          <w:bCs/>
        </w:rPr>
        <w:t xml:space="preserve"> počet</w:t>
      </w:r>
      <w:r w:rsidR="0070496D">
        <w:rPr>
          <w:bCs/>
        </w:rPr>
        <w:t xml:space="preserve"> </w:t>
      </w:r>
      <w:r w:rsidR="0070496D" w:rsidRPr="0070496D">
        <w:rPr>
          <w:bCs/>
        </w:rPr>
        <w:t>dohod o pracích konaných mimo pracovní pomě</w:t>
      </w:r>
      <w:r w:rsidR="0070496D">
        <w:rPr>
          <w:bCs/>
        </w:rPr>
        <w:t>r</w:t>
      </w:r>
      <w:r w:rsidRPr="0070496D">
        <w:rPr>
          <w:bCs/>
        </w:rPr>
        <w:t xml:space="preserve"> </w:t>
      </w:r>
      <w:r w:rsidR="000843B8" w:rsidRPr="0070496D">
        <w:rPr>
          <w:bCs/>
        </w:rPr>
        <w:t xml:space="preserve">a </w:t>
      </w:r>
      <w:r w:rsidR="0070496D" w:rsidRPr="0070496D">
        <w:rPr>
          <w:bCs/>
        </w:rPr>
        <w:t xml:space="preserve">současně </w:t>
      </w:r>
      <w:r w:rsidR="000843B8" w:rsidRPr="0070496D">
        <w:rPr>
          <w:bCs/>
        </w:rPr>
        <w:t xml:space="preserve">výdaje na </w:t>
      </w:r>
      <w:r w:rsidR="0070496D">
        <w:rPr>
          <w:bCs/>
        </w:rPr>
        <w:t xml:space="preserve">tyto dohody </w:t>
      </w:r>
      <w:r w:rsidR="001478A9">
        <w:rPr>
          <w:bCs/>
        </w:rPr>
        <w:t>vzrostly na přibližně čtyřnásobek.</w:t>
      </w:r>
      <w:r w:rsidR="003F5AD5">
        <w:rPr>
          <w:bCs/>
        </w:rPr>
        <w:t xml:space="preserve"> Zároveň vyplatily vybrané policejní školy v souvislosti s reorganizací provedenou v roce 2012 </w:t>
      </w:r>
      <w:r w:rsidR="003F5AD5">
        <w:t>na odstupném a zálohách</w:t>
      </w:r>
      <w:r w:rsidR="004A3558">
        <w:rPr>
          <w:rStyle w:val="Znakapoznpodarou"/>
        </w:rPr>
        <w:footnoteReference w:id="16"/>
      </w:r>
      <w:r w:rsidR="003F5AD5">
        <w:t xml:space="preserve"> příslušníkům PČR cca 10,5 mil. Kč, tj. </w:t>
      </w:r>
      <w:r w:rsidR="003F5AD5" w:rsidRPr="002D3E63">
        <w:t>7</w:t>
      </w:r>
      <w:r w:rsidR="003F5AD5">
        <w:t xml:space="preserve"> % z původně nastavené výše úspory pro uvedené školy. </w:t>
      </w:r>
    </w:p>
    <w:p w14:paraId="69980412" w14:textId="2C442152" w:rsidR="003F5AD5" w:rsidRPr="00FD2007" w:rsidRDefault="007A7CF8" w:rsidP="00E7556C">
      <w:pPr>
        <w:pStyle w:val="Nzevtabulka"/>
        <w:keepNext/>
        <w:numPr>
          <w:ilvl w:val="0"/>
          <w:numId w:val="0"/>
        </w:numPr>
        <w:tabs>
          <w:tab w:val="right" w:pos="9072"/>
        </w:tabs>
        <w:spacing w:after="40"/>
        <w:rPr>
          <w:szCs w:val="24"/>
        </w:rPr>
      </w:pPr>
      <w:r>
        <w:t xml:space="preserve">Tabulka č. 4: </w:t>
      </w:r>
      <w:r w:rsidR="003F5AD5" w:rsidRPr="003F5AD5">
        <w:t>Přehled výše odstupného a záloh vyplacených policejními školami</w:t>
      </w:r>
      <w:r w:rsidR="003F5AD5" w:rsidRPr="003F5AD5">
        <w:tab/>
      </w:r>
      <w:r w:rsidR="00A87938" w:rsidRPr="00097164">
        <w:rPr>
          <w:szCs w:val="24"/>
        </w:rPr>
        <w:t>(</w:t>
      </w:r>
      <w:r w:rsidR="003F5AD5" w:rsidRPr="00097164">
        <w:rPr>
          <w:szCs w:val="24"/>
        </w:rPr>
        <w:t>v Kč</w:t>
      </w:r>
      <w:r w:rsidR="00A87938" w:rsidRPr="00097164">
        <w:rPr>
          <w:szCs w:val="24"/>
        </w:rPr>
        <w:t>)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51"/>
        <w:gridCol w:w="2062"/>
        <w:gridCol w:w="2062"/>
        <w:gridCol w:w="2063"/>
      </w:tblGrid>
      <w:tr w:rsidR="003F5AD5" w:rsidRPr="00F34674" w14:paraId="44BD9E69" w14:textId="77777777" w:rsidTr="006C7CEA">
        <w:trPr>
          <w:trHeight w:val="25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7E12879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63DA4CB9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 xml:space="preserve">VPŠ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a SPŠ </w:t>
            </w: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 xml:space="preserve">v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Holešově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48BE39D6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 xml:space="preserve">VPŠ a SPŠ v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Praze</w:t>
            </w:r>
          </w:p>
        </w:tc>
      </w:tr>
      <w:tr w:rsidR="003F5AD5" w:rsidRPr="00F34674" w14:paraId="2CE00252" w14:textId="77777777" w:rsidTr="006C7CEA">
        <w:trPr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E98D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0876A409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 xml:space="preserve">Odstupné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4A7FB0A1" w14:textId="249682F3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>Zálohy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1FA7F5A5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 xml:space="preserve">Odstupné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098776AA" w14:textId="614439CB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674">
              <w:rPr>
                <w:rFonts w:eastAsia="Times New Roman"/>
                <w:b/>
                <w:bCs/>
                <w:sz w:val="20"/>
                <w:szCs w:val="20"/>
              </w:rPr>
              <w:t>Zálohy</w:t>
            </w:r>
          </w:p>
        </w:tc>
      </w:tr>
      <w:tr w:rsidR="003F5AD5" w:rsidRPr="00F34674" w14:paraId="065B8ECE" w14:textId="77777777" w:rsidTr="006C7CEA">
        <w:trPr>
          <w:trHeight w:val="25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DDC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71FF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3 432 307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A4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288 873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1C5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2 350 538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1B0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271 598</w:t>
            </w:r>
          </w:p>
        </w:tc>
      </w:tr>
      <w:tr w:rsidR="003F5AD5" w:rsidRPr="00F34674" w14:paraId="78168369" w14:textId="77777777" w:rsidTr="006C7CEA">
        <w:trPr>
          <w:trHeight w:val="25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B5A" w14:textId="77777777" w:rsidR="003F5AD5" w:rsidRPr="00F34674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0D1B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1 055 443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49A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802 633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5D9F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2 337 943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941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F3467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F5AD5" w:rsidRPr="00F34674" w14:paraId="5A949A09" w14:textId="77777777" w:rsidTr="006C7CEA">
        <w:trPr>
          <w:trHeight w:val="2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5CA4" w14:textId="77777777" w:rsidR="003F5AD5" w:rsidRPr="003F5AD5" w:rsidRDefault="003F5AD5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5AD5">
              <w:rPr>
                <w:rFonts w:eastAsia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BF0A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4 487 750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DD10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1 091 506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A75F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4 688 481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CB64" w14:textId="77777777" w:rsidR="003F5AD5" w:rsidRPr="00F34674" w:rsidRDefault="003F5AD5" w:rsidP="00E7556C">
            <w:pPr>
              <w:keepNext/>
              <w:spacing w:after="0" w:line="240" w:lineRule="auto"/>
              <w:ind w:left="0" w:right="127" w:firstLine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271 598</w:t>
            </w:r>
          </w:p>
        </w:tc>
      </w:tr>
    </w:tbl>
    <w:p w14:paraId="11E63BE4" w14:textId="4E97D755" w:rsidR="003F5AD5" w:rsidRDefault="003F5AD5" w:rsidP="008C1E44">
      <w:pPr>
        <w:shd w:val="clear" w:color="auto" w:fill="FFFFFF" w:themeFill="background1"/>
        <w:spacing w:before="40" w:line="240" w:lineRule="auto"/>
        <w:ind w:left="0" w:right="0" w:firstLine="0"/>
        <w:rPr>
          <w:bCs/>
          <w:sz w:val="20"/>
          <w:szCs w:val="20"/>
        </w:rPr>
      </w:pPr>
      <w:r w:rsidRPr="00DE21F1">
        <w:rPr>
          <w:b/>
          <w:bCs/>
          <w:sz w:val="20"/>
          <w:szCs w:val="20"/>
        </w:rPr>
        <w:t>Zdroj:</w:t>
      </w:r>
      <w:r w:rsidRPr="003759CA">
        <w:rPr>
          <w:bCs/>
          <w:sz w:val="20"/>
          <w:szCs w:val="20"/>
        </w:rPr>
        <w:t xml:space="preserve"> </w:t>
      </w:r>
      <w:r w:rsidR="0001465F">
        <w:rPr>
          <w:bCs/>
          <w:sz w:val="20"/>
          <w:szCs w:val="20"/>
        </w:rPr>
        <w:t>i</w:t>
      </w:r>
      <w:r w:rsidRPr="003759CA">
        <w:rPr>
          <w:bCs/>
          <w:sz w:val="20"/>
          <w:szCs w:val="20"/>
        </w:rPr>
        <w:t>nformace VPŠ a SPŠ v Holešově a VPŠ a SPŠ v Praze.</w:t>
      </w:r>
    </w:p>
    <w:p w14:paraId="1F9BCAD8" w14:textId="0D4AF2E0" w:rsidR="00180875" w:rsidRPr="00F36DEB" w:rsidRDefault="00F36DEB" w:rsidP="008C1E44">
      <w:pPr>
        <w:keepNext/>
        <w:spacing w:before="240" w:line="240" w:lineRule="auto"/>
        <w:ind w:left="0" w:right="0" w:firstLine="0"/>
        <w:rPr>
          <w:b/>
        </w:rPr>
      </w:pPr>
      <w:r>
        <w:rPr>
          <w:b/>
        </w:rPr>
        <w:t xml:space="preserve">2. </w:t>
      </w:r>
      <w:r w:rsidR="00180875" w:rsidRPr="00F36DEB">
        <w:rPr>
          <w:b/>
        </w:rPr>
        <w:t xml:space="preserve">MV nesleduje efektivnost </w:t>
      </w:r>
      <w:r w:rsidR="009260F1" w:rsidRPr="00F36DEB">
        <w:rPr>
          <w:b/>
        </w:rPr>
        <w:t xml:space="preserve">nákladů </w:t>
      </w:r>
      <w:r w:rsidR="00180875" w:rsidRPr="00F36DEB">
        <w:rPr>
          <w:b/>
        </w:rPr>
        <w:t>policejního vzdělávání</w:t>
      </w:r>
    </w:p>
    <w:p w14:paraId="30B51EA8" w14:textId="322CC580" w:rsidR="00F508D9" w:rsidRDefault="00180875" w:rsidP="008C1E44">
      <w:pPr>
        <w:pStyle w:val="Odstavecseseznamem"/>
        <w:spacing w:line="240" w:lineRule="auto"/>
        <w:ind w:left="0" w:right="0" w:firstLine="0"/>
        <w:contextualSpacing w:val="0"/>
      </w:pPr>
      <w:r>
        <w:t>MV nevyhodnotilo</w:t>
      </w:r>
      <w:r w:rsidR="00547E06">
        <w:t xml:space="preserve"> </w:t>
      </w:r>
      <w:r w:rsidR="00162A92">
        <w:t>dopad</w:t>
      </w:r>
      <w:r w:rsidR="00287DEA">
        <w:t>y</w:t>
      </w:r>
      <w:r>
        <w:t xml:space="preserve"> reorganizac</w:t>
      </w:r>
      <w:r w:rsidR="000A594B">
        <w:t>í</w:t>
      </w:r>
      <w:r>
        <w:t xml:space="preserve"> policejní</w:t>
      </w:r>
      <w:r w:rsidR="009260F1">
        <w:t>ch škol</w:t>
      </w:r>
      <w:r w:rsidR="00146355">
        <w:t xml:space="preserve"> </w:t>
      </w:r>
      <w:r w:rsidR="001A0154">
        <w:t xml:space="preserve">ani </w:t>
      </w:r>
      <w:r w:rsidR="00146355">
        <w:t xml:space="preserve">z pohledu </w:t>
      </w:r>
      <w:r>
        <w:t>zkvalitnění přípravy policistů</w:t>
      </w:r>
      <w:r w:rsidR="00CD7AD3">
        <w:t>,</w:t>
      </w:r>
      <w:r w:rsidR="00151250">
        <w:t xml:space="preserve"> </w:t>
      </w:r>
      <w:r w:rsidR="00C61B13">
        <w:t>ani</w:t>
      </w:r>
      <w:r w:rsidR="00F42F96">
        <w:t xml:space="preserve"> </w:t>
      </w:r>
      <w:r w:rsidR="00151250">
        <w:t xml:space="preserve">z pohledu </w:t>
      </w:r>
      <w:r>
        <w:t>efektivnost</w:t>
      </w:r>
      <w:r w:rsidR="00151250">
        <w:t>i</w:t>
      </w:r>
      <w:r>
        <w:t xml:space="preserve"> </w:t>
      </w:r>
      <w:r w:rsidR="003034F0">
        <w:t>peněžních prostředků vynaložených na policejní</w:t>
      </w:r>
      <w:r>
        <w:t xml:space="preserve"> vzdělávání jak pro střední </w:t>
      </w:r>
      <w:r w:rsidR="009260F1">
        <w:t>a vyšší</w:t>
      </w:r>
      <w:r w:rsidR="00436767">
        <w:t xml:space="preserve"> odborné</w:t>
      </w:r>
      <w:r w:rsidR="009260F1">
        <w:t xml:space="preserve"> </w:t>
      </w:r>
      <w:r>
        <w:t xml:space="preserve">vzdělávání, tak </w:t>
      </w:r>
      <w:r w:rsidR="00913C1E">
        <w:t xml:space="preserve">pro </w:t>
      </w:r>
      <w:r>
        <w:t xml:space="preserve">ZOP. </w:t>
      </w:r>
    </w:p>
    <w:p w14:paraId="737E9FEE" w14:textId="0BC8590B" w:rsidR="001542C0" w:rsidRDefault="00180875" w:rsidP="008C1E44">
      <w:pPr>
        <w:spacing w:line="240" w:lineRule="auto"/>
        <w:ind w:left="0" w:right="0" w:firstLine="0"/>
      </w:pPr>
      <w:r>
        <w:t>MV nedispon</w:t>
      </w:r>
      <w:r w:rsidR="00151250">
        <w:t>ovalo</w:t>
      </w:r>
      <w:r>
        <w:t xml:space="preserve"> údaji o skutečných nákladech </w:t>
      </w:r>
      <w:r w:rsidR="00C61B13">
        <w:t xml:space="preserve">např. </w:t>
      </w:r>
      <w:r>
        <w:t>na jednoho stud</w:t>
      </w:r>
      <w:r w:rsidR="00146355">
        <w:t>ujícího</w:t>
      </w:r>
      <w:r w:rsidR="00103539">
        <w:t xml:space="preserve"> tak, aby mohlo vyhodnotit dosažení </w:t>
      </w:r>
      <w:r w:rsidR="00912128">
        <w:t>cílů</w:t>
      </w:r>
      <w:r w:rsidR="00103539">
        <w:t xml:space="preserve"> reorganizace policejních škol</w:t>
      </w:r>
      <w:r>
        <w:t>. Důvodem je</w:t>
      </w:r>
      <w:r w:rsidR="009260F1">
        <w:t xml:space="preserve"> i to</w:t>
      </w:r>
      <w:r>
        <w:t xml:space="preserve">, že MV nechává část nákladů souvisejících se zajištěním ZOP i nadále hradit </w:t>
      </w:r>
      <w:r w:rsidR="000A2C71">
        <w:t xml:space="preserve">vybrané </w:t>
      </w:r>
      <w:r w:rsidR="002C4997">
        <w:t>policejní školy. A </w:t>
      </w:r>
      <w:r>
        <w:t xml:space="preserve">to i přesto, že od roku 2015 je ZOP prováděna ÚPVSP. </w:t>
      </w:r>
    </w:p>
    <w:p w14:paraId="45B7E9D6" w14:textId="7AA18F5F" w:rsidR="000A2C71" w:rsidRDefault="00F4423F" w:rsidP="008C1E44">
      <w:pPr>
        <w:spacing w:line="240" w:lineRule="auto"/>
        <w:ind w:left="0" w:right="0" w:firstLine="0"/>
      </w:pPr>
      <w:r>
        <w:t>Vybrané p</w:t>
      </w:r>
      <w:r w:rsidR="001542C0">
        <w:t>olicejní školy</w:t>
      </w:r>
      <w:r w:rsidR="009D4694">
        <w:t xml:space="preserve"> </w:t>
      </w:r>
      <w:r w:rsidR="001542C0">
        <w:t>nesledovaly odděleně náklady vynaložené na</w:t>
      </w:r>
      <w:r w:rsidR="00CD7AD3">
        <w:t xml:space="preserve"> </w:t>
      </w:r>
      <w:r w:rsidR="001542C0">
        <w:t>jednotlivé typy vzdělávání</w:t>
      </w:r>
      <w:r w:rsidR="00163E0B">
        <w:t xml:space="preserve"> na jednoho žáka/studenta/studujícího tak, aby mohly </w:t>
      </w:r>
      <w:r w:rsidR="00697C16">
        <w:t>vyhodnocovat</w:t>
      </w:r>
      <w:r w:rsidR="00163E0B">
        <w:t xml:space="preserve"> </w:t>
      </w:r>
      <w:r w:rsidR="00697C16">
        <w:t xml:space="preserve">jejich </w:t>
      </w:r>
      <w:r w:rsidR="00163E0B">
        <w:t>efektivnost</w:t>
      </w:r>
      <w:r w:rsidR="001542C0">
        <w:t xml:space="preserve">. </w:t>
      </w:r>
      <w:r w:rsidR="00163E0B">
        <w:t xml:space="preserve">Potřebné údaje pro vyhodnocení efektivnosti </w:t>
      </w:r>
      <w:r w:rsidR="009260F1">
        <w:t>NKÚ získal na základě</w:t>
      </w:r>
      <w:r w:rsidR="001542C0">
        <w:t xml:space="preserve"> kalkulací a</w:t>
      </w:r>
      <w:r w:rsidR="000136B6">
        <w:t> </w:t>
      </w:r>
      <w:r w:rsidR="001542C0">
        <w:t xml:space="preserve">odborného odhadu </w:t>
      </w:r>
      <w:r w:rsidR="009D4694">
        <w:t>policejních škol</w:t>
      </w:r>
      <w:r w:rsidR="001542C0">
        <w:t xml:space="preserve">. </w:t>
      </w:r>
      <w:r w:rsidR="00C61B13">
        <w:t xml:space="preserve">Dle zjištění NKÚ se </w:t>
      </w:r>
      <w:r w:rsidR="00912128">
        <w:t xml:space="preserve">odhad </w:t>
      </w:r>
      <w:r w:rsidR="00C61B13" w:rsidRPr="00E71DD2">
        <w:t>náklad</w:t>
      </w:r>
      <w:r w:rsidR="00912128">
        <w:t>ů</w:t>
      </w:r>
      <w:r w:rsidR="00C61B13" w:rsidRPr="00E71DD2">
        <w:t xml:space="preserve"> </w:t>
      </w:r>
      <w:r w:rsidR="00C61B13">
        <w:t>na jednotlivé typy</w:t>
      </w:r>
      <w:r w:rsidR="00C61B13" w:rsidRPr="00E71DD2">
        <w:t xml:space="preserve"> vzdělávání </w:t>
      </w:r>
      <w:r w:rsidR="00C61B13">
        <w:t>v</w:t>
      </w:r>
      <w:r w:rsidR="00E62437">
        <w:t> </w:t>
      </w:r>
      <w:r w:rsidR="00C61B13" w:rsidRPr="00E71DD2">
        <w:t>po</w:t>
      </w:r>
      <w:r w:rsidR="00C61B13">
        <w:t>licejních školách významně liší</w:t>
      </w:r>
      <w:r w:rsidR="00912128">
        <w:t xml:space="preserve"> (tabulka č. </w:t>
      </w:r>
      <w:r w:rsidR="003034F0">
        <w:t>5</w:t>
      </w:r>
      <w:r w:rsidR="00912128">
        <w:t>)</w:t>
      </w:r>
      <w:r w:rsidR="00C61B13">
        <w:t>.</w:t>
      </w:r>
    </w:p>
    <w:p w14:paraId="7E1BDD72" w14:textId="1129DCEF" w:rsidR="000A2C71" w:rsidRPr="000136B6" w:rsidRDefault="00F36DEB" w:rsidP="008C1E44">
      <w:pPr>
        <w:pStyle w:val="Nzevtabulka"/>
        <w:numPr>
          <w:ilvl w:val="0"/>
          <w:numId w:val="0"/>
        </w:numPr>
        <w:tabs>
          <w:tab w:val="right" w:pos="9072"/>
        </w:tabs>
        <w:spacing w:after="40"/>
        <w:ind w:left="1276" w:hanging="1276"/>
        <w:jc w:val="left"/>
        <w:rPr>
          <w:szCs w:val="24"/>
        </w:rPr>
      </w:pPr>
      <w:r>
        <w:t>Tabulka č. 5:</w:t>
      </w:r>
      <w:r>
        <w:tab/>
      </w:r>
      <w:r w:rsidR="00FF7B13">
        <w:t xml:space="preserve">Odhad </w:t>
      </w:r>
      <w:r w:rsidR="000A2C71">
        <w:t>nákladů vynaložených</w:t>
      </w:r>
      <w:r w:rsidR="00FF7B13">
        <w:t xml:space="preserve"> na jednoho žáka/studenta/studujícího</w:t>
      </w:r>
      <w:r w:rsidR="000A2C71">
        <w:t xml:space="preserve"> </w:t>
      </w:r>
      <w:r w:rsidR="00FF7B13">
        <w:t>u</w:t>
      </w:r>
      <w:r w:rsidR="00E62437">
        <w:t> </w:t>
      </w:r>
      <w:r w:rsidR="000A2C71">
        <w:t>jednotliv</w:t>
      </w:r>
      <w:r w:rsidR="00FF7B13">
        <w:t>ých</w:t>
      </w:r>
      <w:r w:rsidR="000A2C71">
        <w:t xml:space="preserve"> typ</w:t>
      </w:r>
      <w:r w:rsidR="00FF7B13">
        <w:t>ů</w:t>
      </w:r>
      <w:r w:rsidR="000A2C71">
        <w:t xml:space="preserve"> vzdělávání</w:t>
      </w:r>
      <w:r w:rsidR="001C5F96">
        <w:tab/>
      </w:r>
      <w:r w:rsidR="00E62437" w:rsidRPr="00097164">
        <w:rPr>
          <w:szCs w:val="24"/>
        </w:rPr>
        <w:t>(</w:t>
      </w:r>
      <w:r w:rsidR="000A2C71" w:rsidRPr="00097164">
        <w:rPr>
          <w:szCs w:val="24"/>
        </w:rPr>
        <w:t>v Kč</w:t>
      </w:r>
      <w:r w:rsidR="00E62437" w:rsidRPr="00097164">
        <w:rPr>
          <w:szCs w:val="24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872"/>
        <w:gridCol w:w="1806"/>
        <w:gridCol w:w="1807"/>
        <w:gridCol w:w="1806"/>
        <w:gridCol w:w="1807"/>
      </w:tblGrid>
      <w:tr w:rsidR="000A2C71" w:rsidRPr="00F36DEB" w14:paraId="24C7C6C0" w14:textId="77777777" w:rsidTr="00F36DEB">
        <w:trPr>
          <w:trHeight w:val="255"/>
          <w:jc w:val="center"/>
        </w:trPr>
        <w:tc>
          <w:tcPr>
            <w:tcW w:w="1848" w:type="dxa"/>
            <w:gridSpan w:val="2"/>
            <w:shd w:val="clear" w:color="auto" w:fill="E5F1FF"/>
          </w:tcPr>
          <w:p w14:paraId="0E0B63A4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b/>
                <w:sz w:val="20"/>
              </w:rPr>
            </w:pPr>
          </w:p>
        </w:tc>
        <w:tc>
          <w:tcPr>
            <w:tcW w:w="1841" w:type="dxa"/>
            <w:shd w:val="clear" w:color="auto" w:fill="E5F1FF"/>
          </w:tcPr>
          <w:p w14:paraId="65FA3C8E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  <w:r w:rsidRPr="00F36DEB">
              <w:rPr>
                <w:b/>
                <w:sz w:val="20"/>
              </w:rPr>
              <w:t>2015</w:t>
            </w:r>
          </w:p>
        </w:tc>
        <w:tc>
          <w:tcPr>
            <w:tcW w:w="1842" w:type="dxa"/>
            <w:shd w:val="clear" w:color="auto" w:fill="E5F1FF"/>
          </w:tcPr>
          <w:p w14:paraId="4BF1F358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  <w:r w:rsidRPr="00F36DEB">
              <w:rPr>
                <w:b/>
                <w:sz w:val="20"/>
              </w:rPr>
              <w:t>2016</w:t>
            </w:r>
          </w:p>
        </w:tc>
        <w:tc>
          <w:tcPr>
            <w:tcW w:w="1841" w:type="dxa"/>
            <w:shd w:val="clear" w:color="auto" w:fill="E5F1FF"/>
          </w:tcPr>
          <w:p w14:paraId="1C11560E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  <w:r w:rsidRPr="00F36DEB">
              <w:rPr>
                <w:b/>
                <w:sz w:val="20"/>
              </w:rPr>
              <w:t>2017</w:t>
            </w:r>
          </w:p>
        </w:tc>
        <w:tc>
          <w:tcPr>
            <w:tcW w:w="1842" w:type="dxa"/>
            <w:shd w:val="clear" w:color="auto" w:fill="E5F1FF"/>
          </w:tcPr>
          <w:p w14:paraId="601F1DD1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  <w:r w:rsidRPr="00F36DEB">
              <w:rPr>
                <w:b/>
                <w:sz w:val="20"/>
              </w:rPr>
              <w:t>2018</w:t>
            </w:r>
          </w:p>
        </w:tc>
      </w:tr>
      <w:tr w:rsidR="000A2C71" w:rsidRPr="00F36DEB" w14:paraId="23CC9B08" w14:textId="77777777" w:rsidTr="00F36DEB">
        <w:trPr>
          <w:trHeight w:val="255"/>
          <w:jc w:val="center"/>
        </w:trPr>
        <w:tc>
          <w:tcPr>
            <w:tcW w:w="976" w:type="dxa"/>
            <w:vMerge w:val="restart"/>
            <w:vAlign w:val="center"/>
          </w:tcPr>
          <w:p w14:paraId="1F2075D7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F36DEB">
              <w:rPr>
                <w:sz w:val="20"/>
              </w:rPr>
              <w:t>SPŠ</w:t>
            </w:r>
          </w:p>
        </w:tc>
        <w:tc>
          <w:tcPr>
            <w:tcW w:w="872" w:type="dxa"/>
          </w:tcPr>
          <w:p w14:paraId="3B557486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Holešov</w:t>
            </w:r>
          </w:p>
        </w:tc>
        <w:tc>
          <w:tcPr>
            <w:tcW w:w="1841" w:type="dxa"/>
            <w:vAlign w:val="center"/>
          </w:tcPr>
          <w:p w14:paraId="58641417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263A747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147 727</w:t>
            </w:r>
          </w:p>
        </w:tc>
        <w:tc>
          <w:tcPr>
            <w:tcW w:w="1841" w:type="dxa"/>
            <w:vAlign w:val="center"/>
          </w:tcPr>
          <w:p w14:paraId="1414F802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161 122</w:t>
            </w:r>
          </w:p>
        </w:tc>
        <w:tc>
          <w:tcPr>
            <w:tcW w:w="1842" w:type="dxa"/>
            <w:vAlign w:val="center"/>
          </w:tcPr>
          <w:p w14:paraId="037B1476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169 495</w:t>
            </w:r>
          </w:p>
        </w:tc>
      </w:tr>
      <w:tr w:rsidR="000A2C71" w:rsidRPr="00F36DEB" w14:paraId="7C1489D7" w14:textId="77777777" w:rsidTr="00F36DEB">
        <w:trPr>
          <w:trHeight w:val="255"/>
          <w:jc w:val="center"/>
        </w:trPr>
        <w:tc>
          <w:tcPr>
            <w:tcW w:w="976" w:type="dxa"/>
            <w:vMerge/>
          </w:tcPr>
          <w:p w14:paraId="7B64432A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872" w:type="dxa"/>
          </w:tcPr>
          <w:p w14:paraId="5071AA7A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Praha</w:t>
            </w:r>
          </w:p>
        </w:tc>
        <w:tc>
          <w:tcPr>
            <w:tcW w:w="1841" w:type="dxa"/>
            <w:vAlign w:val="center"/>
          </w:tcPr>
          <w:p w14:paraId="33A5ECDA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F7C3B90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376 664</w:t>
            </w:r>
          </w:p>
        </w:tc>
        <w:tc>
          <w:tcPr>
            <w:tcW w:w="1841" w:type="dxa"/>
            <w:vAlign w:val="center"/>
          </w:tcPr>
          <w:p w14:paraId="5C05F161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405 909</w:t>
            </w:r>
          </w:p>
        </w:tc>
        <w:tc>
          <w:tcPr>
            <w:tcW w:w="1842" w:type="dxa"/>
            <w:vAlign w:val="center"/>
          </w:tcPr>
          <w:p w14:paraId="6B0A0FFF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282 605</w:t>
            </w:r>
          </w:p>
        </w:tc>
      </w:tr>
      <w:tr w:rsidR="000A2C71" w:rsidRPr="00F36DEB" w14:paraId="4CAE33F3" w14:textId="77777777" w:rsidTr="00F36DEB">
        <w:trPr>
          <w:trHeight w:val="255"/>
          <w:jc w:val="center"/>
        </w:trPr>
        <w:tc>
          <w:tcPr>
            <w:tcW w:w="976" w:type="dxa"/>
            <w:vMerge w:val="restart"/>
            <w:vAlign w:val="center"/>
          </w:tcPr>
          <w:p w14:paraId="3AF90600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F36DEB">
              <w:rPr>
                <w:sz w:val="20"/>
              </w:rPr>
              <w:t>VPŠ</w:t>
            </w:r>
          </w:p>
        </w:tc>
        <w:tc>
          <w:tcPr>
            <w:tcW w:w="872" w:type="dxa"/>
          </w:tcPr>
          <w:p w14:paraId="7E680271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Holešov</w:t>
            </w:r>
          </w:p>
        </w:tc>
        <w:tc>
          <w:tcPr>
            <w:tcW w:w="1841" w:type="dxa"/>
            <w:vAlign w:val="center"/>
          </w:tcPr>
          <w:p w14:paraId="77329E16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BE7A7B4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106 288</w:t>
            </w:r>
          </w:p>
        </w:tc>
        <w:tc>
          <w:tcPr>
            <w:tcW w:w="1841" w:type="dxa"/>
            <w:vAlign w:val="center"/>
          </w:tcPr>
          <w:p w14:paraId="31198C05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117 700</w:t>
            </w:r>
          </w:p>
        </w:tc>
        <w:tc>
          <w:tcPr>
            <w:tcW w:w="1842" w:type="dxa"/>
            <w:vAlign w:val="center"/>
          </w:tcPr>
          <w:p w14:paraId="3C1D5763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124 160</w:t>
            </w:r>
          </w:p>
        </w:tc>
      </w:tr>
      <w:tr w:rsidR="000A2C71" w:rsidRPr="00F36DEB" w14:paraId="64A4DCC1" w14:textId="77777777" w:rsidTr="00F36DEB">
        <w:trPr>
          <w:trHeight w:val="255"/>
          <w:jc w:val="center"/>
        </w:trPr>
        <w:tc>
          <w:tcPr>
            <w:tcW w:w="976" w:type="dxa"/>
            <w:vMerge/>
          </w:tcPr>
          <w:p w14:paraId="520BD9F4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872" w:type="dxa"/>
          </w:tcPr>
          <w:p w14:paraId="2BB535F7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Praha</w:t>
            </w:r>
          </w:p>
        </w:tc>
        <w:tc>
          <w:tcPr>
            <w:tcW w:w="1841" w:type="dxa"/>
            <w:vAlign w:val="center"/>
          </w:tcPr>
          <w:p w14:paraId="61E413C7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5D7AB56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97 187</w:t>
            </w:r>
          </w:p>
        </w:tc>
        <w:tc>
          <w:tcPr>
            <w:tcW w:w="1841" w:type="dxa"/>
            <w:vAlign w:val="center"/>
          </w:tcPr>
          <w:p w14:paraId="3DD4C740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95 574</w:t>
            </w:r>
          </w:p>
        </w:tc>
        <w:tc>
          <w:tcPr>
            <w:tcW w:w="1842" w:type="dxa"/>
            <w:vAlign w:val="center"/>
          </w:tcPr>
          <w:p w14:paraId="26ECC741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137 498</w:t>
            </w:r>
          </w:p>
        </w:tc>
      </w:tr>
      <w:tr w:rsidR="000A2C71" w:rsidRPr="00F36DEB" w14:paraId="02B136C5" w14:textId="77777777" w:rsidTr="00F36DEB">
        <w:trPr>
          <w:trHeight w:val="255"/>
          <w:jc w:val="center"/>
        </w:trPr>
        <w:tc>
          <w:tcPr>
            <w:tcW w:w="976" w:type="dxa"/>
            <w:vMerge w:val="restart"/>
            <w:vAlign w:val="center"/>
          </w:tcPr>
          <w:p w14:paraId="23B5D7A5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F36DEB">
              <w:rPr>
                <w:sz w:val="20"/>
              </w:rPr>
              <w:t>ZOP</w:t>
            </w:r>
          </w:p>
        </w:tc>
        <w:tc>
          <w:tcPr>
            <w:tcW w:w="872" w:type="dxa"/>
          </w:tcPr>
          <w:p w14:paraId="121E8E44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Holešov</w:t>
            </w:r>
          </w:p>
        </w:tc>
        <w:tc>
          <w:tcPr>
            <w:tcW w:w="1841" w:type="dxa"/>
            <w:vAlign w:val="center"/>
          </w:tcPr>
          <w:p w14:paraId="39447875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320 403</w:t>
            </w:r>
          </w:p>
        </w:tc>
        <w:tc>
          <w:tcPr>
            <w:tcW w:w="1842" w:type="dxa"/>
            <w:vAlign w:val="center"/>
          </w:tcPr>
          <w:p w14:paraId="12CDEB5C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1" w:type="dxa"/>
            <w:vAlign w:val="center"/>
          </w:tcPr>
          <w:p w14:paraId="00CAED83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40659D7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</w:tr>
      <w:tr w:rsidR="000A2C71" w:rsidRPr="00F36DEB" w14:paraId="3E01F13D" w14:textId="77777777" w:rsidTr="00F36DEB">
        <w:trPr>
          <w:trHeight w:val="255"/>
          <w:jc w:val="center"/>
        </w:trPr>
        <w:tc>
          <w:tcPr>
            <w:tcW w:w="976" w:type="dxa"/>
            <w:vMerge/>
            <w:vAlign w:val="center"/>
          </w:tcPr>
          <w:p w14:paraId="638EE23D" w14:textId="77777777" w:rsidR="000A2C71" w:rsidRPr="00F36DEB" w:rsidRDefault="000A2C71" w:rsidP="00F36DE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2" w:type="dxa"/>
          </w:tcPr>
          <w:p w14:paraId="7B8A2157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Brno*</w:t>
            </w:r>
          </w:p>
        </w:tc>
        <w:tc>
          <w:tcPr>
            <w:tcW w:w="1841" w:type="dxa"/>
            <w:vAlign w:val="center"/>
          </w:tcPr>
          <w:p w14:paraId="7D2E0A8D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329 936</w:t>
            </w:r>
          </w:p>
        </w:tc>
        <w:tc>
          <w:tcPr>
            <w:tcW w:w="1842" w:type="dxa"/>
            <w:vAlign w:val="center"/>
          </w:tcPr>
          <w:p w14:paraId="6A57BE7A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1" w:type="dxa"/>
            <w:vAlign w:val="center"/>
          </w:tcPr>
          <w:p w14:paraId="433346E1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133098C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</w:tr>
      <w:tr w:rsidR="000A2C71" w:rsidRPr="00F36DEB" w14:paraId="4C1D7AEE" w14:textId="77777777" w:rsidTr="00F36DEB">
        <w:trPr>
          <w:trHeight w:val="255"/>
          <w:jc w:val="center"/>
        </w:trPr>
        <w:tc>
          <w:tcPr>
            <w:tcW w:w="976" w:type="dxa"/>
            <w:vMerge/>
          </w:tcPr>
          <w:p w14:paraId="6B907F88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872" w:type="dxa"/>
          </w:tcPr>
          <w:p w14:paraId="21798476" w14:textId="77777777" w:rsidR="000A2C71" w:rsidRPr="00F36DEB" w:rsidRDefault="000A2C71" w:rsidP="00F36DEB">
            <w:pPr>
              <w:spacing w:after="0" w:line="240" w:lineRule="auto"/>
              <w:ind w:left="0" w:firstLine="0"/>
              <w:rPr>
                <w:sz w:val="20"/>
              </w:rPr>
            </w:pPr>
            <w:r w:rsidRPr="00F36DEB">
              <w:rPr>
                <w:sz w:val="20"/>
              </w:rPr>
              <w:t>Praha</w:t>
            </w:r>
          </w:p>
        </w:tc>
        <w:tc>
          <w:tcPr>
            <w:tcW w:w="1841" w:type="dxa"/>
            <w:vAlign w:val="center"/>
          </w:tcPr>
          <w:p w14:paraId="4DDB66AD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247 186</w:t>
            </w:r>
          </w:p>
        </w:tc>
        <w:tc>
          <w:tcPr>
            <w:tcW w:w="1842" w:type="dxa"/>
            <w:vAlign w:val="center"/>
          </w:tcPr>
          <w:p w14:paraId="74FEE372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1" w:type="dxa"/>
            <w:vAlign w:val="center"/>
          </w:tcPr>
          <w:p w14:paraId="71687C21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06EF799" w14:textId="77777777" w:rsidR="000A2C71" w:rsidRPr="00F36DEB" w:rsidRDefault="000A2C71" w:rsidP="00F36DEB">
            <w:pPr>
              <w:spacing w:after="0" w:line="240" w:lineRule="auto"/>
              <w:ind w:left="0" w:right="144" w:firstLine="0"/>
              <w:jc w:val="right"/>
              <w:rPr>
                <w:sz w:val="20"/>
              </w:rPr>
            </w:pPr>
            <w:r w:rsidRPr="00F36DEB">
              <w:rPr>
                <w:sz w:val="20"/>
              </w:rPr>
              <w:t>-</w:t>
            </w:r>
          </w:p>
        </w:tc>
      </w:tr>
    </w:tbl>
    <w:p w14:paraId="2201C7D7" w14:textId="2306217B" w:rsidR="000A2C71" w:rsidRDefault="000A2C71" w:rsidP="008C1E44">
      <w:pPr>
        <w:spacing w:before="40" w:after="0" w:line="240" w:lineRule="auto"/>
        <w:ind w:left="0" w:righ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Zdroj: </w:t>
      </w:r>
      <w:r w:rsidR="00D31559">
        <w:rPr>
          <w:sz w:val="20"/>
          <w:szCs w:val="20"/>
        </w:rPr>
        <w:t>i</w:t>
      </w:r>
      <w:r>
        <w:rPr>
          <w:sz w:val="20"/>
          <w:szCs w:val="20"/>
        </w:rPr>
        <w:t xml:space="preserve">nformace z VPŠ a SPŠ v Holešově a </w:t>
      </w:r>
      <w:r w:rsidR="00960D71">
        <w:rPr>
          <w:sz w:val="20"/>
          <w:szCs w:val="20"/>
        </w:rPr>
        <w:t xml:space="preserve">VPŠ a SPŠ </w:t>
      </w:r>
      <w:r>
        <w:rPr>
          <w:sz w:val="20"/>
          <w:szCs w:val="20"/>
        </w:rPr>
        <w:t>v Praze.</w:t>
      </w:r>
    </w:p>
    <w:p w14:paraId="2889EFAA" w14:textId="0EECB77E" w:rsidR="000A2C71" w:rsidRDefault="000A2C71" w:rsidP="008C1E44">
      <w:pPr>
        <w:spacing w:line="240" w:lineRule="auto"/>
        <w:ind w:left="0" w:right="0" w:firstLine="0"/>
      </w:pPr>
      <w:r w:rsidRPr="0003329E">
        <w:rPr>
          <w:b/>
          <w:sz w:val="20"/>
          <w:szCs w:val="20"/>
        </w:rPr>
        <w:t>Pozn.:</w:t>
      </w:r>
      <w:r>
        <w:rPr>
          <w:sz w:val="20"/>
          <w:szCs w:val="20"/>
        </w:rPr>
        <w:t xml:space="preserve"> *</w:t>
      </w:r>
      <w:r w:rsidR="002C5B51">
        <w:rPr>
          <w:sz w:val="20"/>
          <w:szCs w:val="20"/>
        </w:rPr>
        <w:t xml:space="preserve"> </w:t>
      </w:r>
      <w:r w:rsidR="00883960">
        <w:rPr>
          <w:sz w:val="20"/>
          <w:szCs w:val="20"/>
        </w:rPr>
        <w:t>N</w:t>
      </w:r>
      <w:r>
        <w:rPr>
          <w:sz w:val="20"/>
          <w:szCs w:val="20"/>
        </w:rPr>
        <w:t>áklady vynaložené na základní odbornou přípravu u VPŠ a SPŠ v Holešově – pracoviště Brno.</w:t>
      </w:r>
    </w:p>
    <w:p w14:paraId="66EF304E" w14:textId="3E0B058A" w:rsidR="001542C0" w:rsidRDefault="001542C0" w:rsidP="008C1E44">
      <w:pPr>
        <w:spacing w:line="240" w:lineRule="auto"/>
        <w:ind w:left="0" w:right="0" w:firstLine="0"/>
      </w:pPr>
      <w:r>
        <w:t>Vzhledem k</w:t>
      </w:r>
      <w:r w:rsidR="00163E0B">
        <w:t xml:space="preserve"> neoddělenému sledování nákladů vznikly </w:t>
      </w:r>
      <w:r>
        <w:t>rozdíl</w:t>
      </w:r>
      <w:r w:rsidR="00163E0B">
        <w:t>y</w:t>
      </w:r>
      <w:r w:rsidR="00E90324">
        <w:t xml:space="preserve"> ve způsobu kalkulace </w:t>
      </w:r>
      <w:r>
        <w:t>náklad</w:t>
      </w:r>
      <w:r w:rsidR="00E90324">
        <w:t>ů</w:t>
      </w:r>
      <w:r w:rsidR="00163E0B">
        <w:t xml:space="preserve">, </w:t>
      </w:r>
      <w:r w:rsidR="00697C16">
        <w:t>v důsledku čehož</w:t>
      </w:r>
      <w:r>
        <w:t xml:space="preserve"> </w:t>
      </w:r>
      <w:r w:rsidR="00D31559">
        <w:t xml:space="preserve">nelze </w:t>
      </w:r>
      <w:r w:rsidR="009D4694">
        <w:t xml:space="preserve">vypočtené hodnoty </w:t>
      </w:r>
      <w:r w:rsidR="00D31559">
        <w:t xml:space="preserve">porovnávat </w:t>
      </w:r>
      <w:r w:rsidR="00D96046">
        <w:t>z hlediska efektivnosti</w:t>
      </w:r>
      <w:r w:rsidR="009D4694">
        <w:t>. MV nemělo přehled o nákladovosti jednotlivých typů studia na policejních školách</w:t>
      </w:r>
      <w:r w:rsidR="00DD247A">
        <w:t xml:space="preserve"> tím, že</w:t>
      </w:r>
      <w:r w:rsidR="00E90324">
        <w:t xml:space="preserve"> </w:t>
      </w:r>
      <w:r w:rsidR="004A3558">
        <w:t>nesledovalo náklady vynaložené na jednotlivé typy vzdělávání</w:t>
      </w:r>
      <w:r w:rsidR="00D31559">
        <w:t>,</w:t>
      </w:r>
      <w:r w:rsidR="00DD247A">
        <w:t xml:space="preserve"> </w:t>
      </w:r>
      <w:r w:rsidR="00E90324">
        <w:t xml:space="preserve">a nemohlo tak </w:t>
      </w:r>
      <w:r w:rsidR="00913C1E">
        <w:t xml:space="preserve">vyhodnocovat </w:t>
      </w:r>
      <w:r w:rsidR="00E90324">
        <w:t xml:space="preserve">efektivnost </w:t>
      </w:r>
      <w:r w:rsidR="004A3558">
        <w:t xml:space="preserve">nákladů na činnost </w:t>
      </w:r>
      <w:r w:rsidR="00E90324">
        <w:t xml:space="preserve">policejních škol. </w:t>
      </w:r>
    </w:p>
    <w:p w14:paraId="34B558FA" w14:textId="47E05C32" w:rsidR="00306ADC" w:rsidRDefault="00306ADC" w:rsidP="008C1E44">
      <w:pPr>
        <w:spacing w:line="240" w:lineRule="auto"/>
        <w:ind w:left="0" w:right="0" w:firstLine="0"/>
      </w:pPr>
      <w:r>
        <w:t>NKÚ z veřejně dostupných zdrojů dále zjistil, že např. n</w:t>
      </w:r>
      <w:r w:rsidRPr="00306ADC">
        <w:t xml:space="preserve">ormativ </w:t>
      </w:r>
      <w:r>
        <w:t>mzdových prostředků a</w:t>
      </w:r>
      <w:r w:rsidR="00BB2E90">
        <w:t> </w:t>
      </w:r>
      <w:r>
        <w:t xml:space="preserve">ostatních neinvestičních výdajů na jednoho žáka oboru BPČ v roce 2017 pro </w:t>
      </w:r>
      <w:r w:rsidR="007D4075">
        <w:t>h</w:t>
      </w:r>
      <w:r>
        <w:t>lavní město Prahu činil 44 847 Kč</w:t>
      </w:r>
      <w:r w:rsidR="008C4E01">
        <w:t>, což představovalo mnohonásobně nižší výdaje než u vybraných policejních škol</w:t>
      </w:r>
      <w:r>
        <w:t>.</w:t>
      </w:r>
      <w:r w:rsidR="00E641CF">
        <w:t xml:space="preserve"> V období 2013 až 2017 vzrostly </w:t>
      </w:r>
      <w:r w:rsidR="00CD6EE5">
        <w:t xml:space="preserve">celkové </w:t>
      </w:r>
      <w:r w:rsidR="00E641CF">
        <w:t>veřejné výdaje na střední a vyšší odborné vzdělávání o</w:t>
      </w:r>
      <w:r w:rsidR="00A87938">
        <w:t> </w:t>
      </w:r>
      <w:r w:rsidR="00E641CF">
        <w:t>4 056,6 mil. Kč, tj. o 30 %.</w:t>
      </w:r>
    </w:p>
    <w:p w14:paraId="74074B61" w14:textId="0C3BE78B" w:rsidR="009260F1" w:rsidRDefault="001238AC" w:rsidP="008C1E44">
      <w:pPr>
        <w:spacing w:line="240" w:lineRule="auto"/>
        <w:ind w:left="0" w:right="0" w:firstLine="0"/>
      </w:pPr>
      <w:r>
        <w:t>V </w:t>
      </w:r>
      <w:r w:rsidRPr="009B10C3">
        <w:rPr>
          <w:i/>
          <w:shd w:val="clear" w:color="auto" w:fill="FFFFFF" w:themeFill="background1"/>
        </w:rPr>
        <w:t>Koncepc</w:t>
      </w:r>
      <w:r>
        <w:rPr>
          <w:i/>
          <w:shd w:val="clear" w:color="auto" w:fill="FFFFFF" w:themeFill="background1"/>
        </w:rPr>
        <w:t>i</w:t>
      </w:r>
      <w:r w:rsidRPr="009B10C3">
        <w:rPr>
          <w:i/>
          <w:shd w:val="clear" w:color="auto" w:fill="FFFFFF" w:themeFill="background1"/>
        </w:rPr>
        <w:t xml:space="preserve"> rozvoje policie České republiky do roku 202</w:t>
      </w:r>
      <w:r>
        <w:rPr>
          <w:i/>
          <w:shd w:val="clear" w:color="auto" w:fill="FFFFFF" w:themeFill="background1"/>
        </w:rPr>
        <w:t xml:space="preserve">2 </w:t>
      </w:r>
      <w:r w:rsidRPr="001542C0">
        <w:rPr>
          <w:shd w:val="clear" w:color="auto" w:fill="FFFFFF" w:themeFill="background1"/>
        </w:rPr>
        <w:t>(dále také „Koncepce“)</w:t>
      </w:r>
      <w:r>
        <w:rPr>
          <w:i/>
          <w:shd w:val="clear" w:color="auto" w:fill="FFFFFF" w:themeFill="background1"/>
        </w:rPr>
        <w:t xml:space="preserve"> </w:t>
      </w:r>
      <w:r>
        <w:t xml:space="preserve">jsou uvedeny roční náklady na jednoho nově přijatého policistu, které v roce 2015 činily 260 tis. Kč. </w:t>
      </w:r>
      <w:r w:rsidR="005307B6">
        <w:t>Uvedené r</w:t>
      </w:r>
      <w:r>
        <w:t xml:space="preserve">oční náklady nezahrnovaly náklady na </w:t>
      </w:r>
      <w:r w:rsidR="007D389A">
        <w:t xml:space="preserve">část </w:t>
      </w:r>
      <w:r>
        <w:t>ZOP</w:t>
      </w:r>
      <w:r w:rsidR="007D389A">
        <w:t>, kterou</w:t>
      </w:r>
      <w:r w:rsidR="00A85D0F">
        <w:t xml:space="preserve"> zajišťova</w:t>
      </w:r>
      <w:r w:rsidR="007D389A">
        <w:t>ly</w:t>
      </w:r>
      <w:r w:rsidR="00A85D0F">
        <w:t xml:space="preserve"> policejní škol</w:t>
      </w:r>
      <w:r w:rsidR="007D389A">
        <w:t>y</w:t>
      </w:r>
      <w:r>
        <w:t>.</w:t>
      </w:r>
    </w:p>
    <w:p w14:paraId="63F96898" w14:textId="1D181BD1" w:rsidR="00A92DD0" w:rsidRDefault="00A92DD0" w:rsidP="008C1E44">
      <w:pPr>
        <w:shd w:val="clear" w:color="auto" w:fill="FFFFFF" w:themeFill="background1"/>
        <w:spacing w:line="240" w:lineRule="auto"/>
        <w:ind w:left="0" w:right="0" w:firstLine="0"/>
        <w:rPr>
          <w:shd w:val="clear" w:color="auto" w:fill="FFFFFF" w:themeFill="background1"/>
        </w:rPr>
      </w:pPr>
      <w:r w:rsidRPr="00531C81">
        <w:rPr>
          <w:shd w:val="clear" w:color="auto" w:fill="FFFFFF" w:themeFill="background1"/>
        </w:rPr>
        <w:t xml:space="preserve">NKÚ </w:t>
      </w:r>
      <w:r w:rsidR="00D96046">
        <w:rPr>
          <w:shd w:val="clear" w:color="auto" w:fill="FFFFFF" w:themeFill="background1"/>
        </w:rPr>
        <w:t xml:space="preserve">dále </w:t>
      </w:r>
      <w:r w:rsidRPr="00531C81">
        <w:rPr>
          <w:shd w:val="clear" w:color="auto" w:fill="FFFFFF" w:themeFill="background1"/>
        </w:rPr>
        <w:t>posoudil</w:t>
      </w:r>
      <w:r>
        <w:rPr>
          <w:shd w:val="clear" w:color="auto" w:fill="FFFFFF" w:themeFill="background1"/>
        </w:rPr>
        <w:t xml:space="preserve"> efektivnost</w:t>
      </w:r>
      <w:r w:rsidR="001238AC">
        <w:rPr>
          <w:shd w:val="clear" w:color="auto" w:fill="FFFFFF" w:themeFill="background1"/>
        </w:rPr>
        <w:t xml:space="preserve"> policejního vzdělávání </w:t>
      </w:r>
      <w:r>
        <w:rPr>
          <w:shd w:val="clear" w:color="auto" w:fill="FFFFFF" w:themeFill="background1"/>
        </w:rPr>
        <w:t>z hlediska využití výukové kapacity</w:t>
      </w:r>
      <w:r>
        <w:rPr>
          <w:rStyle w:val="Znakapoznpodarou"/>
          <w:shd w:val="clear" w:color="auto" w:fill="FFFFFF" w:themeFill="background1"/>
        </w:rPr>
        <w:footnoteReference w:id="17"/>
      </w:r>
      <w:r w:rsidR="00646425">
        <w:rPr>
          <w:shd w:val="clear" w:color="auto" w:fill="FFFFFF" w:themeFill="background1"/>
        </w:rPr>
        <w:t xml:space="preserve"> </w:t>
      </w:r>
      <w:r w:rsidR="00800C52">
        <w:rPr>
          <w:shd w:val="clear" w:color="auto" w:fill="FFFFFF" w:themeFill="background1"/>
        </w:rPr>
        <w:t>s ohledem na rostoucí náklady policejního vzdělávání</w:t>
      </w:r>
      <w:r>
        <w:rPr>
          <w:shd w:val="clear" w:color="auto" w:fill="FFFFFF" w:themeFill="background1"/>
        </w:rPr>
        <w:t>.</w:t>
      </w:r>
      <w:r w:rsidRPr="00531C81">
        <w:rPr>
          <w:shd w:val="clear" w:color="auto" w:fill="FFFFFF" w:themeFill="background1"/>
        </w:rPr>
        <w:t xml:space="preserve"> </w:t>
      </w:r>
    </w:p>
    <w:p w14:paraId="722E73FF" w14:textId="2771C8EA" w:rsidR="00A92DD0" w:rsidRPr="00A92DD0" w:rsidRDefault="00F36DEB" w:rsidP="008C1E44">
      <w:pPr>
        <w:pStyle w:val="Nzevtabulka"/>
        <w:keepNext/>
        <w:numPr>
          <w:ilvl w:val="0"/>
          <w:numId w:val="0"/>
        </w:numPr>
        <w:spacing w:after="40"/>
      </w:pPr>
      <w:r>
        <w:t xml:space="preserve">Tabulka č. 6: </w:t>
      </w:r>
      <w:r w:rsidR="00A92DD0">
        <w:t>V</w:t>
      </w:r>
      <w:r w:rsidR="00A92DD0" w:rsidRPr="00A92DD0">
        <w:t>yužití výukové kapacity policejního vzdělávání</w:t>
      </w:r>
    </w:p>
    <w:tbl>
      <w:tblPr>
        <w:tblW w:w="499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013"/>
        <w:gridCol w:w="1016"/>
        <w:gridCol w:w="1014"/>
        <w:gridCol w:w="1016"/>
        <w:gridCol w:w="1014"/>
        <w:gridCol w:w="1016"/>
        <w:gridCol w:w="1012"/>
      </w:tblGrid>
      <w:tr w:rsidR="00A92DD0" w:rsidRPr="00F461A9" w14:paraId="69BDEB77" w14:textId="77777777" w:rsidTr="00F36DEB">
        <w:trPr>
          <w:trHeight w:val="255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B24E33C" w14:textId="77777777" w:rsidR="00A92DD0" w:rsidRPr="00F461A9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</w:tcPr>
          <w:p w14:paraId="512E80B0" w14:textId="77777777" w:rsidR="00A92DD0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</w:tcPr>
          <w:p w14:paraId="000BBE93" w14:textId="77777777" w:rsidR="00A92DD0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</w:tcPr>
          <w:p w14:paraId="5D9AD0B0" w14:textId="77777777" w:rsidR="00A92DD0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</w:tcPr>
          <w:p w14:paraId="1744CE20" w14:textId="77777777" w:rsidR="00A92DD0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45A46F1A" w14:textId="77777777" w:rsidR="00A92DD0" w:rsidRPr="00F461A9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0470B3E" w14:textId="77777777" w:rsidR="00A92DD0" w:rsidRPr="00F461A9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0871859" w14:textId="77777777" w:rsidR="00A92DD0" w:rsidRPr="00F461A9" w:rsidRDefault="00A92DD0" w:rsidP="008C1E44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A92DD0" w:rsidRPr="00F461A9" w14:paraId="225DF715" w14:textId="77777777" w:rsidTr="00F36DEB">
        <w:trPr>
          <w:trHeight w:val="255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F2BF8" w14:textId="77777777" w:rsidR="00A92DD0" w:rsidRPr="00531C81" w:rsidRDefault="00A92DD0" w:rsidP="008C1E44">
            <w:pPr>
              <w:keepNext/>
              <w:spacing w:after="0"/>
              <w:jc w:val="left"/>
              <w:rPr>
                <w:bCs/>
                <w:sz w:val="20"/>
                <w:szCs w:val="20"/>
              </w:rPr>
            </w:pPr>
            <w:r w:rsidRPr="00531C81">
              <w:rPr>
                <w:bCs/>
                <w:sz w:val="20"/>
                <w:szCs w:val="20"/>
              </w:rPr>
              <w:t>VPŠ</w:t>
            </w:r>
            <w:r>
              <w:rPr>
                <w:bCs/>
                <w:sz w:val="20"/>
                <w:szCs w:val="20"/>
              </w:rPr>
              <w:t xml:space="preserve"> a SPŠ v Holešově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869D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6ED62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92DB" w14:textId="4C627412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106 %</w:t>
            </w:r>
            <w:r w:rsidR="00800C52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B5A0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F7B57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B85A2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84 %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26733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83 %</w:t>
            </w:r>
          </w:p>
        </w:tc>
      </w:tr>
      <w:tr w:rsidR="00A92DD0" w:rsidRPr="00F461A9" w14:paraId="25395CDA" w14:textId="77777777" w:rsidTr="00F36DEB">
        <w:trPr>
          <w:trHeight w:val="255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C9528" w14:textId="77777777" w:rsidR="00A92DD0" w:rsidRPr="00531C81" w:rsidRDefault="00A92DD0" w:rsidP="008C1E44">
            <w:pPr>
              <w:keepNext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VPŠ a SPŠ v Praze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DFAB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8F8A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61 %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E9B0A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BCDA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78 %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FD873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FAB22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51 %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451E" w14:textId="77777777" w:rsidR="00A92DD0" w:rsidRPr="00531C81" w:rsidRDefault="00A92DD0" w:rsidP="008C1E44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72 %</w:t>
            </w:r>
          </w:p>
        </w:tc>
      </w:tr>
      <w:tr w:rsidR="00A92DD0" w:rsidRPr="00F461A9" w14:paraId="4EB96C98" w14:textId="77777777" w:rsidTr="00F36DEB">
        <w:trPr>
          <w:trHeight w:val="255"/>
          <w:jc w:val="center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DF94" w14:textId="77777777" w:rsidR="00A92DD0" w:rsidRPr="00C74776" w:rsidRDefault="00A92DD0" w:rsidP="008C1E44">
            <w:pPr>
              <w:keepNext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ÚPVSP</w:t>
            </w:r>
            <w:r w:rsidRPr="00C7477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F612" w14:textId="77777777" w:rsidR="00A92DD0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16B" w14:textId="77777777" w:rsidR="00A92DD0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987" w14:textId="77777777" w:rsidR="00A92DD0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112" w14:textId="77777777" w:rsidR="00A92DD0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D149" w14:textId="77777777" w:rsidR="00A92DD0" w:rsidRPr="0029143D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BDE0" w14:textId="77777777" w:rsidR="00A92DD0" w:rsidRPr="0029143D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2AD7" w14:textId="77777777" w:rsidR="00A92DD0" w:rsidRPr="0029143D" w:rsidRDefault="00A92DD0" w:rsidP="008C1E4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61 %</w:t>
            </w:r>
          </w:p>
        </w:tc>
      </w:tr>
    </w:tbl>
    <w:p w14:paraId="3A87F20A" w14:textId="053DB492" w:rsidR="00A92DD0" w:rsidRDefault="00A92DD0" w:rsidP="008C1E44">
      <w:pPr>
        <w:keepNext/>
        <w:spacing w:before="40" w:after="0" w:line="240" w:lineRule="auto"/>
        <w:ind w:left="0" w:right="0" w:firstLine="0"/>
        <w:rPr>
          <w:sz w:val="20"/>
          <w:szCs w:val="20"/>
        </w:rPr>
      </w:pPr>
      <w:r w:rsidRPr="00F4423F">
        <w:rPr>
          <w:b/>
          <w:sz w:val="20"/>
          <w:szCs w:val="20"/>
        </w:rPr>
        <w:t>Zdroj:</w:t>
      </w:r>
      <w:r w:rsidRPr="00A92DD0">
        <w:rPr>
          <w:sz w:val="20"/>
          <w:szCs w:val="20"/>
        </w:rPr>
        <w:t xml:space="preserve"> </w:t>
      </w:r>
      <w:r w:rsidR="00F44E15">
        <w:rPr>
          <w:sz w:val="20"/>
          <w:szCs w:val="20"/>
        </w:rPr>
        <w:t>v</w:t>
      </w:r>
      <w:r w:rsidRPr="00A92DD0">
        <w:rPr>
          <w:sz w:val="20"/>
          <w:szCs w:val="20"/>
        </w:rPr>
        <w:t>ýpočet</w:t>
      </w:r>
      <w:r w:rsidR="00F44E15">
        <w:rPr>
          <w:sz w:val="20"/>
          <w:szCs w:val="20"/>
        </w:rPr>
        <w:t xml:space="preserve"> </w:t>
      </w:r>
      <w:r w:rsidR="007D4075">
        <w:rPr>
          <w:sz w:val="20"/>
          <w:szCs w:val="20"/>
        </w:rPr>
        <w:t>vypracoval</w:t>
      </w:r>
      <w:r w:rsidRPr="00A92DD0">
        <w:rPr>
          <w:sz w:val="20"/>
          <w:szCs w:val="20"/>
        </w:rPr>
        <w:t xml:space="preserve"> NKÚ.</w:t>
      </w:r>
    </w:p>
    <w:p w14:paraId="6665678F" w14:textId="285800F7" w:rsidR="00800C52" w:rsidRPr="00A92DD0" w:rsidRDefault="00800C52" w:rsidP="008C1E44">
      <w:pPr>
        <w:spacing w:line="240" w:lineRule="auto"/>
        <w:ind w:left="567" w:right="0" w:hanging="567"/>
        <w:rPr>
          <w:sz w:val="20"/>
          <w:szCs w:val="20"/>
        </w:rPr>
      </w:pPr>
      <w:r w:rsidRPr="00E20D2D">
        <w:rPr>
          <w:b/>
          <w:sz w:val="20"/>
          <w:szCs w:val="20"/>
        </w:rPr>
        <w:t>Pozn.:</w:t>
      </w:r>
      <w:r>
        <w:rPr>
          <w:sz w:val="20"/>
          <w:szCs w:val="20"/>
        </w:rPr>
        <w:t xml:space="preserve"> *</w:t>
      </w:r>
      <w:r w:rsidR="002C5B51">
        <w:rPr>
          <w:sz w:val="20"/>
          <w:szCs w:val="20"/>
        </w:rPr>
        <w:tab/>
      </w:r>
      <w:r>
        <w:rPr>
          <w:sz w:val="20"/>
          <w:szCs w:val="20"/>
        </w:rPr>
        <w:t>Překročení využití výukové kapacity bylo způsobeno nárůstem studujících ZOP, nav</w:t>
      </w:r>
      <w:r w:rsidR="004F4068">
        <w:rPr>
          <w:sz w:val="20"/>
          <w:szCs w:val="20"/>
        </w:rPr>
        <w:t>azujících kvalifikačních kurzů</w:t>
      </w:r>
      <w:r>
        <w:rPr>
          <w:sz w:val="20"/>
          <w:szCs w:val="20"/>
        </w:rPr>
        <w:t xml:space="preserve"> a školení.</w:t>
      </w:r>
    </w:p>
    <w:p w14:paraId="6D1BDC21" w14:textId="2B4506AE" w:rsidR="00F53421" w:rsidRDefault="00A92DD0" w:rsidP="008C1E44">
      <w:pPr>
        <w:spacing w:line="240" w:lineRule="auto"/>
        <w:ind w:left="0" w:right="0" w:firstLine="0"/>
      </w:pPr>
      <w:r>
        <w:rPr>
          <w:szCs w:val="24"/>
        </w:rPr>
        <w:t xml:space="preserve">Z tabulky č. </w:t>
      </w:r>
      <w:r w:rsidR="003034F0">
        <w:rPr>
          <w:szCs w:val="24"/>
        </w:rPr>
        <w:t>6</w:t>
      </w:r>
      <w:r>
        <w:rPr>
          <w:szCs w:val="24"/>
        </w:rPr>
        <w:t xml:space="preserve"> vyplývá, že výuková kapacita u VPŠ a SPŠ v Holešově je v posledních 5 letech využita nad 80 %. VPŠ a SPŠ v Praze </w:t>
      </w:r>
      <w:r w:rsidR="001238AC">
        <w:rPr>
          <w:szCs w:val="24"/>
        </w:rPr>
        <w:t>zajišťoval</w:t>
      </w:r>
      <w:r>
        <w:rPr>
          <w:szCs w:val="24"/>
        </w:rPr>
        <w:t xml:space="preserve">a do roku 2015 </w:t>
      </w:r>
      <w:r w:rsidR="00D365F7">
        <w:rPr>
          <w:szCs w:val="24"/>
        </w:rPr>
        <w:t xml:space="preserve">především </w:t>
      </w:r>
      <w:r>
        <w:rPr>
          <w:szCs w:val="24"/>
        </w:rPr>
        <w:t>ZOP</w:t>
      </w:r>
      <w:r w:rsidR="00D96046">
        <w:rPr>
          <w:szCs w:val="24"/>
        </w:rPr>
        <w:t>. P</w:t>
      </w:r>
      <w:r w:rsidR="001238AC">
        <w:rPr>
          <w:szCs w:val="24"/>
        </w:rPr>
        <w:t xml:space="preserve">o jejím </w:t>
      </w:r>
      <w:r w:rsidR="001542C0">
        <w:rPr>
          <w:szCs w:val="24"/>
        </w:rPr>
        <w:t>přechod</w:t>
      </w:r>
      <w:r w:rsidR="001238AC">
        <w:rPr>
          <w:szCs w:val="24"/>
        </w:rPr>
        <w:t>u</w:t>
      </w:r>
      <w:r w:rsidR="001542C0">
        <w:rPr>
          <w:szCs w:val="24"/>
        </w:rPr>
        <w:t xml:space="preserve"> pod ÚPVSP</w:t>
      </w:r>
      <w:r>
        <w:rPr>
          <w:szCs w:val="24"/>
        </w:rPr>
        <w:t xml:space="preserve"> </w:t>
      </w:r>
      <w:r w:rsidR="0031494C">
        <w:rPr>
          <w:szCs w:val="24"/>
        </w:rPr>
        <w:t>zavedlo</w:t>
      </w:r>
      <w:r w:rsidR="00F12661">
        <w:rPr>
          <w:szCs w:val="24"/>
        </w:rPr>
        <w:t xml:space="preserve"> </w:t>
      </w:r>
      <w:r w:rsidR="00D96046">
        <w:rPr>
          <w:szCs w:val="24"/>
        </w:rPr>
        <w:t xml:space="preserve">MV </w:t>
      </w:r>
      <w:r w:rsidR="00C32318">
        <w:t>ve</w:t>
      </w:r>
      <w:r w:rsidR="007D4075">
        <w:t xml:space="preserve"> </w:t>
      </w:r>
      <w:r w:rsidR="00C32318">
        <w:t>školním roce 2016/2017 na této škole</w:t>
      </w:r>
      <w:r w:rsidR="00D96046" w:rsidRPr="00D96046">
        <w:t xml:space="preserve"> </w:t>
      </w:r>
      <w:r w:rsidR="00D96046">
        <w:t>středoškolské studium</w:t>
      </w:r>
      <w:r w:rsidR="001238AC">
        <w:t xml:space="preserve">. Využití výukových kapacit </w:t>
      </w:r>
      <w:r w:rsidR="00D96046">
        <w:t xml:space="preserve">školy </w:t>
      </w:r>
      <w:r w:rsidR="001238AC">
        <w:t>se</w:t>
      </w:r>
      <w:r w:rsidR="005307B6">
        <w:t xml:space="preserve"> každoročně</w:t>
      </w:r>
      <w:r w:rsidR="001238AC">
        <w:t xml:space="preserve"> zvyšuje </w:t>
      </w:r>
      <w:r w:rsidR="005307B6">
        <w:t>rozšiřováním středoškolské výuky o</w:t>
      </w:r>
      <w:r w:rsidR="00BB2E90">
        <w:t> </w:t>
      </w:r>
      <w:r w:rsidR="005307B6">
        <w:t>další třídy prvního ročníku</w:t>
      </w:r>
      <w:r w:rsidR="001542C0">
        <w:t>.</w:t>
      </w:r>
      <w:r w:rsidR="001238AC">
        <w:t xml:space="preserve"> Nejnižší využití výukové kapacity má ÚPVSP a dosahuje zhruba 60 %.</w:t>
      </w:r>
      <w:r w:rsidR="00F53421">
        <w:t xml:space="preserve"> </w:t>
      </w:r>
      <w:r w:rsidR="00F53421">
        <w:rPr>
          <w:shd w:val="clear" w:color="auto" w:fill="FFFFFF" w:themeFill="background1"/>
        </w:rPr>
        <w:t xml:space="preserve">Důvodem je </w:t>
      </w:r>
      <w:r w:rsidR="0031494C">
        <w:rPr>
          <w:shd w:val="clear" w:color="auto" w:fill="FFFFFF" w:themeFill="background1"/>
        </w:rPr>
        <w:t xml:space="preserve">mj. </w:t>
      </w:r>
      <w:r w:rsidR="00F53421">
        <w:rPr>
          <w:shd w:val="clear" w:color="auto" w:fill="FFFFFF" w:themeFill="background1"/>
        </w:rPr>
        <w:t xml:space="preserve">skutečnost, že MV, resp. </w:t>
      </w:r>
      <w:r w:rsidR="00F53421" w:rsidRPr="003E1860">
        <w:rPr>
          <w:shd w:val="clear" w:color="auto" w:fill="FFFFFF" w:themeFill="background1"/>
        </w:rPr>
        <w:t>PČR</w:t>
      </w:r>
      <w:r w:rsidR="00F53421">
        <w:rPr>
          <w:shd w:val="clear" w:color="auto" w:fill="FFFFFF" w:themeFill="background1"/>
        </w:rPr>
        <w:t xml:space="preserve"> </w:t>
      </w:r>
      <w:r w:rsidR="00F53421" w:rsidRPr="003E1860">
        <w:rPr>
          <w:shd w:val="clear" w:color="auto" w:fill="FFFFFF" w:themeFill="background1"/>
        </w:rPr>
        <w:t>nepln</w:t>
      </w:r>
      <w:r w:rsidR="00F53421">
        <w:rPr>
          <w:shd w:val="clear" w:color="auto" w:fill="FFFFFF" w:themeFill="background1"/>
        </w:rPr>
        <w:t>í</w:t>
      </w:r>
      <w:r w:rsidR="00F53421" w:rsidRPr="003E1860">
        <w:rPr>
          <w:shd w:val="clear" w:color="auto" w:fill="FFFFFF" w:themeFill="background1"/>
        </w:rPr>
        <w:t xml:space="preserve"> limit počtu </w:t>
      </w:r>
      <w:r w:rsidR="00F53421">
        <w:rPr>
          <w:shd w:val="clear" w:color="auto" w:fill="FFFFFF" w:themeFill="background1"/>
        </w:rPr>
        <w:t xml:space="preserve">policistů </w:t>
      </w:r>
      <w:r w:rsidR="00E40C1A">
        <w:rPr>
          <w:shd w:val="clear" w:color="auto" w:fill="FFFFFF" w:themeFill="background1"/>
        </w:rPr>
        <w:t xml:space="preserve">stanovený návrhem státního rozpočtu </w:t>
      </w:r>
      <w:r w:rsidR="00F53421">
        <w:t>(graf č. 1).</w:t>
      </w:r>
    </w:p>
    <w:p w14:paraId="70EEFD7D" w14:textId="25D9869A" w:rsidR="00F508D9" w:rsidRPr="00F304E5" w:rsidRDefault="00F508D9" w:rsidP="00897EFB">
      <w:pPr>
        <w:spacing w:after="40" w:line="240" w:lineRule="auto"/>
        <w:ind w:left="964" w:right="0" w:hanging="964"/>
        <w:rPr>
          <w:b/>
          <w:bCs/>
          <w:shd w:val="clear" w:color="auto" w:fill="FBE4D5" w:themeFill="accent2" w:themeFillTint="33"/>
        </w:rPr>
      </w:pPr>
      <w:r w:rsidRPr="00F304E5">
        <w:rPr>
          <w:b/>
          <w:bCs/>
        </w:rPr>
        <w:t>Graf č. 1</w:t>
      </w:r>
      <w:r w:rsidR="00FD2007">
        <w:rPr>
          <w:b/>
          <w:bCs/>
        </w:rPr>
        <w:t>:</w:t>
      </w:r>
      <w:r w:rsidRPr="00F304E5">
        <w:rPr>
          <w:b/>
          <w:bCs/>
        </w:rPr>
        <w:t xml:space="preserve"> </w:t>
      </w:r>
      <w:r w:rsidR="00897EFB">
        <w:rPr>
          <w:b/>
          <w:bCs/>
        </w:rPr>
        <w:tab/>
      </w:r>
      <w:r w:rsidRPr="00F304E5">
        <w:rPr>
          <w:b/>
          <w:bCs/>
        </w:rPr>
        <w:t xml:space="preserve">Porovnání </w:t>
      </w:r>
      <w:r w:rsidR="00497F86" w:rsidRPr="00F304E5">
        <w:rPr>
          <w:b/>
          <w:bCs/>
        </w:rPr>
        <w:t xml:space="preserve">skutečného počtu a </w:t>
      </w:r>
      <w:r w:rsidRPr="00F304E5">
        <w:rPr>
          <w:b/>
          <w:bCs/>
        </w:rPr>
        <w:t xml:space="preserve">stanoveného limitu počtu </w:t>
      </w:r>
      <w:r w:rsidR="001542C0" w:rsidRPr="00F304E5">
        <w:rPr>
          <w:b/>
          <w:bCs/>
        </w:rPr>
        <w:t>policistů</w:t>
      </w:r>
      <w:r w:rsidR="00F53421" w:rsidRPr="00F304E5">
        <w:rPr>
          <w:b/>
          <w:bCs/>
        </w:rPr>
        <w:t xml:space="preserve"> v období </w:t>
      </w:r>
      <w:r w:rsidR="00897EFB">
        <w:rPr>
          <w:b/>
          <w:bCs/>
        </w:rPr>
        <w:br/>
      </w:r>
      <w:r w:rsidR="00F53421" w:rsidRPr="00F304E5">
        <w:rPr>
          <w:b/>
          <w:bCs/>
        </w:rPr>
        <w:t>2009 až 2018</w:t>
      </w:r>
    </w:p>
    <w:p w14:paraId="1B7F9B79" w14:textId="77777777" w:rsidR="00F508D9" w:rsidRDefault="00F508D9" w:rsidP="00F508D9">
      <w:pPr>
        <w:shd w:val="clear" w:color="auto" w:fill="FFFFFF" w:themeFill="background1"/>
        <w:spacing w:after="119" w:line="266" w:lineRule="auto"/>
        <w:ind w:right="0"/>
      </w:pPr>
      <w:r>
        <w:rPr>
          <w:noProof/>
        </w:rPr>
        <w:drawing>
          <wp:inline distT="0" distB="0" distL="0" distR="0" wp14:anchorId="7D954BD1" wp14:editId="3B3A24A2">
            <wp:extent cx="5759450" cy="2362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7C3C90" w14:textId="04D06C81" w:rsidR="00F508D9" w:rsidRPr="00802A29" w:rsidRDefault="00F508D9" w:rsidP="008C1E44">
      <w:pPr>
        <w:shd w:val="clear" w:color="auto" w:fill="FFFFFF" w:themeFill="background1"/>
        <w:spacing w:line="240" w:lineRule="auto"/>
        <w:ind w:left="0" w:right="0" w:firstLine="0"/>
        <w:rPr>
          <w:sz w:val="20"/>
          <w:szCs w:val="20"/>
        </w:rPr>
      </w:pPr>
      <w:r w:rsidRPr="00802A29">
        <w:rPr>
          <w:b/>
          <w:sz w:val="20"/>
          <w:szCs w:val="20"/>
        </w:rPr>
        <w:t xml:space="preserve">Zdroj: </w:t>
      </w:r>
      <w:r w:rsidR="007D4075">
        <w:rPr>
          <w:sz w:val="20"/>
          <w:szCs w:val="20"/>
        </w:rPr>
        <w:t>z</w:t>
      </w:r>
      <w:r w:rsidR="00BB5781">
        <w:rPr>
          <w:sz w:val="20"/>
          <w:szCs w:val="20"/>
        </w:rPr>
        <w:t>ávěrečn</w:t>
      </w:r>
      <w:r w:rsidR="007D4075">
        <w:rPr>
          <w:sz w:val="20"/>
          <w:szCs w:val="20"/>
        </w:rPr>
        <w:t>é</w:t>
      </w:r>
      <w:r w:rsidR="00BB5781">
        <w:rPr>
          <w:sz w:val="20"/>
          <w:szCs w:val="20"/>
        </w:rPr>
        <w:t xml:space="preserve"> účt</w:t>
      </w:r>
      <w:r w:rsidR="007D4075">
        <w:rPr>
          <w:sz w:val="20"/>
          <w:szCs w:val="20"/>
        </w:rPr>
        <w:t>y</w:t>
      </w:r>
      <w:r>
        <w:rPr>
          <w:sz w:val="20"/>
          <w:szCs w:val="20"/>
        </w:rPr>
        <w:t xml:space="preserve"> kapitoly 314 – </w:t>
      </w:r>
      <w:r w:rsidRPr="00097164">
        <w:rPr>
          <w:i/>
          <w:sz w:val="20"/>
          <w:szCs w:val="20"/>
        </w:rPr>
        <w:t>Ministerstvo vnitra</w:t>
      </w:r>
      <w:r>
        <w:rPr>
          <w:sz w:val="20"/>
          <w:szCs w:val="20"/>
        </w:rPr>
        <w:t>.</w:t>
      </w:r>
    </w:p>
    <w:p w14:paraId="78AFD307" w14:textId="170A21A0" w:rsidR="009260F1" w:rsidRDefault="00F53421" w:rsidP="008C1E44">
      <w:pPr>
        <w:shd w:val="clear" w:color="auto" w:fill="FFFFFF" w:themeFill="background1"/>
        <w:spacing w:line="240" w:lineRule="auto"/>
        <w:ind w:left="0" w:right="0" w:firstLine="0"/>
        <w:rPr>
          <w:bCs/>
        </w:rPr>
      </w:pPr>
      <w:r w:rsidRPr="003E1860">
        <w:rPr>
          <w:shd w:val="clear" w:color="auto" w:fill="FFFFFF" w:themeFill="background1"/>
        </w:rPr>
        <w:t>Průměrný roční nárůst v letech 2013</w:t>
      </w:r>
      <w:r>
        <w:rPr>
          <w:shd w:val="clear" w:color="auto" w:fill="FFFFFF" w:themeFill="background1"/>
        </w:rPr>
        <w:t xml:space="preserve"> až </w:t>
      </w:r>
      <w:r w:rsidRPr="003E1860">
        <w:rPr>
          <w:shd w:val="clear" w:color="auto" w:fill="FFFFFF" w:themeFill="background1"/>
        </w:rPr>
        <w:t xml:space="preserve">2018 představoval 379 policistů. </w:t>
      </w:r>
      <w:r>
        <w:rPr>
          <w:shd w:val="clear" w:color="auto" w:fill="FFFFFF" w:themeFill="background1"/>
        </w:rPr>
        <w:t xml:space="preserve">Naplnění </w:t>
      </w:r>
      <w:r w:rsidRPr="003E1860">
        <w:rPr>
          <w:shd w:val="clear" w:color="auto" w:fill="FFFFFF" w:themeFill="background1"/>
        </w:rPr>
        <w:t>plánovan</w:t>
      </w:r>
      <w:r>
        <w:rPr>
          <w:shd w:val="clear" w:color="auto" w:fill="FFFFFF" w:themeFill="background1"/>
        </w:rPr>
        <w:t>ého</w:t>
      </w:r>
      <w:r w:rsidRPr="003E1860">
        <w:rPr>
          <w:shd w:val="clear" w:color="auto" w:fill="FFFFFF" w:themeFill="background1"/>
        </w:rPr>
        <w:t xml:space="preserve"> poč</w:t>
      </w:r>
      <w:r>
        <w:rPr>
          <w:shd w:val="clear" w:color="auto" w:fill="FFFFFF" w:themeFill="background1"/>
        </w:rPr>
        <w:t>tu</w:t>
      </w:r>
      <w:r w:rsidRPr="003E1860">
        <w:rPr>
          <w:shd w:val="clear" w:color="auto" w:fill="FFFFFF" w:themeFill="background1"/>
        </w:rPr>
        <w:t xml:space="preserve"> policistů</w:t>
      </w:r>
      <w:r>
        <w:rPr>
          <w:shd w:val="clear" w:color="auto" w:fill="FFFFFF" w:themeFill="background1"/>
        </w:rPr>
        <w:t xml:space="preserve"> (44 000 do roku 2022)</w:t>
      </w:r>
      <w:r w:rsidRPr="003E1860">
        <w:rPr>
          <w:shd w:val="clear" w:color="auto" w:fill="FFFFFF" w:themeFill="background1"/>
        </w:rPr>
        <w:t xml:space="preserve"> stanoven</w:t>
      </w:r>
      <w:r>
        <w:rPr>
          <w:shd w:val="clear" w:color="auto" w:fill="FFFFFF" w:themeFill="background1"/>
        </w:rPr>
        <w:t>ého</w:t>
      </w:r>
      <w:r w:rsidRPr="003E186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v Koncepci je ohroženo</w:t>
      </w:r>
      <w:r>
        <w:rPr>
          <w:iCs/>
          <w:shd w:val="clear" w:color="auto" w:fill="FFFFFF" w:themeFill="background1"/>
        </w:rPr>
        <w:t xml:space="preserve">, v roce 2018 chybělo 2 209 policistů. </w:t>
      </w:r>
      <w:r w:rsidR="001238AC">
        <w:rPr>
          <w:bCs/>
        </w:rPr>
        <w:t xml:space="preserve">Ačkoliv počet </w:t>
      </w:r>
      <w:r w:rsidR="003C0304">
        <w:rPr>
          <w:bCs/>
        </w:rPr>
        <w:t xml:space="preserve">nově </w:t>
      </w:r>
      <w:r w:rsidR="00E93965">
        <w:rPr>
          <w:bCs/>
        </w:rPr>
        <w:t>přijatých</w:t>
      </w:r>
      <w:r w:rsidR="003C0304">
        <w:rPr>
          <w:bCs/>
        </w:rPr>
        <w:t xml:space="preserve"> </w:t>
      </w:r>
      <w:r w:rsidR="001238AC">
        <w:rPr>
          <w:bCs/>
        </w:rPr>
        <w:t xml:space="preserve">policistů se zvyšuje </w:t>
      </w:r>
      <w:r w:rsidR="00C469AB">
        <w:rPr>
          <w:bCs/>
        </w:rPr>
        <w:t xml:space="preserve">jen </w:t>
      </w:r>
      <w:r w:rsidR="001238AC">
        <w:rPr>
          <w:bCs/>
        </w:rPr>
        <w:t>pozvolna,</w:t>
      </w:r>
      <w:r w:rsidR="009260F1">
        <w:rPr>
          <w:bCs/>
        </w:rPr>
        <w:t xml:space="preserve"> </w:t>
      </w:r>
      <w:r w:rsidR="007D4075">
        <w:rPr>
          <w:bCs/>
        </w:rPr>
        <w:t xml:space="preserve">roste </w:t>
      </w:r>
      <w:r w:rsidR="009260F1">
        <w:rPr>
          <w:bCs/>
        </w:rPr>
        <w:t>počet zaměstnanců v oblasti policejního vzdělávání, především u</w:t>
      </w:r>
      <w:r w:rsidR="001D268B">
        <w:rPr>
          <w:bCs/>
        </w:rPr>
        <w:t> </w:t>
      </w:r>
      <w:r w:rsidR="009260F1">
        <w:rPr>
          <w:bCs/>
        </w:rPr>
        <w:t>ÚPVSP</w:t>
      </w:r>
      <w:r w:rsidR="001D268B">
        <w:rPr>
          <w:bCs/>
        </w:rPr>
        <w:t xml:space="preserve"> </w:t>
      </w:r>
      <w:r w:rsidR="009260F1">
        <w:rPr>
          <w:bCs/>
        </w:rPr>
        <w:t xml:space="preserve">(tabulka č. </w:t>
      </w:r>
      <w:r w:rsidR="003034F0">
        <w:rPr>
          <w:bCs/>
        </w:rPr>
        <w:t>7</w:t>
      </w:r>
      <w:r w:rsidR="009260F1">
        <w:rPr>
          <w:bCs/>
        </w:rPr>
        <w:t xml:space="preserve">). </w:t>
      </w:r>
    </w:p>
    <w:p w14:paraId="0C3F9900" w14:textId="7D258D80" w:rsidR="009260F1" w:rsidRPr="00FC2282" w:rsidRDefault="00AB2BBE" w:rsidP="008C1E44">
      <w:pPr>
        <w:pStyle w:val="Nzevtabulka"/>
        <w:keepNext/>
        <w:numPr>
          <w:ilvl w:val="0"/>
          <w:numId w:val="0"/>
        </w:numPr>
        <w:spacing w:after="40"/>
      </w:pPr>
      <w:r>
        <w:t xml:space="preserve">Tabulka č. 7: </w:t>
      </w:r>
      <w:r w:rsidR="009260F1">
        <w:t>Počet</w:t>
      </w:r>
      <w:r w:rsidR="009260F1" w:rsidRPr="00FC2282">
        <w:t xml:space="preserve"> zaměstnanců </w:t>
      </w:r>
      <w:r w:rsidR="009260F1">
        <w:t xml:space="preserve">v oblasti </w:t>
      </w:r>
      <w:r w:rsidR="009260F1" w:rsidRPr="00FC2282">
        <w:t>policejní</w:t>
      </w:r>
      <w:r w:rsidR="009260F1">
        <w:t xml:space="preserve">ho </w:t>
      </w:r>
      <w:r w:rsidR="009260F1" w:rsidRPr="00FC2282">
        <w:t>vzdělávání</w:t>
      </w:r>
    </w:p>
    <w:tbl>
      <w:tblPr>
        <w:tblStyle w:val="Mkatabulky"/>
        <w:tblW w:w="9121" w:type="dxa"/>
        <w:jc w:val="center"/>
        <w:tblLook w:val="04A0" w:firstRow="1" w:lastRow="0" w:firstColumn="1" w:lastColumn="0" w:noHBand="0" w:noVBand="1"/>
      </w:tblPr>
      <w:tblGrid>
        <w:gridCol w:w="2494"/>
        <w:gridCol w:w="1366"/>
        <w:gridCol w:w="1163"/>
        <w:gridCol w:w="1366"/>
        <w:gridCol w:w="1366"/>
        <w:gridCol w:w="1366"/>
      </w:tblGrid>
      <w:tr w:rsidR="00E20D2D" w14:paraId="50B0E692" w14:textId="77777777" w:rsidTr="00E20D2D">
        <w:trPr>
          <w:trHeight w:val="255"/>
          <w:jc w:val="center"/>
        </w:trPr>
        <w:tc>
          <w:tcPr>
            <w:tcW w:w="2494" w:type="dxa"/>
            <w:shd w:val="clear" w:color="auto" w:fill="E5F1FF"/>
          </w:tcPr>
          <w:p w14:paraId="7EDD4660" w14:textId="77777777" w:rsidR="009260F1" w:rsidRPr="008C4A77" w:rsidRDefault="009260F1" w:rsidP="00E7556C">
            <w:pPr>
              <w:keepNext/>
              <w:spacing w:after="0" w:line="240" w:lineRule="auto"/>
              <w:ind w:left="-57" w:right="-57" w:firstLine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E5F1FF"/>
          </w:tcPr>
          <w:p w14:paraId="09E1C59E" w14:textId="5F936F0C" w:rsidR="009260F1" w:rsidRPr="008C4A77" w:rsidRDefault="009260F1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31.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12.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2012</w:t>
            </w:r>
          </w:p>
        </w:tc>
        <w:tc>
          <w:tcPr>
            <w:tcW w:w="0" w:type="auto"/>
            <w:shd w:val="clear" w:color="auto" w:fill="E5F1FF"/>
          </w:tcPr>
          <w:p w14:paraId="3566F1E0" w14:textId="1B4EF110" w:rsidR="009260F1" w:rsidRDefault="009260F1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1.</w:t>
            </w:r>
            <w:r w:rsidR="00E20D2D">
              <w:rPr>
                <w:b/>
                <w:sz w:val="20"/>
              </w:rPr>
              <w:t> 1. </w:t>
            </w:r>
            <w:r>
              <w:rPr>
                <w:b/>
                <w:sz w:val="20"/>
              </w:rPr>
              <w:t>2013</w:t>
            </w:r>
          </w:p>
        </w:tc>
        <w:tc>
          <w:tcPr>
            <w:tcW w:w="0" w:type="auto"/>
            <w:shd w:val="clear" w:color="auto" w:fill="E5F1FF"/>
          </w:tcPr>
          <w:p w14:paraId="4959F00C" w14:textId="148C95F8" w:rsidR="009260F1" w:rsidRPr="008C4A77" w:rsidRDefault="009260F1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31.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12.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2016</w:t>
            </w:r>
          </w:p>
        </w:tc>
        <w:tc>
          <w:tcPr>
            <w:tcW w:w="0" w:type="auto"/>
            <w:shd w:val="clear" w:color="auto" w:fill="E5F1FF"/>
          </w:tcPr>
          <w:p w14:paraId="1A5AD5C0" w14:textId="5AC2E65A" w:rsidR="009260F1" w:rsidRDefault="009260F1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31.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12.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2017</w:t>
            </w:r>
          </w:p>
        </w:tc>
        <w:tc>
          <w:tcPr>
            <w:tcW w:w="0" w:type="auto"/>
            <w:shd w:val="clear" w:color="auto" w:fill="E5F1FF"/>
          </w:tcPr>
          <w:p w14:paraId="29C6F4FA" w14:textId="662529E5" w:rsidR="009260F1" w:rsidRDefault="009260F1" w:rsidP="00E7556C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31.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12.</w:t>
            </w:r>
            <w:r w:rsidR="00E20D2D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2018</w:t>
            </w:r>
          </w:p>
        </w:tc>
      </w:tr>
      <w:tr w:rsidR="00E20D2D" w14:paraId="59F168B9" w14:textId="77777777" w:rsidTr="00E20D2D">
        <w:trPr>
          <w:trHeight w:val="255"/>
          <w:jc w:val="center"/>
        </w:trPr>
        <w:tc>
          <w:tcPr>
            <w:tcW w:w="2494" w:type="dxa"/>
            <w:vAlign w:val="center"/>
          </w:tcPr>
          <w:p w14:paraId="2D8A6162" w14:textId="77777777" w:rsidR="009260F1" w:rsidRPr="006E7812" w:rsidRDefault="009260F1" w:rsidP="00E7556C">
            <w:pPr>
              <w:keepNext/>
              <w:spacing w:after="0" w:line="240" w:lineRule="auto"/>
              <w:ind w:left="-57" w:right="-57" w:firstLine="0"/>
              <w:jc w:val="left"/>
              <w:rPr>
                <w:sz w:val="20"/>
              </w:rPr>
            </w:pPr>
            <w:r w:rsidRPr="006E7812">
              <w:rPr>
                <w:sz w:val="20"/>
              </w:rPr>
              <w:t>ÚPVSP</w:t>
            </w:r>
          </w:p>
        </w:tc>
        <w:tc>
          <w:tcPr>
            <w:tcW w:w="0" w:type="auto"/>
            <w:vAlign w:val="center"/>
          </w:tcPr>
          <w:p w14:paraId="30C6A71F" w14:textId="77777777" w:rsidR="009260F1" w:rsidRPr="006E7812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500624C8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6BDE24D" w14:textId="77777777" w:rsidR="009260F1" w:rsidRPr="006E7812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0" w:type="auto"/>
            <w:vAlign w:val="center"/>
          </w:tcPr>
          <w:p w14:paraId="0D9F6F0E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0" w:type="auto"/>
            <w:vAlign w:val="center"/>
          </w:tcPr>
          <w:p w14:paraId="38741FB6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 w:rsidR="00E20D2D" w14:paraId="06CA39CA" w14:textId="77777777" w:rsidTr="00E20D2D">
        <w:trPr>
          <w:trHeight w:val="255"/>
          <w:jc w:val="center"/>
        </w:trPr>
        <w:tc>
          <w:tcPr>
            <w:tcW w:w="2494" w:type="dxa"/>
            <w:vAlign w:val="center"/>
          </w:tcPr>
          <w:p w14:paraId="1D4B78B8" w14:textId="77777777" w:rsidR="009260F1" w:rsidRPr="006E7812" w:rsidRDefault="009260F1" w:rsidP="00E7556C">
            <w:pPr>
              <w:keepNext/>
              <w:spacing w:after="0" w:line="240" w:lineRule="auto"/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Policejní školy celkem</w:t>
            </w:r>
          </w:p>
        </w:tc>
        <w:tc>
          <w:tcPr>
            <w:tcW w:w="0" w:type="auto"/>
            <w:vAlign w:val="center"/>
          </w:tcPr>
          <w:p w14:paraId="7362F9D1" w14:textId="77777777" w:rsidR="009260F1" w:rsidRPr="006E7812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1 052</w:t>
            </w:r>
          </w:p>
        </w:tc>
        <w:tc>
          <w:tcPr>
            <w:tcW w:w="0" w:type="auto"/>
            <w:vAlign w:val="center"/>
          </w:tcPr>
          <w:p w14:paraId="3716B200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0" w:type="auto"/>
            <w:vAlign w:val="center"/>
          </w:tcPr>
          <w:p w14:paraId="7CB77334" w14:textId="77777777" w:rsidR="009260F1" w:rsidRPr="006E7812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0" w:type="auto"/>
            <w:vAlign w:val="center"/>
          </w:tcPr>
          <w:p w14:paraId="24CB7D7D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0" w:type="auto"/>
            <w:vAlign w:val="center"/>
          </w:tcPr>
          <w:p w14:paraId="2D99F7F5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</w:tr>
      <w:tr w:rsidR="00E20D2D" w14:paraId="60DB1EB8" w14:textId="77777777" w:rsidTr="00E20D2D">
        <w:trPr>
          <w:trHeight w:val="255"/>
          <w:jc w:val="center"/>
        </w:trPr>
        <w:tc>
          <w:tcPr>
            <w:tcW w:w="2494" w:type="dxa"/>
            <w:vAlign w:val="center"/>
          </w:tcPr>
          <w:p w14:paraId="1717AE50" w14:textId="77777777" w:rsidR="009260F1" w:rsidRDefault="009260F1" w:rsidP="00E7556C">
            <w:pPr>
              <w:keepNext/>
              <w:spacing w:after="0" w:line="240" w:lineRule="auto"/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0" w:type="auto"/>
            <w:vAlign w:val="center"/>
          </w:tcPr>
          <w:p w14:paraId="0286E1D2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1 052</w:t>
            </w:r>
          </w:p>
        </w:tc>
        <w:tc>
          <w:tcPr>
            <w:tcW w:w="0" w:type="auto"/>
            <w:vAlign w:val="center"/>
          </w:tcPr>
          <w:p w14:paraId="0B91F5F5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0" w:type="auto"/>
            <w:vAlign w:val="center"/>
          </w:tcPr>
          <w:p w14:paraId="7995621D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14:paraId="72E1E683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0" w:type="auto"/>
            <w:vAlign w:val="center"/>
          </w:tcPr>
          <w:p w14:paraId="5F55278C" w14:textId="77777777" w:rsidR="009260F1" w:rsidRDefault="009260F1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</w:tr>
      <w:tr w:rsidR="00E20D2D" w14:paraId="48A90A41" w14:textId="77777777" w:rsidTr="00E20D2D">
        <w:trPr>
          <w:trHeight w:val="255"/>
          <w:jc w:val="center"/>
        </w:trPr>
        <w:tc>
          <w:tcPr>
            <w:tcW w:w="2494" w:type="dxa"/>
            <w:vAlign w:val="center"/>
          </w:tcPr>
          <w:p w14:paraId="51365228" w14:textId="7A981171" w:rsidR="009260F1" w:rsidRDefault="009260F1" w:rsidP="00E7556C">
            <w:pPr>
              <w:keepNext/>
              <w:spacing w:after="0" w:line="240" w:lineRule="auto"/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Rozdíl k</w:t>
            </w:r>
            <w:r w:rsidR="00B612C9">
              <w:rPr>
                <w:sz w:val="20"/>
              </w:rPr>
              <w:t> předchozímu období</w:t>
            </w:r>
          </w:p>
        </w:tc>
        <w:tc>
          <w:tcPr>
            <w:tcW w:w="0" w:type="auto"/>
            <w:vAlign w:val="center"/>
          </w:tcPr>
          <w:p w14:paraId="2BFAB627" w14:textId="0F15316C" w:rsidR="009260F1" w:rsidRDefault="00B612C9" w:rsidP="00E7556C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C2AC60B" w14:textId="0CD8D6EB" w:rsidR="009260F1" w:rsidRDefault="00FD2007" w:rsidP="00FD2007">
            <w:pPr>
              <w:keepNext/>
              <w:spacing w:after="0" w:line="240" w:lineRule="auto"/>
              <w:ind w:left="0" w:right="98" w:firstLine="0"/>
              <w:jc w:val="right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  <w:r w:rsidR="00B612C9" w:rsidRPr="008B1A26">
              <w:rPr>
                <w:sz w:val="20"/>
              </w:rPr>
              <w:t>327</w:t>
            </w:r>
            <w:r w:rsidR="00B612C9">
              <w:rPr>
                <w:sz w:val="20"/>
              </w:rPr>
              <w:t>*</w:t>
            </w:r>
          </w:p>
        </w:tc>
        <w:tc>
          <w:tcPr>
            <w:tcW w:w="0" w:type="auto"/>
            <w:vAlign w:val="center"/>
          </w:tcPr>
          <w:p w14:paraId="1FFC5F9A" w14:textId="75B99B48" w:rsidR="009260F1" w:rsidRDefault="009260F1" w:rsidP="00FD2007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+103</w:t>
            </w:r>
          </w:p>
        </w:tc>
        <w:tc>
          <w:tcPr>
            <w:tcW w:w="0" w:type="auto"/>
            <w:vAlign w:val="center"/>
          </w:tcPr>
          <w:p w14:paraId="2FEC54FD" w14:textId="6C8715E9" w:rsidR="009260F1" w:rsidRDefault="009260F1" w:rsidP="00FD2007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B612C9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88530AD" w14:textId="1560761F" w:rsidR="009260F1" w:rsidRDefault="009260F1" w:rsidP="00FD2007">
            <w:pPr>
              <w:keepNext/>
              <w:spacing w:after="0" w:line="240" w:lineRule="auto"/>
              <w:ind w:left="0" w:right="219" w:firstLine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B612C9">
              <w:rPr>
                <w:sz w:val="20"/>
              </w:rPr>
              <w:t>24</w:t>
            </w:r>
          </w:p>
        </w:tc>
      </w:tr>
    </w:tbl>
    <w:p w14:paraId="17FB3C4D" w14:textId="30A03B16" w:rsidR="009260F1" w:rsidRDefault="009260F1" w:rsidP="008C1E44">
      <w:pPr>
        <w:shd w:val="clear" w:color="auto" w:fill="FFFFFF" w:themeFill="background1"/>
        <w:spacing w:before="40" w:after="0" w:line="240" w:lineRule="auto"/>
        <w:ind w:left="0" w:right="0" w:firstLine="0"/>
        <w:rPr>
          <w:sz w:val="20"/>
          <w:szCs w:val="20"/>
        </w:rPr>
      </w:pPr>
      <w:r w:rsidRPr="00F4423F">
        <w:rPr>
          <w:b/>
          <w:sz w:val="20"/>
          <w:szCs w:val="20"/>
        </w:rPr>
        <w:t>Zdroj:</w:t>
      </w:r>
      <w:r w:rsidRPr="00FC2282">
        <w:rPr>
          <w:sz w:val="20"/>
          <w:szCs w:val="20"/>
        </w:rPr>
        <w:t xml:space="preserve"> </w:t>
      </w:r>
      <w:r w:rsidR="007D4075">
        <w:rPr>
          <w:sz w:val="20"/>
          <w:szCs w:val="20"/>
        </w:rPr>
        <w:t>i</w:t>
      </w:r>
      <w:r w:rsidRPr="00FC2282">
        <w:rPr>
          <w:sz w:val="20"/>
          <w:szCs w:val="20"/>
        </w:rPr>
        <w:t xml:space="preserve">nformace z PČR, VPŠ a SPŠ v Holešově a </w:t>
      </w:r>
      <w:r w:rsidR="00BE69A7">
        <w:rPr>
          <w:sz w:val="20"/>
          <w:szCs w:val="20"/>
        </w:rPr>
        <w:t xml:space="preserve">VPŠ a SPŠ </w:t>
      </w:r>
      <w:r w:rsidRPr="00FC2282">
        <w:rPr>
          <w:sz w:val="20"/>
          <w:szCs w:val="20"/>
        </w:rPr>
        <w:t xml:space="preserve">v Praze, výpočet </w:t>
      </w:r>
      <w:r w:rsidR="007D4075">
        <w:rPr>
          <w:sz w:val="20"/>
          <w:szCs w:val="20"/>
        </w:rPr>
        <w:t xml:space="preserve">vypracoval </w:t>
      </w:r>
      <w:r w:rsidRPr="00FC2282">
        <w:rPr>
          <w:sz w:val="20"/>
          <w:szCs w:val="20"/>
        </w:rPr>
        <w:t>NKÚ.</w:t>
      </w:r>
    </w:p>
    <w:p w14:paraId="767B7C1D" w14:textId="2AC66CD5" w:rsidR="001238AC" w:rsidRDefault="001238AC" w:rsidP="008C1E44">
      <w:pPr>
        <w:shd w:val="clear" w:color="auto" w:fill="FFFFFF" w:themeFill="background1"/>
        <w:spacing w:line="240" w:lineRule="auto"/>
        <w:ind w:left="0" w:right="0" w:firstLine="0"/>
        <w:rPr>
          <w:sz w:val="20"/>
          <w:szCs w:val="20"/>
        </w:rPr>
      </w:pPr>
      <w:r w:rsidRPr="0003329E">
        <w:rPr>
          <w:b/>
          <w:sz w:val="20"/>
          <w:szCs w:val="20"/>
        </w:rPr>
        <w:t>Pozn.:</w:t>
      </w:r>
      <w:r w:rsidRPr="001238AC">
        <w:rPr>
          <w:sz w:val="20"/>
          <w:szCs w:val="20"/>
        </w:rPr>
        <w:t xml:space="preserve"> </w:t>
      </w:r>
      <w:r w:rsidRPr="005914CA">
        <w:rPr>
          <w:sz w:val="20"/>
          <w:szCs w:val="20"/>
        </w:rPr>
        <w:t>*</w:t>
      </w:r>
      <w:r w:rsidR="00324575">
        <w:rPr>
          <w:sz w:val="20"/>
          <w:szCs w:val="20"/>
        </w:rPr>
        <w:t xml:space="preserve"> </w:t>
      </w:r>
      <w:r w:rsidR="005914CA">
        <w:rPr>
          <w:sz w:val="20"/>
          <w:szCs w:val="20"/>
        </w:rPr>
        <w:t>Jedná se o zrušení jak obsazených</w:t>
      </w:r>
      <w:r w:rsidR="00626A31">
        <w:rPr>
          <w:sz w:val="20"/>
          <w:szCs w:val="20"/>
        </w:rPr>
        <w:t>,</w:t>
      </w:r>
      <w:r w:rsidR="005914CA">
        <w:rPr>
          <w:sz w:val="20"/>
          <w:szCs w:val="20"/>
        </w:rPr>
        <w:t xml:space="preserve"> tak neobsazených pracovních míst.</w:t>
      </w:r>
    </w:p>
    <w:p w14:paraId="23CAC372" w14:textId="34F9B662" w:rsidR="009260F1" w:rsidRDefault="00AB2286" w:rsidP="008C1E44">
      <w:pPr>
        <w:shd w:val="clear" w:color="auto" w:fill="FFFFFF" w:themeFill="background1"/>
        <w:spacing w:line="240" w:lineRule="auto"/>
        <w:ind w:left="0" w:right="0" w:firstLine="0"/>
        <w:rPr>
          <w:color w:val="auto"/>
        </w:rPr>
      </w:pPr>
      <w:r>
        <w:rPr>
          <w:color w:val="auto"/>
        </w:rPr>
        <w:t>P</w:t>
      </w:r>
      <w:r w:rsidR="009260F1" w:rsidRPr="00E71DD2">
        <w:rPr>
          <w:color w:val="auto"/>
        </w:rPr>
        <w:t xml:space="preserve">očet zaměstnanců </w:t>
      </w:r>
      <w:r w:rsidR="009260F1">
        <w:rPr>
          <w:color w:val="auto"/>
        </w:rPr>
        <w:t xml:space="preserve">v oblasti </w:t>
      </w:r>
      <w:r w:rsidR="009260F1" w:rsidRPr="00E71DD2">
        <w:rPr>
          <w:color w:val="auto"/>
        </w:rPr>
        <w:t>policejní</w:t>
      </w:r>
      <w:r w:rsidR="009260F1">
        <w:rPr>
          <w:color w:val="auto"/>
        </w:rPr>
        <w:t>ho</w:t>
      </w:r>
      <w:r w:rsidR="009260F1" w:rsidRPr="00E71DD2">
        <w:rPr>
          <w:color w:val="auto"/>
        </w:rPr>
        <w:t xml:space="preserve"> vzdělávání vzrostl </w:t>
      </w:r>
      <w:r w:rsidR="00F53421">
        <w:rPr>
          <w:color w:val="auto"/>
        </w:rPr>
        <w:t xml:space="preserve">v období </w:t>
      </w:r>
      <w:r w:rsidR="003C0304">
        <w:rPr>
          <w:color w:val="auto"/>
        </w:rPr>
        <w:t xml:space="preserve">2013 </w:t>
      </w:r>
      <w:r w:rsidR="00F53421">
        <w:rPr>
          <w:color w:val="auto"/>
        </w:rPr>
        <w:t>až 2018</w:t>
      </w:r>
      <w:r w:rsidR="00144024">
        <w:rPr>
          <w:color w:val="auto"/>
        </w:rPr>
        <w:t xml:space="preserve"> </w:t>
      </w:r>
      <w:r w:rsidR="0003329E">
        <w:rPr>
          <w:color w:val="auto"/>
        </w:rPr>
        <w:t>o </w:t>
      </w:r>
      <w:r w:rsidR="009260F1" w:rsidRPr="00E71DD2">
        <w:rPr>
          <w:color w:val="auto"/>
        </w:rPr>
        <w:t>131</w:t>
      </w:r>
      <w:r w:rsidR="0003329E">
        <w:rPr>
          <w:color w:val="auto"/>
        </w:rPr>
        <w:t> </w:t>
      </w:r>
      <w:r w:rsidR="009260F1">
        <w:rPr>
          <w:color w:val="auto"/>
        </w:rPr>
        <w:t>pracovních míst</w:t>
      </w:r>
      <w:r>
        <w:rPr>
          <w:color w:val="auto"/>
        </w:rPr>
        <w:t xml:space="preserve">, tj. o 18 %, </w:t>
      </w:r>
      <w:r w:rsidR="00F53421">
        <w:rPr>
          <w:color w:val="auto"/>
        </w:rPr>
        <w:t>a dosahuje tak z 81 % stavu před reorganizací v roce 2012.</w:t>
      </w:r>
      <w:r w:rsidR="00CB018A">
        <w:rPr>
          <w:color w:val="auto"/>
        </w:rPr>
        <w:t xml:space="preserve"> </w:t>
      </w:r>
      <w:r w:rsidR="009260F1">
        <w:rPr>
          <w:color w:val="auto"/>
        </w:rPr>
        <w:t>MV</w:t>
      </w:r>
      <w:r>
        <w:rPr>
          <w:color w:val="auto"/>
        </w:rPr>
        <w:t xml:space="preserve"> </w:t>
      </w:r>
      <w:r w:rsidR="00CB018A">
        <w:rPr>
          <w:color w:val="auto"/>
        </w:rPr>
        <w:t xml:space="preserve">přitom </w:t>
      </w:r>
      <w:r w:rsidR="009260F1">
        <w:rPr>
          <w:color w:val="auto"/>
        </w:rPr>
        <w:t xml:space="preserve">předpokládá, že personální obsazení ÚPVSP bude </w:t>
      </w:r>
      <w:r w:rsidR="00CB018A">
        <w:rPr>
          <w:color w:val="auto"/>
        </w:rPr>
        <w:t xml:space="preserve">do roku 2022 </w:t>
      </w:r>
      <w:r w:rsidR="0003329E">
        <w:rPr>
          <w:color w:val="auto"/>
        </w:rPr>
        <w:t>průběžně navýšeno o </w:t>
      </w:r>
      <w:r w:rsidR="009260F1">
        <w:rPr>
          <w:color w:val="auto"/>
        </w:rPr>
        <w:t xml:space="preserve">dalších 86 pracovních míst. </w:t>
      </w:r>
    </w:p>
    <w:p w14:paraId="017A92B7" w14:textId="3BDB7D28" w:rsidR="00881777" w:rsidRPr="00174121" w:rsidRDefault="00174121" w:rsidP="008C1E44">
      <w:pPr>
        <w:keepNext/>
        <w:shd w:val="clear" w:color="auto" w:fill="FFFFFF" w:themeFill="background1"/>
        <w:spacing w:before="240" w:line="240" w:lineRule="auto"/>
        <w:ind w:left="0" w:right="0" w:firstLine="0"/>
        <w:rPr>
          <w:b/>
        </w:rPr>
      </w:pPr>
      <w:r>
        <w:rPr>
          <w:b/>
        </w:rPr>
        <w:t xml:space="preserve">3. </w:t>
      </w:r>
      <w:r w:rsidR="001D66FE" w:rsidRPr="00174121">
        <w:rPr>
          <w:b/>
        </w:rPr>
        <w:t xml:space="preserve">MV </w:t>
      </w:r>
      <w:r w:rsidR="00AB2286" w:rsidRPr="00174121">
        <w:rPr>
          <w:b/>
        </w:rPr>
        <w:t>nevytvořilo podmínky pro plnění úkolů PČR</w:t>
      </w:r>
      <w:r w:rsidR="001D66FE" w:rsidRPr="00174121">
        <w:rPr>
          <w:b/>
        </w:rPr>
        <w:t xml:space="preserve"> </w:t>
      </w:r>
    </w:p>
    <w:p w14:paraId="4983F1CB" w14:textId="4E2E10CD" w:rsidR="00707CC5" w:rsidRDefault="008A40DD" w:rsidP="008C1E44">
      <w:pPr>
        <w:pStyle w:val="Odstavecseseznamem"/>
        <w:shd w:val="clear" w:color="auto" w:fill="FFFFFF" w:themeFill="background1"/>
        <w:spacing w:line="240" w:lineRule="auto"/>
        <w:ind w:left="0" w:right="0" w:firstLine="0"/>
        <w:contextualSpacing w:val="0"/>
        <w:rPr>
          <w:shd w:val="clear" w:color="auto" w:fill="FFFFFF" w:themeFill="background1"/>
        </w:rPr>
      </w:pPr>
      <w:r w:rsidRPr="00881777">
        <w:rPr>
          <w:shd w:val="clear" w:color="auto" w:fill="FFFFFF" w:themeFill="background1"/>
        </w:rPr>
        <w:t>NKÚ pos</w:t>
      </w:r>
      <w:r w:rsidR="00881777">
        <w:rPr>
          <w:shd w:val="clear" w:color="auto" w:fill="FFFFFF" w:themeFill="background1"/>
        </w:rPr>
        <w:t xml:space="preserve">oudil </w:t>
      </w:r>
      <w:r w:rsidR="00AB2286">
        <w:rPr>
          <w:shd w:val="clear" w:color="auto" w:fill="FFFFFF" w:themeFill="background1"/>
        </w:rPr>
        <w:t>obsah</w:t>
      </w:r>
      <w:r w:rsidRPr="00881777">
        <w:rPr>
          <w:shd w:val="clear" w:color="auto" w:fill="FFFFFF" w:themeFill="background1"/>
        </w:rPr>
        <w:t xml:space="preserve"> koncepčních dokumentů </w:t>
      </w:r>
      <w:r w:rsidR="001F0E3E">
        <w:rPr>
          <w:shd w:val="clear" w:color="auto" w:fill="FFFFFF" w:themeFill="background1"/>
        </w:rPr>
        <w:t xml:space="preserve">MV </w:t>
      </w:r>
      <w:r w:rsidR="00881777" w:rsidRPr="009F7351">
        <w:t>v oblasti policejního vzdělávání</w:t>
      </w:r>
      <w:r w:rsidR="00AB2286">
        <w:t>, které by měly vytvářet podmínky</w:t>
      </w:r>
      <w:r w:rsidR="00881777" w:rsidRPr="009F7351">
        <w:t xml:space="preserve"> pro plnění úkolů PČR</w:t>
      </w:r>
      <w:r w:rsidR="00881777">
        <w:t xml:space="preserve">. </w:t>
      </w:r>
      <w:r w:rsidR="00C14F84">
        <w:t>Plnění cílů Koncepce z roku 2017 bylo</w:t>
      </w:r>
      <w:r w:rsidR="00C14F84">
        <w:rPr>
          <w:shd w:val="clear" w:color="auto" w:fill="FFFFFF" w:themeFill="background1"/>
        </w:rPr>
        <w:t xml:space="preserve"> z důvodu neplnění plánovaného počtu policistů prodlouženo do roku 2022 (např. efektivní a etické řízení lidských zdrojů nebo zefektivnění systému vzdělávání)</w:t>
      </w:r>
      <w:r w:rsidR="00C14F84" w:rsidRPr="00FC2B03">
        <w:rPr>
          <w:shd w:val="clear" w:color="auto" w:fill="FFFFFF" w:themeFill="background1"/>
        </w:rPr>
        <w:t xml:space="preserve">. </w:t>
      </w:r>
      <w:r w:rsidR="001F0E3E">
        <w:rPr>
          <w:shd w:val="clear" w:color="auto" w:fill="FFFFFF" w:themeFill="background1"/>
        </w:rPr>
        <w:t>MV</w:t>
      </w:r>
      <w:r w:rsidR="00400A7B">
        <w:rPr>
          <w:shd w:val="clear" w:color="auto" w:fill="FFFFFF" w:themeFill="background1"/>
        </w:rPr>
        <w:t xml:space="preserve"> to </w:t>
      </w:r>
      <w:r w:rsidR="00A84FF5">
        <w:rPr>
          <w:shd w:val="clear" w:color="auto" w:fill="FFFFFF" w:themeFill="background1"/>
        </w:rPr>
        <w:t xml:space="preserve">odůvodnilo </w:t>
      </w:r>
      <w:r w:rsidR="001F0E3E" w:rsidRPr="00FC2B03">
        <w:rPr>
          <w:shd w:val="clear" w:color="auto" w:fill="FFFFFF" w:themeFill="background1"/>
        </w:rPr>
        <w:t>nízk</w:t>
      </w:r>
      <w:r w:rsidR="001F0E3E">
        <w:rPr>
          <w:shd w:val="clear" w:color="auto" w:fill="FFFFFF" w:themeFill="background1"/>
        </w:rPr>
        <w:t>ou</w:t>
      </w:r>
      <w:r w:rsidR="001F0E3E" w:rsidRPr="00FC2B03">
        <w:rPr>
          <w:shd w:val="clear" w:color="auto" w:fill="FFFFFF" w:themeFill="background1"/>
        </w:rPr>
        <w:t xml:space="preserve"> mír</w:t>
      </w:r>
      <w:r w:rsidR="00400A7B">
        <w:rPr>
          <w:shd w:val="clear" w:color="auto" w:fill="FFFFFF" w:themeFill="background1"/>
        </w:rPr>
        <w:t>ou</w:t>
      </w:r>
      <w:r w:rsidR="001F0E3E" w:rsidRPr="00FC2B03">
        <w:rPr>
          <w:shd w:val="clear" w:color="auto" w:fill="FFFFFF" w:themeFill="background1"/>
        </w:rPr>
        <w:t xml:space="preserve"> nezaměstnanosti</w:t>
      </w:r>
      <w:r w:rsidR="001F0E3E">
        <w:rPr>
          <w:shd w:val="clear" w:color="auto" w:fill="FFFFFF" w:themeFill="background1"/>
        </w:rPr>
        <w:t xml:space="preserve"> a nízkou </w:t>
      </w:r>
      <w:r w:rsidR="001F0E3E" w:rsidRPr="00FC2B03">
        <w:rPr>
          <w:shd w:val="clear" w:color="auto" w:fill="FFFFFF" w:themeFill="background1"/>
        </w:rPr>
        <w:t>konkurenceschopnost</w:t>
      </w:r>
      <w:r w:rsidR="00A84FF5">
        <w:rPr>
          <w:shd w:val="clear" w:color="auto" w:fill="FFFFFF" w:themeFill="background1"/>
        </w:rPr>
        <w:t>í</w:t>
      </w:r>
      <w:r w:rsidR="001F0E3E" w:rsidRPr="00FC2B03">
        <w:rPr>
          <w:shd w:val="clear" w:color="auto" w:fill="FFFFFF" w:themeFill="background1"/>
        </w:rPr>
        <w:t xml:space="preserve"> PČR</w:t>
      </w:r>
      <w:r w:rsidR="001F0E3E">
        <w:rPr>
          <w:shd w:val="clear" w:color="auto" w:fill="FFFFFF" w:themeFill="background1"/>
        </w:rPr>
        <w:t xml:space="preserve"> na trhu práce.</w:t>
      </w:r>
      <w:r w:rsidR="00707CC5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MV navrh</w:t>
      </w:r>
      <w:r w:rsidR="00AB2286">
        <w:rPr>
          <w:shd w:val="clear" w:color="auto" w:fill="FFFFFF" w:themeFill="background1"/>
        </w:rPr>
        <w:t>lo</w:t>
      </w:r>
      <w:r w:rsidR="001F0E3E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ř</w:t>
      </w:r>
      <w:r w:rsidRPr="00FC2B03">
        <w:rPr>
          <w:shd w:val="clear" w:color="auto" w:fill="FFFFFF" w:themeFill="background1"/>
        </w:rPr>
        <w:t>eš</w:t>
      </w:r>
      <w:r>
        <w:rPr>
          <w:shd w:val="clear" w:color="auto" w:fill="FFFFFF" w:themeFill="background1"/>
        </w:rPr>
        <w:t>it</w:t>
      </w:r>
      <w:r w:rsidRPr="00FC2B03">
        <w:rPr>
          <w:shd w:val="clear" w:color="auto" w:fill="FFFFFF" w:themeFill="background1"/>
        </w:rPr>
        <w:t xml:space="preserve"> </w:t>
      </w:r>
      <w:r w:rsidR="001F0E3E">
        <w:rPr>
          <w:shd w:val="clear" w:color="auto" w:fill="FFFFFF" w:themeFill="background1"/>
        </w:rPr>
        <w:t>nedostatečný počet policistů</w:t>
      </w:r>
      <w:r w:rsidRPr="00FC2B03">
        <w:rPr>
          <w:shd w:val="clear" w:color="auto" w:fill="FFFFFF" w:themeFill="background1"/>
        </w:rPr>
        <w:t xml:space="preserve"> např. přijímání</w:t>
      </w:r>
      <w:r>
        <w:rPr>
          <w:shd w:val="clear" w:color="auto" w:fill="FFFFFF" w:themeFill="background1"/>
        </w:rPr>
        <w:t>m</w:t>
      </w:r>
      <w:r w:rsidRPr="00FC2B03">
        <w:rPr>
          <w:shd w:val="clear" w:color="auto" w:fill="FFFFFF" w:themeFill="background1"/>
        </w:rPr>
        <w:t xml:space="preserve"> osob s cizí státní příslušností </w:t>
      </w:r>
      <w:r w:rsidR="001F0E3E">
        <w:rPr>
          <w:shd w:val="clear" w:color="auto" w:fill="FFFFFF" w:themeFill="background1"/>
        </w:rPr>
        <w:t>nebo</w:t>
      </w:r>
      <w:r w:rsidRPr="00FC2B03">
        <w:rPr>
          <w:shd w:val="clear" w:color="auto" w:fill="FFFFFF" w:themeFill="background1"/>
        </w:rPr>
        <w:t xml:space="preserve"> přijímání</w:t>
      </w:r>
      <w:r>
        <w:rPr>
          <w:shd w:val="clear" w:color="auto" w:fill="FFFFFF" w:themeFill="background1"/>
        </w:rPr>
        <w:t>m</w:t>
      </w:r>
      <w:r w:rsidRPr="00FC2B03">
        <w:rPr>
          <w:shd w:val="clear" w:color="auto" w:fill="FFFFFF" w:themeFill="background1"/>
        </w:rPr>
        <w:t xml:space="preserve"> osob se </w:t>
      </w:r>
      <w:r>
        <w:rPr>
          <w:shd w:val="clear" w:color="auto" w:fill="FFFFFF" w:themeFill="background1"/>
        </w:rPr>
        <w:t xml:space="preserve">středním vzděláním bez maturity. </w:t>
      </w:r>
    </w:p>
    <w:p w14:paraId="5ABCC436" w14:textId="6D1EAAD0" w:rsidR="002E3F1F" w:rsidRDefault="00A84FF5" w:rsidP="008C1E44">
      <w:pPr>
        <w:pStyle w:val="Odstavecseseznamem"/>
        <w:spacing w:line="240" w:lineRule="auto"/>
        <w:ind w:left="0" w:right="0" w:firstLine="0"/>
        <w:contextualSpacing w:val="0"/>
      </w:pPr>
      <w:r>
        <w:rPr>
          <w:shd w:val="clear" w:color="auto" w:fill="FFFFFF" w:themeFill="background1"/>
        </w:rPr>
        <w:t xml:space="preserve">MV v Koncepci </w:t>
      </w:r>
      <w:r w:rsidR="00AB2286">
        <w:rPr>
          <w:shd w:val="clear" w:color="auto" w:fill="FFFFFF" w:themeFill="background1"/>
        </w:rPr>
        <w:t xml:space="preserve">naopak </w:t>
      </w:r>
      <w:r w:rsidR="00233796">
        <w:rPr>
          <w:shd w:val="clear" w:color="auto" w:fill="FFFFFF" w:themeFill="background1"/>
        </w:rPr>
        <w:t xml:space="preserve">neuvedlo </w:t>
      </w:r>
      <w:r>
        <w:rPr>
          <w:shd w:val="clear" w:color="auto" w:fill="FFFFFF" w:themeFill="background1"/>
        </w:rPr>
        <w:t>žádné aktivity směřující ke z</w:t>
      </w:r>
      <w:r w:rsidR="008A40DD" w:rsidRPr="00FC2B03">
        <w:rPr>
          <w:shd w:val="clear" w:color="auto" w:fill="FFFFFF" w:themeFill="background1"/>
        </w:rPr>
        <w:t>výšení motivace uchazečů mezi absolventy středních policejních škol</w:t>
      </w:r>
      <w:r w:rsidR="008A40DD">
        <w:rPr>
          <w:shd w:val="clear" w:color="auto" w:fill="FFFFFF" w:themeFill="background1"/>
        </w:rPr>
        <w:t xml:space="preserve"> </w:t>
      </w:r>
      <w:r w:rsidR="008A40DD" w:rsidRPr="00296EEC">
        <w:t xml:space="preserve">oboru </w:t>
      </w:r>
      <w:r w:rsidR="001F0E3E" w:rsidRPr="00A84FF5">
        <w:t>BPČ</w:t>
      </w:r>
      <w:r w:rsidR="008A40DD" w:rsidRPr="00FC2B03">
        <w:rPr>
          <w:shd w:val="clear" w:color="auto" w:fill="FFFFFF" w:themeFill="background1"/>
        </w:rPr>
        <w:t>.</w:t>
      </w:r>
      <w:r w:rsidR="00707CC5">
        <w:t xml:space="preserve"> </w:t>
      </w:r>
      <w:r w:rsidR="00715DE8">
        <w:t>MV</w:t>
      </w:r>
      <w:r w:rsidR="008A40DD">
        <w:t xml:space="preserve"> tak </w:t>
      </w:r>
      <w:r w:rsidR="00E40C1A">
        <w:t>nezohlednilo</w:t>
      </w:r>
      <w:r w:rsidR="008A40DD">
        <w:t xml:space="preserve"> </w:t>
      </w:r>
      <w:r w:rsidR="00D82AA6">
        <w:t>ustanovení</w:t>
      </w:r>
      <w:r w:rsidR="008A40DD">
        <w:t xml:space="preserve"> zákon</w:t>
      </w:r>
      <w:r w:rsidR="00D82AA6">
        <w:t>a</w:t>
      </w:r>
      <w:r w:rsidR="008A40DD">
        <w:rPr>
          <w:rStyle w:val="Znakapoznpodarou"/>
        </w:rPr>
        <w:footnoteReference w:id="18"/>
      </w:r>
      <w:r w:rsidR="008A40DD">
        <w:t xml:space="preserve">, kterým je služební místo charakterizováno mimo jiné stupněm vzdělání, oborem nebo zaměřením vzdělání. </w:t>
      </w:r>
      <w:r w:rsidR="00715DE8">
        <w:t xml:space="preserve">Studijní obor BPČ </w:t>
      </w:r>
      <w:r w:rsidR="00715DE8" w:rsidRPr="008B399F">
        <w:t xml:space="preserve">je </w:t>
      </w:r>
      <w:r w:rsidR="00715DE8">
        <w:t>vyučován</w:t>
      </w:r>
      <w:r w:rsidR="00715DE8" w:rsidRPr="008B399F">
        <w:t xml:space="preserve"> na policejních školách a zároveň na dalších </w:t>
      </w:r>
      <w:r w:rsidR="00715DE8">
        <w:t>29</w:t>
      </w:r>
      <w:r w:rsidR="00715DE8" w:rsidRPr="008B399F">
        <w:t xml:space="preserve"> středních školách</w:t>
      </w:r>
      <w:r w:rsidR="00715DE8">
        <w:t xml:space="preserve">. MV </w:t>
      </w:r>
      <w:r w:rsidR="00707CC5">
        <w:t xml:space="preserve">již </w:t>
      </w:r>
      <w:r w:rsidR="00715DE8">
        <w:t xml:space="preserve">v </w:t>
      </w:r>
      <w:r w:rsidR="00715DE8" w:rsidRPr="006C2AB5">
        <w:t xml:space="preserve">roce 2012 vyčíslilo, že přednostním přijímáním absolventů </w:t>
      </w:r>
      <w:r w:rsidR="00715DE8">
        <w:t xml:space="preserve">tohoto </w:t>
      </w:r>
      <w:r w:rsidR="00715DE8" w:rsidRPr="006C2AB5">
        <w:t>studijního oboru, při standardním přijímání 1 500 nových policistů</w:t>
      </w:r>
      <w:r w:rsidR="00F44E15">
        <w:t>,</w:t>
      </w:r>
      <w:r w:rsidR="00715DE8" w:rsidRPr="006C2AB5">
        <w:t xml:space="preserve"> </w:t>
      </w:r>
      <w:r w:rsidR="00715DE8">
        <w:t xml:space="preserve">lze </w:t>
      </w:r>
      <w:r w:rsidR="00715DE8" w:rsidRPr="006C2AB5">
        <w:t>ročně dosáhnout úspor od 114 do</w:t>
      </w:r>
      <w:r w:rsidR="00707CC5">
        <w:t xml:space="preserve"> </w:t>
      </w:r>
      <w:r w:rsidR="00715DE8" w:rsidRPr="006C2AB5">
        <w:t>262 mil. Kč</w:t>
      </w:r>
      <w:r w:rsidR="00715DE8">
        <w:t xml:space="preserve">. Snížení nákladů vyplývá </w:t>
      </w:r>
      <w:r w:rsidR="004C3289">
        <w:t xml:space="preserve">především </w:t>
      </w:r>
      <w:r w:rsidR="00715DE8">
        <w:t>z následného zkrácení ZOP absolventů oboru BPČ</w:t>
      </w:r>
      <w:r w:rsidR="00715DE8" w:rsidRPr="006C2AB5">
        <w:t>.</w:t>
      </w:r>
      <w:r w:rsidR="00715DE8" w:rsidRPr="006861FE">
        <w:t xml:space="preserve"> </w:t>
      </w:r>
      <w:r w:rsidR="002E3F1F">
        <w:t xml:space="preserve">NKÚ zjistil, že z celkového počtu 5 160 přijatých uchazečů k PČR v letech 2013 až 2017 bylo pouze 190 absolventů (tj. 4 %) z 29 středních škol s oborem BPČ. </w:t>
      </w:r>
    </w:p>
    <w:p w14:paraId="7EBFF364" w14:textId="5DD020B4" w:rsidR="00236BFB" w:rsidRDefault="00AB2286" w:rsidP="008C1E44">
      <w:pPr>
        <w:pStyle w:val="Odstavecseseznamem"/>
        <w:spacing w:line="240" w:lineRule="auto"/>
        <w:ind w:left="0" w:right="0" w:firstLine="0"/>
        <w:contextualSpacing w:val="0"/>
      </w:pPr>
      <w:r w:rsidRPr="005D4D97">
        <w:t xml:space="preserve">Na Koncepci </w:t>
      </w:r>
      <w:r w:rsidR="00625BBA">
        <w:t>navázala v únoru 2018</w:t>
      </w:r>
      <w:r w:rsidR="00A10A18">
        <w:t xml:space="preserve"> </w:t>
      </w:r>
      <w:r w:rsidR="00625BBA">
        <w:t>schválená</w:t>
      </w:r>
      <w:r w:rsidRPr="005D4D97">
        <w:t xml:space="preserve"> </w:t>
      </w:r>
      <w:r w:rsidRPr="005D4D97">
        <w:rPr>
          <w:i/>
        </w:rPr>
        <w:t>Strategie řízení lidských zdrojů</w:t>
      </w:r>
      <w:r>
        <w:rPr>
          <w:i/>
        </w:rPr>
        <w:t xml:space="preserve"> </w:t>
      </w:r>
      <w:r w:rsidRPr="00776FB3">
        <w:t>(dále také „Strategie“),</w:t>
      </w:r>
      <w:r w:rsidR="00A10A18">
        <w:t xml:space="preserve"> </w:t>
      </w:r>
      <w:r w:rsidRPr="005D4D97">
        <w:t xml:space="preserve">která představuje první strategický materiál PČR zabývající se lidskými zdroji. Obdobně jako v Koncepci není </w:t>
      </w:r>
      <w:r>
        <w:t xml:space="preserve">ve Strategii zmíněna </w:t>
      </w:r>
      <w:r w:rsidRPr="005D4D97">
        <w:t xml:space="preserve">orientace na </w:t>
      </w:r>
      <w:r>
        <w:t>příjem</w:t>
      </w:r>
      <w:r w:rsidRPr="005D4D97">
        <w:t xml:space="preserve"> absolventů středních policejních škol.</w:t>
      </w:r>
      <w:r>
        <w:rPr>
          <w:shd w:val="clear" w:color="auto" w:fill="FFFFFF" w:themeFill="background1"/>
        </w:rPr>
        <w:t xml:space="preserve"> </w:t>
      </w:r>
      <w:r>
        <w:t xml:space="preserve">PČR také nevyužívá kariérní plánování vycházející z kompetenčního modelu, který nemá zpracovaný v rozsahu celé systemizace. </w:t>
      </w:r>
    </w:p>
    <w:p w14:paraId="718088DF" w14:textId="705B34E9" w:rsidR="00707CC5" w:rsidRDefault="00AB2286" w:rsidP="008C1E44">
      <w:pPr>
        <w:pStyle w:val="Odstavecseseznamem"/>
        <w:spacing w:line="240" w:lineRule="auto"/>
        <w:ind w:left="0" w:right="0" w:firstLine="0"/>
        <w:contextualSpacing w:val="0"/>
        <w:rPr>
          <w:i/>
        </w:rPr>
      </w:pPr>
      <w:r w:rsidRPr="003E1860">
        <w:rPr>
          <w:i/>
          <w:shd w:val="clear" w:color="auto" w:fill="FFFFFF" w:themeFill="background1"/>
        </w:rPr>
        <w:t>Koncepc</w:t>
      </w:r>
      <w:r w:rsidR="00F561EF">
        <w:rPr>
          <w:i/>
          <w:shd w:val="clear" w:color="auto" w:fill="FFFFFF" w:themeFill="background1"/>
        </w:rPr>
        <w:t>e</w:t>
      </w:r>
      <w:r w:rsidRPr="003E1860">
        <w:rPr>
          <w:i/>
          <w:shd w:val="clear" w:color="auto" w:fill="FFFFFF" w:themeFill="background1"/>
        </w:rPr>
        <w:t xml:space="preserve"> celoživotního vzdělávání příslušník</w:t>
      </w:r>
      <w:r>
        <w:rPr>
          <w:i/>
          <w:shd w:val="clear" w:color="auto" w:fill="FFFFFF" w:themeFill="background1"/>
        </w:rPr>
        <w:t>ů</w:t>
      </w:r>
      <w:r w:rsidRPr="003E1860">
        <w:rPr>
          <w:i/>
          <w:shd w:val="clear" w:color="auto" w:fill="FFFFFF" w:themeFill="background1"/>
        </w:rPr>
        <w:t xml:space="preserve"> Policie ČR</w:t>
      </w:r>
      <w:r>
        <w:rPr>
          <w:i/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>kterou zpracovalo MV již</w:t>
      </w:r>
      <w:r w:rsidRPr="003E1860">
        <w:rPr>
          <w:shd w:val="clear" w:color="auto" w:fill="FFFFFF" w:themeFill="background1"/>
        </w:rPr>
        <w:t xml:space="preserve"> v roce 2008, nebyla </w:t>
      </w:r>
      <w:r>
        <w:rPr>
          <w:shd w:val="clear" w:color="auto" w:fill="FFFFFF" w:themeFill="background1"/>
        </w:rPr>
        <w:t xml:space="preserve">do doby ukončení kontroly </w:t>
      </w:r>
      <w:r w:rsidRPr="003E1860">
        <w:rPr>
          <w:shd w:val="clear" w:color="auto" w:fill="FFFFFF" w:themeFill="background1"/>
        </w:rPr>
        <w:t>aktualizována.</w:t>
      </w:r>
      <w:r w:rsidR="00715DE8">
        <w:t xml:space="preserve"> </w:t>
      </w:r>
      <w:r>
        <w:t xml:space="preserve">MV dále nezajistilo realizaci koncepčních opatření ke zvýšení efektivnosti systému vzdělávání policistů, např. </w:t>
      </w:r>
      <w:r w:rsidRPr="00893404">
        <w:t xml:space="preserve">nemělo ucelený systém požadavků na vzdělání </w:t>
      </w:r>
      <w:r w:rsidRPr="00950D22">
        <w:t xml:space="preserve">příslušníků a zaměstnanců PČR. </w:t>
      </w:r>
      <w:r>
        <w:t xml:space="preserve">MV </w:t>
      </w:r>
      <w:r w:rsidRPr="006A0277">
        <w:t>do doby ukončení kontroly nezpracovalo</w:t>
      </w:r>
      <w:r w:rsidRPr="00FF4F7B">
        <w:rPr>
          <w:i/>
        </w:rPr>
        <w:t xml:space="preserve"> </w:t>
      </w:r>
      <w:r w:rsidRPr="00F304E5">
        <w:rPr>
          <w:iCs/>
        </w:rPr>
        <w:t xml:space="preserve">ani </w:t>
      </w:r>
      <w:r w:rsidRPr="00FF4F7B">
        <w:rPr>
          <w:i/>
        </w:rPr>
        <w:t>Bílou knihu Policie ČR</w:t>
      </w:r>
      <w:r w:rsidR="001A6C64">
        <w:rPr>
          <w:rStyle w:val="Znakapoznpodarou"/>
          <w:i/>
        </w:rPr>
        <w:footnoteReference w:id="19"/>
      </w:r>
      <w:r w:rsidRPr="006A0277">
        <w:t xml:space="preserve">, která </w:t>
      </w:r>
      <w:r>
        <w:t>má</w:t>
      </w:r>
      <w:r w:rsidRPr="006A0277">
        <w:t xml:space="preserve"> být strategií definující </w:t>
      </w:r>
      <w:r>
        <w:t>mj. trend vývoje lidských zdrojů PČR</w:t>
      </w:r>
      <w:r w:rsidRPr="006A0277">
        <w:t xml:space="preserve"> ve střednědobém horizontu</w:t>
      </w:r>
      <w:r>
        <w:t xml:space="preserve">. </w:t>
      </w:r>
      <w:r w:rsidR="00707CC5" w:rsidRPr="009F7351">
        <w:t xml:space="preserve">Dle aktuálního stavu </w:t>
      </w:r>
      <w:r w:rsidR="00A10A18">
        <w:t>koncepčních</w:t>
      </w:r>
      <w:r w:rsidR="00707CC5" w:rsidRPr="009F7351">
        <w:t xml:space="preserve"> dokumentů </w:t>
      </w:r>
      <w:r w:rsidR="00D12107">
        <w:t xml:space="preserve">tak </w:t>
      </w:r>
      <w:r w:rsidR="00707CC5" w:rsidRPr="009F7351">
        <w:t>MV nevytvořilo konkrétní podmínky pro plnění úkolů PČR v oblasti středoškolského vzdělávání</w:t>
      </w:r>
      <w:r w:rsidR="00A10A18">
        <w:t xml:space="preserve"> a</w:t>
      </w:r>
      <w:r w:rsidR="00D250E2">
        <w:t> </w:t>
      </w:r>
      <w:r w:rsidR="00D12107">
        <w:t xml:space="preserve">dále </w:t>
      </w:r>
      <w:r w:rsidR="00707CC5" w:rsidRPr="00D636B5">
        <w:t>ne</w:t>
      </w:r>
      <w:r w:rsidR="00707CC5">
        <w:t xml:space="preserve">zajistilo </w:t>
      </w:r>
      <w:r w:rsidR="00A10A18">
        <w:t>dokončení realizace</w:t>
      </w:r>
      <w:r w:rsidR="00707CC5" w:rsidRPr="00D636B5">
        <w:t xml:space="preserve"> </w:t>
      </w:r>
      <w:r w:rsidR="00707CC5">
        <w:t xml:space="preserve">koncepčních </w:t>
      </w:r>
      <w:r w:rsidR="00707CC5" w:rsidRPr="00D636B5">
        <w:t>opatření ke zvýšení efektivnosti systému</w:t>
      </w:r>
      <w:r w:rsidR="00707CC5">
        <w:t xml:space="preserve"> </w:t>
      </w:r>
      <w:r w:rsidR="00707CC5" w:rsidRPr="00D636B5">
        <w:t>vzdělávání</w:t>
      </w:r>
      <w:r w:rsidR="00707CC5">
        <w:t xml:space="preserve"> policistů</w:t>
      </w:r>
      <w:r w:rsidR="00707CC5">
        <w:rPr>
          <w:i/>
        </w:rPr>
        <w:t xml:space="preserve">. </w:t>
      </w:r>
    </w:p>
    <w:p w14:paraId="483F8819" w14:textId="092B3974" w:rsidR="00CC7FA1" w:rsidRDefault="00174121" w:rsidP="008C1E44">
      <w:pPr>
        <w:keepNext/>
        <w:shd w:val="clear" w:color="auto" w:fill="FFFFFF" w:themeFill="background1"/>
        <w:spacing w:before="240" w:line="240" w:lineRule="auto"/>
        <w:ind w:left="0" w:right="0" w:firstLine="0"/>
      </w:pPr>
      <w:r>
        <w:rPr>
          <w:b/>
        </w:rPr>
        <w:t xml:space="preserve">4. </w:t>
      </w:r>
      <w:r w:rsidR="00CC7FA1">
        <w:rPr>
          <w:b/>
        </w:rPr>
        <w:t>Policejní školy nejsou zdrojem dostatečného počtu nových policistů</w:t>
      </w:r>
    </w:p>
    <w:p w14:paraId="48551347" w14:textId="77777777" w:rsidR="00CC7FA1" w:rsidRDefault="00CC7FA1" w:rsidP="008C1E44">
      <w:pPr>
        <w:shd w:val="clear" w:color="auto" w:fill="FFFFFF" w:themeFill="background1"/>
        <w:spacing w:line="240" w:lineRule="auto"/>
        <w:ind w:left="0" w:right="0" w:firstLine="0"/>
        <w:rPr>
          <w:shd w:val="clear" w:color="auto" w:fill="FFFFFF" w:themeFill="background1"/>
        </w:rPr>
      </w:pPr>
      <w:r>
        <w:t xml:space="preserve">Přijímání uchazečů do služebního poměru k PČR je upraveno ustanovením § 13 odst. 1 zákona č. 361/2003 Sb. Mezi předpoklady k přijetí do služebního poměru patří mimo jiné splnění stupně vzdělání stanoveného pro služební místo a zdravotní, osobnostní a fyzická způsobilost k výkonu služby. </w:t>
      </w:r>
    </w:p>
    <w:p w14:paraId="02D16FBA" w14:textId="0E077AD6" w:rsidR="00CC7FA1" w:rsidRDefault="00CC7FA1" w:rsidP="008C1E44">
      <w:pPr>
        <w:shd w:val="clear" w:color="auto" w:fill="FFFFFF" w:themeFill="background1"/>
        <w:spacing w:line="240" w:lineRule="auto"/>
        <w:ind w:left="0" w:right="0" w:firstLine="0"/>
        <w:rPr>
          <w:shd w:val="clear" w:color="auto" w:fill="FFFFFF" w:themeFill="background1"/>
        </w:rPr>
      </w:pPr>
      <w:r w:rsidRPr="00420F97">
        <w:rPr>
          <w:shd w:val="clear" w:color="auto" w:fill="FFFFFF" w:themeFill="background1"/>
        </w:rPr>
        <w:t xml:space="preserve">NKÚ </w:t>
      </w:r>
      <w:r>
        <w:rPr>
          <w:shd w:val="clear" w:color="auto" w:fill="FFFFFF" w:themeFill="background1"/>
        </w:rPr>
        <w:t>vyhodnotil</w:t>
      </w:r>
      <w:r w:rsidRPr="00420F97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údaje zpracované MV týkající se </w:t>
      </w:r>
      <w:r w:rsidRPr="00420F97">
        <w:rPr>
          <w:shd w:val="clear" w:color="auto" w:fill="FFFFFF" w:themeFill="background1"/>
        </w:rPr>
        <w:t>podíl</w:t>
      </w:r>
      <w:r>
        <w:rPr>
          <w:shd w:val="clear" w:color="auto" w:fill="FFFFFF" w:themeFill="background1"/>
        </w:rPr>
        <w:t>u</w:t>
      </w:r>
      <w:r w:rsidRPr="00420F97">
        <w:rPr>
          <w:shd w:val="clear" w:color="auto" w:fill="FFFFFF" w:themeFill="background1"/>
        </w:rPr>
        <w:t xml:space="preserve"> </w:t>
      </w:r>
      <w:r w:rsidRPr="00E52CE1">
        <w:rPr>
          <w:shd w:val="clear" w:color="auto" w:fill="FFFFFF" w:themeFill="background1"/>
        </w:rPr>
        <w:t>přijatých</w:t>
      </w:r>
      <w:r w:rsidRPr="00420F97">
        <w:rPr>
          <w:shd w:val="clear" w:color="auto" w:fill="FFFFFF" w:themeFill="background1"/>
        </w:rPr>
        <w:t xml:space="preserve"> absolventů </w:t>
      </w:r>
      <w:r>
        <w:rPr>
          <w:shd w:val="clear" w:color="auto" w:fill="FFFFFF" w:themeFill="background1"/>
        </w:rPr>
        <w:t xml:space="preserve">středoškolského studia </w:t>
      </w:r>
      <w:r w:rsidRPr="00420F97">
        <w:rPr>
          <w:shd w:val="clear" w:color="auto" w:fill="FFFFFF" w:themeFill="background1"/>
        </w:rPr>
        <w:t>VPŠ a SPŠ v Holešově</w:t>
      </w:r>
      <w:r>
        <w:rPr>
          <w:shd w:val="clear" w:color="auto" w:fill="FFFFFF" w:themeFill="background1"/>
        </w:rPr>
        <w:t xml:space="preserve"> </w:t>
      </w:r>
      <w:r w:rsidRPr="00420F97">
        <w:rPr>
          <w:shd w:val="clear" w:color="auto" w:fill="FFFFFF" w:themeFill="background1"/>
        </w:rPr>
        <w:t xml:space="preserve">k celkovému počtu přijatých absolventů </w:t>
      </w:r>
      <w:r>
        <w:rPr>
          <w:shd w:val="clear" w:color="auto" w:fill="FFFFFF" w:themeFill="background1"/>
        </w:rPr>
        <w:t xml:space="preserve">ze všech středních škol (dále také „SŠ“) a </w:t>
      </w:r>
      <w:r w:rsidRPr="00420F97">
        <w:rPr>
          <w:shd w:val="clear" w:color="auto" w:fill="FFFFFF" w:themeFill="background1"/>
        </w:rPr>
        <w:t>poč</w:t>
      </w:r>
      <w:r>
        <w:rPr>
          <w:shd w:val="clear" w:color="auto" w:fill="FFFFFF" w:themeFill="background1"/>
        </w:rPr>
        <w:t>et</w:t>
      </w:r>
      <w:r w:rsidRPr="00420F97">
        <w:rPr>
          <w:shd w:val="clear" w:color="auto" w:fill="FFFFFF" w:themeFill="background1"/>
        </w:rPr>
        <w:t xml:space="preserve"> absolventů </w:t>
      </w:r>
      <w:r>
        <w:rPr>
          <w:shd w:val="clear" w:color="auto" w:fill="FFFFFF" w:themeFill="background1"/>
        </w:rPr>
        <w:t>této policejní školy přijatých</w:t>
      </w:r>
      <w:r w:rsidR="00F44E15">
        <w:rPr>
          <w:shd w:val="clear" w:color="auto" w:fill="FFFFFF" w:themeFill="background1"/>
        </w:rPr>
        <w:t xml:space="preserve"> </w:t>
      </w:r>
      <w:r w:rsidRPr="00420F97">
        <w:rPr>
          <w:shd w:val="clear" w:color="auto" w:fill="FFFFFF" w:themeFill="background1"/>
        </w:rPr>
        <w:t>do služebního poměru k</w:t>
      </w:r>
      <w:r>
        <w:rPr>
          <w:shd w:val="clear" w:color="auto" w:fill="FFFFFF" w:themeFill="background1"/>
        </w:rPr>
        <w:t> </w:t>
      </w:r>
      <w:r w:rsidRPr="00420F97">
        <w:rPr>
          <w:shd w:val="clear" w:color="auto" w:fill="FFFFFF" w:themeFill="background1"/>
        </w:rPr>
        <w:t>PČR</w:t>
      </w:r>
      <w:r>
        <w:rPr>
          <w:shd w:val="clear" w:color="auto" w:fill="FFFFFF" w:themeFill="background1"/>
        </w:rPr>
        <w:t xml:space="preserve"> (tabulka č. 8).</w:t>
      </w:r>
      <w:r w:rsidRPr="00420F97">
        <w:rPr>
          <w:shd w:val="clear" w:color="auto" w:fill="FFFFFF" w:themeFill="background1"/>
        </w:rPr>
        <w:t xml:space="preserve"> </w:t>
      </w:r>
    </w:p>
    <w:p w14:paraId="37B7D962" w14:textId="2ED01E22" w:rsidR="00CC7FA1" w:rsidRPr="00417D72" w:rsidRDefault="00174121" w:rsidP="008C1E44">
      <w:pPr>
        <w:pStyle w:val="Nzevtabulka"/>
        <w:numPr>
          <w:ilvl w:val="0"/>
          <w:numId w:val="0"/>
        </w:numPr>
        <w:spacing w:after="4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Tabulka č. 8: </w:t>
      </w:r>
      <w:r w:rsidR="00CC7FA1">
        <w:rPr>
          <w:shd w:val="clear" w:color="auto" w:fill="FFFFFF" w:themeFill="background1"/>
        </w:rPr>
        <w:t>Počet</w:t>
      </w:r>
      <w:r w:rsidR="00CC7FA1" w:rsidRPr="00417D72">
        <w:rPr>
          <w:shd w:val="clear" w:color="auto" w:fill="FFFFFF" w:themeFill="background1"/>
        </w:rPr>
        <w:t xml:space="preserve"> přijatých absolventů policejních škol k PČR</w:t>
      </w:r>
    </w:p>
    <w:tbl>
      <w:tblPr>
        <w:tblStyle w:val="Mkatabulky"/>
        <w:tblW w:w="901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50"/>
        <w:gridCol w:w="1984"/>
        <w:gridCol w:w="2381"/>
        <w:gridCol w:w="3798"/>
      </w:tblGrid>
      <w:tr w:rsidR="00174121" w14:paraId="10BC80EB" w14:textId="77777777" w:rsidTr="00174121">
        <w:trPr>
          <w:trHeight w:val="557"/>
          <w:jc w:val="center"/>
        </w:trPr>
        <w:tc>
          <w:tcPr>
            <w:tcW w:w="850" w:type="dxa"/>
            <w:shd w:val="clear" w:color="auto" w:fill="E5F1FF"/>
            <w:vAlign w:val="center"/>
          </w:tcPr>
          <w:p w14:paraId="231B61E4" w14:textId="77777777" w:rsidR="00CC7FA1" w:rsidRPr="00820DB8" w:rsidRDefault="00CC7FA1" w:rsidP="00AB2BB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20DB8">
              <w:rPr>
                <w:b/>
                <w:sz w:val="20"/>
              </w:rPr>
              <w:t>Rok</w:t>
            </w:r>
          </w:p>
        </w:tc>
        <w:tc>
          <w:tcPr>
            <w:tcW w:w="1984" w:type="dxa"/>
            <w:shd w:val="clear" w:color="auto" w:fill="E5F1FF"/>
            <w:vAlign w:val="center"/>
          </w:tcPr>
          <w:p w14:paraId="6C8737C6" w14:textId="77777777" w:rsidR="00CC7FA1" w:rsidRPr="007252D3" w:rsidRDefault="00CC7FA1" w:rsidP="00AB2BBE">
            <w:pPr>
              <w:spacing w:after="0" w:line="240" w:lineRule="auto"/>
              <w:ind w:left="0" w:right="-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přijatých absolventů SŠ celkem</w:t>
            </w:r>
          </w:p>
        </w:tc>
        <w:tc>
          <w:tcPr>
            <w:tcW w:w="2381" w:type="dxa"/>
            <w:shd w:val="clear" w:color="auto" w:fill="E5F1FF"/>
            <w:vAlign w:val="center"/>
          </w:tcPr>
          <w:p w14:paraId="1A739FDE" w14:textId="77777777" w:rsidR="00CC7FA1" w:rsidRPr="007252D3" w:rsidRDefault="00CC7FA1" w:rsidP="00AB2BBE">
            <w:pPr>
              <w:spacing w:after="0" w:line="240" w:lineRule="auto"/>
              <w:ind w:left="0" w:right="-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přijatých absolventů VPŠ a SPŠ v Holešově</w:t>
            </w:r>
          </w:p>
        </w:tc>
        <w:tc>
          <w:tcPr>
            <w:tcW w:w="3798" w:type="dxa"/>
            <w:shd w:val="clear" w:color="auto" w:fill="E5F1FF"/>
            <w:vAlign w:val="center"/>
          </w:tcPr>
          <w:p w14:paraId="60C8C1B7" w14:textId="2C57C22C" w:rsidR="00CC7FA1" w:rsidRDefault="00CC7FA1" w:rsidP="00AB2BB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Podíl počtu přijatých absolventů VPŠ a</w:t>
            </w:r>
            <w:r w:rsidR="001741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SPŠ v Holešově k celkovému počtu přijatých absolventů SŠ</w:t>
            </w:r>
          </w:p>
        </w:tc>
      </w:tr>
      <w:tr w:rsidR="00174121" w14:paraId="3E395BF7" w14:textId="77777777" w:rsidTr="0034750A">
        <w:trPr>
          <w:jc w:val="center"/>
        </w:trPr>
        <w:tc>
          <w:tcPr>
            <w:tcW w:w="850" w:type="dxa"/>
            <w:vAlign w:val="center"/>
          </w:tcPr>
          <w:p w14:paraId="2AAA7F61" w14:textId="77777777" w:rsidR="00CC7FA1" w:rsidRPr="007252D3" w:rsidRDefault="00CC7FA1" w:rsidP="00C3431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984" w:type="dxa"/>
            <w:vAlign w:val="center"/>
          </w:tcPr>
          <w:p w14:paraId="69E57511" w14:textId="77777777" w:rsidR="00CC7FA1" w:rsidRPr="00C120B0" w:rsidRDefault="00CC7FA1" w:rsidP="0034750A">
            <w:pPr>
              <w:spacing w:after="0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2381" w:type="dxa"/>
            <w:vAlign w:val="center"/>
          </w:tcPr>
          <w:p w14:paraId="22C8FC4C" w14:textId="77777777" w:rsidR="00CC7FA1" w:rsidRPr="00C120B0" w:rsidRDefault="00CC7FA1" w:rsidP="0034750A">
            <w:pPr>
              <w:spacing w:after="0"/>
              <w:ind w:right="99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798" w:type="dxa"/>
            <w:vAlign w:val="center"/>
          </w:tcPr>
          <w:p w14:paraId="1383B166" w14:textId="77777777" w:rsidR="00CC7FA1" w:rsidRDefault="00CC7FA1" w:rsidP="0034750A">
            <w:pPr>
              <w:spacing w:after="0"/>
              <w:ind w:right="1542"/>
              <w:jc w:val="right"/>
              <w:rPr>
                <w:sz w:val="20"/>
              </w:rPr>
            </w:pPr>
            <w:r>
              <w:rPr>
                <w:sz w:val="20"/>
              </w:rPr>
              <w:t>3,5 %</w:t>
            </w:r>
          </w:p>
        </w:tc>
      </w:tr>
      <w:tr w:rsidR="00174121" w14:paraId="1F1EF2B7" w14:textId="77777777" w:rsidTr="0034750A">
        <w:trPr>
          <w:jc w:val="center"/>
        </w:trPr>
        <w:tc>
          <w:tcPr>
            <w:tcW w:w="850" w:type="dxa"/>
            <w:vAlign w:val="center"/>
          </w:tcPr>
          <w:p w14:paraId="3989D844" w14:textId="77777777" w:rsidR="00CC7FA1" w:rsidRPr="007252D3" w:rsidRDefault="00CC7FA1" w:rsidP="00C3431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4" w:type="dxa"/>
            <w:vAlign w:val="center"/>
          </w:tcPr>
          <w:p w14:paraId="783A71C1" w14:textId="77777777" w:rsidR="00CC7FA1" w:rsidRPr="00C120B0" w:rsidRDefault="00CC7FA1" w:rsidP="0034750A">
            <w:pPr>
              <w:spacing w:after="0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1 174</w:t>
            </w:r>
          </w:p>
        </w:tc>
        <w:tc>
          <w:tcPr>
            <w:tcW w:w="2381" w:type="dxa"/>
            <w:vAlign w:val="center"/>
          </w:tcPr>
          <w:p w14:paraId="752AFD22" w14:textId="77777777" w:rsidR="00CC7FA1" w:rsidRPr="00C120B0" w:rsidRDefault="00CC7FA1" w:rsidP="0034750A">
            <w:pPr>
              <w:spacing w:after="0"/>
              <w:ind w:right="9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8" w:type="dxa"/>
            <w:vAlign w:val="center"/>
          </w:tcPr>
          <w:p w14:paraId="0D3E03A8" w14:textId="77777777" w:rsidR="00CC7FA1" w:rsidRDefault="00CC7FA1" w:rsidP="0034750A">
            <w:pPr>
              <w:spacing w:after="0"/>
              <w:ind w:right="1542"/>
              <w:jc w:val="right"/>
              <w:rPr>
                <w:sz w:val="20"/>
              </w:rPr>
            </w:pPr>
            <w:r>
              <w:rPr>
                <w:sz w:val="20"/>
              </w:rPr>
              <w:t>1,7 %</w:t>
            </w:r>
          </w:p>
        </w:tc>
      </w:tr>
      <w:tr w:rsidR="00174121" w14:paraId="0F4DA28F" w14:textId="77777777" w:rsidTr="0034750A">
        <w:trPr>
          <w:jc w:val="center"/>
        </w:trPr>
        <w:tc>
          <w:tcPr>
            <w:tcW w:w="850" w:type="dxa"/>
            <w:vAlign w:val="center"/>
          </w:tcPr>
          <w:p w14:paraId="0152102E" w14:textId="77777777" w:rsidR="00CC7FA1" w:rsidRPr="007252D3" w:rsidRDefault="00CC7FA1" w:rsidP="00C3431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984" w:type="dxa"/>
            <w:vAlign w:val="center"/>
          </w:tcPr>
          <w:p w14:paraId="444362F1" w14:textId="77777777" w:rsidR="00CC7FA1" w:rsidRPr="00C120B0" w:rsidRDefault="00CC7FA1" w:rsidP="0034750A">
            <w:pPr>
              <w:spacing w:after="0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1 012</w:t>
            </w:r>
          </w:p>
        </w:tc>
        <w:tc>
          <w:tcPr>
            <w:tcW w:w="2381" w:type="dxa"/>
            <w:vAlign w:val="center"/>
          </w:tcPr>
          <w:p w14:paraId="68379429" w14:textId="77777777" w:rsidR="00CC7FA1" w:rsidRPr="00C120B0" w:rsidRDefault="00CC7FA1" w:rsidP="0034750A">
            <w:pPr>
              <w:spacing w:after="0"/>
              <w:ind w:right="99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98" w:type="dxa"/>
            <w:vAlign w:val="center"/>
          </w:tcPr>
          <w:p w14:paraId="373BE1AE" w14:textId="77777777" w:rsidR="00CC7FA1" w:rsidRDefault="00CC7FA1" w:rsidP="0034750A">
            <w:pPr>
              <w:spacing w:after="0"/>
              <w:ind w:right="1542"/>
              <w:jc w:val="right"/>
              <w:rPr>
                <w:sz w:val="20"/>
              </w:rPr>
            </w:pPr>
            <w:r>
              <w:rPr>
                <w:sz w:val="20"/>
              </w:rPr>
              <w:t>1,4 %</w:t>
            </w:r>
          </w:p>
        </w:tc>
      </w:tr>
      <w:tr w:rsidR="00174121" w14:paraId="2B07CC66" w14:textId="77777777" w:rsidTr="0034750A">
        <w:trPr>
          <w:jc w:val="center"/>
        </w:trPr>
        <w:tc>
          <w:tcPr>
            <w:tcW w:w="850" w:type="dxa"/>
            <w:vAlign w:val="center"/>
          </w:tcPr>
          <w:p w14:paraId="30621354" w14:textId="77777777" w:rsidR="00CC7FA1" w:rsidRPr="007252D3" w:rsidRDefault="00CC7FA1" w:rsidP="00C3431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984" w:type="dxa"/>
            <w:vAlign w:val="center"/>
          </w:tcPr>
          <w:p w14:paraId="3D8C4D04" w14:textId="77777777" w:rsidR="00CC7FA1" w:rsidRPr="00C120B0" w:rsidRDefault="00CC7FA1" w:rsidP="0034750A">
            <w:pPr>
              <w:spacing w:after="0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1 152</w:t>
            </w:r>
          </w:p>
        </w:tc>
        <w:tc>
          <w:tcPr>
            <w:tcW w:w="2381" w:type="dxa"/>
            <w:vAlign w:val="center"/>
          </w:tcPr>
          <w:p w14:paraId="4A736194" w14:textId="77777777" w:rsidR="00CC7FA1" w:rsidRPr="00C120B0" w:rsidRDefault="00CC7FA1" w:rsidP="0034750A">
            <w:pPr>
              <w:spacing w:after="0"/>
              <w:ind w:right="9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98" w:type="dxa"/>
            <w:vAlign w:val="center"/>
          </w:tcPr>
          <w:p w14:paraId="47733D69" w14:textId="77777777" w:rsidR="00CC7FA1" w:rsidRDefault="00CC7FA1" w:rsidP="0034750A">
            <w:pPr>
              <w:spacing w:after="0"/>
              <w:ind w:right="1542"/>
              <w:jc w:val="right"/>
              <w:rPr>
                <w:sz w:val="20"/>
              </w:rPr>
            </w:pPr>
            <w:r>
              <w:rPr>
                <w:sz w:val="20"/>
              </w:rPr>
              <w:t>1,4 %</w:t>
            </w:r>
          </w:p>
        </w:tc>
      </w:tr>
      <w:tr w:rsidR="00174121" w14:paraId="4E919C8E" w14:textId="77777777" w:rsidTr="0034750A">
        <w:trPr>
          <w:jc w:val="center"/>
        </w:trPr>
        <w:tc>
          <w:tcPr>
            <w:tcW w:w="850" w:type="dxa"/>
            <w:vAlign w:val="center"/>
          </w:tcPr>
          <w:p w14:paraId="65392411" w14:textId="77777777" w:rsidR="00CC7FA1" w:rsidRPr="007252D3" w:rsidRDefault="00CC7FA1" w:rsidP="00C3431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4" w:type="dxa"/>
            <w:vAlign w:val="center"/>
          </w:tcPr>
          <w:p w14:paraId="5C299729" w14:textId="77777777" w:rsidR="00CC7FA1" w:rsidRPr="00C120B0" w:rsidRDefault="00CC7FA1" w:rsidP="0034750A">
            <w:pPr>
              <w:spacing w:after="0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2381" w:type="dxa"/>
            <w:vAlign w:val="center"/>
          </w:tcPr>
          <w:p w14:paraId="4298EAD1" w14:textId="77777777" w:rsidR="00CC7FA1" w:rsidRPr="00C120B0" w:rsidRDefault="00CC7FA1" w:rsidP="0034750A">
            <w:pPr>
              <w:spacing w:after="0"/>
              <w:ind w:right="9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8" w:type="dxa"/>
            <w:vAlign w:val="center"/>
          </w:tcPr>
          <w:p w14:paraId="7F75357B" w14:textId="77777777" w:rsidR="00CC7FA1" w:rsidRDefault="00CC7FA1" w:rsidP="0034750A">
            <w:pPr>
              <w:spacing w:after="0"/>
              <w:ind w:right="1542"/>
              <w:jc w:val="right"/>
              <w:rPr>
                <w:sz w:val="20"/>
              </w:rPr>
            </w:pPr>
            <w:r>
              <w:rPr>
                <w:sz w:val="20"/>
              </w:rPr>
              <w:t>0,1 %</w:t>
            </w:r>
          </w:p>
        </w:tc>
      </w:tr>
      <w:tr w:rsidR="00174121" w14:paraId="5641E7AA" w14:textId="77777777" w:rsidTr="0034750A">
        <w:trPr>
          <w:jc w:val="center"/>
        </w:trPr>
        <w:tc>
          <w:tcPr>
            <w:tcW w:w="850" w:type="dxa"/>
            <w:vAlign w:val="center"/>
          </w:tcPr>
          <w:p w14:paraId="432FCA94" w14:textId="77777777" w:rsidR="00CC7FA1" w:rsidRPr="00174121" w:rsidRDefault="00CC7FA1" w:rsidP="00C34310">
            <w:pPr>
              <w:spacing w:after="0"/>
              <w:jc w:val="center"/>
              <w:rPr>
                <w:b/>
                <w:sz w:val="20"/>
              </w:rPr>
            </w:pPr>
            <w:r w:rsidRPr="00174121">
              <w:rPr>
                <w:b/>
                <w:sz w:val="20"/>
              </w:rPr>
              <w:t>Celkem</w:t>
            </w:r>
          </w:p>
        </w:tc>
        <w:tc>
          <w:tcPr>
            <w:tcW w:w="1984" w:type="dxa"/>
            <w:vAlign w:val="center"/>
          </w:tcPr>
          <w:p w14:paraId="1B7B6530" w14:textId="77777777" w:rsidR="00CC7FA1" w:rsidRPr="00174121" w:rsidRDefault="00CC7FA1" w:rsidP="0034750A">
            <w:pPr>
              <w:spacing w:after="0"/>
              <w:ind w:right="604"/>
              <w:jc w:val="right"/>
              <w:rPr>
                <w:b/>
                <w:sz w:val="20"/>
              </w:rPr>
            </w:pPr>
            <w:r w:rsidRPr="00174121">
              <w:rPr>
                <w:b/>
                <w:sz w:val="20"/>
              </w:rPr>
              <w:t>5 160</w:t>
            </w:r>
          </w:p>
        </w:tc>
        <w:tc>
          <w:tcPr>
            <w:tcW w:w="2381" w:type="dxa"/>
            <w:vAlign w:val="center"/>
          </w:tcPr>
          <w:p w14:paraId="67E5989C" w14:textId="77777777" w:rsidR="00CC7FA1" w:rsidRPr="00174121" w:rsidRDefault="00CC7FA1" w:rsidP="0034750A">
            <w:pPr>
              <w:spacing w:after="0"/>
              <w:ind w:right="997"/>
              <w:jc w:val="right"/>
              <w:rPr>
                <w:b/>
                <w:sz w:val="20"/>
              </w:rPr>
            </w:pPr>
            <w:r w:rsidRPr="00174121">
              <w:rPr>
                <w:b/>
                <w:sz w:val="20"/>
              </w:rPr>
              <w:t>84</w:t>
            </w:r>
          </w:p>
        </w:tc>
        <w:tc>
          <w:tcPr>
            <w:tcW w:w="3798" w:type="dxa"/>
            <w:vAlign w:val="center"/>
          </w:tcPr>
          <w:p w14:paraId="6E1C7F05" w14:textId="77777777" w:rsidR="00CC7FA1" w:rsidRPr="00174121" w:rsidRDefault="00CC7FA1" w:rsidP="0034750A">
            <w:pPr>
              <w:spacing w:after="0"/>
              <w:ind w:right="1542"/>
              <w:jc w:val="right"/>
              <w:rPr>
                <w:b/>
                <w:sz w:val="20"/>
              </w:rPr>
            </w:pPr>
            <w:r w:rsidRPr="00174121">
              <w:rPr>
                <w:b/>
                <w:sz w:val="20"/>
              </w:rPr>
              <w:t>1,6 %</w:t>
            </w:r>
          </w:p>
        </w:tc>
      </w:tr>
    </w:tbl>
    <w:p w14:paraId="3961408C" w14:textId="50000DED" w:rsidR="00CC7FA1" w:rsidRPr="00417D72" w:rsidRDefault="00CC7FA1" w:rsidP="008C1E44">
      <w:pPr>
        <w:shd w:val="clear" w:color="auto" w:fill="FFFFFF" w:themeFill="background1"/>
        <w:spacing w:before="40" w:line="240" w:lineRule="auto"/>
        <w:ind w:left="0" w:right="0" w:firstLine="0"/>
        <w:rPr>
          <w:sz w:val="20"/>
          <w:szCs w:val="20"/>
          <w:shd w:val="clear" w:color="auto" w:fill="FFFFFF" w:themeFill="background1"/>
        </w:rPr>
      </w:pPr>
      <w:r w:rsidRPr="00F4423F">
        <w:rPr>
          <w:b/>
          <w:sz w:val="20"/>
          <w:szCs w:val="20"/>
          <w:shd w:val="clear" w:color="auto" w:fill="FFFFFF" w:themeFill="background1"/>
        </w:rPr>
        <w:t>Zdroj:</w:t>
      </w:r>
      <w:r w:rsidRPr="00417D72">
        <w:rPr>
          <w:sz w:val="20"/>
          <w:szCs w:val="20"/>
          <w:shd w:val="clear" w:color="auto" w:fill="FFFFFF" w:themeFill="background1"/>
        </w:rPr>
        <w:t xml:space="preserve"> </w:t>
      </w:r>
      <w:r w:rsidR="008C1E44">
        <w:rPr>
          <w:sz w:val="20"/>
          <w:szCs w:val="20"/>
          <w:shd w:val="clear" w:color="auto" w:fill="FFFFFF" w:themeFill="background1"/>
        </w:rPr>
        <w:t>s</w:t>
      </w:r>
      <w:r>
        <w:rPr>
          <w:sz w:val="20"/>
          <w:szCs w:val="20"/>
          <w:shd w:val="clear" w:color="auto" w:fill="FFFFFF" w:themeFill="background1"/>
        </w:rPr>
        <w:t>tatistika zpracovaná</w:t>
      </w:r>
      <w:r w:rsidRPr="00417D72">
        <w:rPr>
          <w:sz w:val="20"/>
          <w:szCs w:val="20"/>
          <w:shd w:val="clear" w:color="auto" w:fill="FFFFFF" w:themeFill="background1"/>
        </w:rPr>
        <w:t xml:space="preserve"> MV</w:t>
      </w:r>
      <w:r>
        <w:rPr>
          <w:sz w:val="20"/>
          <w:szCs w:val="20"/>
          <w:shd w:val="clear" w:color="auto" w:fill="FFFFFF" w:themeFill="background1"/>
        </w:rPr>
        <w:t>, výpočet</w:t>
      </w:r>
      <w:r w:rsidR="00F44E15">
        <w:rPr>
          <w:sz w:val="20"/>
          <w:szCs w:val="20"/>
          <w:shd w:val="clear" w:color="auto" w:fill="FFFFFF" w:themeFill="background1"/>
        </w:rPr>
        <w:t xml:space="preserve"> vypracoval</w:t>
      </w:r>
      <w:r>
        <w:rPr>
          <w:sz w:val="20"/>
          <w:szCs w:val="20"/>
          <w:shd w:val="clear" w:color="auto" w:fill="FFFFFF" w:themeFill="background1"/>
        </w:rPr>
        <w:t xml:space="preserve"> NKÚ</w:t>
      </w:r>
      <w:r w:rsidRPr="00417D72">
        <w:rPr>
          <w:sz w:val="20"/>
          <w:szCs w:val="20"/>
          <w:shd w:val="clear" w:color="auto" w:fill="FFFFFF" w:themeFill="background1"/>
        </w:rPr>
        <w:t>.</w:t>
      </w:r>
    </w:p>
    <w:p w14:paraId="62F601E4" w14:textId="51D59BB6" w:rsidR="00CC7FA1" w:rsidRDefault="00CC7FA1" w:rsidP="008C1E44">
      <w:pPr>
        <w:spacing w:line="240" w:lineRule="auto"/>
        <w:ind w:left="0" w:right="0" w:firstLine="0"/>
      </w:pPr>
      <w:r>
        <w:t>Z celkového počtu přijatých absolventů všech středních škol bylo</w:t>
      </w:r>
      <w:r w:rsidRPr="00E52CE1">
        <w:rPr>
          <w:shd w:val="clear" w:color="auto" w:fill="FFFFFF" w:themeFill="background1"/>
        </w:rPr>
        <w:t xml:space="preserve"> k PČR</w:t>
      </w:r>
      <w:r>
        <w:t xml:space="preserve"> za období 2013 až 2017 z VPŠ a SPŠ v Holešově přijato pouze 1,6 % absolventů, např. v roce 2017 z celkového počtu 889</w:t>
      </w:r>
      <w:r w:rsidR="00A87938">
        <w:t> </w:t>
      </w:r>
      <w:r>
        <w:t xml:space="preserve">absolventů přijatých </w:t>
      </w:r>
      <w:r w:rsidRPr="00043CD1">
        <w:rPr>
          <w:shd w:val="clear" w:color="auto" w:fill="FFFFFF" w:themeFill="background1"/>
        </w:rPr>
        <w:t>k PČR</w:t>
      </w:r>
      <w:r>
        <w:t xml:space="preserve"> studoval uvedenou policejní školu pouze jeden. V období 2013 až 2017 dokončilo středoškolské studium VPŠ a SPŠ v Holešově celkem 419 absolventů. Z nich bylo k PČR přijato 84, tj. 20 %. </w:t>
      </w:r>
    </w:p>
    <w:p w14:paraId="12B3692A" w14:textId="6EB54FBB" w:rsidR="00CC7FA1" w:rsidRDefault="00CC7FA1" w:rsidP="008C1E44">
      <w:pPr>
        <w:spacing w:line="240" w:lineRule="auto"/>
        <w:ind w:left="0" w:right="0" w:firstLine="0"/>
        <w:rPr>
          <w:sz w:val="20"/>
          <w:szCs w:val="20"/>
        </w:rPr>
      </w:pPr>
      <w:r>
        <w:t xml:space="preserve">VPŠ a SPŠ v Holešově </w:t>
      </w:r>
      <w:r w:rsidRPr="006C2AB5">
        <w:t>nesloužil</w:t>
      </w:r>
      <w:r>
        <w:t>a</w:t>
      </w:r>
      <w:r w:rsidRPr="006C2AB5">
        <w:t xml:space="preserve"> v kontrolovaném období jako zdroj nových policistů. </w:t>
      </w:r>
      <w:r>
        <w:t>Přitom d</w:t>
      </w:r>
      <w:r w:rsidRPr="006C2AB5">
        <w:t>le vnitřních dokumentů policejních škol</w:t>
      </w:r>
      <w:r w:rsidR="008E189F" w:rsidRPr="008E189F">
        <w:rPr>
          <w:vertAlign w:val="superscript"/>
        </w:rPr>
        <w:t>7</w:t>
      </w:r>
      <w:r w:rsidRPr="006C2AB5">
        <w:t xml:space="preserve"> je účelem jejich existence připravit absolventy pro přijetí do služebního poměru </w:t>
      </w:r>
      <w:r>
        <w:t>k </w:t>
      </w:r>
      <w:r w:rsidRPr="006C2AB5">
        <w:t>PČR</w:t>
      </w:r>
      <w:r w:rsidRPr="006861FE">
        <w:t xml:space="preserve">. </w:t>
      </w:r>
    </w:p>
    <w:p w14:paraId="07D621DD" w14:textId="77777777" w:rsidR="00CC7FA1" w:rsidRDefault="00CC7FA1" w:rsidP="008C1E44">
      <w:pPr>
        <w:spacing w:line="240" w:lineRule="auto"/>
        <w:ind w:left="0" w:right="0" w:firstLine="0"/>
      </w:pPr>
      <w:r>
        <w:t xml:space="preserve">Z meziročního porovnání vyplývá, že se podíl absolventů policejních škol přijatých k PČR nezvýšil. MV tak nedosáhlo zefektivnění systému vzdělávání policistů s ohledem na rostoucí náklady policejního vzdělávání. </w:t>
      </w:r>
      <w:r w:rsidRPr="00BE0CD3">
        <w:t>MV</w:t>
      </w:r>
      <w:r>
        <w:t>, i</w:t>
      </w:r>
      <w:r w:rsidRPr="00BE0CD3">
        <w:t xml:space="preserve"> přes</w:t>
      </w:r>
      <w:r>
        <w:t xml:space="preserve"> nízký počet</w:t>
      </w:r>
      <w:r w:rsidRPr="00BE0CD3">
        <w:t xml:space="preserve"> absolventů</w:t>
      </w:r>
      <w:r>
        <w:t xml:space="preserve"> přijatých k PČR, </w:t>
      </w:r>
      <w:r w:rsidRPr="00BE0CD3">
        <w:t>nadále navyšuje výukové kapacity pro středoškolské vzdělávání</w:t>
      </w:r>
      <w:r>
        <w:t xml:space="preserve"> (např. od 1. září 2018 zřídila VPŠ a SPŠ v Praze pobočku v Sokolově).</w:t>
      </w:r>
    </w:p>
    <w:p w14:paraId="3CDDD834" w14:textId="54FA56F3" w:rsidR="00CC7FA1" w:rsidRDefault="00CB6276" w:rsidP="008C1E44">
      <w:pPr>
        <w:pStyle w:val="Nzevtabulka"/>
        <w:keepNext/>
        <w:numPr>
          <w:ilvl w:val="0"/>
          <w:numId w:val="0"/>
        </w:numPr>
        <w:spacing w:after="40"/>
      </w:pPr>
      <w:r>
        <w:t xml:space="preserve">Tabulka č. 9: </w:t>
      </w:r>
      <w:r w:rsidR="00CC7FA1">
        <w:t>Přehled vývoje výukové kapacity středoškolského vzdělávání policejních škol</w:t>
      </w:r>
    </w:p>
    <w:tbl>
      <w:tblPr>
        <w:tblStyle w:val="Mkatabulky"/>
        <w:tblW w:w="9083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57"/>
        <w:gridCol w:w="1221"/>
        <w:gridCol w:w="1221"/>
        <w:gridCol w:w="1221"/>
        <w:gridCol w:w="1221"/>
        <w:gridCol w:w="1221"/>
        <w:gridCol w:w="1221"/>
      </w:tblGrid>
      <w:tr w:rsidR="00CC7FA1" w14:paraId="5BCEBFCA" w14:textId="77777777" w:rsidTr="00B030C7">
        <w:trPr>
          <w:trHeight w:val="255"/>
        </w:trPr>
        <w:tc>
          <w:tcPr>
            <w:tcW w:w="1757" w:type="dxa"/>
            <w:shd w:val="clear" w:color="auto" w:fill="E5F1FF"/>
            <w:vAlign w:val="center"/>
          </w:tcPr>
          <w:p w14:paraId="25BC1038" w14:textId="77777777" w:rsidR="00CC7FA1" w:rsidRPr="00820DB8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Školní rok</w:t>
            </w:r>
          </w:p>
        </w:tc>
        <w:tc>
          <w:tcPr>
            <w:tcW w:w="1221" w:type="dxa"/>
            <w:shd w:val="clear" w:color="auto" w:fill="E5F1FF"/>
            <w:vAlign w:val="center"/>
          </w:tcPr>
          <w:p w14:paraId="3AC6F934" w14:textId="77777777" w:rsidR="00CC7FA1" w:rsidRPr="007252D3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2012/2013</w:t>
            </w:r>
          </w:p>
        </w:tc>
        <w:tc>
          <w:tcPr>
            <w:tcW w:w="1221" w:type="dxa"/>
            <w:shd w:val="clear" w:color="auto" w:fill="E5F1FF"/>
            <w:vAlign w:val="center"/>
          </w:tcPr>
          <w:p w14:paraId="7E5316F4" w14:textId="77777777" w:rsidR="00CC7FA1" w:rsidRPr="007252D3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2013/2014</w:t>
            </w:r>
          </w:p>
        </w:tc>
        <w:tc>
          <w:tcPr>
            <w:tcW w:w="1221" w:type="dxa"/>
            <w:shd w:val="clear" w:color="auto" w:fill="E5F1FF"/>
            <w:vAlign w:val="center"/>
          </w:tcPr>
          <w:p w14:paraId="54A49164" w14:textId="77777777" w:rsidR="00CC7FA1" w:rsidRPr="007252D3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2014/2015</w:t>
            </w:r>
          </w:p>
        </w:tc>
        <w:tc>
          <w:tcPr>
            <w:tcW w:w="1221" w:type="dxa"/>
            <w:shd w:val="clear" w:color="auto" w:fill="E5F1FF"/>
            <w:vAlign w:val="center"/>
          </w:tcPr>
          <w:p w14:paraId="486A81D1" w14:textId="77777777" w:rsidR="00CC7FA1" w:rsidRPr="007252D3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2015/2016</w:t>
            </w:r>
          </w:p>
        </w:tc>
        <w:tc>
          <w:tcPr>
            <w:tcW w:w="1221" w:type="dxa"/>
            <w:shd w:val="clear" w:color="auto" w:fill="E5F1FF"/>
            <w:vAlign w:val="center"/>
          </w:tcPr>
          <w:p w14:paraId="39031C9F" w14:textId="77777777" w:rsidR="00CC7FA1" w:rsidRPr="007252D3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2016/2017</w:t>
            </w:r>
          </w:p>
        </w:tc>
        <w:tc>
          <w:tcPr>
            <w:tcW w:w="1221" w:type="dxa"/>
            <w:shd w:val="clear" w:color="auto" w:fill="E5F1FF"/>
            <w:vAlign w:val="center"/>
          </w:tcPr>
          <w:p w14:paraId="476DD69A" w14:textId="77777777" w:rsidR="00CC7FA1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2017/2018</w:t>
            </w:r>
          </w:p>
        </w:tc>
      </w:tr>
      <w:tr w:rsidR="00CC7FA1" w14:paraId="04BB11DC" w14:textId="77777777" w:rsidTr="00B030C7">
        <w:trPr>
          <w:trHeight w:val="255"/>
        </w:trPr>
        <w:tc>
          <w:tcPr>
            <w:tcW w:w="1757" w:type="dxa"/>
            <w:vAlign w:val="center"/>
          </w:tcPr>
          <w:p w14:paraId="25A08D2A" w14:textId="77777777" w:rsidR="00CC7FA1" w:rsidRPr="007252D3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Výuková kapacita</w:t>
            </w:r>
          </w:p>
        </w:tc>
        <w:tc>
          <w:tcPr>
            <w:tcW w:w="1221" w:type="dxa"/>
            <w:vAlign w:val="center"/>
          </w:tcPr>
          <w:p w14:paraId="1B544380" w14:textId="77777777" w:rsidR="00CC7FA1" w:rsidRPr="00C120B0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21" w:type="dxa"/>
            <w:vAlign w:val="center"/>
          </w:tcPr>
          <w:p w14:paraId="0AAE44AB" w14:textId="77777777" w:rsidR="00CC7FA1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21" w:type="dxa"/>
            <w:vAlign w:val="center"/>
          </w:tcPr>
          <w:p w14:paraId="5A8D0C51" w14:textId="77777777" w:rsidR="00CC7FA1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21" w:type="dxa"/>
            <w:vAlign w:val="center"/>
          </w:tcPr>
          <w:p w14:paraId="701E621B" w14:textId="77777777" w:rsidR="00CC7FA1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21" w:type="dxa"/>
            <w:vAlign w:val="center"/>
          </w:tcPr>
          <w:p w14:paraId="58A6881D" w14:textId="77777777" w:rsidR="00CC7FA1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221" w:type="dxa"/>
            <w:vAlign w:val="center"/>
          </w:tcPr>
          <w:p w14:paraId="07C0A65E" w14:textId="77777777" w:rsidR="00CC7FA1" w:rsidRDefault="00CC7FA1" w:rsidP="00B030C7">
            <w:pPr>
              <w:keepNext/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</w:tr>
    </w:tbl>
    <w:p w14:paraId="17A8D0C2" w14:textId="2D23210E" w:rsidR="00CC7FA1" w:rsidRDefault="00CC7FA1" w:rsidP="008C1E44">
      <w:pPr>
        <w:spacing w:before="40" w:line="240" w:lineRule="auto"/>
        <w:ind w:left="0" w:right="0" w:firstLine="0"/>
        <w:rPr>
          <w:sz w:val="20"/>
          <w:szCs w:val="20"/>
        </w:rPr>
      </w:pPr>
      <w:r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C1E44">
        <w:rPr>
          <w:sz w:val="20"/>
          <w:szCs w:val="20"/>
        </w:rPr>
        <w:t>i</w:t>
      </w:r>
      <w:r>
        <w:rPr>
          <w:sz w:val="20"/>
          <w:szCs w:val="20"/>
        </w:rPr>
        <w:t>nformace z VPŠ a SPŠ v Holešově a VPŠ a SPŠ v Praze.</w:t>
      </w:r>
    </w:p>
    <w:p w14:paraId="425D5FEB" w14:textId="2282968E" w:rsidR="00CC7FA1" w:rsidRDefault="00CC7FA1" w:rsidP="008C1E44">
      <w:pPr>
        <w:spacing w:line="240" w:lineRule="auto"/>
        <w:ind w:left="0" w:right="0" w:firstLine="0"/>
      </w:pPr>
      <w:r>
        <w:t xml:space="preserve">Specifické postavení </w:t>
      </w:r>
      <w:r w:rsidRPr="00BE0CD3">
        <w:t>policejních škol je dán</w:t>
      </w:r>
      <w:r>
        <w:t>o</w:t>
      </w:r>
      <w:r w:rsidRPr="00BE0CD3">
        <w:t xml:space="preserve"> i vyššími náklady na vzdělávání, např. průměrný plat pedagoga </w:t>
      </w:r>
      <w:r>
        <w:t>(</w:t>
      </w:r>
      <w:r w:rsidRPr="00BE0CD3">
        <w:t>příslušníka PČR</w:t>
      </w:r>
      <w:r>
        <w:t>)</w:t>
      </w:r>
      <w:r w:rsidRPr="00BE0CD3">
        <w:t xml:space="preserve"> je zhruba</w:t>
      </w:r>
      <w:r>
        <w:t xml:space="preserve"> o </w:t>
      </w:r>
      <w:r w:rsidRPr="00BE0CD3">
        <w:t>50 % vyšší než průměrný plat pedagoga</w:t>
      </w:r>
      <w:r>
        <w:t xml:space="preserve"> (občanského zaměstnance</w:t>
      </w:r>
      <w:r w:rsidR="008C1E44">
        <w:t>;</w:t>
      </w:r>
      <w:r>
        <w:t xml:space="preserve"> tabulka č. 10). </w:t>
      </w:r>
    </w:p>
    <w:p w14:paraId="0BE83456" w14:textId="2166EB23" w:rsidR="00CC7FA1" w:rsidRPr="008C1E44" w:rsidRDefault="00CB6276" w:rsidP="008C1E44">
      <w:pPr>
        <w:pStyle w:val="Nzevtabulka"/>
        <w:keepNext/>
        <w:numPr>
          <w:ilvl w:val="0"/>
          <w:numId w:val="0"/>
        </w:numPr>
        <w:tabs>
          <w:tab w:val="right" w:pos="9072"/>
        </w:tabs>
        <w:spacing w:after="40"/>
        <w:rPr>
          <w:szCs w:val="24"/>
        </w:rPr>
      </w:pPr>
      <w:r>
        <w:t xml:space="preserve">Tabulka č. 10: </w:t>
      </w:r>
      <w:r w:rsidR="00CC7FA1" w:rsidRPr="00096838">
        <w:t xml:space="preserve">Porovnání průměrných platů pedagogických pracovníků </w:t>
      </w:r>
      <w:r w:rsidR="00CC7FA1">
        <w:tab/>
      </w:r>
      <w:r w:rsidR="00A87938" w:rsidRPr="00097164">
        <w:rPr>
          <w:szCs w:val="24"/>
        </w:rPr>
        <w:t>(</w:t>
      </w:r>
      <w:r w:rsidR="00CC7FA1" w:rsidRPr="00097164">
        <w:rPr>
          <w:szCs w:val="24"/>
        </w:rPr>
        <w:t>v Kč</w:t>
      </w:r>
      <w:r w:rsidR="00A87938" w:rsidRPr="00097164">
        <w:rPr>
          <w:szCs w:val="24"/>
        </w:rPr>
        <w:t>)</w:t>
      </w:r>
    </w:p>
    <w:p w14:paraId="662C8AFA" w14:textId="77777777" w:rsidR="00CC7FA1" w:rsidRDefault="00CC7FA1" w:rsidP="00CC7FA1">
      <w:pPr>
        <w:spacing w:after="0"/>
        <w:ind w:left="-5" w:right="0"/>
      </w:pPr>
      <w:r w:rsidRPr="00A94D32">
        <w:rPr>
          <w:noProof/>
        </w:rPr>
        <w:drawing>
          <wp:inline distT="0" distB="0" distL="0" distR="0" wp14:anchorId="015B15FE" wp14:editId="1E67680C">
            <wp:extent cx="5864225" cy="20037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20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7A73" w14:textId="06D679AA" w:rsidR="00CC7FA1" w:rsidRDefault="00CC7FA1" w:rsidP="008C1E44">
      <w:pPr>
        <w:spacing w:before="40" w:after="0" w:line="240" w:lineRule="auto"/>
        <w:ind w:left="0" w:right="0"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Zdroj: </w:t>
      </w:r>
      <w:r w:rsidR="008C1E44">
        <w:rPr>
          <w:bCs/>
          <w:sz w:val="20"/>
          <w:szCs w:val="20"/>
        </w:rPr>
        <w:t>i</w:t>
      </w:r>
      <w:r w:rsidRPr="003759CA">
        <w:rPr>
          <w:bCs/>
          <w:sz w:val="20"/>
          <w:szCs w:val="20"/>
        </w:rPr>
        <w:t>nformace VPŠ a SPŠ v </w:t>
      </w:r>
      <w:r>
        <w:rPr>
          <w:bCs/>
          <w:sz w:val="20"/>
          <w:szCs w:val="20"/>
        </w:rPr>
        <w:t>Praze</w:t>
      </w:r>
      <w:r w:rsidRPr="003759CA">
        <w:rPr>
          <w:bCs/>
          <w:sz w:val="20"/>
          <w:szCs w:val="20"/>
        </w:rPr>
        <w:t xml:space="preserve"> a VPŠ a SPŠ v</w:t>
      </w:r>
      <w:r>
        <w:rPr>
          <w:bCs/>
          <w:sz w:val="20"/>
          <w:szCs w:val="20"/>
        </w:rPr>
        <w:t> Holešově, Český statistický úřad</w:t>
      </w:r>
      <w:r w:rsidRPr="003759CA">
        <w:rPr>
          <w:bCs/>
          <w:sz w:val="20"/>
          <w:szCs w:val="20"/>
        </w:rPr>
        <w:t>.</w:t>
      </w:r>
    </w:p>
    <w:p w14:paraId="0652819F" w14:textId="2749DC9D" w:rsidR="00CC7FA1" w:rsidRDefault="00CC7FA1" w:rsidP="008C1E44">
      <w:pPr>
        <w:spacing w:after="0" w:line="240" w:lineRule="auto"/>
        <w:ind w:left="567" w:right="0" w:hanging="583"/>
        <w:rPr>
          <w:sz w:val="20"/>
          <w:szCs w:val="20"/>
        </w:rPr>
      </w:pPr>
      <w:r w:rsidRPr="00584903">
        <w:rPr>
          <w:b/>
          <w:sz w:val="20"/>
          <w:szCs w:val="20"/>
        </w:rPr>
        <w:t>Pozn.:</w:t>
      </w:r>
      <w:r>
        <w:rPr>
          <w:sz w:val="20"/>
          <w:szCs w:val="20"/>
        </w:rPr>
        <w:t xml:space="preserve"> *</w:t>
      </w:r>
      <w:r w:rsidR="008C1E44">
        <w:rPr>
          <w:sz w:val="20"/>
          <w:szCs w:val="20"/>
        </w:rPr>
        <w:t xml:space="preserve"> </w:t>
      </w:r>
      <w:r>
        <w:rPr>
          <w:sz w:val="20"/>
          <w:szCs w:val="20"/>
        </w:rPr>
        <w:t>V letech 2011 až 2014 byl použit dle statistik Ministerstva školství, mládeže a tělovýchovy údaj za střední odborné školy, v následujících letech pak zveřejněný údaj za střední školy (a střediska praktického vyučování).</w:t>
      </w:r>
    </w:p>
    <w:p w14:paraId="3708B87E" w14:textId="26435D32" w:rsidR="00CC7FA1" w:rsidRPr="00CC7FA1" w:rsidRDefault="00CC7FA1" w:rsidP="008C1E44">
      <w:pPr>
        <w:pStyle w:val="Odstavecseseznamem"/>
        <w:spacing w:line="240" w:lineRule="auto"/>
        <w:ind w:left="0" w:firstLine="567"/>
        <w:contextualSpacing w:val="0"/>
      </w:pPr>
      <w:r w:rsidRPr="001512AC">
        <w:rPr>
          <w:sz w:val="20"/>
          <w:szCs w:val="20"/>
        </w:rPr>
        <w:t>OPPP =</w:t>
      </w:r>
      <w:r>
        <w:rPr>
          <w:sz w:val="20"/>
          <w:szCs w:val="20"/>
        </w:rPr>
        <w:t xml:space="preserve"> ostatní platby za provedenou práci.</w:t>
      </w:r>
    </w:p>
    <w:p w14:paraId="11304197" w14:textId="5F54B3A8" w:rsidR="00FB77FC" w:rsidRPr="00CB6276" w:rsidRDefault="00CB6276" w:rsidP="008C1E44">
      <w:pPr>
        <w:keepNext/>
        <w:spacing w:before="240" w:line="240" w:lineRule="auto"/>
        <w:ind w:left="0" w:right="0" w:firstLine="0"/>
        <w:rPr>
          <w:b/>
        </w:rPr>
      </w:pPr>
      <w:r>
        <w:rPr>
          <w:b/>
        </w:rPr>
        <w:t xml:space="preserve">5. </w:t>
      </w:r>
      <w:r w:rsidR="00293506" w:rsidRPr="00CB6276">
        <w:rPr>
          <w:b/>
        </w:rPr>
        <w:t xml:space="preserve">Řízení programů materiálně technické základny </w:t>
      </w:r>
      <w:r w:rsidR="007134C8" w:rsidRPr="00CB6276">
        <w:rPr>
          <w:b/>
        </w:rPr>
        <w:t>nebylo efektivní</w:t>
      </w:r>
    </w:p>
    <w:p w14:paraId="125DAA74" w14:textId="195CFEED" w:rsidR="004C3289" w:rsidRDefault="004C3289" w:rsidP="008C1E44">
      <w:pPr>
        <w:spacing w:line="240" w:lineRule="auto"/>
        <w:ind w:left="0" w:right="0" w:firstLine="0"/>
      </w:pPr>
      <w:r>
        <w:t>P</w:t>
      </w:r>
      <w:r w:rsidRPr="0091293B">
        <w:t xml:space="preserve">rogram </w:t>
      </w:r>
      <w:r w:rsidR="00254637">
        <w:t>ev. č. </w:t>
      </w:r>
      <w:r w:rsidRPr="0091293B">
        <w:t>114</w:t>
      </w:r>
      <w:r w:rsidR="00006557">
        <w:t xml:space="preserve"> 020</w:t>
      </w:r>
      <w:r w:rsidRPr="0091293B">
        <w:t xml:space="preserve"> </w:t>
      </w:r>
      <w:r w:rsidR="00006557">
        <w:t xml:space="preserve">je realizován v letech 2011 až 2019. Od roku 2016 </w:t>
      </w:r>
      <w:r w:rsidR="007134C8">
        <w:t xml:space="preserve">běží souběžně věcně obdobný </w:t>
      </w:r>
      <w:r w:rsidR="00006557">
        <w:t xml:space="preserve">program </w:t>
      </w:r>
      <w:r w:rsidR="00BE6146">
        <w:t>ev. č. </w:t>
      </w:r>
      <w:r w:rsidR="00006557">
        <w:t>014</w:t>
      </w:r>
      <w:r w:rsidR="00557CFB">
        <w:t xml:space="preserve"> </w:t>
      </w:r>
      <w:r w:rsidR="00006557">
        <w:t>02</w:t>
      </w:r>
      <w:r w:rsidR="00557CFB">
        <w:t>0</w:t>
      </w:r>
      <w:r w:rsidR="00006557">
        <w:t xml:space="preserve">. Programy </w:t>
      </w:r>
      <w:r w:rsidRPr="0091293B">
        <w:t>řeš</w:t>
      </w:r>
      <w:r w:rsidR="00006557">
        <w:t>í</w:t>
      </w:r>
      <w:r w:rsidRPr="0091293B">
        <w:t xml:space="preserve"> zabezpečení materiálně technických podmínek mimo jiné vyšších a středních policejních škol.</w:t>
      </w:r>
      <w:r>
        <w:t xml:space="preserve"> Program</w:t>
      </w:r>
      <w:r w:rsidR="00006557">
        <w:t>y</w:t>
      </w:r>
      <w:r>
        <w:t xml:space="preserve"> se člen</w:t>
      </w:r>
      <w:r w:rsidR="00006557">
        <w:t>í</w:t>
      </w:r>
      <w:r>
        <w:t xml:space="preserve"> na čtyři podprogramy, z nichž se dva týkaly policejních škol.</w:t>
      </w:r>
      <w:r w:rsidR="00006557">
        <w:t xml:space="preserve"> </w:t>
      </w:r>
      <w:r>
        <w:t>NKÚ pos</w:t>
      </w:r>
      <w:r w:rsidR="00006557">
        <w:t>oudil</w:t>
      </w:r>
      <w:r>
        <w:t xml:space="preserve"> plněn</w:t>
      </w:r>
      <w:r w:rsidR="00006557">
        <w:t>í</w:t>
      </w:r>
      <w:r>
        <w:t xml:space="preserve"> časov</w:t>
      </w:r>
      <w:r w:rsidR="00557CFB">
        <w:t>ých</w:t>
      </w:r>
      <w:r>
        <w:t>, finanční</w:t>
      </w:r>
      <w:r w:rsidR="00557CFB">
        <w:t>ch</w:t>
      </w:r>
      <w:r>
        <w:t xml:space="preserve"> a věcn</w:t>
      </w:r>
      <w:r w:rsidR="00557CFB">
        <w:t xml:space="preserve">ých </w:t>
      </w:r>
      <w:r>
        <w:t>parametr</w:t>
      </w:r>
      <w:r w:rsidR="00557CFB">
        <w:t>ů programů.</w:t>
      </w:r>
    </w:p>
    <w:p w14:paraId="2E60D0F3" w14:textId="27A78B37" w:rsidR="004C3289" w:rsidRDefault="004C3289" w:rsidP="008C1E44">
      <w:pPr>
        <w:shd w:val="clear" w:color="auto" w:fill="FFFFFF" w:themeFill="background1"/>
        <w:spacing w:line="240" w:lineRule="auto"/>
        <w:ind w:left="0" w:right="0" w:firstLine="0"/>
      </w:pPr>
      <w:r w:rsidRPr="000F490A">
        <w:rPr>
          <w:rFonts w:eastAsiaTheme="minorEastAsia"/>
          <w:color w:val="auto"/>
          <w:szCs w:val="24"/>
        </w:rPr>
        <w:t xml:space="preserve">Dokumentace programu </w:t>
      </w:r>
      <w:r w:rsidR="00BE6146">
        <w:rPr>
          <w:rFonts w:eastAsiaTheme="minorEastAsia"/>
          <w:color w:val="auto"/>
          <w:szCs w:val="24"/>
        </w:rPr>
        <w:t>ev. č. </w:t>
      </w:r>
      <w:r w:rsidRPr="000F490A">
        <w:rPr>
          <w:rFonts w:eastAsiaTheme="minorEastAsia"/>
          <w:color w:val="auto"/>
          <w:szCs w:val="24"/>
        </w:rPr>
        <w:t xml:space="preserve">114 020 byla schválena v roce 2010 na období realizace 2011 až 2015. </w:t>
      </w:r>
      <w:r w:rsidR="000F490A">
        <w:rPr>
          <w:rFonts w:eastAsiaTheme="minorEastAsia"/>
          <w:color w:val="auto"/>
          <w:szCs w:val="24"/>
        </w:rPr>
        <w:t>MV mělo zpracovat z</w:t>
      </w:r>
      <w:r w:rsidRPr="000F490A">
        <w:rPr>
          <w:rFonts w:eastAsiaTheme="minorEastAsia"/>
          <w:color w:val="auto"/>
          <w:szCs w:val="24"/>
        </w:rPr>
        <w:t xml:space="preserve">ávěrečné vyhodnocení programu do </w:t>
      </w:r>
      <w:r w:rsidR="00557CFB" w:rsidRPr="000F490A">
        <w:rPr>
          <w:rFonts w:eastAsiaTheme="minorEastAsia"/>
          <w:color w:val="auto"/>
          <w:szCs w:val="24"/>
        </w:rPr>
        <w:t xml:space="preserve">konce roku </w:t>
      </w:r>
      <w:r w:rsidRPr="000F490A">
        <w:rPr>
          <w:rFonts w:eastAsiaTheme="minorEastAsia"/>
          <w:color w:val="auto"/>
          <w:szCs w:val="24"/>
        </w:rPr>
        <w:t xml:space="preserve">2016. </w:t>
      </w:r>
      <w:r w:rsidR="007134C8">
        <w:rPr>
          <w:rFonts w:eastAsiaTheme="minorEastAsia"/>
          <w:color w:val="auto"/>
          <w:szCs w:val="24"/>
        </w:rPr>
        <w:t xml:space="preserve">V průběhu realizace provedlo MV pět změn </w:t>
      </w:r>
      <w:r w:rsidR="00D12107">
        <w:rPr>
          <w:rFonts w:eastAsiaTheme="minorEastAsia"/>
          <w:color w:val="auto"/>
          <w:szCs w:val="24"/>
        </w:rPr>
        <w:t xml:space="preserve">cílů </w:t>
      </w:r>
      <w:r w:rsidR="007134C8">
        <w:rPr>
          <w:rFonts w:eastAsiaTheme="minorEastAsia"/>
          <w:color w:val="auto"/>
          <w:szCs w:val="24"/>
        </w:rPr>
        <w:t>dokumentace programu a prodloužilo termín ukončení o</w:t>
      </w:r>
      <w:r w:rsidR="00FD2007">
        <w:rPr>
          <w:rFonts w:eastAsiaTheme="minorEastAsia"/>
          <w:color w:val="auto"/>
          <w:szCs w:val="24"/>
        </w:rPr>
        <w:t> </w:t>
      </w:r>
      <w:r w:rsidR="007134C8" w:rsidRPr="000F490A">
        <w:t>čtyři roky (tj. o 80 %).</w:t>
      </w:r>
      <w:r w:rsidR="007134C8">
        <w:t xml:space="preserve"> </w:t>
      </w:r>
      <w:r w:rsidR="000F490A" w:rsidRPr="000F490A">
        <w:rPr>
          <w:rFonts w:eastAsiaTheme="minorEastAsia"/>
          <w:color w:val="auto"/>
          <w:szCs w:val="24"/>
        </w:rPr>
        <w:t xml:space="preserve">MV jako důvod </w:t>
      </w:r>
      <w:r w:rsidR="007134C8">
        <w:rPr>
          <w:rFonts w:eastAsiaTheme="minorEastAsia"/>
          <w:color w:val="auto"/>
          <w:szCs w:val="24"/>
        </w:rPr>
        <w:t>změn cílů a nutnosti prodloužení</w:t>
      </w:r>
      <w:r w:rsidR="000F490A" w:rsidRPr="000F490A">
        <w:rPr>
          <w:rFonts w:eastAsiaTheme="minorEastAsia"/>
          <w:color w:val="auto"/>
          <w:szCs w:val="24"/>
        </w:rPr>
        <w:t xml:space="preserve"> uvedlo navýšení požadavků na finanční zabezpečení akcí zařazených do programu. </w:t>
      </w:r>
      <w:r w:rsidR="007134C8">
        <w:t xml:space="preserve">U </w:t>
      </w:r>
      <w:r w:rsidR="007134C8" w:rsidRPr="00592028">
        <w:t xml:space="preserve">programu </w:t>
      </w:r>
      <w:r w:rsidR="00BE6146">
        <w:t>ev. č. </w:t>
      </w:r>
      <w:r w:rsidR="007134C8" w:rsidRPr="00592028">
        <w:t>014</w:t>
      </w:r>
      <w:r w:rsidR="007134C8">
        <w:t> </w:t>
      </w:r>
      <w:r w:rsidR="007134C8" w:rsidRPr="00592028">
        <w:t>020 měly výdaje v období 2016</w:t>
      </w:r>
      <w:r w:rsidR="007134C8">
        <w:t xml:space="preserve"> až </w:t>
      </w:r>
      <w:r w:rsidR="007134C8" w:rsidRPr="00592028">
        <w:t>2018 činit 297 mil. Kč</w:t>
      </w:r>
      <w:r w:rsidR="007134C8">
        <w:t xml:space="preserve">, ve </w:t>
      </w:r>
      <w:r w:rsidR="007134C8" w:rsidRPr="00592028">
        <w:t>skutečnost</w:t>
      </w:r>
      <w:r w:rsidR="007134C8">
        <w:t>i</w:t>
      </w:r>
      <w:r w:rsidR="007134C8" w:rsidRPr="00592028">
        <w:t xml:space="preserve"> </w:t>
      </w:r>
      <w:r w:rsidR="007134C8">
        <w:t xml:space="preserve">bylo čerpáno cca </w:t>
      </w:r>
      <w:r w:rsidR="007134C8" w:rsidRPr="00592028">
        <w:t>169 mil. Kč (tj.</w:t>
      </w:r>
      <w:r w:rsidR="00FD2007">
        <w:t> </w:t>
      </w:r>
      <w:r w:rsidR="007134C8" w:rsidRPr="00592028">
        <w:t>57</w:t>
      </w:r>
      <w:r w:rsidR="007134C8">
        <w:t xml:space="preserve"> </w:t>
      </w:r>
      <w:r w:rsidR="007134C8" w:rsidRPr="00592028">
        <w:t>%</w:t>
      </w:r>
      <w:r w:rsidR="007134C8">
        <w:t xml:space="preserve">). </w:t>
      </w:r>
      <w:r w:rsidR="006D510C">
        <w:t>Není tak vyloučena z</w:t>
      </w:r>
      <w:r w:rsidR="007134C8">
        <w:t>měn</w:t>
      </w:r>
      <w:r w:rsidR="006D510C">
        <w:t>a</w:t>
      </w:r>
      <w:r w:rsidR="007134C8">
        <w:t xml:space="preserve"> cílů programu a prodloužení </w:t>
      </w:r>
      <w:r w:rsidR="006D510C">
        <w:t xml:space="preserve">jeho </w:t>
      </w:r>
      <w:r w:rsidR="007134C8">
        <w:t>realizace.</w:t>
      </w:r>
    </w:p>
    <w:p w14:paraId="00DAD843" w14:textId="6D062B73" w:rsidR="00D143CC" w:rsidRDefault="004C3289" w:rsidP="008C1E44">
      <w:pPr>
        <w:shd w:val="clear" w:color="auto" w:fill="FFFFFF" w:themeFill="background1"/>
        <w:spacing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0F490A">
        <w:rPr>
          <w:rFonts w:eastAsiaTheme="minorEastAsia"/>
          <w:color w:val="auto"/>
          <w:szCs w:val="24"/>
        </w:rPr>
        <w:t xml:space="preserve">Při kontrole </w:t>
      </w:r>
      <w:r w:rsidR="00D143CC" w:rsidRPr="000F490A">
        <w:rPr>
          <w:rFonts w:eastAsiaTheme="minorEastAsia"/>
          <w:color w:val="auto"/>
          <w:szCs w:val="24"/>
        </w:rPr>
        <w:t xml:space="preserve">čtyř </w:t>
      </w:r>
      <w:r w:rsidRPr="000F490A">
        <w:rPr>
          <w:rFonts w:eastAsiaTheme="minorEastAsia"/>
          <w:color w:val="auto"/>
          <w:szCs w:val="24"/>
        </w:rPr>
        <w:t xml:space="preserve">investičních akcí realizovaných v rámci </w:t>
      </w:r>
      <w:r w:rsidR="00BE6146">
        <w:rPr>
          <w:rFonts w:eastAsiaTheme="minorEastAsia"/>
          <w:color w:val="auto"/>
          <w:szCs w:val="24"/>
        </w:rPr>
        <w:t>p</w:t>
      </w:r>
      <w:r w:rsidRPr="000F490A">
        <w:rPr>
          <w:rFonts w:eastAsiaTheme="minorEastAsia"/>
          <w:color w:val="auto"/>
          <w:szCs w:val="24"/>
        </w:rPr>
        <w:t xml:space="preserve">rogramu </w:t>
      </w:r>
      <w:r w:rsidR="00BE6146">
        <w:rPr>
          <w:rFonts w:eastAsiaTheme="minorEastAsia"/>
          <w:color w:val="auto"/>
          <w:szCs w:val="24"/>
        </w:rPr>
        <w:t>ev. č. </w:t>
      </w:r>
      <w:r w:rsidRPr="000F490A">
        <w:rPr>
          <w:rFonts w:eastAsiaTheme="minorEastAsia"/>
          <w:color w:val="auto"/>
          <w:szCs w:val="24"/>
        </w:rPr>
        <w:t>114</w:t>
      </w:r>
      <w:r w:rsidR="00D143CC" w:rsidRPr="000F490A">
        <w:rPr>
          <w:rFonts w:eastAsiaTheme="minorEastAsia"/>
          <w:color w:val="auto"/>
          <w:szCs w:val="24"/>
        </w:rPr>
        <w:t> </w:t>
      </w:r>
      <w:r w:rsidRPr="000F490A">
        <w:rPr>
          <w:rFonts w:eastAsiaTheme="minorEastAsia"/>
          <w:color w:val="auto"/>
          <w:szCs w:val="24"/>
        </w:rPr>
        <w:t>020</w:t>
      </w:r>
      <w:r w:rsidR="00D143CC" w:rsidRPr="000F490A">
        <w:rPr>
          <w:rFonts w:eastAsiaTheme="minorEastAsia"/>
          <w:color w:val="auto"/>
          <w:szCs w:val="24"/>
        </w:rPr>
        <w:t xml:space="preserve"> ve výši 33 286</w:t>
      </w:r>
      <w:r w:rsidR="00BB2E90">
        <w:rPr>
          <w:rFonts w:eastAsiaTheme="minorEastAsia"/>
          <w:color w:val="auto"/>
          <w:szCs w:val="24"/>
        </w:rPr>
        <w:t> </w:t>
      </w:r>
      <w:r w:rsidR="00D143CC" w:rsidRPr="000F490A">
        <w:rPr>
          <w:rFonts w:eastAsiaTheme="minorEastAsia"/>
          <w:color w:val="auto"/>
          <w:szCs w:val="24"/>
        </w:rPr>
        <w:t>584</w:t>
      </w:r>
      <w:r w:rsidR="00BB2E90">
        <w:rPr>
          <w:rFonts w:eastAsiaTheme="minorEastAsia"/>
          <w:color w:val="auto"/>
          <w:szCs w:val="24"/>
        </w:rPr>
        <w:t> </w:t>
      </w:r>
      <w:r w:rsidR="00D143CC" w:rsidRPr="000F490A">
        <w:rPr>
          <w:rFonts w:eastAsiaTheme="minorEastAsia"/>
          <w:color w:val="auto"/>
          <w:szCs w:val="24"/>
        </w:rPr>
        <w:t>Kč nebyly zjištěny zásadní nedostatky.</w:t>
      </w:r>
    </w:p>
    <w:p w14:paraId="3B19DF28" w14:textId="2B6858AF" w:rsidR="009A32F5" w:rsidRPr="00E13D28" w:rsidRDefault="00CB6276" w:rsidP="008C1E44">
      <w:pPr>
        <w:keepNext/>
        <w:shd w:val="clear" w:color="auto" w:fill="FFFFFF" w:themeFill="background1"/>
        <w:spacing w:before="240" w:line="240" w:lineRule="auto"/>
        <w:ind w:left="0" w:right="0" w:firstLine="0"/>
      </w:pPr>
      <w:r>
        <w:rPr>
          <w:b/>
        </w:rPr>
        <w:t xml:space="preserve">6. </w:t>
      </w:r>
      <w:r w:rsidR="009A32F5" w:rsidRPr="00CB6276">
        <w:rPr>
          <w:b/>
        </w:rPr>
        <w:t xml:space="preserve">Nedodržení právních předpisů při </w:t>
      </w:r>
      <w:r w:rsidR="00B15420" w:rsidRPr="00CB6276">
        <w:rPr>
          <w:b/>
        </w:rPr>
        <w:t>hospodaření</w:t>
      </w:r>
      <w:r w:rsidR="009A32F5" w:rsidRPr="00CB6276">
        <w:rPr>
          <w:b/>
        </w:rPr>
        <w:t xml:space="preserve"> s majetkem s</w:t>
      </w:r>
      <w:r w:rsidR="00E13D28" w:rsidRPr="00CB6276">
        <w:rPr>
          <w:b/>
        </w:rPr>
        <w:t xml:space="preserve">tátu </w:t>
      </w:r>
    </w:p>
    <w:p w14:paraId="2A5E551D" w14:textId="3621209D" w:rsidR="000F490A" w:rsidRDefault="000F490A" w:rsidP="008C1E44">
      <w:pPr>
        <w:pStyle w:val="Odstavecseseznamem"/>
        <w:spacing w:after="0" w:line="240" w:lineRule="auto"/>
        <w:ind w:left="0" w:right="0" w:firstLine="0"/>
        <w:contextualSpacing w:val="0"/>
      </w:pPr>
      <w:r w:rsidRPr="00FE40E3">
        <w:rPr>
          <w:color w:val="auto"/>
        </w:rPr>
        <w:t xml:space="preserve">MV a </w:t>
      </w:r>
      <w:r w:rsidR="00EC5920">
        <w:rPr>
          <w:color w:val="auto"/>
        </w:rPr>
        <w:t xml:space="preserve">vybrané </w:t>
      </w:r>
      <w:r w:rsidRPr="00FE40E3">
        <w:rPr>
          <w:color w:val="auto"/>
        </w:rPr>
        <w:t>p</w:t>
      </w:r>
      <w:r w:rsidRPr="006A0277">
        <w:t>olicejní školy nepostupovaly v některých případech při nakládání s majetkem státu v souladu s právními předpisy</w:t>
      </w:r>
      <w:r>
        <w:t xml:space="preserve">. </w:t>
      </w:r>
      <w:r w:rsidR="00EC5920">
        <w:t>NKÚ zjistil</w:t>
      </w:r>
      <w:r>
        <w:t xml:space="preserve"> porušení </w:t>
      </w:r>
      <w:r w:rsidRPr="006A0277">
        <w:t>zákon</w:t>
      </w:r>
      <w:r>
        <w:t>a</w:t>
      </w:r>
      <w:r w:rsidRPr="006A0277">
        <w:t xml:space="preserve"> č. </w:t>
      </w:r>
      <w:r w:rsidR="00B0573D" w:rsidRPr="006A0277">
        <w:t>219/2000 Sb.</w:t>
      </w:r>
      <w:r w:rsidR="00B0573D">
        <w:t xml:space="preserve"> </w:t>
      </w:r>
      <w:r w:rsidRPr="006A0277">
        <w:t>a zákon</w:t>
      </w:r>
      <w:r>
        <w:t>a</w:t>
      </w:r>
      <w:r w:rsidR="00D250E2">
        <w:t xml:space="preserve"> č. </w:t>
      </w:r>
      <w:r w:rsidR="00B0573D" w:rsidRPr="006A0277">
        <w:t>563/1991 Sb.</w:t>
      </w:r>
      <w:r w:rsidR="00EC5920">
        <w:t xml:space="preserve">, zejména </w:t>
      </w:r>
      <w:r w:rsidRPr="006A0277">
        <w:t xml:space="preserve">v oblasti </w:t>
      </w:r>
      <w:r>
        <w:t>převodu</w:t>
      </w:r>
      <w:r w:rsidRPr="006A0277">
        <w:t xml:space="preserve"> majetku v rámci </w:t>
      </w:r>
      <w:r>
        <w:t>re</w:t>
      </w:r>
      <w:r w:rsidR="00D250E2">
        <w:t>organizace, při inventarizaci a </w:t>
      </w:r>
      <w:r>
        <w:t xml:space="preserve">odpisování majetku. </w:t>
      </w:r>
      <w:r w:rsidR="00E13D28">
        <w:t xml:space="preserve">Konkrétně </w:t>
      </w:r>
      <w:r w:rsidR="006C1526">
        <w:t>bylo zjištěno</w:t>
      </w:r>
      <w:r w:rsidR="00E13D28">
        <w:t>:</w:t>
      </w:r>
    </w:p>
    <w:p w14:paraId="180AAE04" w14:textId="50261CB0" w:rsidR="00B01CC5" w:rsidRDefault="00B01CC5" w:rsidP="008C1E44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ind w:left="284" w:right="0" w:hanging="284"/>
        <w:contextualSpacing w:val="0"/>
      </w:pPr>
      <w:r w:rsidRPr="002A3BA0">
        <w:t>MV</w:t>
      </w:r>
      <w:r>
        <w:t xml:space="preserve"> určilo</w:t>
      </w:r>
      <w:r w:rsidR="001A7F5F">
        <w:t xml:space="preserve"> </w:t>
      </w:r>
      <w:r w:rsidR="00EC5920">
        <w:t xml:space="preserve">při reorganizaci ve vnitřních předpisech a instrukcích </w:t>
      </w:r>
      <w:r w:rsidR="001A7F5F">
        <w:t>v rozporu s</w:t>
      </w:r>
      <w:r w:rsidR="00A46065">
        <w:t xml:space="preserve"> ustanovením </w:t>
      </w:r>
      <w:r w:rsidR="00F5396A">
        <w:t>§</w:t>
      </w:r>
      <w:r w:rsidR="00080D4A">
        <w:t> </w:t>
      </w:r>
      <w:r w:rsidR="00F5396A">
        <w:t xml:space="preserve">20 odst. 1 </w:t>
      </w:r>
      <w:r w:rsidR="001A7F5F">
        <w:t>zákon</w:t>
      </w:r>
      <w:r w:rsidR="00A46065">
        <w:t>a</w:t>
      </w:r>
      <w:r w:rsidR="001A7F5F">
        <w:t xml:space="preserve"> č. 219/2000 Sb.</w:t>
      </w:r>
      <w:r>
        <w:t xml:space="preserve"> </w:t>
      </w:r>
      <w:r w:rsidR="001A7F5F">
        <w:t>ne</w:t>
      </w:r>
      <w:r>
        <w:t xml:space="preserve">jednotně okamžik </w:t>
      </w:r>
      <w:r w:rsidR="004D43A0">
        <w:t>změny</w:t>
      </w:r>
      <w:r>
        <w:t xml:space="preserve"> příslušnosti </w:t>
      </w:r>
      <w:r w:rsidR="00EC5920">
        <w:t>hospodaření s</w:t>
      </w:r>
      <w:r w:rsidR="00F5396A">
        <w:t> </w:t>
      </w:r>
      <w:r w:rsidR="00EC5920">
        <w:t>majetkem</w:t>
      </w:r>
      <w:r w:rsidR="00F5396A">
        <w:t xml:space="preserve"> státu</w:t>
      </w:r>
      <w:r w:rsidR="00EC5920">
        <w:t>. P</w:t>
      </w:r>
      <w:r>
        <w:t>olicejní školy zaúčtovaly účetní případy související se změnou příslušnosti hospodařit k majetku státu do nesprávného účetního období roku</w:t>
      </w:r>
      <w:r w:rsidR="00D250E2">
        <w:t xml:space="preserve"> 2012. VPŠ a</w:t>
      </w:r>
      <w:r w:rsidR="00080D4A">
        <w:t> </w:t>
      </w:r>
      <w:r w:rsidR="00D250E2">
        <w:t>SPŠ v Praze a </w:t>
      </w:r>
      <w:r w:rsidR="008B0970">
        <w:t xml:space="preserve">VPŠ a SPŠ </w:t>
      </w:r>
      <w:r>
        <w:t>v Holešově tak nepostupovaly v souladu s us</w:t>
      </w:r>
      <w:r w:rsidR="00D250E2">
        <w:t>tanovením § 3 odst.</w:t>
      </w:r>
      <w:r w:rsidR="00080D4A">
        <w:t> </w:t>
      </w:r>
      <w:r w:rsidR="00D250E2">
        <w:t>1 zákona č. </w:t>
      </w:r>
      <w:r>
        <w:t xml:space="preserve">563/1991 Sb. a zároveň podle ustanovení § 8 odst. 1 a 2 </w:t>
      </w:r>
      <w:r w:rsidR="008B0970">
        <w:t>téhož</w:t>
      </w:r>
      <w:r>
        <w:t xml:space="preserve"> zákona. </w:t>
      </w:r>
    </w:p>
    <w:p w14:paraId="5F61949C" w14:textId="095ED95F" w:rsidR="004D43A0" w:rsidRPr="00CB6276" w:rsidRDefault="004D43A0" w:rsidP="008C1E44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szCs w:val="24"/>
        </w:rPr>
      </w:pPr>
      <w:r w:rsidRPr="007A690C">
        <w:rPr>
          <w:rFonts w:asciiTheme="minorHAnsi" w:hAnsiTheme="minorHAnsi" w:cstheme="minorHAnsi"/>
          <w:szCs w:val="24"/>
        </w:rPr>
        <w:t xml:space="preserve">VPŠ a SPŠ v Praze neprovedla k 31. prosinci 2012 řádnou inventarizaci nemovitého majetku převzatého od </w:t>
      </w:r>
      <w:r w:rsidR="00EC5920">
        <w:rPr>
          <w:rFonts w:asciiTheme="minorHAnsi" w:hAnsiTheme="minorHAnsi" w:cstheme="minorHAnsi"/>
          <w:szCs w:val="24"/>
        </w:rPr>
        <w:t>z</w:t>
      </w:r>
      <w:r w:rsidRPr="007A690C">
        <w:rPr>
          <w:rFonts w:asciiTheme="minorHAnsi" w:hAnsiTheme="minorHAnsi" w:cstheme="minorHAnsi"/>
          <w:szCs w:val="24"/>
        </w:rPr>
        <w:t>rušené VPŠ v Jihlavě. Jednalo se o majetek na účtu</w:t>
      </w:r>
      <w:r w:rsidRPr="00BE6146">
        <w:rPr>
          <w:rFonts w:asciiTheme="minorHAnsi" w:hAnsiTheme="minorHAnsi" w:cstheme="minorHAnsi"/>
          <w:szCs w:val="24"/>
        </w:rPr>
        <w:t xml:space="preserve"> </w:t>
      </w:r>
      <w:r w:rsidRPr="00097164">
        <w:rPr>
          <w:rFonts w:asciiTheme="minorHAnsi" w:hAnsiTheme="minorHAnsi" w:cstheme="minorHAnsi"/>
          <w:szCs w:val="24"/>
        </w:rPr>
        <w:t>021</w:t>
      </w:r>
      <w:r w:rsidR="002961AF" w:rsidRPr="00097164">
        <w:rPr>
          <w:rFonts w:asciiTheme="minorHAnsi" w:hAnsiTheme="minorHAnsi" w:cstheme="minorHAnsi"/>
          <w:szCs w:val="24"/>
        </w:rPr>
        <w:t xml:space="preserve"> </w:t>
      </w:r>
      <w:r w:rsidR="00D250E2" w:rsidRPr="00097164">
        <w:rPr>
          <w:rFonts w:asciiTheme="minorHAnsi" w:hAnsiTheme="minorHAnsi" w:cstheme="minorHAnsi"/>
          <w:szCs w:val="24"/>
        </w:rPr>
        <w:t>–</w:t>
      </w:r>
      <w:r w:rsidRPr="00097164">
        <w:rPr>
          <w:rFonts w:asciiTheme="minorHAnsi" w:hAnsiTheme="minorHAnsi" w:cstheme="minorHAnsi"/>
          <w:szCs w:val="24"/>
        </w:rPr>
        <w:t xml:space="preserve"> </w:t>
      </w:r>
      <w:r w:rsidRPr="007A690C">
        <w:rPr>
          <w:rFonts w:asciiTheme="minorHAnsi" w:hAnsiTheme="minorHAnsi" w:cstheme="minorHAnsi"/>
          <w:i/>
          <w:szCs w:val="24"/>
        </w:rPr>
        <w:t>Stavby</w:t>
      </w:r>
      <w:r w:rsidR="00CD47DB">
        <w:rPr>
          <w:rFonts w:asciiTheme="minorHAnsi" w:hAnsiTheme="minorHAnsi" w:cstheme="minorHAnsi"/>
          <w:szCs w:val="24"/>
        </w:rPr>
        <w:t xml:space="preserve"> v celkové hodnotě 182 251 468 </w:t>
      </w:r>
      <w:r w:rsidRPr="007A690C">
        <w:rPr>
          <w:rFonts w:asciiTheme="minorHAnsi" w:hAnsiTheme="minorHAnsi" w:cstheme="minorHAnsi"/>
          <w:szCs w:val="24"/>
        </w:rPr>
        <w:t xml:space="preserve">Kč a pozemků vedených na účtu </w:t>
      </w:r>
      <w:r w:rsidRPr="00097164">
        <w:rPr>
          <w:rFonts w:asciiTheme="minorHAnsi" w:hAnsiTheme="minorHAnsi" w:cstheme="minorHAnsi"/>
          <w:szCs w:val="24"/>
        </w:rPr>
        <w:t xml:space="preserve">031 </w:t>
      </w:r>
      <w:r w:rsidR="00D250E2" w:rsidRPr="00097164">
        <w:rPr>
          <w:rFonts w:asciiTheme="minorHAnsi" w:hAnsiTheme="minorHAnsi" w:cstheme="minorHAnsi"/>
          <w:szCs w:val="24"/>
        </w:rPr>
        <w:t>–</w:t>
      </w:r>
      <w:r w:rsidRPr="00097164">
        <w:rPr>
          <w:rFonts w:asciiTheme="minorHAnsi" w:hAnsiTheme="minorHAnsi" w:cstheme="minorHAnsi"/>
          <w:szCs w:val="24"/>
        </w:rPr>
        <w:t xml:space="preserve"> </w:t>
      </w:r>
      <w:r w:rsidRPr="007A690C">
        <w:rPr>
          <w:rFonts w:asciiTheme="minorHAnsi" w:hAnsiTheme="minorHAnsi" w:cstheme="minorHAnsi"/>
          <w:i/>
          <w:szCs w:val="24"/>
        </w:rPr>
        <w:t>Pozemky</w:t>
      </w:r>
      <w:r w:rsidRPr="007A690C">
        <w:rPr>
          <w:rFonts w:asciiTheme="minorHAnsi" w:hAnsiTheme="minorHAnsi" w:cstheme="minorHAnsi"/>
          <w:szCs w:val="24"/>
        </w:rPr>
        <w:t xml:space="preserve"> v celkové hodnotě 4 286 526 Kč.</w:t>
      </w:r>
      <w:r w:rsidRPr="00CB6276">
        <w:rPr>
          <w:rFonts w:asciiTheme="minorHAnsi" w:hAnsiTheme="minorHAnsi" w:cstheme="minorHAnsi"/>
          <w:szCs w:val="24"/>
        </w:rPr>
        <w:t xml:space="preserve"> </w:t>
      </w:r>
    </w:p>
    <w:p w14:paraId="4EEA09F6" w14:textId="395667FC" w:rsidR="00E13D28" w:rsidRPr="00A87938" w:rsidRDefault="009A32F5" w:rsidP="008C1E44">
      <w:pPr>
        <w:pStyle w:val="Odstavecseseznamem"/>
        <w:numPr>
          <w:ilvl w:val="0"/>
          <w:numId w:val="36"/>
        </w:numPr>
        <w:shd w:val="clear" w:color="auto" w:fill="FFFFFF" w:themeFill="background1"/>
        <w:spacing w:line="240" w:lineRule="auto"/>
        <w:ind w:left="284" w:right="0" w:hanging="284"/>
        <w:contextualSpacing w:val="0"/>
        <w:rPr>
          <w:b/>
        </w:rPr>
      </w:pPr>
      <w:r>
        <w:t xml:space="preserve">VPŠ a SPŠ v Praze </w:t>
      </w:r>
      <w:r w:rsidR="00E13D28">
        <w:t>u čtyř položek majetku (jedna budova a tři automobily) v</w:t>
      </w:r>
      <w:r w:rsidR="006C1526">
        <w:t> zůstatkové účetní hodnotě</w:t>
      </w:r>
      <w:r w:rsidR="00E13D28">
        <w:t xml:space="preserve"> </w:t>
      </w:r>
      <w:r w:rsidR="00CF61A0">
        <w:t xml:space="preserve">2 363 210 </w:t>
      </w:r>
      <w:r w:rsidR="00E13D28">
        <w:t>Kč nezohlednila nesoulad mezi dobou používání a dobou jeho odpisování úpravou odpisového plánu</w:t>
      </w:r>
      <w:r w:rsidR="00CF61A0">
        <w:t>.</w:t>
      </w:r>
    </w:p>
    <w:p w14:paraId="42DFF2A8" w14:textId="45A78EB3" w:rsidR="00A87938" w:rsidRDefault="00A87938" w:rsidP="008C1E44">
      <w:pPr>
        <w:shd w:val="clear" w:color="auto" w:fill="FFFFFF" w:themeFill="background1"/>
        <w:spacing w:after="0" w:line="240" w:lineRule="auto"/>
        <w:ind w:left="0" w:right="0" w:firstLine="0"/>
      </w:pPr>
    </w:p>
    <w:p w14:paraId="481A38AD" w14:textId="77777777" w:rsidR="00AB2BBE" w:rsidRPr="00AB2BBE" w:rsidRDefault="00AB2BBE" w:rsidP="008C1E44">
      <w:pPr>
        <w:shd w:val="clear" w:color="auto" w:fill="FFFFFF" w:themeFill="background1"/>
        <w:spacing w:after="0" w:line="240" w:lineRule="auto"/>
        <w:ind w:left="0" w:right="0" w:firstLine="0"/>
      </w:pPr>
    </w:p>
    <w:p w14:paraId="3061192C" w14:textId="53DFB4C1" w:rsidR="00095556" w:rsidRDefault="00AE7EF5" w:rsidP="00FD674A">
      <w:pPr>
        <w:spacing w:after="60" w:line="240" w:lineRule="auto"/>
        <w:ind w:left="0" w:right="0" w:firstLine="0"/>
      </w:pPr>
      <w:r>
        <w:rPr>
          <w:b/>
        </w:rPr>
        <w:t xml:space="preserve">Seznam zkratek </w:t>
      </w:r>
    </w:p>
    <w:p w14:paraId="32214329" w14:textId="33193839" w:rsidR="00574F18" w:rsidRDefault="00574F18" w:rsidP="00FD674A">
      <w:pPr>
        <w:spacing w:after="60" w:line="240" w:lineRule="auto"/>
        <w:ind w:left="2552" w:right="0" w:hanging="2552"/>
        <w:jc w:val="left"/>
      </w:pPr>
      <w:r>
        <w:t>DPČ</w:t>
      </w:r>
      <w:r>
        <w:tab/>
      </w:r>
      <w:r w:rsidR="00672764">
        <w:t>d</w:t>
      </w:r>
      <w:r>
        <w:t>ohoda o pracovní činnosti</w:t>
      </w:r>
    </w:p>
    <w:p w14:paraId="2D4BC9CF" w14:textId="0CC4BF8F" w:rsidR="00574F18" w:rsidRDefault="00574F18" w:rsidP="00FD674A">
      <w:pPr>
        <w:spacing w:after="60" w:line="240" w:lineRule="auto"/>
        <w:ind w:left="2552" w:right="0" w:hanging="2552"/>
        <w:jc w:val="left"/>
      </w:pPr>
      <w:r>
        <w:t>DPP</w:t>
      </w:r>
      <w:r>
        <w:tab/>
      </w:r>
      <w:r w:rsidR="00672764">
        <w:t>d</w:t>
      </w:r>
      <w:r>
        <w:t>ohoda o provedení práce</w:t>
      </w:r>
    </w:p>
    <w:p w14:paraId="78887EBE" w14:textId="439E590B" w:rsidR="00144595" w:rsidRDefault="00144595" w:rsidP="00FD674A">
      <w:pPr>
        <w:spacing w:after="60" w:line="240" w:lineRule="auto"/>
        <w:ind w:left="2552" w:right="0" w:hanging="2552"/>
        <w:jc w:val="left"/>
      </w:pPr>
      <w:r>
        <w:t>Koncepce</w:t>
      </w:r>
      <w:r>
        <w:tab/>
      </w:r>
      <w:proofErr w:type="spellStart"/>
      <w:r w:rsidRPr="00097164">
        <w:rPr>
          <w:i/>
        </w:rPr>
        <w:t>Koncepce</w:t>
      </w:r>
      <w:proofErr w:type="spellEnd"/>
      <w:r w:rsidRPr="00097164">
        <w:rPr>
          <w:i/>
        </w:rPr>
        <w:t xml:space="preserve"> rozvoje </w:t>
      </w:r>
      <w:r w:rsidR="002961AF" w:rsidRPr="00097164">
        <w:rPr>
          <w:i/>
        </w:rPr>
        <w:t>P</w:t>
      </w:r>
      <w:r w:rsidRPr="00097164">
        <w:rPr>
          <w:i/>
        </w:rPr>
        <w:t>olicie České republiky do roku 2022</w:t>
      </w:r>
    </w:p>
    <w:p w14:paraId="3C815764" w14:textId="320FE096" w:rsidR="00144595" w:rsidRDefault="00AE7EF5" w:rsidP="00FD674A">
      <w:pPr>
        <w:spacing w:after="60" w:line="240" w:lineRule="auto"/>
        <w:ind w:left="2552" w:right="0" w:hanging="2552"/>
        <w:jc w:val="left"/>
      </w:pPr>
      <w:r>
        <w:t xml:space="preserve">MV </w:t>
      </w:r>
      <w:r>
        <w:tab/>
        <w:t>Ministerstvo vnitra České republiky</w:t>
      </w:r>
    </w:p>
    <w:p w14:paraId="6FB62F1B" w14:textId="4E16694C" w:rsidR="00144595" w:rsidRDefault="00144595" w:rsidP="00FD674A">
      <w:pPr>
        <w:spacing w:after="60" w:line="240" w:lineRule="auto"/>
        <w:ind w:left="2552" w:right="0" w:hanging="2552"/>
        <w:jc w:val="left"/>
      </w:pPr>
      <w:r>
        <w:t>NKÚ</w:t>
      </w:r>
      <w:r>
        <w:tab/>
        <w:t>Nejvyšší kontrolní úřad</w:t>
      </w:r>
    </w:p>
    <w:p w14:paraId="52900CC0" w14:textId="20BDB990" w:rsidR="002961AF" w:rsidRDefault="002961AF" w:rsidP="00FD674A">
      <w:pPr>
        <w:spacing w:after="60" w:line="240" w:lineRule="auto"/>
        <w:ind w:left="2552" w:right="0" w:hanging="2552"/>
        <w:jc w:val="left"/>
      </w:pPr>
      <w:r>
        <w:t>Obor BPČ</w:t>
      </w:r>
      <w:r>
        <w:tab/>
        <w:t xml:space="preserve">obor </w:t>
      </w:r>
      <w:r w:rsidR="00612D80">
        <w:t>b</w:t>
      </w:r>
      <w:r>
        <w:t>ezpečnostně právní činnost</w:t>
      </w:r>
    </w:p>
    <w:p w14:paraId="5A2E8C1A" w14:textId="557C581A" w:rsidR="00171185" w:rsidRDefault="00171185" w:rsidP="00FD674A">
      <w:pPr>
        <w:spacing w:after="60" w:line="240" w:lineRule="auto"/>
        <w:ind w:left="2552" w:right="0" w:hanging="2552"/>
        <w:jc w:val="left"/>
      </w:pPr>
      <w:r>
        <w:t>OPPP</w:t>
      </w:r>
      <w:r w:rsidR="00F5396A">
        <w:tab/>
      </w:r>
      <w:r w:rsidR="00F5396A" w:rsidRPr="00F5396A">
        <w:t>ostatní platby za provedenou práci</w:t>
      </w:r>
    </w:p>
    <w:p w14:paraId="06827688" w14:textId="12D2F6FB" w:rsidR="00095556" w:rsidRDefault="00144595" w:rsidP="00FD674A">
      <w:pPr>
        <w:spacing w:after="60" w:line="240" w:lineRule="auto"/>
        <w:ind w:left="2552" w:right="0" w:hanging="2552"/>
        <w:jc w:val="left"/>
      </w:pPr>
      <w:r>
        <w:t>PČR</w:t>
      </w:r>
      <w:r>
        <w:tab/>
        <w:t>Policie České republiky</w:t>
      </w:r>
      <w:r w:rsidR="00AE7EF5">
        <w:t xml:space="preserve"> </w:t>
      </w:r>
    </w:p>
    <w:p w14:paraId="5609E3E5" w14:textId="5B3256C8" w:rsidR="008D6B89" w:rsidRDefault="008D6B89" w:rsidP="00FD674A">
      <w:pPr>
        <w:spacing w:after="60" w:line="240" w:lineRule="auto"/>
        <w:ind w:left="2552" w:right="0" w:hanging="2552"/>
        <w:jc w:val="left"/>
      </w:pPr>
      <w:r>
        <w:t xml:space="preserve">SPŠ </w:t>
      </w:r>
      <w:r>
        <w:tab/>
      </w:r>
      <w:r w:rsidR="00672764">
        <w:t>s</w:t>
      </w:r>
      <w:r>
        <w:t>třední policejní škola</w:t>
      </w:r>
    </w:p>
    <w:p w14:paraId="6B99AF76" w14:textId="6FD09675" w:rsidR="00144595" w:rsidRDefault="00144595" w:rsidP="00FD674A">
      <w:pPr>
        <w:spacing w:after="60" w:line="240" w:lineRule="auto"/>
        <w:ind w:left="2552" w:right="0" w:hanging="2552"/>
        <w:jc w:val="left"/>
      </w:pPr>
      <w:r>
        <w:t>SŠ</w:t>
      </w:r>
      <w:r>
        <w:tab/>
      </w:r>
      <w:r w:rsidR="004207D8">
        <w:t>s</w:t>
      </w:r>
      <w:r>
        <w:t>třední škola</w:t>
      </w:r>
    </w:p>
    <w:p w14:paraId="2359F322" w14:textId="3E6CA746" w:rsidR="00144595" w:rsidRDefault="00144595" w:rsidP="00FD674A">
      <w:pPr>
        <w:spacing w:after="60" w:line="240" w:lineRule="auto"/>
        <w:ind w:left="2552" w:right="0" w:hanging="2552"/>
        <w:jc w:val="left"/>
      </w:pPr>
      <w:r>
        <w:t>Strategie</w:t>
      </w:r>
      <w:r>
        <w:tab/>
      </w:r>
      <w:proofErr w:type="spellStart"/>
      <w:r w:rsidRPr="00097164">
        <w:rPr>
          <w:i/>
        </w:rPr>
        <w:t>Strategie</w:t>
      </w:r>
      <w:proofErr w:type="spellEnd"/>
      <w:r w:rsidRPr="00097164">
        <w:rPr>
          <w:i/>
        </w:rPr>
        <w:t xml:space="preserve"> řízení lidských zdrojů</w:t>
      </w:r>
    </w:p>
    <w:p w14:paraId="2121E676" w14:textId="79FBE7DD" w:rsidR="00D74A3E" w:rsidRDefault="00D74A3E" w:rsidP="00FD674A">
      <w:pPr>
        <w:spacing w:after="60" w:line="240" w:lineRule="auto"/>
        <w:ind w:left="2552" w:right="0" w:hanging="2552"/>
        <w:jc w:val="left"/>
      </w:pPr>
      <w:r>
        <w:t>ŠÚZ</w:t>
      </w:r>
      <w:r>
        <w:tab/>
        <w:t>školské účelové zařízení</w:t>
      </w:r>
    </w:p>
    <w:p w14:paraId="766F8432" w14:textId="29849A9D" w:rsidR="00144595" w:rsidRDefault="00144595" w:rsidP="00FD674A">
      <w:pPr>
        <w:spacing w:after="60" w:line="240" w:lineRule="auto"/>
        <w:ind w:left="2552" w:right="0" w:hanging="2552"/>
        <w:jc w:val="left"/>
      </w:pPr>
      <w:r>
        <w:t>ÚPVSP</w:t>
      </w:r>
      <w:r>
        <w:tab/>
      </w:r>
      <w:r w:rsidR="00612D80">
        <w:t>ú</w:t>
      </w:r>
      <w:r>
        <w:t>tvar policejního vzdělávání a služební přípravy</w:t>
      </w:r>
    </w:p>
    <w:p w14:paraId="35906030" w14:textId="284E1C27" w:rsidR="008D6B89" w:rsidRDefault="008D6B89" w:rsidP="00FD674A">
      <w:pPr>
        <w:spacing w:after="60" w:line="240" w:lineRule="auto"/>
        <w:ind w:left="2552" w:right="0" w:hanging="2552"/>
        <w:jc w:val="left"/>
      </w:pPr>
      <w:r>
        <w:t>VPŠ</w:t>
      </w:r>
      <w:r>
        <w:tab/>
      </w:r>
      <w:r w:rsidR="00672764">
        <w:t>v</w:t>
      </w:r>
      <w:r>
        <w:t xml:space="preserve">yšší policejní škola </w:t>
      </w:r>
    </w:p>
    <w:p w14:paraId="13E697F8" w14:textId="5D00D64F" w:rsidR="007134C8" w:rsidRDefault="007134C8" w:rsidP="00FD674A">
      <w:pPr>
        <w:spacing w:after="60" w:line="240" w:lineRule="auto"/>
        <w:ind w:left="2552" w:right="0" w:hanging="2552"/>
        <w:jc w:val="left"/>
      </w:pPr>
      <w:r>
        <w:t>VPŠ a SPŠ v Holešově</w:t>
      </w:r>
      <w:r>
        <w:tab/>
        <w:t>Vyšší policejní škola a Střední policejní škola Ministerstva vnitra v</w:t>
      </w:r>
      <w:r w:rsidR="00A87938">
        <w:t> </w:t>
      </w:r>
      <w:r>
        <w:t>Holešově</w:t>
      </w:r>
    </w:p>
    <w:p w14:paraId="76A82B5F" w14:textId="79D3365D" w:rsidR="007134C8" w:rsidRDefault="007134C8" w:rsidP="00FD674A">
      <w:pPr>
        <w:spacing w:after="60" w:line="240" w:lineRule="auto"/>
        <w:ind w:left="2552" w:right="0" w:hanging="2552"/>
        <w:jc w:val="left"/>
      </w:pPr>
      <w:r>
        <w:t>VPŠ a SPŠ v Praze</w:t>
      </w:r>
      <w:r>
        <w:tab/>
        <w:t>Vyšší policejní škola a Střední policejní škola Ministerstva vnitra v</w:t>
      </w:r>
      <w:r w:rsidR="00A87938">
        <w:t> </w:t>
      </w:r>
      <w:r>
        <w:t>Praze</w:t>
      </w:r>
    </w:p>
    <w:p w14:paraId="7E1B557F" w14:textId="586047F5" w:rsidR="00012FF9" w:rsidRDefault="00E12789" w:rsidP="00FD674A">
      <w:pPr>
        <w:spacing w:after="60" w:line="240" w:lineRule="auto"/>
        <w:ind w:left="2552" w:right="0" w:hanging="2552"/>
        <w:jc w:val="left"/>
      </w:pPr>
      <w:r>
        <w:t>ZOP</w:t>
      </w:r>
      <w:r>
        <w:tab/>
      </w:r>
      <w:r w:rsidR="00672764">
        <w:t>z</w:t>
      </w:r>
      <w:r>
        <w:t>ákladní odborná příprava</w:t>
      </w:r>
    </w:p>
    <w:sectPr w:rsidR="00012FF9" w:rsidSect="005853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3"/>
      </w:footnotePr>
      <w:pgSz w:w="11906" w:h="16838"/>
      <w:pgMar w:top="1417" w:right="1417" w:bottom="1417" w:left="1417" w:header="708" w:footer="484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BB1319" w16cid:durableId="20A7A1DB"/>
  <w16cid:commentId w16cid:paraId="105AD24F" w16cid:durableId="20A7AA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0FCC" w14:textId="77777777" w:rsidR="00097164" w:rsidRDefault="00097164">
      <w:pPr>
        <w:spacing w:after="0" w:line="240" w:lineRule="auto"/>
      </w:pPr>
      <w:r>
        <w:separator/>
      </w:r>
    </w:p>
  </w:endnote>
  <w:endnote w:type="continuationSeparator" w:id="0">
    <w:p w14:paraId="59ABF186" w14:textId="77777777" w:rsidR="00097164" w:rsidRDefault="0009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D2DA" w14:textId="77777777" w:rsidR="00097164" w:rsidRDefault="0009716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09F8" w14:textId="01219F2E" w:rsidR="00097164" w:rsidRDefault="00097164" w:rsidP="00BB2E90">
    <w:pPr>
      <w:spacing w:after="16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98A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2BEC" w14:textId="77777777" w:rsidR="00097164" w:rsidRPr="0058538C" w:rsidRDefault="00097164" w:rsidP="0058538C">
    <w:pPr>
      <w:spacing w:after="160" w:line="259" w:lineRule="auto"/>
      <w:ind w:left="0" w:right="0" w:firstLine="0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E442" w14:textId="77777777" w:rsidR="00097164" w:rsidRDefault="00097164">
      <w:pPr>
        <w:spacing w:after="2" w:line="247" w:lineRule="auto"/>
        <w:ind w:left="283" w:right="8" w:hanging="283"/>
      </w:pPr>
      <w:r>
        <w:separator/>
      </w:r>
    </w:p>
  </w:footnote>
  <w:footnote w:type="continuationSeparator" w:id="0">
    <w:p w14:paraId="5D7B45CA" w14:textId="77777777" w:rsidR="00097164" w:rsidRDefault="00097164">
      <w:pPr>
        <w:spacing w:after="2" w:line="247" w:lineRule="auto"/>
        <w:ind w:left="283" w:right="8" w:hanging="283"/>
      </w:pPr>
      <w:r>
        <w:continuationSeparator/>
      </w:r>
    </w:p>
  </w:footnote>
  <w:footnote w:id="1">
    <w:p w14:paraId="510D9A24" w14:textId="0AA21422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51DB0">
        <w:rPr>
          <w:rStyle w:val="Znakapoznpodarou"/>
          <w:rFonts w:cstheme="minorHAnsi"/>
          <w:vertAlign w:val="baseline"/>
        </w:rPr>
        <w:t>Z</w:t>
      </w:r>
      <w:r w:rsidRPr="00A51DB0">
        <w:rPr>
          <w:rStyle w:val="Znakapoznpodarou"/>
          <w:vertAlign w:val="baseline"/>
        </w:rPr>
        <w:t>ákladní odborná příprava je povinná pro všechny policisty bezprostředně po přijetí do služebního poměru. Jejím cílem je vybavit nově přijatého policistu jak obecnými vědomostmi, dove</w:t>
      </w:r>
      <w:r>
        <w:rPr>
          <w:rStyle w:val="Znakapoznpodarou"/>
          <w:vertAlign w:val="baseline"/>
        </w:rPr>
        <w:t>dnostmi, schopnostmi, postoji a </w:t>
      </w:r>
      <w:r w:rsidRPr="00A51DB0">
        <w:rPr>
          <w:rStyle w:val="Znakapoznpodarou"/>
          <w:vertAlign w:val="baseline"/>
        </w:rPr>
        <w:t>hodnotami odpovídajícími universálním požadavkům na policistu bez ohledu na služební zařazení, tak odbornými kompetencemi pro výkon činností odpovídajících služebnímu místu, na které je policista ustanoven při přijetí do služebního poměru.</w:t>
      </w:r>
    </w:p>
  </w:footnote>
  <w:footnote w:id="2">
    <w:p w14:paraId="278F9FA2" w14:textId="4A8AB821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období 2013 až 2017 vzrostly veřejné výdaje na střední a vyšší odborné vzdělávání o 4 056,6 mil. Kč, tj. o 30 %.</w:t>
      </w:r>
    </w:p>
  </w:footnote>
  <w:footnote w:id="3">
    <w:p w14:paraId="3CE6E39E" w14:textId="77777777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5 odst. 2 zákona č. 273/2008 Sb., o Policii České republiky.</w:t>
      </w:r>
    </w:p>
  </w:footnote>
  <w:footnote w:id="4">
    <w:p w14:paraId="5487F75F" w14:textId="33B192C1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19 odst. 1 a 2 zákona č. 361/2003 Sb., </w:t>
      </w:r>
      <w:r w:rsidRPr="00893404">
        <w:t>o služebním poměru příslušníků bezpečnostních sborů</w:t>
      </w:r>
      <w:r>
        <w:t>.</w:t>
      </w:r>
    </w:p>
  </w:footnote>
  <w:footnote w:id="5">
    <w:p w14:paraId="5DC0F1F3" w14:textId="0D9846F6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návaznosti na ustanovení § 172 zákona č. 561/2004 Sb.</w:t>
      </w:r>
      <w:r w:rsidR="008E189F">
        <w:t>,</w:t>
      </w:r>
      <w:r>
        <w:t xml:space="preserve"> o předškolním, základním, středním, vyšším odborném a jiném vzdělávání (školský zákon), např. </w:t>
      </w:r>
      <w:r w:rsidRPr="00097164">
        <w:rPr>
          <w:i/>
        </w:rPr>
        <w:t>Školní preventivní strategie 2017–2021</w:t>
      </w:r>
      <w:r>
        <w:t xml:space="preserve"> VPŠ a SPŠ v Holešově nebo směrnice pro provádění odborné praxe pro žáky střední odborné školy VPŠ a SPŠ v Praze.</w:t>
      </w:r>
    </w:p>
  </w:footnote>
  <w:footnote w:id="6">
    <w:p w14:paraId="4E0EE3C6" w14:textId="77777777" w:rsidR="00097164" w:rsidRPr="008E36F1" w:rsidRDefault="00097164" w:rsidP="006516A4">
      <w:pPr>
        <w:pStyle w:val="Textpoznpodarou"/>
        <w:ind w:left="284" w:hanging="284"/>
        <w:rPr>
          <w:rFonts w:cstheme="minorHAnsi"/>
        </w:rPr>
      </w:pPr>
      <w:r w:rsidRPr="008E36F1">
        <w:rPr>
          <w:rStyle w:val="Znakapoznpodarou"/>
          <w:rFonts w:cstheme="minorHAnsi"/>
        </w:rPr>
        <w:footnoteRef/>
      </w:r>
      <w:r w:rsidRPr="008E36F1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E36F1">
        <w:rPr>
          <w:rFonts w:cstheme="minorHAnsi"/>
        </w:rPr>
        <w:t xml:space="preserve">Např. </w:t>
      </w:r>
      <w:r w:rsidRPr="008E36F1">
        <w:rPr>
          <w:rFonts w:eastAsia="Times New Roman" w:cstheme="minorHAnsi"/>
        </w:rPr>
        <w:t xml:space="preserve">během studia </w:t>
      </w:r>
      <w:r w:rsidRPr="008E36F1">
        <w:rPr>
          <w:rFonts w:cstheme="minorHAnsi"/>
        </w:rPr>
        <w:t xml:space="preserve">jsou </w:t>
      </w:r>
      <w:r w:rsidRPr="008E36F1">
        <w:rPr>
          <w:rFonts w:eastAsia="Times New Roman" w:cstheme="minorHAnsi"/>
        </w:rPr>
        <w:t>žáci postupně připravováni na fyzické a psychologické testy, které jsou jedním z kritérií pro přijetí.</w:t>
      </w:r>
    </w:p>
  </w:footnote>
  <w:footnote w:id="7">
    <w:p w14:paraId="2C44FD5F" w14:textId="45C5E58B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kontrolovaném období se jedná pouze o absolventy VPŠ a SPŠ v Holešově. Z celkového počtu 419 absolventů v letech 2013 až 2017 bylo k PČR přijato 84 uchazečů, tj. 20 %. VPŠ a SPŠ v Praze zahájilo výuku středního vzdělávání ve školním roce 2016/2017.</w:t>
      </w:r>
    </w:p>
  </w:footnote>
  <w:footnote w:id="8">
    <w:p w14:paraId="5B480D0D" w14:textId="436B0DB7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Program ev. č. 114 020 – </w:t>
      </w:r>
      <w:r w:rsidRPr="00097164">
        <w:rPr>
          <w:rFonts w:cstheme="minorHAnsi"/>
          <w:bCs/>
          <w:i/>
          <w:iCs/>
        </w:rPr>
        <w:t>Rozvoj a obnova materiálně-technické základny školství, vzdělávání a tělovýchovy pro období realizace 2011 až 2015</w:t>
      </w:r>
      <w:r>
        <w:rPr>
          <w:rFonts w:cstheme="minorHAnsi"/>
          <w:bCs/>
          <w:iCs/>
        </w:rPr>
        <w:t xml:space="preserve">. </w:t>
      </w:r>
    </w:p>
  </w:footnote>
  <w:footnote w:id="9">
    <w:p w14:paraId="593B0ED6" w14:textId="708046BB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Program ev. č. 014 020 – </w:t>
      </w:r>
      <w:r w:rsidRPr="00097164">
        <w:rPr>
          <w:i/>
        </w:rPr>
        <w:t>Rozvoj a obnova materiálně-technické základny školství, vzdělávání a tělovýchovy pro období realizace 2016 až 2020</w:t>
      </w:r>
      <w:r w:rsidRPr="00883960">
        <w:t>.</w:t>
      </w:r>
    </w:p>
  </w:footnote>
  <w:footnote w:id="10">
    <w:p w14:paraId="2269F4F1" w14:textId="72FBFC86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 </w:t>
      </w:r>
      <w:r>
        <w:tab/>
        <w:t>Zákon č. 563/1991 Sb., o účetnictví.</w:t>
      </w:r>
    </w:p>
  </w:footnote>
  <w:footnote w:id="11">
    <w:p w14:paraId="2C6052C8" w14:textId="47AA6749" w:rsidR="00097164" w:rsidRDefault="00097164" w:rsidP="006516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219/2000 Sb., </w:t>
      </w:r>
      <w:r w:rsidRPr="00950D22">
        <w:t>o majetku České republiky a jejím vystupování v právních vztazích</w:t>
      </w:r>
      <w:r>
        <w:t>.</w:t>
      </w:r>
    </w:p>
  </w:footnote>
  <w:footnote w:id="12">
    <w:p w14:paraId="723B53A8" w14:textId="3FFE5CF6" w:rsidR="00097164" w:rsidRPr="00E93D6B" w:rsidRDefault="00097164" w:rsidP="008F0CEF">
      <w:pPr>
        <w:pStyle w:val="Textpoznpodarou"/>
        <w:ind w:left="284" w:hanging="284"/>
      </w:pPr>
      <w:r w:rsidRPr="00E93D6B">
        <w:rPr>
          <w:rStyle w:val="Znakapoznpodarou"/>
        </w:rPr>
        <w:footnoteRef/>
      </w:r>
      <w:r w:rsidRPr="00E93D6B">
        <w:t xml:space="preserve"> </w:t>
      </w:r>
      <w:r w:rsidRPr="00E93D6B">
        <w:tab/>
      </w:r>
      <w:r>
        <w:t>Schváleného u</w:t>
      </w:r>
      <w:r w:rsidRPr="00E93D6B">
        <w:rPr>
          <w:rFonts w:cstheme="minorHAnsi"/>
        </w:rPr>
        <w:t>snesení</w:t>
      </w:r>
      <w:r>
        <w:rPr>
          <w:rFonts w:cstheme="minorHAnsi"/>
        </w:rPr>
        <w:t>m</w:t>
      </w:r>
      <w:r w:rsidRPr="00E93D6B">
        <w:rPr>
          <w:rFonts w:cstheme="minorHAnsi"/>
        </w:rPr>
        <w:t xml:space="preserve"> vlády České republiky ze dne 12. září 2012 č. 656</w:t>
      </w:r>
      <w:r>
        <w:rPr>
          <w:rFonts w:cstheme="minorHAnsi"/>
        </w:rPr>
        <w:t>,</w:t>
      </w:r>
      <w:r w:rsidRPr="00E93D6B">
        <w:rPr>
          <w:rFonts w:cstheme="minorHAnsi"/>
        </w:rPr>
        <w:t xml:space="preserve"> </w:t>
      </w:r>
      <w:r w:rsidRPr="00097164">
        <w:rPr>
          <w:rFonts w:cstheme="minorHAnsi"/>
          <w:i/>
        </w:rPr>
        <w:t>k systemizaci příslušníků Policie České republiky a systemizaci příslušníků zařazených v Policejní akademii České republiky a v policejních školách pro rok 2013</w:t>
      </w:r>
      <w:r w:rsidRPr="00E93D6B">
        <w:rPr>
          <w:rFonts w:cstheme="minorHAnsi"/>
        </w:rPr>
        <w:t>.</w:t>
      </w:r>
    </w:p>
  </w:footnote>
  <w:footnote w:id="13">
    <w:p w14:paraId="0EEBC9B8" w14:textId="5199A488" w:rsidR="00097164" w:rsidRPr="008E36F1" w:rsidRDefault="00097164" w:rsidP="00C82604">
      <w:pPr>
        <w:pStyle w:val="Nadpis1"/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8E36F1">
        <w:rPr>
          <w:rStyle w:val="Znakapoznpodarou"/>
          <w:rFonts w:asciiTheme="minorHAnsi" w:hAnsiTheme="minorHAnsi" w:cstheme="minorHAnsi"/>
          <w:b w:val="0"/>
          <w:sz w:val="20"/>
          <w:szCs w:val="20"/>
        </w:rPr>
        <w:footnoteRef/>
      </w:r>
      <w:r w:rsidRPr="008E36F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E36F1">
        <w:rPr>
          <w:rFonts w:asciiTheme="minorHAnsi" w:hAnsiTheme="minorHAnsi" w:cstheme="minorHAnsi"/>
          <w:b w:val="0"/>
          <w:sz w:val="20"/>
          <w:szCs w:val="20"/>
        </w:rPr>
        <w:t>Dle ustanovení § 74 odst. 1 zákona č. 262/2006 Sb., zákoník práce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8E36F1">
        <w:rPr>
          <w:rFonts w:asciiTheme="minorHAnsi" w:hAnsiTheme="minorHAnsi" w:cstheme="minorHAnsi"/>
          <w:b w:val="0"/>
          <w:sz w:val="20"/>
          <w:szCs w:val="20"/>
        </w:rPr>
        <w:t xml:space="preserve"> má zaměstnavatel zajišťovat plnění svých úkolů především zaměstnanci v pracovním poměru.</w:t>
      </w:r>
    </w:p>
  </w:footnote>
  <w:footnote w:id="14">
    <w:p w14:paraId="26565351" w14:textId="1A642C40" w:rsidR="00097164" w:rsidRDefault="00097164" w:rsidP="00B7480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DPČ = dohoda o pracovní činnosti.</w:t>
      </w:r>
    </w:p>
  </w:footnote>
  <w:footnote w:id="15">
    <w:p w14:paraId="4962EC8B" w14:textId="10024A7A" w:rsidR="00097164" w:rsidRDefault="00097164" w:rsidP="00B7480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DPP = dohoda o provedení práce.</w:t>
      </w:r>
    </w:p>
  </w:footnote>
  <w:footnote w:id="16">
    <w:p w14:paraId="6FD77F1D" w14:textId="18CB9B3D" w:rsidR="00097164" w:rsidRDefault="00097164" w:rsidP="004A355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Záloha pro přechodně nezařazené příslušníky dle ustanovení § 32 zákona č. 361/2003 Sb.</w:t>
      </w:r>
    </w:p>
  </w:footnote>
  <w:footnote w:id="17">
    <w:p w14:paraId="44E0F396" w14:textId="0F700DE3" w:rsidR="00097164" w:rsidRDefault="00097164" w:rsidP="00A92DD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Využití výukové kapacity představuje podíl průměrné denní obsazenosti a denní výukové kapacity.</w:t>
      </w:r>
    </w:p>
  </w:footnote>
  <w:footnote w:id="18">
    <w:p w14:paraId="05E8B184" w14:textId="1C8A8198" w:rsidR="00097164" w:rsidRDefault="00097164" w:rsidP="0088177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19 odst. 1 </w:t>
      </w:r>
      <w:r w:rsidRPr="007A5D4C">
        <w:t>zákona č. 361/2003 Sb.</w:t>
      </w:r>
      <w:r>
        <w:t>, ve kterém je služební místo charakterizováno zejména systemizovanou služební hodností, stupněm vzdělání, oborem nebo zaměřením vzdělání, dalším odborným požadavkem, základním tarifem, náplní služební činnosti, rozsahem oprávnění a povinností příslušníka.</w:t>
      </w:r>
    </w:p>
  </w:footnote>
  <w:footnote w:id="19">
    <w:p w14:paraId="2CBA00A7" w14:textId="5960323E" w:rsidR="00097164" w:rsidRDefault="00097164" w:rsidP="001A6C6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Zpracování </w:t>
      </w:r>
      <w:r w:rsidRPr="00A83A7D">
        <w:rPr>
          <w:i/>
        </w:rPr>
        <w:t>Bílé knihy Policie ČR</w:t>
      </w:r>
      <w:r>
        <w:t xml:space="preserve"> vychází ze stanovených priorit PČR pro oblast fungování a funkčnosti organizace definované v Koncepci.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CDCD" w14:textId="77777777" w:rsidR="00097164" w:rsidRDefault="0009716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D5E2" w14:textId="77777777" w:rsidR="0081598A" w:rsidRDefault="008159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2370" w14:textId="77777777" w:rsidR="0081598A" w:rsidRDefault="00815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08F"/>
    <w:multiLevelType w:val="hybridMultilevel"/>
    <w:tmpl w:val="F3BC2DE6"/>
    <w:lvl w:ilvl="0" w:tplc="2BAE06FA">
      <w:start w:val="1"/>
      <w:numFmt w:val="decimal"/>
      <w:lvlText w:val="%1)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FE0BE8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2E95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2758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3C64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C9C2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E3F0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8AFE7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8FF6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627FF"/>
    <w:multiLevelType w:val="hybridMultilevel"/>
    <w:tmpl w:val="4FB8CEE2"/>
    <w:lvl w:ilvl="0" w:tplc="4DB0E22A">
      <w:start w:val="3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2B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815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231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613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284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E78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0F7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8A8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96D74"/>
    <w:multiLevelType w:val="hybridMultilevel"/>
    <w:tmpl w:val="7A5CA65E"/>
    <w:lvl w:ilvl="0" w:tplc="10CCA2B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2EB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029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668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D8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C7D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8CE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A7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0BB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E2F0B"/>
    <w:multiLevelType w:val="multilevel"/>
    <w:tmpl w:val="D22C9E04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55D1B"/>
    <w:multiLevelType w:val="multilevel"/>
    <w:tmpl w:val="D22C9E04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F5AAC"/>
    <w:multiLevelType w:val="hybridMultilevel"/>
    <w:tmpl w:val="720A6C98"/>
    <w:lvl w:ilvl="0" w:tplc="67F21C68">
      <w:start w:val="1"/>
      <w:numFmt w:val="decimal"/>
      <w:lvlText w:val="%1)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E5E88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425A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AA29CE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6E034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286B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7A2D3E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E26BC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1876D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36C52"/>
    <w:multiLevelType w:val="hybridMultilevel"/>
    <w:tmpl w:val="91FA8F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1836"/>
    <w:multiLevelType w:val="hybridMultilevel"/>
    <w:tmpl w:val="1380912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7E5844"/>
    <w:multiLevelType w:val="hybridMultilevel"/>
    <w:tmpl w:val="DF36D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5218"/>
    <w:multiLevelType w:val="hybridMultilevel"/>
    <w:tmpl w:val="D0480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67E06"/>
    <w:multiLevelType w:val="hybridMultilevel"/>
    <w:tmpl w:val="A4CCA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942AD"/>
    <w:multiLevelType w:val="hybridMultilevel"/>
    <w:tmpl w:val="D3F4D526"/>
    <w:lvl w:ilvl="0" w:tplc="50DEC9A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3A4B01B1"/>
    <w:multiLevelType w:val="hybridMultilevel"/>
    <w:tmpl w:val="4986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E82"/>
    <w:multiLevelType w:val="hybridMultilevel"/>
    <w:tmpl w:val="2104D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E6CD1"/>
    <w:multiLevelType w:val="hybridMultilevel"/>
    <w:tmpl w:val="B4F83DD6"/>
    <w:lvl w:ilvl="0" w:tplc="A968AB1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26B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E97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46A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477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63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6E0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3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8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16CFA"/>
    <w:multiLevelType w:val="hybridMultilevel"/>
    <w:tmpl w:val="039E30B2"/>
    <w:lvl w:ilvl="0" w:tplc="7422A2FC">
      <w:start w:val="1"/>
      <w:numFmt w:val="decimal"/>
      <w:lvlText w:val="%1)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7CBC7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48FDB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85CE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EBF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EEC2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58401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EE9A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4919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436475"/>
    <w:multiLevelType w:val="hybridMultilevel"/>
    <w:tmpl w:val="D23C009E"/>
    <w:lvl w:ilvl="0" w:tplc="2738EAB6">
      <w:start w:val="1"/>
      <w:numFmt w:val="decimal"/>
      <w:lvlText w:val="Tabulka č. %1"/>
      <w:lvlJc w:val="left"/>
      <w:pPr>
        <w:ind w:left="29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E055758"/>
    <w:multiLevelType w:val="hybridMultilevel"/>
    <w:tmpl w:val="3DA67930"/>
    <w:lvl w:ilvl="0" w:tplc="0405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2EB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029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668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D8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C7D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8CE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A7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0BB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07066"/>
    <w:multiLevelType w:val="hybridMultilevel"/>
    <w:tmpl w:val="E020BCD2"/>
    <w:lvl w:ilvl="0" w:tplc="2850FE1A">
      <w:start w:val="1"/>
      <w:numFmt w:val="upperRoman"/>
      <w:lvlText w:val="%1."/>
      <w:lvlJc w:val="left"/>
      <w:pPr>
        <w:ind w:left="1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 w15:restartNumberingAfterBreak="0">
    <w:nsid w:val="6B8E78A1"/>
    <w:multiLevelType w:val="hybridMultilevel"/>
    <w:tmpl w:val="B92ED3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40102"/>
    <w:multiLevelType w:val="multilevel"/>
    <w:tmpl w:val="D22C9E04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4F2D27"/>
    <w:multiLevelType w:val="hybridMultilevel"/>
    <w:tmpl w:val="DD5A7C94"/>
    <w:lvl w:ilvl="0" w:tplc="1444E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85F63"/>
    <w:multiLevelType w:val="hybridMultilevel"/>
    <w:tmpl w:val="B020656C"/>
    <w:lvl w:ilvl="0" w:tplc="09D6B830">
      <w:start w:val="1"/>
      <w:numFmt w:val="decimal"/>
      <w:pStyle w:val="Nzevtabulka"/>
      <w:lvlText w:val="Tabulka č. %1 -"/>
      <w:lvlJc w:val="left"/>
      <w:pPr>
        <w:ind w:left="4188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77745F79"/>
    <w:multiLevelType w:val="hybridMultilevel"/>
    <w:tmpl w:val="CEB81CEA"/>
    <w:lvl w:ilvl="0" w:tplc="5EE27B90">
      <w:start w:val="5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786D377C"/>
    <w:multiLevelType w:val="hybridMultilevel"/>
    <w:tmpl w:val="663EBF0C"/>
    <w:lvl w:ilvl="0" w:tplc="CBC26E94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7DAE511A"/>
    <w:multiLevelType w:val="multilevel"/>
    <w:tmpl w:val="471EA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972D5B"/>
    <w:multiLevelType w:val="hybridMultilevel"/>
    <w:tmpl w:val="714AAF04"/>
    <w:lvl w:ilvl="0" w:tplc="9E68779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2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428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650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A34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60C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C11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30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6F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26"/>
  </w:num>
  <w:num w:numId="6">
    <w:abstractNumId w:val="5"/>
  </w:num>
  <w:num w:numId="7">
    <w:abstractNumId w:val="15"/>
  </w:num>
  <w:num w:numId="8">
    <w:abstractNumId w:val="0"/>
  </w:num>
  <w:num w:numId="9">
    <w:abstractNumId w:val="23"/>
  </w:num>
  <w:num w:numId="10">
    <w:abstractNumId w:val="24"/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12"/>
  </w:num>
  <w:num w:numId="14">
    <w:abstractNumId w:val="19"/>
  </w:num>
  <w:num w:numId="15">
    <w:abstractNumId w:val="25"/>
  </w:num>
  <w:num w:numId="16">
    <w:abstractNumId w:val="4"/>
  </w:num>
  <w:num w:numId="17">
    <w:abstractNumId w:val="22"/>
  </w:num>
  <w:num w:numId="18">
    <w:abstractNumId w:val="20"/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1"/>
  </w:num>
  <w:num w:numId="22">
    <w:abstractNumId w:val="22"/>
    <w:lvlOverride w:ilvl="0">
      <w:startOverride w:val="1"/>
    </w:lvlOverride>
  </w:num>
  <w:num w:numId="23">
    <w:abstractNumId w:val="10"/>
  </w:num>
  <w:num w:numId="24">
    <w:abstractNumId w:val="22"/>
    <w:lvlOverride w:ilvl="0">
      <w:startOverride w:val="1"/>
    </w:lvlOverride>
  </w:num>
  <w:num w:numId="25">
    <w:abstractNumId w:val="11"/>
  </w:num>
  <w:num w:numId="26">
    <w:abstractNumId w:val="17"/>
  </w:num>
  <w:num w:numId="27">
    <w:abstractNumId w:val="9"/>
  </w:num>
  <w:num w:numId="28">
    <w:abstractNumId w:val="7"/>
  </w:num>
  <w:num w:numId="29">
    <w:abstractNumId w:val="22"/>
    <w:lvlOverride w:ilvl="0">
      <w:startOverride w:val="1"/>
    </w:lvlOverride>
  </w:num>
  <w:num w:numId="30">
    <w:abstractNumId w:val="18"/>
  </w:num>
  <w:num w:numId="31">
    <w:abstractNumId w:val="22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8"/>
  </w:num>
  <w:num w:numId="35">
    <w:abstractNumId w:val="22"/>
    <w:lvlOverride w:ilvl="0">
      <w:startOverride w:val="1"/>
    </w:lvlOverride>
  </w:num>
  <w:num w:numId="36">
    <w:abstractNumId w:val="13"/>
  </w:num>
  <w:num w:numId="37">
    <w:abstractNumId w:val="22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6"/>
  </w:num>
  <w:num w:numId="40">
    <w:abstractNumId w:val="22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6"/>
    <w:rsid w:val="0000010F"/>
    <w:rsid w:val="00006557"/>
    <w:rsid w:val="00012FF9"/>
    <w:rsid w:val="000136B6"/>
    <w:rsid w:val="0001465F"/>
    <w:rsid w:val="00014AF4"/>
    <w:rsid w:val="00025E4D"/>
    <w:rsid w:val="0003329E"/>
    <w:rsid w:val="00033590"/>
    <w:rsid w:val="000400B2"/>
    <w:rsid w:val="00053C45"/>
    <w:rsid w:val="000555C9"/>
    <w:rsid w:val="00057FAD"/>
    <w:rsid w:val="00060966"/>
    <w:rsid w:val="00063A0A"/>
    <w:rsid w:val="00064F9C"/>
    <w:rsid w:val="00065B80"/>
    <w:rsid w:val="00070B94"/>
    <w:rsid w:val="00071022"/>
    <w:rsid w:val="00071103"/>
    <w:rsid w:val="00077854"/>
    <w:rsid w:val="00080D4A"/>
    <w:rsid w:val="000843B8"/>
    <w:rsid w:val="0008488F"/>
    <w:rsid w:val="000867F5"/>
    <w:rsid w:val="00087FFC"/>
    <w:rsid w:val="00093696"/>
    <w:rsid w:val="00094549"/>
    <w:rsid w:val="00095556"/>
    <w:rsid w:val="000966C3"/>
    <w:rsid w:val="00096838"/>
    <w:rsid w:val="00097164"/>
    <w:rsid w:val="000A2987"/>
    <w:rsid w:val="000A2C71"/>
    <w:rsid w:val="000A594B"/>
    <w:rsid w:val="000A5B8A"/>
    <w:rsid w:val="000A7692"/>
    <w:rsid w:val="000A7F3F"/>
    <w:rsid w:val="000B2B57"/>
    <w:rsid w:val="000B3459"/>
    <w:rsid w:val="000B7661"/>
    <w:rsid w:val="000C180A"/>
    <w:rsid w:val="000C7867"/>
    <w:rsid w:val="000C7A22"/>
    <w:rsid w:val="000E6E73"/>
    <w:rsid w:val="000F3317"/>
    <w:rsid w:val="000F490A"/>
    <w:rsid w:val="000F65D5"/>
    <w:rsid w:val="000F70CF"/>
    <w:rsid w:val="00102439"/>
    <w:rsid w:val="001027A5"/>
    <w:rsid w:val="00103539"/>
    <w:rsid w:val="00105018"/>
    <w:rsid w:val="00111351"/>
    <w:rsid w:val="00111C21"/>
    <w:rsid w:val="0011361E"/>
    <w:rsid w:val="00120D70"/>
    <w:rsid w:val="0012136C"/>
    <w:rsid w:val="001238AC"/>
    <w:rsid w:val="00123E36"/>
    <w:rsid w:val="001305C3"/>
    <w:rsid w:val="0013272B"/>
    <w:rsid w:val="001329F3"/>
    <w:rsid w:val="001409A3"/>
    <w:rsid w:val="00144024"/>
    <w:rsid w:val="00144595"/>
    <w:rsid w:val="00145803"/>
    <w:rsid w:val="00146355"/>
    <w:rsid w:val="00146400"/>
    <w:rsid w:val="001478A9"/>
    <w:rsid w:val="00151250"/>
    <w:rsid w:val="001542C0"/>
    <w:rsid w:val="00162A92"/>
    <w:rsid w:val="00163E0B"/>
    <w:rsid w:val="00171185"/>
    <w:rsid w:val="00171D23"/>
    <w:rsid w:val="00174121"/>
    <w:rsid w:val="00174E28"/>
    <w:rsid w:val="00177BE9"/>
    <w:rsid w:val="00180875"/>
    <w:rsid w:val="00182C06"/>
    <w:rsid w:val="00183108"/>
    <w:rsid w:val="00183157"/>
    <w:rsid w:val="00186420"/>
    <w:rsid w:val="00187279"/>
    <w:rsid w:val="0019215E"/>
    <w:rsid w:val="001924BD"/>
    <w:rsid w:val="00192F1F"/>
    <w:rsid w:val="00196B71"/>
    <w:rsid w:val="00196FD2"/>
    <w:rsid w:val="001A0154"/>
    <w:rsid w:val="001A0E10"/>
    <w:rsid w:val="001A4922"/>
    <w:rsid w:val="001A4C85"/>
    <w:rsid w:val="001A5776"/>
    <w:rsid w:val="001A61AF"/>
    <w:rsid w:val="001A6C64"/>
    <w:rsid w:val="001A7F5F"/>
    <w:rsid w:val="001B4775"/>
    <w:rsid w:val="001B78C7"/>
    <w:rsid w:val="001C5F96"/>
    <w:rsid w:val="001C71C1"/>
    <w:rsid w:val="001D0884"/>
    <w:rsid w:val="001D268B"/>
    <w:rsid w:val="001D40CF"/>
    <w:rsid w:val="001D6087"/>
    <w:rsid w:val="001D6539"/>
    <w:rsid w:val="001D66FE"/>
    <w:rsid w:val="001E0C1E"/>
    <w:rsid w:val="001E1B93"/>
    <w:rsid w:val="001F0E3E"/>
    <w:rsid w:val="001F3073"/>
    <w:rsid w:val="001F3379"/>
    <w:rsid w:val="001F6961"/>
    <w:rsid w:val="00200258"/>
    <w:rsid w:val="002044E7"/>
    <w:rsid w:val="0020479D"/>
    <w:rsid w:val="002053F8"/>
    <w:rsid w:val="00207161"/>
    <w:rsid w:val="002131BF"/>
    <w:rsid w:val="0021403F"/>
    <w:rsid w:val="00217AB7"/>
    <w:rsid w:val="002229ED"/>
    <w:rsid w:val="002272DD"/>
    <w:rsid w:val="0023013C"/>
    <w:rsid w:val="00231CB1"/>
    <w:rsid w:val="002326B1"/>
    <w:rsid w:val="00233796"/>
    <w:rsid w:val="00235607"/>
    <w:rsid w:val="0023642A"/>
    <w:rsid w:val="002366A6"/>
    <w:rsid w:val="00236BFB"/>
    <w:rsid w:val="00246A4E"/>
    <w:rsid w:val="0024795F"/>
    <w:rsid w:val="002479D9"/>
    <w:rsid w:val="00253A10"/>
    <w:rsid w:val="00254130"/>
    <w:rsid w:val="00254637"/>
    <w:rsid w:val="002602AD"/>
    <w:rsid w:val="0026171C"/>
    <w:rsid w:val="0027177E"/>
    <w:rsid w:val="0027216A"/>
    <w:rsid w:val="00280705"/>
    <w:rsid w:val="0028323F"/>
    <w:rsid w:val="00284935"/>
    <w:rsid w:val="00286DC8"/>
    <w:rsid w:val="002876F5"/>
    <w:rsid w:val="00287DEA"/>
    <w:rsid w:val="0029230B"/>
    <w:rsid w:val="00293506"/>
    <w:rsid w:val="00294458"/>
    <w:rsid w:val="00294F5E"/>
    <w:rsid w:val="002961AF"/>
    <w:rsid w:val="002961D5"/>
    <w:rsid w:val="00296EEC"/>
    <w:rsid w:val="00297898"/>
    <w:rsid w:val="002A4B4D"/>
    <w:rsid w:val="002A4BE7"/>
    <w:rsid w:val="002A5942"/>
    <w:rsid w:val="002A6DE9"/>
    <w:rsid w:val="002B1622"/>
    <w:rsid w:val="002B7E39"/>
    <w:rsid w:val="002C1563"/>
    <w:rsid w:val="002C2EE4"/>
    <w:rsid w:val="002C33B5"/>
    <w:rsid w:val="002C4997"/>
    <w:rsid w:val="002C586A"/>
    <w:rsid w:val="002C5B51"/>
    <w:rsid w:val="002C6F41"/>
    <w:rsid w:val="002D22D3"/>
    <w:rsid w:val="002D3E63"/>
    <w:rsid w:val="002D4D8E"/>
    <w:rsid w:val="002E203E"/>
    <w:rsid w:val="002E2B34"/>
    <w:rsid w:val="002E3F1F"/>
    <w:rsid w:val="002E5D30"/>
    <w:rsid w:val="002F03C3"/>
    <w:rsid w:val="002F520C"/>
    <w:rsid w:val="002F65E7"/>
    <w:rsid w:val="002F6AD0"/>
    <w:rsid w:val="003034F0"/>
    <w:rsid w:val="00305B6A"/>
    <w:rsid w:val="00306ADC"/>
    <w:rsid w:val="00307059"/>
    <w:rsid w:val="0031365F"/>
    <w:rsid w:val="0031494C"/>
    <w:rsid w:val="003152CA"/>
    <w:rsid w:val="0031725A"/>
    <w:rsid w:val="00317276"/>
    <w:rsid w:val="00320D30"/>
    <w:rsid w:val="00321331"/>
    <w:rsid w:val="00323E7E"/>
    <w:rsid w:val="00324575"/>
    <w:rsid w:val="00326643"/>
    <w:rsid w:val="003319B4"/>
    <w:rsid w:val="003365C0"/>
    <w:rsid w:val="00341AB3"/>
    <w:rsid w:val="003449FC"/>
    <w:rsid w:val="00344F4B"/>
    <w:rsid w:val="0034750A"/>
    <w:rsid w:val="00352812"/>
    <w:rsid w:val="00355CAA"/>
    <w:rsid w:val="00361843"/>
    <w:rsid w:val="003759CA"/>
    <w:rsid w:val="0038090B"/>
    <w:rsid w:val="00382836"/>
    <w:rsid w:val="00384076"/>
    <w:rsid w:val="00390C57"/>
    <w:rsid w:val="00391A74"/>
    <w:rsid w:val="003928FF"/>
    <w:rsid w:val="00393847"/>
    <w:rsid w:val="00394A52"/>
    <w:rsid w:val="003A229D"/>
    <w:rsid w:val="003A2CB1"/>
    <w:rsid w:val="003A497F"/>
    <w:rsid w:val="003A5D65"/>
    <w:rsid w:val="003A66CF"/>
    <w:rsid w:val="003A67F8"/>
    <w:rsid w:val="003B2877"/>
    <w:rsid w:val="003B32D6"/>
    <w:rsid w:val="003B636F"/>
    <w:rsid w:val="003B6C1D"/>
    <w:rsid w:val="003B7B01"/>
    <w:rsid w:val="003C0304"/>
    <w:rsid w:val="003C20C4"/>
    <w:rsid w:val="003D06FA"/>
    <w:rsid w:val="003D3119"/>
    <w:rsid w:val="003D3805"/>
    <w:rsid w:val="003D46F0"/>
    <w:rsid w:val="003E1860"/>
    <w:rsid w:val="003F225F"/>
    <w:rsid w:val="003F5AD5"/>
    <w:rsid w:val="003F6648"/>
    <w:rsid w:val="00400A7B"/>
    <w:rsid w:val="00406F85"/>
    <w:rsid w:val="00413260"/>
    <w:rsid w:val="00417D72"/>
    <w:rsid w:val="004207D8"/>
    <w:rsid w:val="00420F97"/>
    <w:rsid w:val="00430808"/>
    <w:rsid w:val="0043101F"/>
    <w:rsid w:val="004326FC"/>
    <w:rsid w:val="00436767"/>
    <w:rsid w:val="00437E3C"/>
    <w:rsid w:val="004403B1"/>
    <w:rsid w:val="004443B3"/>
    <w:rsid w:val="00450F5B"/>
    <w:rsid w:val="00454683"/>
    <w:rsid w:val="004548B3"/>
    <w:rsid w:val="004556D7"/>
    <w:rsid w:val="00456513"/>
    <w:rsid w:val="00456E0D"/>
    <w:rsid w:val="004611AB"/>
    <w:rsid w:val="00461A87"/>
    <w:rsid w:val="00461B5D"/>
    <w:rsid w:val="00464EC9"/>
    <w:rsid w:val="004655EE"/>
    <w:rsid w:val="00467A21"/>
    <w:rsid w:val="004705B9"/>
    <w:rsid w:val="0047087B"/>
    <w:rsid w:val="00472535"/>
    <w:rsid w:val="0047494A"/>
    <w:rsid w:val="004904B0"/>
    <w:rsid w:val="0049308A"/>
    <w:rsid w:val="00493AA0"/>
    <w:rsid w:val="00497F86"/>
    <w:rsid w:val="004A3558"/>
    <w:rsid w:val="004A7BE3"/>
    <w:rsid w:val="004B147B"/>
    <w:rsid w:val="004B49E4"/>
    <w:rsid w:val="004B52FD"/>
    <w:rsid w:val="004C00DB"/>
    <w:rsid w:val="004C3289"/>
    <w:rsid w:val="004C59CF"/>
    <w:rsid w:val="004D2FCF"/>
    <w:rsid w:val="004D43A0"/>
    <w:rsid w:val="004D4580"/>
    <w:rsid w:val="004D5C18"/>
    <w:rsid w:val="004D7F64"/>
    <w:rsid w:val="004E6416"/>
    <w:rsid w:val="004F115D"/>
    <w:rsid w:val="004F2D45"/>
    <w:rsid w:val="004F4068"/>
    <w:rsid w:val="004F4244"/>
    <w:rsid w:val="004F6FFB"/>
    <w:rsid w:val="004F7A61"/>
    <w:rsid w:val="005045C9"/>
    <w:rsid w:val="00512A5F"/>
    <w:rsid w:val="00513143"/>
    <w:rsid w:val="00514A99"/>
    <w:rsid w:val="00521848"/>
    <w:rsid w:val="00524862"/>
    <w:rsid w:val="00527DC4"/>
    <w:rsid w:val="00527F14"/>
    <w:rsid w:val="005307B6"/>
    <w:rsid w:val="00531C81"/>
    <w:rsid w:val="00535C84"/>
    <w:rsid w:val="00536BE3"/>
    <w:rsid w:val="00541D78"/>
    <w:rsid w:val="00542D62"/>
    <w:rsid w:val="00543BC8"/>
    <w:rsid w:val="00547E06"/>
    <w:rsid w:val="00550D98"/>
    <w:rsid w:val="00551688"/>
    <w:rsid w:val="00554989"/>
    <w:rsid w:val="0055703D"/>
    <w:rsid w:val="00557CFB"/>
    <w:rsid w:val="00562418"/>
    <w:rsid w:val="00563745"/>
    <w:rsid w:val="0056503E"/>
    <w:rsid w:val="0056729F"/>
    <w:rsid w:val="005738DD"/>
    <w:rsid w:val="00574F18"/>
    <w:rsid w:val="00575A0F"/>
    <w:rsid w:val="00577AAB"/>
    <w:rsid w:val="00584903"/>
    <w:rsid w:val="0058519A"/>
    <w:rsid w:val="0058538C"/>
    <w:rsid w:val="00585DE1"/>
    <w:rsid w:val="005914CA"/>
    <w:rsid w:val="00593FDF"/>
    <w:rsid w:val="005963EE"/>
    <w:rsid w:val="005972A8"/>
    <w:rsid w:val="005A337A"/>
    <w:rsid w:val="005A574F"/>
    <w:rsid w:val="005A6528"/>
    <w:rsid w:val="005B11C6"/>
    <w:rsid w:val="005B1DBB"/>
    <w:rsid w:val="005B501E"/>
    <w:rsid w:val="005B57C9"/>
    <w:rsid w:val="005B6348"/>
    <w:rsid w:val="005B72DA"/>
    <w:rsid w:val="005B7C0C"/>
    <w:rsid w:val="005C0EAC"/>
    <w:rsid w:val="005C48B9"/>
    <w:rsid w:val="005D0AB2"/>
    <w:rsid w:val="005D427E"/>
    <w:rsid w:val="005D4781"/>
    <w:rsid w:val="005D4D97"/>
    <w:rsid w:val="005E00D9"/>
    <w:rsid w:val="005E14C0"/>
    <w:rsid w:val="005E7A9E"/>
    <w:rsid w:val="005F338C"/>
    <w:rsid w:val="005F5A02"/>
    <w:rsid w:val="00602D70"/>
    <w:rsid w:val="00604033"/>
    <w:rsid w:val="00606EEE"/>
    <w:rsid w:val="00612D80"/>
    <w:rsid w:val="00617CB2"/>
    <w:rsid w:val="00625BBA"/>
    <w:rsid w:val="00626A31"/>
    <w:rsid w:val="00627AF7"/>
    <w:rsid w:val="0063536A"/>
    <w:rsid w:val="00636D65"/>
    <w:rsid w:val="00637B4A"/>
    <w:rsid w:val="00646425"/>
    <w:rsid w:val="00646480"/>
    <w:rsid w:val="006516A4"/>
    <w:rsid w:val="0066110B"/>
    <w:rsid w:val="006629AF"/>
    <w:rsid w:val="0066553D"/>
    <w:rsid w:val="006677A4"/>
    <w:rsid w:val="006702DC"/>
    <w:rsid w:val="00672764"/>
    <w:rsid w:val="006730FB"/>
    <w:rsid w:val="00674E9C"/>
    <w:rsid w:val="00683D0C"/>
    <w:rsid w:val="00683D78"/>
    <w:rsid w:val="006860F5"/>
    <w:rsid w:val="006861FE"/>
    <w:rsid w:val="006865C1"/>
    <w:rsid w:val="00691430"/>
    <w:rsid w:val="00695A59"/>
    <w:rsid w:val="00697C16"/>
    <w:rsid w:val="006A0CB7"/>
    <w:rsid w:val="006A107D"/>
    <w:rsid w:val="006A685B"/>
    <w:rsid w:val="006B694E"/>
    <w:rsid w:val="006B73C8"/>
    <w:rsid w:val="006B7545"/>
    <w:rsid w:val="006B7F7A"/>
    <w:rsid w:val="006C0A6F"/>
    <w:rsid w:val="006C0ECA"/>
    <w:rsid w:val="006C1526"/>
    <w:rsid w:val="006C2AB5"/>
    <w:rsid w:val="006C33AA"/>
    <w:rsid w:val="006C5BEE"/>
    <w:rsid w:val="006C628B"/>
    <w:rsid w:val="006C7CEA"/>
    <w:rsid w:val="006D305A"/>
    <w:rsid w:val="006D32E9"/>
    <w:rsid w:val="006D4354"/>
    <w:rsid w:val="006D510C"/>
    <w:rsid w:val="006D5D86"/>
    <w:rsid w:val="006E4F5C"/>
    <w:rsid w:val="006E7619"/>
    <w:rsid w:val="006F28AC"/>
    <w:rsid w:val="006F6F3F"/>
    <w:rsid w:val="006F784C"/>
    <w:rsid w:val="00701904"/>
    <w:rsid w:val="0070496D"/>
    <w:rsid w:val="00707CC5"/>
    <w:rsid w:val="00711269"/>
    <w:rsid w:val="007119FD"/>
    <w:rsid w:val="007134C8"/>
    <w:rsid w:val="00713A1F"/>
    <w:rsid w:val="007142D3"/>
    <w:rsid w:val="00715DE8"/>
    <w:rsid w:val="00716B74"/>
    <w:rsid w:val="007257D7"/>
    <w:rsid w:val="00731C09"/>
    <w:rsid w:val="00734BB7"/>
    <w:rsid w:val="0073516F"/>
    <w:rsid w:val="00736387"/>
    <w:rsid w:val="00744D16"/>
    <w:rsid w:val="00752485"/>
    <w:rsid w:val="00752FF4"/>
    <w:rsid w:val="00763D86"/>
    <w:rsid w:val="00771FAF"/>
    <w:rsid w:val="00776FB3"/>
    <w:rsid w:val="00780A49"/>
    <w:rsid w:val="007836E3"/>
    <w:rsid w:val="00785C38"/>
    <w:rsid w:val="00790EE7"/>
    <w:rsid w:val="00797F78"/>
    <w:rsid w:val="007A082E"/>
    <w:rsid w:val="007A1307"/>
    <w:rsid w:val="007A1727"/>
    <w:rsid w:val="007A690C"/>
    <w:rsid w:val="007A7CF8"/>
    <w:rsid w:val="007B30BE"/>
    <w:rsid w:val="007B3D4B"/>
    <w:rsid w:val="007B4763"/>
    <w:rsid w:val="007B617B"/>
    <w:rsid w:val="007B6947"/>
    <w:rsid w:val="007C0F01"/>
    <w:rsid w:val="007C2E69"/>
    <w:rsid w:val="007D389A"/>
    <w:rsid w:val="007D4075"/>
    <w:rsid w:val="007D6730"/>
    <w:rsid w:val="007D7102"/>
    <w:rsid w:val="007E2132"/>
    <w:rsid w:val="007E2B2F"/>
    <w:rsid w:val="007E5F8D"/>
    <w:rsid w:val="007F047E"/>
    <w:rsid w:val="007F315B"/>
    <w:rsid w:val="007F65CC"/>
    <w:rsid w:val="007F7936"/>
    <w:rsid w:val="007F7AD0"/>
    <w:rsid w:val="007F7D25"/>
    <w:rsid w:val="00800C52"/>
    <w:rsid w:val="00802780"/>
    <w:rsid w:val="00802A29"/>
    <w:rsid w:val="00807B6E"/>
    <w:rsid w:val="008103BB"/>
    <w:rsid w:val="00811C5D"/>
    <w:rsid w:val="00812C3E"/>
    <w:rsid w:val="00813689"/>
    <w:rsid w:val="0081598A"/>
    <w:rsid w:val="00823032"/>
    <w:rsid w:val="0082450C"/>
    <w:rsid w:val="008246F2"/>
    <w:rsid w:val="0082502A"/>
    <w:rsid w:val="008250E5"/>
    <w:rsid w:val="00825231"/>
    <w:rsid w:val="00827090"/>
    <w:rsid w:val="00831472"/>
    <w:rsid w:val="008320A2"/>
    <w:rsid w:val="00832BB9"/>
    <w:rsid w:val="00833DDE"/>
    <w:rsid w:val="0083440D"/>
    <w:rsid w:val="00835457"/>
    <w:rsid w:val="00840BD0"/>
    <w:rsid w:val="00841C67"/>
    <w:rsid w:val="00843293"/>
    <w:rsid w:val="0085045A"/>
    <w:rsid w:val="00851DC4"/>
    <w:rsid w:val="00856851"/>
    <w:rsid w:val="00857083"/>
    <w:rsid w:val="00857397"/>
    <w:rsid w:val="00857867"/>
    <w:rsid w:val="0086068B"/>
    <w:rsid w:val="00861B49"/>
    <w:rsid w:val="00870876"/>
    <w:rsid w:val="00875FA5"/>
    <w:rsid w:val="008766C3"/>
    <w:rsid w:val="00881777"/>
    <w:rsid w:val="008833C5"/>
    <w:rsid w:val="00883960"/>
    <w:rsid w:val="00883FDE"/>
    <w:rsid w:val="008840BE"/>
    <w:rsid w:val="00885030"/>
    <w:rsid w:val="00892FC0"/>
    <w:rsid w:val="00893404"/>
    <w:rsid w:val="008975EB"/>
    <w:rsid w:val="00897EFB"/>
    <w:rsid w:val="008A00D9"/>
    <w:rsid w:val="008A123E"/>
    <w:rsid w:val="008A27B5"/>
    <w:rsid w:val="008A3014"/>
    <w:rsid w:val="008A40DD"/>
    <w:rsid w:val="008A55BA"/>
    <w:rsid w:val="008B0970"/>
    <w:rsid w:val="008B1A26"/>
    <w:rsid w:val="008B20ED"/>
    <w:rsid w:val="008B455E"/>
    <w:rsid w:val="008B7958"/>
    <w:rsid w:val="008C1E44"/>
    <w:rsid w:val="008C4E01"/>
    <w:rsid w:val="008D42B5"/>
    <w:rsid w:val="008D4621"/>
    <w:rsid w:val="008D54A6"/>
    <w:rsid w:val="008D6B89"/>
    <w:rsid w:val="008E189F"/>
    <w:rsid w:val="008E46B2"/>
    <w:rsid w:val="008F0CEF"/>
    <w:rsid w:val="008F2030"/>
    <w:rsid w:val="008F4DD6"/>
    <w:rsid w:val="008F4E9F"/>
    <w:rsid w:val="008F5024"/>
    <w:rsid w:val="008F5EE9"/>
    <w:rsid w:val="008F7614"/>
    <w:rsid w:val="00900897"/>
    <w:rsid w:val="00901EEA"/>
    <w:rsid w:val="0090436A"/>
    <w:rsid w:val="009062F1"/>
    <w:rsid w:val="009069ED"/>
    <w:rsid w:val="00906E86"/>
    <w:rsid w:val="00911461"/>
    <w:rsid w:val="00912128"/>
    <w:rsid w:val="00912151"/>
    <w:rsid w:val="0091293B"/>
    <w:rsid w:val="00913471"/>
    <w:rsid w:val="00913C1E"/>
    <w:rsid w:val="00914CFF"/>
    <w:rsid w:val="00916701"/>
    <w:rsid w:val="009168FA"/>
    <w:rsid w:val="0091794F"/>
    <w:rsid w:val="009179E4"/>
    <w:rsid w:val="00925FAE"/>
    <w:rsid w:val="009260F1"/>
    <w:rsid w:val="00935E3B"/>
    <w:rsid w:val="00940689"/>
    <w:rsid w:val="00942036"/>
    <w:rsid w:val="009447CD"/>
    <w:rsid w:val="009458DD"/>
    <w:rsid w:val="0095000A"/>
    <w:rsid w:val="00950D22"/>
    <w:rsid w:val="0095426B"/>
    <w:rsid w:val="0095505F"/>
    <w:rsid w:val="00955E6C"/>
    <w:rsid w:val="00956B18"/>
    <w:rsid w:val="00956ED1"/>
    <w:rsid w:val="00960D71"/>
    <w:rsid w:val="009610CC"/>
    <w:rsid w:val="00962F60"/>
    <w:rsid w:val="00963775"/>
    <w:rsid w:val="00963E67"/>
    <w:rsid w:val="00965689"/>
    <w:rsid w:val="00966695"/>
    <w:rsid w:val="009669BE"/>
    <w:rsid w:val="00973414"/>
    <w:rsid w:val="00981F7E"/>
    <w:rsid w:val="00985E0B"/>
    <w:rsid w:val="00986BCF"/>
    <w:rsid w:val="00990072"/>
    <w:rsid w:val="00995D34"/>
    <w:rsid w:val="00996D8F"/>
    <w:rsid w:val="009A07D3"/>
    <w:rsid w:val="009A18EF"/>
    <w:rsid w:val="009A3150"/>
    <w:rsid w:val="009A32F5"/>
    <w:rsid w:val="009A5BA9"/>
    <w:rsid w:val="009A776D"/>
    <w:rsid w:val="009B10C3"/>
    <w:rsid w:val="009B4650"/>
    <w:rsid w:val="009B73C8"/>
    <w:rsid w:val="009C6B33"/>
    <w:rsid w:val="009D4694"/>
    <w:rsid w:val="009D6376"/>
    <w:rsid w:val="009E0208"/>
    <w:rsid w:val="009E40A4"/>
    <w:rsid w:val="009E42B0"/>
    <w:rsid w:val="009F119D"/>
    <w:rsid w:val="009F2E26"/>
    <w:rsid w:val="009F305E"/>
    <w:rsid w:val="009F3FBD"/>
    <w:rsid w:val="009F5CD4"/>
    <w:rsid w:val="009F66B7"/>
    <w:rsid w:val="009F7351"/>
    <w:rsid w:val="00A00670"/>
    <w:rsid w:val="00A02DAE"/>
    <w:rsid w:val="00A04F7F"/>
    <w:rsid w:val="00A05F04"/>
    <w:rsid w:val="00A06687"/>
    <w:rsid w:val="00A07C1E"/>
    <w:rsid w:val="00A10A18"/>
    <w:rsid w:val="00A10D48"/>
    <w:rsid w:val="00A15EC4"/>
    <w:rsid w:val="00A16585"/>
    <w:rsid w:val="00A17648"/>
    <w:rsid w:val="00A20222"/>
    <w:rsid w:val="00A214A0"/>
    <w:rsid w:val="00A23674"/>
    <w:rsid w:val="00A2391D"/>
    <w:rsid w:val="00A2778C"/>
    <w:rsid w:val="00A337A8"/>
    <w:rsid w:val="00A43025"/>
    <w:rsid w:val="00A46065"/>
    <w:rsid w:val="00A51DB0"/>
    <w:rsid w:val="00A52FB8"/>
    <w:rsid w:val="00A54579"/>
    <w:rsid w:val="00A56413"/>
    <w:rsid w:val="00A6275C"/>
    <w:rsid w:val="00A62AAC"/>
    <w:rsid w:val="00A661D2"/>
    <w:rsid w:val="00A71F5C"/>
    <w:rsid w:val="00A73392"/>
    <w:rsid w:val="00A73F84"/>
    <w:rsid w:val="00A73FDD"/>
    <w:rsid w:val="00A75486"/>
    <w:rsid w:val="00A80C92"/>
    <w:rsid w:val="00A811D1"/>
    <w:rsid w:val="00A83A7D"/>
    <w:rsid w:val="00A84FF5"/>
    <w:rsid w:val="00A85D0F"/>
    <w:rsid w:val="00A87938"/>
    <w:rsid w:val="00A90284"/>
    <w:rsid w:val="00A909DE"/>
    <w:rsid w:val="00A9186B"/>
    <w:rsid w:val="00A91D08"/>
    <w:rsid w:val="00A92DD0"/>
    <w:rsid w:val="00A94D32"/>
    <w:rsid w:val="00A955F6"/>
    <w:rsid w:val="00AA1B7F"/>
    <w:rsid w:val="00AA39F3"/>
    <w:rsid w:val="00AA43D8"/>
    <w:rsid w:val="00AA5BFA"/>
    <w:rsid w:val="00AA7206"/>
    <w:rsid w:val="00AB11E2"/>
    <w:rsid w:val="00AB2286"/>
    <w:rsid w:val="00AB2BBE"/>
    <w:rsid w:val="00AB2FB8"/>
    <w:rsid w:val="00AB6F4D"/>
    <w:rsid w:val="00AC0848"/>
    <w:rsid w:val="00AD062B"/>
    <w:rsid w:val="00AD1915"/>
    <w:rsid w:val="00AE3420"/>
    <w:rsid w:val="00AE34CE"/>
    <w:rsid w:val="00AE357F"/>
    <w:rsid w:val="00AE35C5"/>
    <w:rsid w:val="00AE3D60"/>
    <w:rsid w:val="00AE7EF5"/>
    <w:rsid w:val="00AF4096"/>
    <w:rsid w:val="00AF7424"/>
    <w:rsid w:val="00AF7C7F"/>
    <w:rsid w:val="00B01CC5"/>
    <w:rsid w:val="00B030C7"/>
    <w:rsid w:val="00B0573D"/>
    <w:rsid w:val="00B06961"/>
    <w:rsid w:val="00B11847"/>
    <w:rsid w:val="00B15420"/>
    <w:rsid w:val="00B1740F"/>
    <w:rsid w:val="00B232D0"/>
    <w:rsid w:val="00B26945"/>
    <w:rsid w:val="00B32BA5"/>
    <w:rsid w:val="00B32EB2"/>
    <w:rsid w:val="00B34AAC"/>
    <w:rsid w:val="00B34BB5"/>
    <w:rsid w:val="00B444B0"/>
    <w:rsid w:val="00B45DA4"/>
    <w:rsid w:val="00B5328D"/>
    <w:rsid w:val="00B60D27"/>
    <w:rsid w:val="00B612C9"/>
    <w:rsid w:val="00B65E92"/>
    <w:rsid w:val="00B711FB"/>
    <w:rsid w:val="00B73FBA"/>
    <w:rsid w:val="00B74809"/>
    <w:rsid w:val="00B7794F"/>
    <w:rsid w:val="00B84DD3"/>
    <w:rsid w:val="00B878E1"/>
    <w:rsid w:val="00B92729"/>
    <w:rsid w:val="00B9441F"/>
    <w:rsid w:val="00B9500E"/>
    <w:rsid w:val="00B95945"/>
    <w:rsid w:val="00B96A89"/>
    <w:rsid w:val="00B97F9B"/>
    <w:rsid w:val="00BA339B"/>
    <w:rsid w:val="00BA42C4"/>
    <w:rsid w:val="00BA752E"/>
    <w:rsid w:val="00BB2E90"/>
    <w:rsid w:val="00BB5134"/>
    <w:rsid w:val="00BB5781"/>
    <w:rsid w:val="00BB6C6F"/>
    <w:rsid w:val="00BB7703"/>
    <w:rsid w:val="00BC084B"/>
    <w:rsid w:val="00BC2514"/>
    <w:rsid w:val="00BC69E1"/>
    <w:rsid w:val="00BD1E70"/>
    <w:rsid w:val="00BD2432"/>
    <w:rsid w:val="00BD4DD8"/>
    <w:rsid w:val="00BD5361"/>
    <w:rsid w:val="00BE0CD3"/>
    <w:rsid w:val="00BE6146"/>
    <w:rsid w:val="00BE6802"/>
    <w:rsid w:val="00BE69A7"/>
    <w:rsid w:val="00C04445"/>
    <w:rsid w:val="00C14F84"/>
    <w:rsid w:val="00C14FD5"/>
    <w:rsid w:val="00C15CFF"/>
    <w:rsid w:val="00C21797"/>
    <w:rsid w:val="00C220CA"/>
    <w:rsid w:val="00C32042"/>
    <w:rsid w:val="00C32318"/>
    <w:rsid w:val="00C329B0"/>
    <w:rsid w:val="00C3423E"/>
    <w:rsid w:val="00C34310"/>
    <w:rsid w:val="00C34379"/>
    <w:rsid w:val="00C34A0A"/>
    <w:rsid w:val="00C37E37"/>
    <w:rsid w:val="00C40547"/>
    <w:rsid w:val="00C44651"/>
    <w:rsid w:val="00C469AB"/>
    <w:rsid w:val="00C469D3"/>
    <w:rsid w:val="00C56BF3"/>
    <w:rsid w:val="00C61B13"/>
    <w:rsid w:val="00C72A0B"/>
    <w:rsid w:val="00C76E01"/>
    <w:rsid w:val="00C77848"/>
    <w:rsid w:val="00C77ECA"/>
    <w:rsid w:val="00C82604"/>
    <w:rsid w:val="00C85487"/>
    <w:rsid w:val="00C86AAC"/>
    <w:rsid w:val="00C87F36"/>
    <w:rsid w:val="00C90769"/>
    <w:rsid w:val="00C9487E"/>
    <w:rsid w:val="00C9702E"/>
    <w:rsid w:val="00CA6CAB"/>
    <w:rsid w:val="00CA7553"/>
    <w:rsid w:val="00CA769C"/>
    <w:rsid w:val="00CB018A"/>
    <w:rsid w:val="00CB1B27"/>
    <w:rsid w:val="00CB1EC1"/>
    <w:rsid w:val="00CB6276"/>
    <w:rsid w:val="00CC36B9"/>
    <w:rsid w:val="00CC54FC"/>
    <w:rsid w:val="00CC7673"/>
    <w:rsid w:val="00CC7FA1"/>
    <w:rsid w:val="00CD47DB"/>
    <w:rsid w:val="00CD61F5"/>
    <w:rsid w:val="00CD6EE5"/>
    <w:rsid w:val="00CD75C8"/>
    <w:rsid w:val="00CD7AD3"/>
    <w:rsid w:val="00CE3599"/>
    <w:rsid w:val="00CE5370"/>
    <w:rsid w:val="00CE75D0"/>
    <w:rsid w:val="00CF0E93"/>
    <w:rsid w:val="00CF1C20"/>
    <w:rsid w:val="00CF61A0"/>
    <w:rsid w:val="00CF61A3"/>
    <w:rsid w:val="00CF6DE0"/>
    <w:rsid w:val="00D01464"/>
    <w:rsid w:val="00D0731B"/>
    <w:rsid w:val="00D12107"/>
    <w:rsid w:val="00D1236E"/>
    <w:rsid w:val="00D12DFE"/>
    <w:rsid w:val="00D13207"/>
    <w:rsid w:val="00D143CC"/>
    <w:rsid w:val="00D15B1A"/>
    <w:rsid w:val="00D17E64"/>
    <w:rsid w:val="00D215A2"/>
    <w:rsid w:val="00D250E2"/>
    <w:rsid w:val="00D25E61"/>
    <w:rsid w:val="00D31559"/>
    <w:rsid w:val="00D3337B"/>
    <w:rsid w:val="00D34A46"/>
    <w:rsid w:val="00D34CB4"/>
    <w:rsid w:val="00D365F7"/>
    <w:rsid w:val="00D413D6"/>
    <w:rsid w:val="00D42826"/>
    <w:rsid w:val="00D61F78"/>
    <w:rsid w:val="00D636B5"/>
    <w:rsid w:val="00D65DCA"/>
    <w:rsid w:val="00D70085"/>
    <w:rsid w:val="00D705EE"/>
    <w:rsid w:val="00D71F60"/>
    <w:rsid w:val="00D74A3E"/>
    <w:rsid w:val="00D80442"/>
    <w:rsid w:val="00D82AA6"/>
    <w:rsid w:val="00D908E9"/>
    <w:rsid w:val="00D928F2"/>
    <w:rsid w:val="00D92C2B"/>
    <w:rsid w:val="00D95EC7"/>
    <w:rsid w:val="00D96046"/>
    <w:rsid w:val="00D9693B"/>
    <w:rsid w:val="00DA1506"/>
    <w:rsid w:val="00DA1CEB"/>
    <w:rsid w:val="00DA1F6F"/>
    <w:rsid w:val="00DA4BA5"/>
    <w:rsid w:val="00DA4F84"/>
    <w:rsid w:val="00DA6424"/>
    <w:rsid w:val="00DB08E8"/>
    <w:rsid w:val="00DB2260"/>
    <w:rsid w:val="00DB3B7E"/>
    <w:rsid w:val="00DC07A8"/>
    <w:rsid w:val="00DC0897"/>
    <w:rsid w:val="00DC0F7B"/>
    <w:rsid w:val="00DC5E6A"/>
    <w:rsid w:val="00DC7E74"/>
    <w:rsid w:val="00DD1561"/>
    <w:rsid w:val="00DD247A"/>
    <w:rsid w:val="00DD36A0"/>
    <w:rsid w:val="00DD3E7A"/>
    <w:rsid w:val="00DD715A"/>
    <w:rsid w:val="00DE15E9"/>
    <w:rsid w:val="00DE21F1"/>
    <w:rsid w:val="00DE29D9"/>
    <w:rsid w:val="00DE66FE"/>
    <w:rsid w:val="00DE6806"/>
    <w:rsid w:val="00DE6955"/>
    <w:rsid w:val="00DF06A5"/>
    <w:rsid w:val="00DF61A7"/>
    <w:rsid w:val="00DF65D4"/>
    <w:rsid w:val="00DF7B64"/>
    <w:rsid w:val="00E00744"/>
    <w:rsid w:val="00E01C07"/>
    <w:rsid w:val="00E02716"/>
    <w:rsid w:val="00E050D9"/>
    <w:rsid w:val="00E05381"/>
    <w:rsid w:val="00E05C6E"/>
    <w:rsid w:val="00E05DFC"/>
    <w:rsid w:val="00E1152D"/>
    <w:rsid w:val="00E12789"/>
    <w:rsid w:val="00E13D28"/>
    <w:rsid w:val="00E14FDF"/>
    <w:rsid w:val="00E160F2"/>
    <w:rsid w:val="00E204F9"/>
    <w:rsid w:val="00E20D2D"/>
    <w:rsid w:val="00E20F28"/>
    <w:rsid w:val="00E227A5"/>
    <w:rsid w:val="00E22A38"/>
    <w:rsid w:val="00E30C81"/>
    <w:rsid w:val="00E331A8"/>
    <w:rsid w:val="00E35B28"/>
    <w:rsid w:val="00E35D74"/>
    <w:rsid w:val="00E36B78"/>
    <w:rsid w:val="00E37CD9"/>
    <w:rsid w:val="00E40C1A"/>
    <w:rsid w:val="00E41B09"/>
    <w:rsid w:val="00E4388E"/>
    <w:rsid w:val="00E47BDD"/>
    <w:rsid w:val="00E5352D"/>
    <w:rsid w:val="00E55534"/>
    <w:rsid w:val="00E567A6"/>
    <w:rsid w:val="00E56B31"/>
    <w:rsid w:val="00E570AA"/>
    <w:rsid w:val="00E62437"/>
    <w:rsid w:val="00E641CF"/>
    <w:rsid w:val="00E644BC"/>
    <w:rsid w:val="00E6542A"/>
    <w:rsid w:val="00E66DE1"/>
    <w:rsid w:val="00E714FC"/>
    <w:rsid w:val="00E71DA2"/>
    <w:rsid w:val="00E71DD2"/>
    <w:rsid w:val="00E741FB"/>
    <w:rsid w:val="00E747AE"/>
    <w:rsid w:val="00E74A0B"/>
    <w:rsid w:val="00E7556C"/>
    <w:rsid w:val="00E75973"/>
    <w:rsid w:val="00E8258D"/>
    <w:rsid w:val="00E86930"/>
    <w:rsid w:val="00E90324"/>
    <w:rsid w:val="00E90CF4"/>
    <w:rsid w:val="00E916A0"/>
    <w:rsid w:val="00E93965"/>
    <w:rsid w:val="00E93D6B"/>
    <w:rsid w:val="00E94D71"/>
    <w:rsid w:val="00EA11FC"/>
    <w:rsid w:val="00EA1DE3"/>
    <w:rsid w:val="00EA27F9"/>
    <w:rsid w:val="00EA6E7E"/>
    <w:rsid w:val="00EB2FA1"/>
    <w:rsid w:val="00EB6021"/>
    <w:rsid w:val="00EC004C"/>
    <w:rsid w:val="00EC01BD"/>
    <w:rsid w:val="00EC09DB"/>
    <w:rsid w:val="00EC2492"/>
    <w:rsid w:val="00EC2F26"/>
    <w:rsid w:val="00EC5920"/>
    <w:rsid w:val="00EC6330"/>
    <w:rsid w:val="00EE5370"/>
    <w:rsid w:val="00EE7FD4"/>
    <w:rsid w:val="00EF037D"/>
    <w:rsid w:val="00EF0FCF"/>
    <w:rsid w:val="00EF2866"/>
    <w:rsid w:val="00EF49B7"/>
    <w:rsid w:val="00EF6F4A"/>
    <w:rsid w:val="00F017DE"/>
    <w:rsid w:val="00F04818"/>
    <w:rsid w:val="00F0742B"/>
    <w:rsid w:val="00F107C0"/>
    <w:rsid w:val="00F12661"/>
    <w:rsid w:val="00F20A59"/>
    <w:rsid w:val="00F20DD6"/>
    <w:rsid w:val="00F23944"/>
    <w:rsid w:val="00F243D5"/>
    <w:rsid w:val="00F269F7"/>
    <w:rsid w:val="00F304CD"/>
    <w:rsid w:val="00F304E5"/>
    <w:rsid w:val="00F34674"/>
    <w:rsid w:val="00F36DEB"/>
    <w:rsid w:val="00F42F96"/>
    <w:rsid w:val="00F4423F"/>
    <w:rsid w:val="00F44E15"/>
    <w:rsid w:val="00F457F8"/>
    <w:rsid w:val="00F461FF"/>
    <w:rsid w:val="00F47BC6"/>
    <w:rsid w:val="00F47C3E"/>
    <w:rsid w:val="00F50610"/>
    <w:rsid w:val="00F508D9"/>
    <w:rsid w:val="00F53421"/>
    <w:rsid w:val="00F5396A"/>
    <w:rsid w:val="00F557DD"/>
    <w:rsid w:val="00F561EF"/>
    <w:rsid w:val="00F562E1"/>
    <w:rsid w:val="00F56570"/>
    <w:rsid w:val="00F56F44"/>
    <w:rsid w:val="00F60D9E"/>
    <w:rsid w:val="00F63578"/>
    <w:rsid w:val="00F73CD8"/>
    <w:rsid w:val="00F7638F"/>
    <w:rsid w:val="00F76C7B"/>
    <w:rsid w:val="00F76E70"/>
    <w:rsid w:val="00F802D9"/>
    <w:rsid w:val="00F831F4"/>
    <w:rsid w:val="00F83345"/>
    <w:rsid w:val="00F83D36"/>
    <w:rsid w:val="00F85C82"/>
    <w:rsid w:val="00F90A1E"/>
    <w:rsid w:val="00F92707"/>
    <w:rsid w:val="00F97552"/>
    <w:rsid w:val="00FA3747"/>
    <w:rsid w:val="00FA453D"/>
    <w:rsid w:val="00FA7FC4"/>
    <w:rsid w:val="00FB44D9"/>
    <w:rsid w:val="00FB77FC"/>
    <w:rsid w:val="00FB7B1E"/>
    <w:rsid w:val="00FC2282"/>
    <w:rsid w:val="00FC28A5"/>
    <w:rsid w:val="00FC2B03"/>
    <w:rsid w:val="00FC3B23"/>
    <w:rsid w:val="00FC4C0A"/>
    <w:rsid w:val="00FC7AA0"/>
    <w:rsid w:val="00FD2007"/>
    <w:rsid w:val="00FD200B"/>
    <w:rsid w:val="00FD4275"/>
    <w:rsid w:val="00FD4D21"/>
    <w:rsid w:val="00FD674A"/>
    <w:rsid w:val="00FD7272"/>
    <w:rsid w:val="00FE0A34"/>
    <w:rsid w:val="00FE326C"/>
    <w:rsid w:val="00FE40E3"/>
    <w:rsid w:val="00FE41A5"/>
    <w:rsid w:val="00FE49ED"/>
    <w:rsid w:val="00FE566C"/>
    <w:rsid w:val="00FE7470"/>
    <w:rsid w:val="00FF0FDA"/>
    <w:rsid w:val="00FF1872"/>
    <w:rsid w:val="00FF7B1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0B8BF1"/>
  <w15:docId w15:val="{722F3B34-5BC9-4202-8AB6-FB9602F1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2B0"/>
    <w:pPr>
      <w:spacing w:after="120" w:line="264" w:lineRule="auto"/>
      <w:ind w:left="11" w:right="6" w:hanging="11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3207"/>
    <w:pPr>
      <w:spacing w:after="95" w:line="250" w:lineRule="auto"/>
      <w:ind w:left="361" w:right="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3" w:lineRule="auto"/>
      <w:ind w:left="283" w:hanging="283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42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42B0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42B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D25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aliases w:val="odrážky,List Paragraph,Nadpis pro KZ"/>
    <w:basedOn w:val="Normln"/>
    <w:link w:val="OdstavecseseznamemChar"/>
    <w:uiPriority w:val="34"/>
    <w:qFormat/>
    <w:rsid w:val="00E160F2"/>
    <w:pPr>
      <w:ind w:left="351"/>
      <w:contextualSpacing/>
    </w:pPr>
  </w:style>
  <w:style w:type="paragraph" w:customStyle="1" w:styleId="Nzevtabulka">
    <w:name w:val="Název tabulka"/>
    <w:basedOn w:val="Normln"/>
    <w:next w:val="Normln"/>
    <w:link w:val="NzevtabulkaChar"/>
    <w:qFormat/>
    <w:rsid w:val="003C20C4"/>
    <w:pPr>
      <w:numPr>
        <w:numId w:val="17"/>
      </w:numPr>
      <w:spacing w:after="0" w:line="240" w:lineRule="auto"/>
      <w:ind w:right="0"/>
    </w:pPr>
    <w:rPr>
      <w:b/>
    </w:rPr>
  </w:style>
  <w:style w:type="character" w:customStyle="1" w:styleId="OdstavecseseznamemChar">
    <w:name w:val="Odstavec se seznamem Char"/>
    <w:aliases w:val="odrážky Char,List Paragraph Char,Nadpis pro KZ Char"/>
    <w:link w:val="Odstavecseseznamem"/>
    <w:uiPriority w:val="34"/>
    <w:locked/>
    <w:rsid w:val="00E160F2"/>
    <w:rPr>
      <w:rFonts w:ascii="Calibri" w:eastAsia="Calibri" w:hAnsi="Calibri" w:cs="Calibri"/>
      <w:color w:val="000000"/>
      <w:sz w:val="24"/>
    </w:rPr>
  </w:style>
  <w:style w:type="table" w:styleId="Mkatabulky">
    <w:name w:val="Table Grid"/>
    <w:basedOn w:val="Normlntabulka"/>
    <w:uiPriority w:val="39"/>
    <w:rsid w:val="0089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tabulkaChar">
    <w:name w:val="Název tabulka Char"/>
    <w:basedOn w:val="Standardnpsmoodstavce"/>
    <w:link w:val="Nzevtabulka"/>
    <w:rsid w:val="00524862"/>
    <w:rPr>
      <w:rFonts w:ascii="Calibri" w:eastAsia="Calibri" w:hAnsi="Calibri" w:cs="Calibri"/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86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13207"/>
    <w:rPr>
      <w:rFonts w:ascii="Calibri" w:eastAsia="Calibri" w:hAnsi="Calibri" w:cs="Calibri"/>
      <w:b/>
      <w:color w:val="000000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431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1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01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6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486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Styl1-NzevmateriluChar">
    <w:name w:val="Styl1 - Název materiálu Char"/>
    <w:link w:val="Styl1-Nzevmaterilu"/>
    <w:locked/>
    <w:rsid w:val="00CC7673"/>
    <w:rPr>
      <w:rFonts w:ascii="Arial" w:hAnsi="Arial" w:cs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CC767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rFonts w:ascii="Arial" w:eastAsiaTheme="minorEastAsia" w:hAnsi="Arial" w:cs="Arial"/>
      <w:b/>
      <w:noProof/>
      <w:color w:val="auto"/>
      <w:sz w:val="22"/>
      <w:szCs w:val="24"/>
    </w:rPr>
  </w:style>
  <w:style w:type="paragraph" w:styleId="Revize">
    <w:name w:val="Revision"/>
    <w:hidden/>
    <w:uiPriority w:val="99"/>
    <w:semiHidden/>
    <w:rsid w:val="001409A3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locha\Podklad_K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Limit počtu příslušníků</c:v>
                </c:pt>
              </c:strCache>
            </c:strRef>
          </c:tx>
          <c:spPr>
            <a:ln w="22225" cap="rnd" cmpd="sng" algn="ctr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3464223273236506E-2"/>
                  <c:y val="-3.2939884710403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DDB-4846-BF42-3ACF1A6D5392}"/>
                </c:ext>
              </c:extLst>
            </c:dLbl>
            <c:dLbl>
              <c:idx val="1"/>
              <c:layout>
                <c:manualLayout>
                  <c:x val="-2.8188718636029744E-2"/>
                  <c:y val="-5.4899807850672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DDB-4846-BF42-3ACF1A6D5392}"/>
                </c:ext>
              </c:extLst>
            </c:dLbl>
            <c:dLbl>
              <c:idx val="2"/>
              <c:layout>
                <c:manualLayout>
                  <c:x val="-3.909979337689172E-2"/>
                  <c:y val="-6.5879769420807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DDB-4846-BF42-3ACF1A6D5392}"/>
                </c:ext>
              </c:extLst>
            </c:dLbl>
            <c:dLbl>
              <c:idx val="3"/>
              <c:layout>
                <c:manualLayout>
                  <c:x val="-3.255314853237453E-2"/>
                  <c:y val="-8.2349711776008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DDB-4846-BF42-3ACF1A6D5392}"/>
                </c:ext>
              </c:extLst>
            </c:dLbl>
            <c:dLbl>
              <c:idx val="4"/>
              <c:layout>
                <c:manualLayout>
                  <c:x val="-4.3464223273236589E-2"/>
                  <c:y val="-8.2349711776008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DDB-4846-BF42-3ACF1A6D5392}"/>
                </c:ext>
              </c:extLst>
            </c:dLbl>
            <c:dLbl>
              <c:idx val="5"/>
              <c:layout>
                <c:manualLayout>
                  <c:x val="-4.5646438221408986E-2"/>
                  <c:y val="-4.3919846280538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DDB-4846-BF42-3ACF1A6D5392}"/>
                </c:ext>
              </c:extLst>
            </c:dLbl>
            <c:dLbl>
              <c:idx val="6"/>
              <c:layout>
                <c:manualLayout>
                  <c:x val="-6.0921942858615671E-2"/>
                  <c:y val="-5.4899807850672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DDB-4846-BF42-3ACF1A6D5392}"/>
                </c:ext>
              </c:extLst>
            </c:dLbl>
            <c:dLbl>
              <c:idx val="7"/>
              <c:layout>
                <c:manualLayout>
                  <c:x val="-4.5646438221408903E-2"/>
                  <c:y val="-4.9409827065605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DDB-4846-BF42-3ACF1A6D5392}"/>
                </c:ext>
              </c:extLst>
            </c:dLbl>
            <c:dLbl>
              <c:idx val="8"/>
              <c:layout>
                <c:manualLayout>
                  <c:x val="-4.5646438221408903E-2"/>
                  <c:y val="-4.3919846280538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DDB-4846-BF42-3ACF1A6D5392}"/>
                </c:ext>
              </c:extLst>
            </c:dLbl>
            <c:dLbl>
              <c:idx val="9"/>
              <c:layout>
                <c:manualLayout>
                  <c:x val="-3.4698935955427827E-2"/>
                  <c:y val="-4.9409827065605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DDB-4846-BF42-3ACF1A6D5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List1!$A$3:$A$12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List1!$B$3:$B$12</c:f>
              <c:numCache>
                <c:formatCode>#,##0</c:formatCode>
                <c:ptCount val="10"/>
                <c:pt idx="0">
                  <c:v>44682</c:v>
                </c:pt>
                <c:pt idx="1">
                  <c:v>43859</c:v>
                </c:pt>
                <c:pt idx="2">
                  <c:v>42772</c:v>
                </c:pt>
                <c:pt idx="3">
                  <c:v>40382</c:v>
                </c:pt>
                <c:pt idx="4">
                  <c:v>38996</c:v>
                </c:pt>
                <c:pt idx="5">
                  <c:v>39996</c:v>
                </c:pt>
                <c:pt idx="6">
                  <c:v>40294</c:v>
                </c:pt>
                <c:pt idx="7">
                  <c:v>41753</c:v>
                </c:pt>
                <c:pt idx="8">
                  <c:v>41826</c:v>
                </c:pt>
                <c:pt idx="9">
                  <c:v>42275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DDB-4846-BF42-3ACF1A6D5392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Skutečnost</c:v>
                </c:pt>
              </c:strCache>
            </c:strRef>
          </c:tx>
          <c:spPr>
            <a:ln w="22225" cap="rnd" cmpd="sng" algn="ctr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5.4945003429146877E-2"/>
                  <c:y val="-4.0282363898061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DDB-4846-BF42-3ACF1A6D5392}"/>
                </c:ext>
              </c:extLst>
            </c:dLbl>
            <c:dLbl>
              <c:idx val="2"/>
              <c:layout>
                <c:manualLayout>
                  <c:x val="-3.5099358445684958E-2"/>
                  <c:y val="-8.866946067225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DDB-4846-BF42-3ACF1A6D5392}"/>
                </c:ext>
              </c:extLst>
            </c:dLbl>
            <c:dLbl>
              <c:idx val="3"/>
              <c:layout>
                <c:manualLayout>
                  <c:x val="-4.171457344017232E-2"/>
                  <c:y val="-8.32931165862332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6DDB-4846-BF42-3ACF1A6D5392}"/>
                </c:ext>
              </c:extLst>
            </c:dLbl>
            <c:dLbl>
              <c:idx val="4"/>
              <c:layout>
                <c:manualLayout>
                  <c:x val="-4.8329788434659557E-2"/>
                  <c:y val="-4.5658707984082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DDB-4846-BF42-3ACF1A6D5392}"/>
                </c:ext>
              </c:extLst>
            </c:dLbl>
            <c:dLbl>
              <c:idx val="5"/>
              <c:layout>
                <c:manualLayout>
                  <c:x val="-4.6124716769830452E-2"/>
                  <c:y val="-5.6411396156125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DDB-4846-BF42-3ACF1A6D5392}"/>
                </c:ext>
              </c:extLst>
            </c:dLbl>
            <c:dLbl>
              <c:idx val="6"/>
              <c:layout>
                <c:manualLayout>
                  <c:x val="-4.6124716769830452E-2"/>
                  <c:y val="-4.5658707984082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DDB-4846-BF42-3ACF1A6D5392}"/>
                </c:ext>
              </c:extLst>
            </c:dLbl>
            <c:dLbl>
              <c:idx val="7"/>
              <c:layout>
                <c:manualLayout>
                  <c:x val="-4.6124716769830452E-2"/>
                  <c:y val="-5.6411396156125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DDB-4846-BF42-3ACF1A6D5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List1!$A$3:$A$12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List1!$C$3:$C$12</c:f>
              <c:numCache>
                <c:formatCode>#,##0</c:formatCode>
                <c:ptCount val="10"/>
                <c:pt idx="0">
                  <c:v>43115</c:v>
                </c:pt>
                <c:pt idx="1">
                  <c:v>43029</c:v>
                </c:pt>
                <c:pt idx="2">
                  <c:v>40275</c:v>
                </c:pt>
                <c:pt idx="3">
                  <c:v>38559</c:v>
                </c:pt>
                <c:pt idx="4">
                  <c:v>38172</c:v>
                </c:pt>
                <c:pt idx="5">
                  <c:v>38839</c:v>
                </c:pt>
                <c:pt idx="6">
                  <c:v>39375</c:v>
                </c:pt>
                <c:pt idx="7">
                  <c:v>39925</c:v>
                </c:pt>
                <c:pt idx="8">
                  <c:v>39952</c:v>
                </c:pt>
                <c:pt idx="9">
                  <c:v>40066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6DDB-4846-BF42-3ACF1A6D53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2008516175"/>
        <c:axId val="2008506191"/>
      </c:lineChart>
      <c:catAx>
        <c:axId val="2008516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8506191"/>
        <c:crosses val="autoZero"/>
        <c:auto val="1"/>
        <c:lblAlgn val="ctr"/>
        <c:lblOffset val="100"/>
        <c:noMultiLvlLbl val="0"/>
      </c:catAx>
      <c:valAx>
        <c:axId val="2008506191"/>
        <c:scaling>
          <c:orientation val="minMax"/>
          <c:max val="45000"/>
          <c:min val="38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cap="none" baseline="0"/>
                  <a:t>Počet</a:t>
                </a:r>
                <a:r>
                  <a:rPr lang="cs-CZ"/>
                  <a:t> </a:t>
                </a:r>
                <a:r>
                  <a:rPr lang="cs-CZ" cap="none" baseline="0"/>
                  <a:t>příšluníků</a:t>
                </a:r>
              </a:p>
            </c:rich>
          </c:tx>
          <c:layout>
            <c:manualLayout>
              <c:xMode val="edge"/>
              <c:yMode val="edge"/>
              <c:x val="2.3840485478977026E-2"/>
              <c:y val="0.185107559331561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8516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393744194324116"/>
          <c:y val="0.87701549403098811"/>
          <c:w val="0.4521251161135178"/>
          <c:h val="9.0726441452882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65D7-F81C-4892-B244-1C53EE8E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302B9542.dotm</Template>
  <TotalTime>3</TotalTime>
  <Pages>13</Pages>
  <Words>3987</Words>
  <Characters>23530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18/30 - Peněžní prostředky a majetek státu, se kterými jsou příslušné hospodařit vybrané policejní školy Ministerstva vnitra</vt:lpstr>
    </vt:vector>
  </TitlesOfParts>
  <Company>NKU</Company>
  <LinksUpToDate>false</LinksUpToDate>
  <CharactersWithSpaces>27463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18/30 - Peněžní prostředky a majetek státu, se kterými jsou příslušné hospodařit vybrané policejní školy Ministerstva vnitra</dc:title>
  <dc:subject/>
  <dc:creator>Nejvyšší kontrolní úřad</dc:creator>
  <cp:keywords/>
  <cp:lastModifiedBy>KOKRDA Daniel</cp:lastModifiedBy>
  <cp:revision>3</cp:revision>
  <cp:lastPrinted>2019-08-05T06:42:00Z</cp:lastPrinted>
  <dcterms:created xsi:type="dcterms:W3CDTF">2019-08-19T12:27:00Z</dcterms:created>
  <dcterms:modified xsi:type="dcterms:W3CDTF">2019-08-19T12:28:00Z</dcterms:modified>
</cp:coreProperties>
</file>