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24E9" w14:textId="77777777" w:rsidR="001676C8" w:rsidRPr="00946806" w:rsidRDefault="00D457AE" w:rsidP="0039340D">
      <w:pPr>
        <w:spacing w:after="0"/>
        <w:jc w:val="center"/>
        <w:rPr>
          <w:rFonts w:cstheme="minorHAnsi"/>
          <w:b/>
          <w:szCs w:val="28"/>
          <w:highlight w:val="yellow"/>
        </w:rPr>
      </w:pPr>
      <w:bookmarkStart w:id="0" w:name="_Hlk141444309"/>
      <w:r w:rsidRPr="00946806">
        <w:rPr>
          <w:rFonts w:cstheme="minorHAnsi"/>
          <w:b/>
          <w:noProof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174C7185" wp14:editId="6AABC32C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AE1" w14:textId="77777777" w:rsidR="001676C8" w:rsidRPr="00946806" w:rsidRDefault="001676C8" w:rsidP="001676C8">
      <w:pPr>
        <w:pStyle w:val="Bn"/>
        <w:spacing w:before="0" w:line="240" w:lineRule="auto"/>
        <w:ind w:firstLine="0"/>
        <w:jc w:val="center"/>
        <w:rPr>
          <w:rFonts w:asciiTheme="minorHAnsi" w:eastAsia="Times New Roman" w:hAnsiTheme="minorHAnsi" w:cstheme="minorHAnsi"/>
          <w:b/>
          <w:sz w:val="24"/>
          <w:szCs w:val="28"/>
          <w:highlight w:val="yellow"/>
        </w:rPr>
      </w:pPr>
    </w:p>
    <w:p w14:paraId="03EFDA96" w14:textId="77777777" w:rsidR="001676C8" w:rsidRPr="00946806" w:rsidRDefault="001676C8" w:rsidP="001676C8">
      <w:pPr>
        <w:jc w:val="center"/>
        <w:rPr>
          <w:rFonts w:cstheme="minorHAnsi"/>
          <w:b/>
          <w:szCs w:val="28"/>
          <w:highlight w:val="yellow"/>
        </w:rPr>
      </w:pPr>
    </w:p>
    <w:p w14:paraId="23A14EE3" w14:textId="77777777" w:rsidR="001676C8" w:rsidRPr="00946806" w:rsidRDefault="00D457AE" w:rsidP="001676C8">
      <w:pPr>
        <w:jc w:val="center"/>
        <w:rPr>
          <w:rFonts w:cstheme="minorHAnsi"/>
          <w:b/>
          <w:sz w:val="28"/>
          <w:szCs w:val="28"/>
        </w:rPr>
      </w:pPr>
      <w:bookmarkStart w:id="1" w:name="_Hlk150841177"/>
      <w:r w:rsidRPr="00946806">
        <w:rPr>
          <w:rFonts w:cstheme="minorHAnsi"/>
          <w:b/>
          <w:sz w:val="28"/>
          <w:szCs w:val="28"/>
        </w:rPr>
        <w:t>Kontrolní závěr z kontrolní akce</w:t>
      </w:r>
    </w:p>
    <w:p w14:paraId="7E5C1C40" w14:textId="77777777" w:rsidR="001676C8" w:rsidRPr="00946806" w:rsidRDefault="001676C8" w:rsidP="001676C8">
      <w:pPr>
        <w:jc w:val="center"/>
        <w:rPr>
          <w:rFonts w:cstheme="minorHAnsi"/>
          <w:highlight w:val="yellow"/>
        </w:rPr>
      </w:pPr>
    </w:p>
    <w:p w14:paraId="2EB4AF86" w14:textId="77777777" w:rsidR="001676C8" w:rsidRPr="00946806" w:rsidRDefault="00D457AE" w:rsidP="001676C8">
      <w:pPr>
        <w:ind w:right="68"/>
        <w:jc w:val="center"/>
        <w:rPr>
          <w:rFonts w:cstheme="minorHAnsi"/>
          <w:b/>
          <w:bCs/>
          <w:sz w:val="28"/>
        </w:rPr>
      </w:pPr>
      <w:r w:rsidRPr="00946806">
        <w:rPr>
          <w:rFonts w:cstheme="minorHAnsi"/>
          <w:b/>
          <w:bCs/>
          <w:sz w:val="28"/>
        </w:rPr>
        <w:t>23/03</w:t>
      </w:r>
    </w:p>
    <w:p w14:paraId="64BE6D49" w14:textId="77777777" w:rsidR="001676C8" w:rsidRPr="00946806" w:rsidRDefault="001676C8" w:rsidP="001676C8">
      <w:pPr>
        <w:ind w:right="68"/>
        <w:jc w:val="center"/>
        <w:rPr>
          <w:rFonts w:cstheme="minorHAnsi"/>
          <w:bCs/>
          <w:highlight w:val="yellow"/>
        </w:rPr>
      </w:pPr>
    </w:p>
    <w:p w14:paraId="78737FE7" w14:textId="77777777" w:rsidR="001676C8" w:rsidRPr="00946806" w:rsidRDefault="00D457AE" w:rsidP="001676C8">
      <w:pPr>
        <w:spacing w:after="240" w:line="264" w:lineRule="auto"/>
        <w:jc w:val="center"/>
        <w:rPr>
          <w:rFonts w:cstheme="minorHAnsi"/>
          <w:highlight w:val="yellow"/>
        </w:rPr>
      </w:pPr>
      <w:r w:rsidRPr="00946806">
        <w:rPr>
          <w:rFonts w:cstheme="minorHAnsi"/>
          <w:b/>
          <w:sz w:val="28"/>
          <w:szCs w:val="28"/>
        </w:rPr>
        <w:t>Peněžní prostředky státního rozpočtu vynaložené Ministerstvem obrany</w:t>
      </w:r>
      <w:r w:rsidR="00ED49F2">
        <w:rPr>
          <w:rFonts w:cstheme="minorHAnsi"/>
          <w:b/>
          <w:sz w:val="28"/>
          <w:szCs w:val="28"/>
        </w:rPr>
        <w:br/>
      </w:r>
      <w:r w:rsidRPr="00946806">
        <w:rPr>
          <w:rFonts w:cstheme="minorHAnsi"/>
          <w:b/>
          <w:sz w:val="28"/>
          <w:szCs w:val="28"/>
        </w:rPr>
        <w:t>na radiační, chemickou a biologickou ochranu</w:t>
      </w:r>
    </w:p>
    <w:p w14:paraId="01FEC0D3" w14:textId="77777777" w:rsidR="001676C8" w:rsidRPr="003C064D" w:rsidRDefault="00D457AE" w:rsidP="001676C8">
      <w:pPr>
        <w:pStyle w:val="Zkladn"/>
        <w:spacing w:before="0"/>
        <w:rPr>
          <w:rFonts w:asciiTheme="minorHAnsi" w:hAnsiTheme="minorHAnsi" w:cstheme="minorHAnsi"/>
        </w:rPr>
      </w:pPr>
      <w:r w:rsidRPr="00946806">
        <w:rPr>
          <w:rFonts w:asciiTheme="minorHAnsi" w:hAnsiTheme="minorHAnsi" w:cstheme="minorHAnsi"/>
        </w:rPr>
        <w:t xml:space="preserve">Kontrolní </w:t>
      </w:r>
      <w:r w:rsidRPr="003C064D">
        <w:rPr>
          <w:rFonts w:asciiTheme="minorHAnsi" w:hAnsiTheme="minorHAnsi" w:cstheme="minorHAnsi"/>
        </w:rPr>
        <w:t xml:space="preserve">akce byla zařazena do plánu kontrolní činnosti Nejvyššího kontrolního úřadu (dále </w:t>
      </w:r>
      <w:r w:rsidR="008325CC">
        <w:rPr>
          <w:rFonts w:asciiTheme="minorHAnsi" w:hAnsiTheme="minorHAnsi" w:cstheme="minorHAnsi"/>
        </w:rPr>
        <w:t xml:space="preserve">také </w:t>
      </w:r>
      <w:r w:rsidRPr="003C064D">
        <w:rPr>
          <w:rFonts w:asciiTheme="minorHAnsi" w:hAnsiTheme="minorHAnsi" w:cstheme="minorHAnsi"/>
        </w:rPr>
        <w:t>„NKÚ“) na rok 2023 pod číslem 23/03. Kontrolní akci řídil a kontrolní závěr vypracoval člen</w:t>
      </w:r>
      <w:r w:rsidR="0039340D">
        <w:rPr>
          <w:rFonts w:asciiTheme="minorHAnsi" w:hAnsiTheme="minorHAnsi" w:cstheme="minorHAnsi"/>
        </w:rPr>
        <w:t xml:space="preserve"> </w:t>
      </w:r>
      <w:r w:rsidRPr="003C064D">
        <w:rPr>
          <w:rFonts w:asciiTheme="minorHAnsi" w:hAnsiTheme="minorHAnsi" w:cstheme="minorHAnsi"/>
        </w:rPr>
        <w:t>NKÚ RNDr.</w:t>
      </w:r>
      <w:r w:rsidR="00E13195">
        <w:rPr>
          <w:rFonts w:asciiTheme="minorHAnsi" w:hAnsiTheme="minorHAnsi" w:cstheme="minorHAnsi"/>
        </w:rPr>
        <w:t xml:space="preserve"> </w:t>
      </w:r>
      <w:r w:rsidRPr="003C064D">
        <w:rPr>
          <w:rFonts w:asciiTheme="minorHAnsi" w:hAnsiTheme="minorHAnsi" w:cstheme="minorHAnsi"/>
        </w:rPr>
        <w:t xml:space="preserve">Petr </w:t>
      </w:r>
      <w:proofErr w:type="spellStart"/>
      <w:r w:rsidRPr="003C064D">
        <w:rPr>
          <w:rFonts w:asciiTheme="minorHAnsi" w:hAnsiTheme="minorHAnsi" w:cstheme="minorHAnsi"/>
        </w:rPr>
        <w:t>Neuvirt</w:t>
      </w:r>
      <w:proofErr w:type="spellEnd"/>
      <w:r w:rsidRPr="003C064D">
        <w:rPr>
          <w:rFonts w:asciiTheme="minorHAnsi" w:hAnsiTheme="minorHAnsi" w:cstheme="minorHAnsi"/>
        </w:rPr>
        <w:t xml:space="preserve">. </w:t>
      </w:r>
    </w:p>
    <w:p w14:paraId="25381487" w14:textId="77777777" w:rsidR="001676C8" w:rsidRPr="003C064D" w:rsidRDefault="001676C8" w:rsidP="001676C8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73784985" w14:textId="42756CD5" w:rsidR="001676C8" w:rsidRPr="003C064D" w:rsidRDefault="00D457AE" w:rsidP="001676C8">
      <w:pPr>
        <w:rPr>
          <w:rFonts w:cstheme="minorHAnsi"/>
        </w:rPr>
      </w:pPr>
      <w:r w:rsidRPr="003C064D">
        <w:rPr>
          <w:rFonts w:cstheme="minorHAnsi"/>
        </w:rPr>
        <w:t>Cílem kontroly bylo prověřit, zda Ministerstvo obrany vynaložilo peněžní prostředky státního rozpočtu na radiační, chemickou a biologickou ochranu účelně, hospodárně a v</w:t>
      </w:r>
      <w:r w:rsidR="006017F2">
        <w:rPr>
          <w:rFonts w:cstheme="minorHAnsi"/>
        </w:rPr>
        <w:t xml:space="preserve"> </w:t>
      </w:r>
      <w:r w:rsidRPr="003C064D">
        <w:rPr>
          <w:rFonts w:cstheme="minorHAnsi"/>
        </w:rPr>
        <w:t xml:space="preserve">souladu s právními předpisy. </w:t>
      </w:r>
    </w:p>
    <w:p w14:paraId="68A97949" w14:textId="77777777" w:rsidR="008325CC" w:rsidRDefault="008325CC" w:rsidP="008325CC">
      <w:pPr>
        <w:rPr>
          <w:rFonts w:cstheme="minorHAnsi"/>
        </w:rPr>
      </w:pPr>
    </w:p>
    <w:p w14:paraId="489EDD08" w14:textId="77777777" w:rsidR="008325CC" w:rsidRPr="00971250" w:rsidRDefault="00D457AE" w:rsidP="008325CC">
      <w:pPr>
        <w:rPr>
          <w:rFonts w:cstheme="minorHAnsi"/>
        </w:rPr>
      </w:pPr>
      <w:r w:rsidRPr="00971250">
        <w:rPr>
          <w:rFonts w:cstheme="minorHAnsi"/>
        </w:rPr>
        <w:t>Kontrolováno bylo období od roku 2018 do roku 2022, v případě věcných souvislostí i období předcházející a období do ukončení kontroly.</w:t>
      </w:r>
    </w:p>
    <w:p w14:paraId="11924AE2" w14:textId="77777777" w:rsidR="001676C8" w:rsidRPr="003C064D" w:rsidRDefault="001676C8" w:rsidP="001676C8">
      <w:pPr>
        <w:rPr>
          <w:rFonts w:cstheme="minorHAnsi"/>
        </w:rPr>
      </w:pPr>
    </w:p>
    <w:p w14:paraId="344F84D0" w14:textId="77777777" w:rsidR="001676C8" w:rsidRPr="003C064D" w:rsidRDefault="00D457AE" w:rsidP="001676C8">
      <w:pPr>
        <w:rPr>
          <w:rFonts w:cstheme="minorHAnsi"/>
        </w:rPr>
      </w:pPr>
      <w:r w:rsidRPr="003C064D">
        <w:rPr>
          <w:rFonts w:cstheme="minorHAnsi"/>
        </w:rPr>
        <w:t xml:space="preserve">Kontrola byla prováděna u kontrolované osoby v období od ledna do </w:t>
      </w:r>
      <w:r w:rsidR="000E643B">
        <w:rPr>
          <w:rFonts w:cstheme="minorHAnsi"/>
        </w:rPr>
        <w:t>září</w:t>
      </w:r>
      <w:r w:rsidRPr="003C064D">
        <w:rPr>
          <w:rFonts w:cstheme="minorHAnsi"/>
        </w:rPr>
        <w:t xml:space="preserve"> 2023.</w:t>
      </w:r>
    </w:p>
    <w:p w14:paraId="69A6E8B1" w14:textId="77777777" w:rsidR="001676C8" w:rsidRPr="00971250" w:rsidRDefault="001676C8" w:rsidP="001676C8">
      <w:pPr>
        <w:rPr>
          <w:rFonts w:cstheme="minorHAnsi"/>
        </w:rPr>
      </w:pPr>
    </w:p>
    <w:p w14:paraId="4339B2EE" w14:textId="77777777" w:rsidR="001676C8" w:rsidRPr="00946806" w:rsidRDefault="001676C8" w:rsidP="001676C8">
      <w:pPr>
        <w:pStyle w:val="Zkladn"/>
        <w:spacing w:before="0"/>
        <w:rPr>
          <w:rFonts w:asciiTheme="minorHAnsi" w:hAnsiTheme="minorHAnsi" w:cstheme="minorHAnsi"/>
          <w:highlight w:val="yellow"/>
        </w:rPr>
      </w:pPr>
    </w:p>
    <w:p w14:paraId="17922C21" w14:textId="7DA352E6" w:rsidR="001676C8" w:rsidRPr="004C70BB" w:rsidRDefault="00D457AE" w:rsidP="001676C8">
      <w:pPr>
        <w:pStyle w:val="Zkladn"/>
        <w:spacing w:before="0"/>
        <w:rPr>
          <w:rFonts w:asciiTheme="minorHAnsi" w:hAnsiTheme="minorHAnsi" w:cstheme="minorHAnsi"/>
          <w:b/>
        </w:rPr>
      </w:pPr>
      <w:r w:rsidRPr="004C70BB">
        <w:rPr>
          <w:rFonts w:asciiTheme="minorHAnsi" w:hAnsiTheme="minorHAnsi" w:cstheme="minorHAnsi"/>
          <w:b/>
        </w:rPr>
        <w:t>Kontrolovan</w:t>
      </w:r>
      <w:r w:rsidR="009B5E7C">
        <w:rPr>
          <w:rFonts w:asciiTheme="minorHAnsi" w:hAnsiTheme="minorHAnsi" w:cstheme="minorHAnsi"/>
          <w:b/>
        </w:rPr>
        <w:t>á</w:t>
      </w:r>
      <w:r w:rsidRPr="004C70BB">
        <w:rPr>
          <w:rFonts w:asciiTheme="minorHAnsi" w:hAnsiTheme="minorHAnsi" w:cstheme="minorHAnsi"/>
          <w:b/>
        </w:rPr>
        <w:t xml:space="preserve"> osob</w:t>
      </w:r>
      <w:r w:rsidR="009B5E7C">
        <w:rPr>
          <w:rFonts w:asciiTheme="minorHAnsi" w:hAnsiTheme="minorHAnsi" w:cstheme="minorHAnsi"/>
          <w:b/>
        </w:rPr>
        <w:t>a</w:t>
      </w:r>
      <w:r w:rsidRPr="004C70BB">
        <w:rPr>
          <w:rFonts w:asciiTheme="minorHAnsi" w:hAnsiTheme="minorHAnsi" w:cstheme="minorHAnsi"/>
          <w:b/>
        </w:rPr>
        <w:t>:</w:t>
      </w:r>
    </w:p>
    <w:p w14:paraId="5DB3B565" w14:textId="329DB4E7" w:rsidR="001676C8" w:rsidRPr="004C70BB" w:rsidRDefault="00D457AE" w:rsidP="001676C8">
      <w:pPr>
        <w:pStyle w:val="Zkladn"/>
        <w:spacing w:before="0"/>
        <w:rPr>
          <w:rFonts w:asciiTheme="minorHAnsi" w:hAnsiTheme="minorHAnsi" w:cstheme="minorHAnsi"/>
        </w:rPr>
      </w:pPr>
      <w:r w:rsidRPr="004C70BB">
        <w:rPr>
          <w:rFonts w:asciiTheme="minorHAnsi" w:hAnsiTheme="minorHAnsi" w:cstheme="minorHAnsi"/>
        </w:rPr>
        <w:t>Ministerstvo obrany (dále také „MO“)</w:t>
      </w:r>
      <w:r w:rsidR="009B5E7C">
        <w:rPr>
          <w:rFonts w:asciiTheme="minorHAnsi" w:hAnsiTheme="minorHAnsi" w:cstheme="minorHAnsi"/>
        </w:rPr>
        <w:t>.</w:t>
      </w:r>
    </w:p>
    <w:bookmarkEnd w:id="1"/>
    <w:p w14:paraId="5242C180" w14:textId="77777777" w:rsidR="001676C8" w:rsidRPr="00946806" w:rsidRDefault="001676C8" w:rsidP="001676C8">
      <w:pPr>
        <w:ind w:right="70"/>
        <w:rPr>
          <w:rFonts w:cstheme="minorHAnsi"/>
          <w:highlight w:val="yellow"/>
        </w:rPr>
      </w:pPr>
    </w:p>
    <w:p w14:paraId="66063539" w14:textId="77777777" w:rsidR="001676C8" w:rsidRPr="009F528A" w:rsidRDefault="001676C8" w:rsidP="001676C8">
      <w:pPr>
        <w:ind w:right="70"/>
        <w:rPr>
          <w:rFonts w:cstheme="minorHAnsi"/>
        </w:rPr>
      </w:pPr>
    </w:p>
    <w:p w14:paraId="1734B0DD" w14:textId="6EC4D579" w:rsidR="001676C8" w:rsidRPr="009F528A" w:rsidRDefault="00D457AE" w:rsidP="001676C8">
      <w:pPr>
        <w:spacing w:line="360" w:lineRule="auto"/>
        <w:ind w:right="70"/>
        <w:rPr>
          <w:rFonts w:cstheme="minorHAnsi"/>
        </w:rPr>
      </w:pPr>
      <w:r w:rsidRPr="009F528A">
        <w:rPr>
          <w:rFonts w:cstheme="minorHAnsi"/>
          <w:b/>
          <w:bCs/>
          <w:i/>
          <w:iCs/>
        </w:rPr>
        <w:t>K o l e g i u m</w:t>
      </w:r>
      <w:r w:rsidRPr="009F528A">
        <w:rPr>
          <w:rFonts w:cstheme="minorHAnsi"/>
        </w:rPr>
        <w:t xml:space="preserve">   </w:t>
      </w:r>
      <w:r w:rsidRPr="009F528A">
        <w:rPr>
          <w:rFonts w:cstheme="minorHAnsi"/>
          <w:b/>
          <w:bCs/>
          <w:i/>
          <w:iCs/>
        </w:rPr>
        <w:t xml:space="preserve">N K Ú  </w:t>
      </w:r>
      <w:r w:rsidRPr="009F528A">
        <w:rPr>
          <w:rFonts w:cstheme="minorHAnsi"/>
          <w:b/>
          <w:bCs/>
          <w:iCs/>
        </w:rPr>
        <w:t xml:space="preserve"> </w:t>
      </w:r>
      <w:r w:rsidRPr="009F528A">
        <w:rPr>
          <w:rFonts w:cstheme="minorHAnsi"/>
        </w:rPr>
        <w:t xml:space="preserve">na svém </w:t>
      </w:r>
      <w:r w:rsidR="009F528A" w:rsidRPr="009F528A">
        <w:rPr>
          <w:rFonts w:cstheme="minorHAnsi"/>
        </w:rPr>
        <w:t>XVI.</w:t>
      </w:r>
      <w:r w:rsidRPr="009F528A">
        <w:rPr>
          <w:rFonts w:cstheme="minorHAnsi"/>
        </w:rPr>
        <w:t xml:space="preserve"> jednání, které se konalo dne </w:t>
      </w:r>
      <w:r w:rsidR="009F528A" w:rsidRPr="009F528A">
        <w:rPr>
          <w:rFonts w:cstheme="minorHAnsi"/>
        </w:rPr>
        <w:t>13. listopadu 2023</w:t>
      </w:r>
      <w:r w:rsidR="00750D24">
        <w:rPr>
          <w:rFonts w:cstheme="minorHAnsi"/>
        </w:rPr>
        <w:t>,</w:t>
      </w:r>
      <w:r w:rsidRPr="009F528A">
        <w:rPr>
          <w:rFonts w:cstheme="minorHAnsi"/>
        </w:rPr>
        <w:t xml:space="preserve"> </w:t>
      </w:r>
    </w:p>
    <w:p w14:paraId="5B71CA00" w14:textId="02D6D43C" w:rsidR="001676C8" w:rsidRPr="009F528A" w:rsidRDefault="00D457AE" w:rsidP="001676C8">
      <w:pPr>
        <w:spacing w:line="360" w:lineRule="auto"/>
        <w:ind w:right="68"/>
        <w:rPr>
          <w:rFonts w:cstheme="minorHAnsi"/>
        </w:rPr>
      </w:pPr>
      <w:r w:rsidRPr="009F528A">
        <w:rPr>
          <w:rFonts w:cstheme="minorHAnsi"/>
          <w:b/>
          <w:bCs/>
          <w:i/>
          <w:iCs/>
        </w:rPr>
        <w:t>s c h v á l i l o</w:t>
      </w:r>
      <w:r w:rsidRPr="009F528A">
        <w:rPr>
          <w:rFonts w:cstheme="minorHAnsi"/>
        </w:rPr>
        <w:t xml:space="preserve">   usnesením č. </w:t>
      </w:r>
      <w:r w:rsidR="00AA615E">
        <w:rPr>
          <w:rFonts w:cstheme="minorHAnsi"/>
        </w:rPr>
        <w:t>7</w:t>
      </w:r>
      <w:r w:rsidR="009F528A" w:rsidRPr="009F528A">
        <w:rPr>
          <w:rFonts w:cstheme="minorHAnsi"/>
        </w:rPr>
        <w:t>/XVI/2023</w:t>
      </w:r>
    </w:p>
    <w:p w14:paraId="375F5949" w14:textId="77777777" w:rsidR="001676C8" w:rsidRPr="009F528A" w:rsidRDefault="00D457AE" w:rsidP="001676C8">
      <w:pPr>
        <w:spacing w:line="360" w:lineRule="auto"/>
        <w:ind w:right="70"/>
        <w:rPr>
          <w:rFonts w:cstheme="minorHAnsi"/>
        </w:rPr>
      </w:pPr>
      <w:r w:rsidRPr="009F528A">
        <w:rPr>
          <w:rFonts w:cstheme="minorHAnsi"/>
          <w:b/>
          <w:bCs/>
          <w:i/>
          <w:iCs/>
        </w:rPr>
        <w:t>k o n t r o l n í   z á v ě r</w:t>
      </w:r>
      <w:r w:rsidRPr="009F528A">
        <w:rPr>
          <w:rFonts w:cstheme="minorHAnsi"/>
        </w:rPr>
        <w:t xml:space="preserve">   v tomto znění:</w:t>
      </w:r>
    </w:p>
    <w:p w14:paraId="5FF125F3" w14:textId="77777777" w:rsidR="001676C8" w:rsidRDefault="001676C8" w:rsidP="001676C8">
      <w:pPr>
        <w:jc w:val="center"/>
        <w:rPr>
          <w:rFonts w:cstheme="minorHAnsi"/>
          <w:sz w:val="28"/>
          <w:szCs w:val="28"/>
          <w:highlight w:val="yellow"/>
        </w:rPr>
      </w:pPr>
    </w:p>
    <w:bookmarkEnd w:id="0"/>
    <w:p w14:paraId="4149D2B7" w14:textId="77777777" w:rsidR="001676C8" w:rsidRDefault="001676C8" w:rsidP="001676C8">
      <w:pPr>
        <w:jc w:val="center"/>
        <w:rPr>
          <w:rFonts w:cstheme="minorHAnsi"/>
          <w:sz w:val="28"/>
          <w:szCs w:val="28"/>
          <w:highlight w:val="yellow"/>
        </w:rPr>
      </w:pPr>
    </w:p>
    <w:p w14:paraId="48257E7D" w14:textId="77777777" w:rsidR="001676C8" w:rsidRDefault="001676C8" w:rsidP="001676C8">
      <w:pPr>
        <w:jc w:val="center"/>
        <w:rPr>
          <w:rFonts w:cstheme="minorHAnsi"/>
          <w:sz w:val="28"/>
          <w:szCs w:val="28"/>
          <w:highlight w:val="yellow"/>
        </w:rPr>
      </w:pPr>
    </w:p>
    <w:p w14:paraId="61724A3D" w14:textId="71A7F86B" w:rsidR="003C064D" w:rsidRPr="00050692" w:rsidRDefault="00D457AE" w:rsidP="00C14369">
      <w:pPr>
        <w:jc w:val="left"/>
        <w:rPr>
          <w:rStyle w:val="A4"/>
          <w:rFonts w:ascii="Calibri" w:hAnsi="Calibri"/>
          <w:color w:val="4F81BD" w:themeColor="accent1"/>
          <w:sz w:val="50"/>
          <w:szCs w:val="50"/>
        </w:rPr>
      </w:pPr>
      <w:bookmarkStart w:id="2" w:name="_Hlk144197833"/>
      <w:r w:rsidRPr="00050692">
        <w:rPr>
          <w:rStyle w:val="A4"/>
          <w:color w:val="4F81BD" w:themeColor="accent1"/>
          <w:sz w:val="50"/>
          <w:szCs w:val="50"/>
        </w:rPr>
        <w:lastRenderedPageBreak/>
        <w:t>Radiační, chemická a biologická ochrana</w:t>
      </w:r>
    </w:p>
    <w:p w14:paraId="7896F547" w14:textId="77777777" w:rsidR="003C064D" w:rsidRPr="0019195A" w:rsidRDefault="003C064D" w:rsidP="000C7352">
      <w:pPr>
        <w:spacing w:after="0"/>
        <w:rPr>
          <w:rFonts w:cstheme="minorHAnsi"/>
          <w:b/>
          <w:sz w:val="28"/>
          <w:szCs w:val="36"/>
        </w:rPr>
      </w:pPr>
    </w:p>
    <w:p w14:paraId="524C8CF1" w14:textId="77777777" w:rsidR="000C7352" w:rsidRPr="0019195A" w:rsidRDefault="000C7352" w:rsidP="002A35E2">
      <w:pPr>
        <w:pBdr>
          <w:top w:val="single" w:sz="4" w:space="1" w:color="auto"/>
        </w:pBdr>
        <w:rPr>
          <w:rFonts w:cstheme="minorHAnsi"/>
          <w:sz w:val="28"/>
          <w:szCs w:val="36"/>
        </w:rPr>
      </w:pPr>
    </w:p>
    <w:p w14:paraId="5DC7E5F8" w14:textId="77777777" w:rsidR="004403DF" w:rsidRPr="001974A6" w:rsidRDefault="004403DF" w:rsidP="004403DF">
      <w:pPr>
        <w:spacing w:after="0"/>
        <w:jc w:val="center"/>
        <w:rPr>
          <w:rStyle w:val="A4"/>
          <w:b/>
          <w:color w:val="004595"/>
          <w:sz w:val="28"/>
          <w:szCs w:val="50"/>
        </w:rPr>
      </w:pPr>
      <w:r w:rsidRPr="001974A6">
        <w:rPr>
          <w:rStyle w:val="A4"/>
          <w:b/>
          <w:color w:val="004595"/>
          <w:sz w:val="28"/>
          <w:szCs w:val="50"/>
        </w:rPr>
        <w:t>Chemické vojsko Armády České republiky</w:t>
      </w:r>
    </w:p>
    <w:p w14:paraId="58CE54ED" w14:textId="02191D07" w:rsidR="004403DF" w:rsidRPr="00A753B4" w:rsidRDefault="004403DF" w:rsidP="004403DF">
      <w:pPr>
        <w:spacing w:after="0"/>
        <w:jc w:val="center"/>
        <w:rPr>
          <w:rFonts w:cstheme="minorHAnsi"/>
          <w:sz w:val="22"/>
          <w:szCs w:val="22"/>
        </w:rPr>
      </w:pPr>
      <w:r w:rsidRPr="00A753B4">
        <w:rPr>
          <w:rFonts w:cstheme="minorHAnsi"/>
          <w:sz w:val="22"/>
          <w:szCs w:val="22"/>
        </w:rPr>
        <w:t xml:space="preserve">(zabezpečuje radiační, chemickou </w:t>
      </w:r>
      <w:r w:rsidR="00035F9B">
        <w:rPr>
          <w:rFonts w:cstheme="minorHAnsi"/>
          <w:sz w:val="22"/>
          <w:szCs w:val="22"/>
        </w:rPr>
        <w:t>i</w:t>
      </w:r>
      <w:r w:rsidR="00035F9B" w:rsidRPr="00A753B4">
        <w:rPr>
          <w:rFonts w:cstheme="minorHAnsi"/>
          <w:sz w:val="22"/>
          <w:szCs w:val="22"/>
        </w:rPr>
        <w:t xml:space="preserve"> </w:t>
      </w:r>
      <w:r w:rsidRPr="00A753B4">
        <w:rPr>
          <w:rFonts w:cstheme="minorHAnsi"/>
          <w:sz w:val="22"/>
          <w:szCs w:val="22"/>
        </w:rPr>
        <w:t>biologickou ochranu)</w:t>
      </w:r>
    </w:p>
    <w:p w14:paraId="7E9CEF45" w14:textId="1547E714" w:rsidR="004403DF" w:rsidRPr="006314FD" w:rsidRDefault="004403DF" w:rsidP="00BC4F1D">
      <w:pPr>
        <w:spacing w:before="240" w:after="240"/>
        <w:ind w:left="2410" w:hanging="2410"/>
        <w:jc w:val="left"/>
        <w:rPr>
          <w:rFonts w:cstheme="minorHAnsi"/>
          <w:sz w:val="20"/>
          <w:szCs w:val="28"/>
        </w:rPr>
      </w:pPr>
      <w:r>
        <w:rPr>
          <w:rFonts w:cstheme="minorHAnsi"/>
          <w:b/>
          <w:noProof/>
          <w:color w:val="BD2A33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503D" wp14:editId="61F22B85">
                <wp:simplePos x="0" y="0"/>
                <wp:positionH relativeFrom="column">
                  <wp:posOffset>4445</wp:posOffset>
                </wp:positionH>
                <wp:positionV relativeFrom="paragraph">
                  <wp:posOffset>156537</wp:posOffset>
                </wp:positionV>
                <wp:extent cx="1091381" cy="442451"/>
                <wp:effectExtent l="0" t="0" r="13970" b="1524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81" cy="442451"/>
                        </a:xfrm>
                        <a:prstGeom prst="roundRect">
                          <a:avLst/>
                        </a:prstGeom>
                        <a:solidFill>
                          <a:srgbClr val="00459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DA4A3" w14:textId="77777777" w:rsidR="006017F2" w:rsidRPr="008F3812" w:rsidRDefault="006017F2" w:rsidP="006017F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6,8 mld.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6B503D" id="Textové pole 20" o:spid="_x0000_s1026" style="position:absolute;left:0;text-align:left;margin-left:.35pt;margin-top:12.35pt;width:85.95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QnXAIAALAEAAAOAAAAZHJzL2Uyb0RvYy54bWysVM1u2zAMvg/YOwi6L3ZSp2uCOEWWIsOA&#10;oC2WDD0rspwYk0WNUmJnb7Tn2IuNUn6atjsNu8gSSX0iv4/06LatNdspdBWYnHc7KWfKSCgqs875&#10;t+Xsww1nzgtTCA1G5XyvHL8dv383auxQ9WADulDICMS4YWNzvvHeDpPEyY2qheuAVYacJWAtPB1x&#10;nRQoGkKvddJL0+ukASwsglTOkfXu4OTjiF+WSvqHsnTKM51zys3HFeO6CmsyHonhGoXdVPKYhviH&#10;LGpRGXr0DHUnvGBbrN5A1ZVEcFD6joQ6gbKspIo1UDXd9FU1i42wKtZC5Dh7psn9P1h5v3tEVhU5&#10;7xE9RtSk0VK1Hna/fzELWjGyE0mNdUOKXViK9u0naEnsk92RMdTelliHL1XFyE94+zPFBMlkuJQO&#10;ulc3Xc4k+bKsl/UjTPJ826LznxXULGxyjrA1xVfSMdIrdnPnKR2KP8WFFx3oqphVWscDrldTjWwn&#10;guZp1h/0Q6Z05UWYNqzJ+fVVP43IL3wB+wyx0kJ+f4tAeNoQbGDmwEDY+XbVHulaQbEnthAOTees&#10;nFWEOxfOPwqkLiOCaHL8Ay2lBkoGjjvONoA//2YP8SQ+eTlrqGtz7n5sBSrO9BdDbTHoZllo83jI&#10;+h+DqHjpWV16zLaeApFEclB2cRvivT5tS4T6iQZsEl4llzCS3s659Hg6TP1hmmhEpZpMYhi1thV+&#10;bhZWBvAgSmB02T4JtEddPXXEPZw6XAxfKXuIDTcNTLYeyirKHig+8HpknsYiSnsc4TB3l+cY9fyj&#10;Gf8BAAD//wMAUEsDBBQABgAIAAAAIQBoKwcq3QAAAAYBAAAPAAAAZHJzL2Rvd25yZXYueG1sTI7N&#10;TsMwEITvSLyDtUjcqEMUGhqyqQCJE6CK8KMe3XhJotrrKHbb0KfHPcFpNJrRzFcuJ2vEnkbfO0a4&#10;niUgiBune24RPt6frm5B+KBYK+OYEH7Iw7I6PytVod2B32hfh1bEEfaFQuhCGAopfdORVX7mBuKY&#10;fbvRqhDt2Eo9qkMct0amSTKXVvUcHzo10GNHzbbeWYSXxWeyPT4f0/z1Rq7c9LU29cMa8fJiur8D&#10;EWgKf2U44Ud0qCLTxu1Ye2EQ8thDSLOopzRP5yA2CIssA1mV8j9+9QsAAP//AwBQSwECLQAUAAYA&#10;CAAAACEAtoM4kv4AAADhAQAAEwAAAAAAAAAAAAAAAAAAAAAAW0NvbnRlbnRfVHlwZXNdLnhtbFBL&#10;AQItABQABgAIAAAAIQA4/SH/1gAAAJQBAAALAAAAAAAAAAAAAAAAAC8BAABfcmVscy8ucmVsc1BL&#10;AQItABQABgAIAAAAIQAJ6AQnXAIAALAEAAAOAAAAAAAAAAAAAAAAAC4CAABkcnMvZTJvRG9jLnht&#10;bFBLAQItABQABgAIAAAAIQBoKwcq3QAAAAYBAAAPAAAAAAAAAAAAAAAAALYEAABkcnMvZG93bnJl&#10;di54bWxQSwUGAAAAAAQABADzAAAAwAUAAAAA&#10;" fillcolor="#004595" strokeweight=".5pt">
                <v:textbox>
                  <w:txbxContent>
                    <w:p w14:paraId="3CFDA4A3" w14:textId="77777777" w:rsidR="006017F2" w:rsidRPr="008F3812" w:rsidRDefault="006017F2" w:rsidP="006017F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6,8 mld. Kč</w:t>
                      </w:r>
                    </w:p>
                  </w:txbxContent>
                </v:textbox>
              </v:roundrect>
            </w:pict>
          </mc:Fallback>
        </mc:AlternateContent>
      </w:r>
      <w:r w:rsidRPr="004C028C">
        <w:rPr>
          <w:rFonts w:cstheme="minorHAnsi"/>
          <w:b/>
          <w:color w:val="004595"/>
          <w:szCs w:val="28"/>
        </w:rPr>
        <w:tab/>
      </w:r>
      <w:r w:rsidRPr="00C04D1D">
        <w:rPr>
          <w:rFonts w:cstheme="minorHAnsi"/>
          <w:szCs w:val="28"/>
        </w:rPr>
        <w:t xml:space="preserve">Finanční potřeba chemického vojska Armády České republiky (dále také „chemické vojsko“) v letech 2018–2022 na realizaci 12 akcí uvedených </w:t>
      </w:r>
      <w:r w:rsidR="003E4A11">
        <w:rPr>
          <w:rFonts w:cstheme="minorHAnsi"/>
          <w:szCs w:val="28"/>
        </w:rPr>
        <w:t>M</w:t>
      </w:r>
      <w:r w:rsidR="00D350AE">
        <w:rPr>
          <w:rFonts w:cstheme="minorHAnsi"/>
          <w:szCs w:val="28"/>
        </w:rPr>
        <w:t>inisterstvem obrany</w:t>
      </w:r>
      <w:r w:rsidR="003E4A11">
        <w:rPr>
          <w:rFonts w:cstheme="minorHAnsi"/>
          <w:szCs w:val="28"/>
        </w:rPr>
        <w:t xml:space="preserve"> </w:t>
      </w:r>
      <w:r w:rsidRPr="00C04D1D">
        <w:rPr>
          <w:rFonts w:cstheme="minorHAnsi"/>
          <w:szCs w:val="28"/>
        </w:rPr>
        <w:t xml:space="preserve">v programu </w:t>
      </w:r>
      <w:r w:rsidRPr="0009277D">
        <w:rPr>
          <w:rFonts w:cstheme="minorHAnsi"/>
          <w:szCs w:val="28"/>
        </w:rPr>
        <w:t>107V08</w:t>
      </w:r>
      <w:r w:rsidRPr="0009277D">
        <w:rPr>
          <w:rStyle w:val="Znakapoznpodarou"/>
          <w:rFonts w:cstheme="minorHAnsi"/>
          <w:szCs w:val="28"/>
        </w:rPr>
        <w:footnoteReference w:id="1"/>
      </w:r>
      <w:r w:rsidRPr="0009277D">
        <w:rPr>
          <w:rFonts w:cstheme="minorHAnsi"/>
          <w:szCs w:val="28"/>
        </w:rPr>
        <w:t>.</w:t>
      </w:r>
    </w:p>
    <w:p w14:paraId="65942ED6" w14:textId="229DA60A" w:rsidR="004403DF" w:rsidRPr="00345425" w:rsidRDefault="004403DF" w:rsidP="00BC4F1D">
      <w:pPr>
        <w:spacing w:before="240" w:after="240"/>
        <w:ind w:left="2410" w:hanging="2410"/>
        <w:jc w:val="left"/>
        <w:rPr>
          <w:rFonts w:cstheme="minorHAnsi"/>
          <w:sz w:val="20"/>
          <w:szCs w:val="28"/>
        </w:rPr>
      </w:pPr>
      <w:r w:rsidRPr="0009277D">
        <w:rPr>
          <w:rFonts w:cstheme="minorHAnsi"/>
          <w:b/>
          <w:noProof/>
          <w:color w:val="BD2A33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7C74B8" wp14:editId="1B9683CC">
                <wp:simplePos x="0" y="0"/>
                <wp:positionH relativeFrom="column">
                  <wp:posOffset>4445</wp:posOffset>
                </wp:positionH>
                <wp:positionV relativeFrom="paragraph">
                  <wp:posOffset>11697</wp:posOffset>
                </wp:positionV>
                <wp:extent cx="1091381" cy="442451"/>
                <wp:effectExtent l="0" t="0" r="13970" b="152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81" cy="442451"/>
                        </a:xfrm>
                        <a:prstGeom prst="roundRect">
                          <a:avLst/>
                        </a:prstGeom>
                        <a:solidFill>
                          <a:srgbClr val="BD2A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D8A4F" w14:textId="77777777" w:rsidR="006017F2" w:rsidRPr="008F3812" w:rsidRDefault="006017F2" w:rsidP="006017F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C74B8" id="Textové pole 19" o:spid="_x0000_s1027" style="position:absolute;left:0;text-align:left;margin-left:.35pt;margin-top:.9pt;width:85.95pt;height:34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lnYAIAALcEAAAOAAAAZHJzL2Uyb0RvYy54bWysVNtOGzEQfa/Uf7D8XjY3KImyQQFEVQkB&#10;KlQ8O15vsqrX49pOdukf8R39sR57kxCgT1VfvB7P+HjmnJmdnrW1ZhvlfEUm5/2jHmfKSCoqs8z5&#10;94erT6ec+SBMITQZlfMn5fnZ7OOHaWMnakAr0oVyDCDGTxqb81UIdpJlXq5ULfwRWWXgLMnVIsB0&#10;y6xwogF6rbNBr3eSNeQK60gq73F62Tn5LOGXpZLhtiy9CkznHLmFtLq0LuKazaZisnTCriq5TUP8&#10;Qxa1qAwe3UNdiiDY2lXvoOpKOvJUhiNJdUZlWUmVakA1/d6bau5XwqpUC8jxdk+T/3+w8mZz51hV&#10;QLsxZ0bU0OhBtYE2v5+ZJa0YzkFSY/0EsfcW0aE9pxYXduceh7H2tnR1/KIqBj/oftpTDEgm46Xe&#10;uD887XMm4RuNBqPjBJO93LbOhy+KahY3OXe0NsU36JjoFZtrH5AO4ndx8UVPuiquKq2T4ZaLC+3Y&#10;RkDz88vBfDiMmeLKqzBtWJPzk+FxLyG/8kXsPcRCC/njPQLwtAFsZKZjIO5Cu2g7OnfsLKh4AmmO&#10;ut7zVl5VgL8WPtwJh2YDTxigcIul1IScaLvjbEXu19/OYzx6AF7OGjRvzv3PtXCKM/3VoDvG/dEo&#10;dnsyRsefBzDcoWdx6DHr+oLAFVRBdmkb44PebUtH9SPmbB5fhUsYibdzLoPbGRehGypMqlTzeQpD&#10;h1sRrs29lRE8ahOJfWgfhbNbeQMa44Z2jS4mbwTuYuNNQ/N1oLJK6kemO163AmA6ksLbSY7jd2in&#10;qJf/zewPAAAA//8DAFBLAwQUAAYACAAAACEAyjyim9YAAAAFAQAADwAAAGRycy9kb3ducmV2Lnht&#10;bEyO3WqDQBCF7wt9h2UKvWtWAzXFuoYmUITcNe0DrO5ERXdG3E1i3z6Tq/by/HDOV2wXP6oLzqFn&#10;MpCuElBIDbueWgM/358vb6BCtOTsyIQGfjHAtnx8KGzu+EpfeDnGVskIhdwa6GKccq1D06G3YcUT&#10;kmQnnr2NIudWu9leZdyPep0kmfa2J3no7IT7DpvhePYGqiEwYsbuNOFQDYdqqV26M+b5afl4BxVx&#10;iX9luOMLOpTCVPOZXFCjgY30xBX8e7hZZ6BqcdNX0GWh/9OXNwAAAP//AwBQSwECLQAUAAYACAAA&#10;ACEAtoM4kv4AAADhAQAAEwAAAAAAAAAAAAAAAAAAAAAAW0NvbnRlbnRfVHlwZXNdLnhtbFBLAQIt&#10;ABQABgAIAAAAIQA4/SH/1gAAAJQBAAALAAAAAAAAAAAAAAAAAC8BAABfcmVscy8ucmVsc1BLAQIt&#10;ABQABgAIAAAAIQBuTdlnYAIAALcEAAAOAAAAAAAAAAAAAAAAAC4CAABkcnMvZTJvRG9jLnhtbFBL&#10;AQItABQABgAIAAAAIQDKPKKb1gAAAAUBAAAPAAAAAAAAAAAAAAAAALoEAABkcnMvZG93bnJldi54&#10;bWxQSwUGAAAAAAQABADzAAAAvQUAAAAA&#10;" fillcolor="#bd2a33" strokeweight=".5pt">
                <v:textbox>
                  <w:txbxContent>
                    <w:p w14:paraId="7FED8A4F" w14:textId="77777777" w:rsidR="006017F2" w:rsidRPr="008F3812" w:rsidRDefault="006017F2" w:rsidP="006017F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75 %</w:t>
                      </w:r>
                    </w:p>
                  </w:txbxContent>
                </v:textbox>
              </v:roundrect>
            </w:pict>
          </mc:Fallback>
        </mc:AlternateContent>
      </w:r>
      <w:r w:rsidRPr="0009277D">
        <w:rPr>
          <w:rFonts w:cstheme="minorHAnsi"/>
          <w:b/>
          <w:color w:val="BD2A33"/>
          <w:szCs w:val="28"/>
        </w:rPr>
        <w:tab/>
      </w:r>
      <w:r w:rsidRPr="0009277D">
        <w:rPr>
          <w:rFonts w:cstheme="minorHAnsi"/>
          <w:szCs w:val="28"/>
        </w:rPr>
        <w:t>MO v letech 2018–2022 nerealizovalo 9 z 12 akcí uvedených pro chemické vojsko v programu 107V08.</w:t>
      </w:r>
    </w:p>
    <w:p w14:paraId="00D5C2DB" w14:textId="4C66AF0E" w:rsidR="004403DF" w:rsidRPr="009159BB" w:rsidRDefault="004403DF" w:rsidP="00BC4F1D">
      <w:pPr>
        <w:spacing w:before="240" w:after="240"/>
        <w:ind w:left="2410" w:hanging="2410"/>
        <w:jc w:val="left"/>
        <w:rPr>
          <w:rFonts w:cstheme="minorHAnsi"/>
          <w:szCs w:val="28"/>
        </w:rPr>
      </w:pPr>
      <w:r w:rsidRPr="0009277D">
        <w:rPr>
          <w:rFonts w:cstheme="minorHAnsi"/>
          <w:b/>
          <w:noProof/>
          <w:color w:val="BD2A33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AF17D" wp14:editId="6E1F3414">
                <wp:simplePos x="0" y="0"/>
                <wp:positionH relativeFrom="column">
                  <wp:posOffset>4445</wp:posOffset>
                </wp:positionH>
                <wp:positionV relativeFrom="paragraph">
                  <wp:posOffset>8849</wp:posOffset>
                </wp:positionV>
                <wp:extent cx="1091381" cy="442451"/>
                <wp:effectExtent l="0" t="0" r="13970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81" cy="442451"/>
                        </a:xfrm>
                        <a:prstGeom prst="roundRect">
                          <a:avLst/>
                        </a:prstGeom>
                        <a:solidFill>
                          <a:srgbClr val="BD2A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B58FE" w14:textId="77777777" w:rsidR="006017F2" w:rsidRPr="008F3812" w:rsidRDefault="006017F2" w:rsidP="006017F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F3812">
                              <w:rPr>
                                <w:b/>
                                <w:color w:val="FFFFFF" w:themeColor="background1"/>
                              </w:rPr>
                              <w:t>7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AF17D" id="Textové pole 18" o:spid="_x0000_s1028" style="position:absolute;left:0;text-align:left;margin-left:.35pt;margin-top:.7pt;width:85.95pt;height:34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8QXwIAALcEAAAOAAAAZHJzL2Uyb0RvYy54bWysVMtu2zAQvBfoPxC8N5IfSRMjcuAkSFHA&#10;SII6Rc40RdlCKS5L0pbcP8p39Mc6pB959VT0QnG5y+HuzK7OL7pGs7VyviZT8N5RzpkyksraLAr+&#10;/eHm0ylnPghTCk1GFXyjPL8Yf/xw3tqR6tOSdKkcA4jxo9YWfBmCHWWZl0vVCH9EVhk4K3KNCDDd&#10;IiudaIHe6Kyf5ydZS660jqTyHqfXWycfJ/yqUjLcVZVXgemCI7eQVpfWeVyz8bkYLZywy1ru0hD/&#10;kEUjaoNHD1DXIgi2cvU7qKaWjjxV4UhSk1FV1VKlGlBNL39TzWwprEq1gBxvDzT5/wcrb9f3jtUl&#10;tINSRjTQ6EF1gda/n5glrRjOQVJr/QixM4vo0F1Shwv7c4/DWHtXuSZ+URWDH3RvDhQDksl4KT/r&#10;DU57nEn4hsP+8DjBZM+3rfPhi6KGxU3BHa1M+Q06JnrFeuoD0kH8Pi6+6EnX5U2tdTLcYn6lHVsL&#10;aH553Z8MBjFTXHkVpg1rC34yOM4T8itfxD5AzLWQP94jAE8bwEZmtgzEXejmXaKzv2dnTuUGpDna&#10;9p638qYG/FT4cC8cmg08YYDCHZZKE3Ki3Y6zJblffzuP8egBeDlr0bwF9z9XwinO9FeD7jjrDYex&#10;25MxPP7ch+FeeuYvPWbVXBG4girILm1jfND7beWoecScTeKrcAkj8XbBZXB74ypshwqTKtVkksLQ&#10;4VaEqZlZGcGjNpHYh+5ROLuTN6Axbmnf6GL0RuBtbLxpaLIKVNVJ/cj0ltedAJiOpPBukuP4vbRT&#10;1PP/ZvwHAAD//wMAUEsDBBQABgAIAAAAIQCR2Do61gAAAAUBAAAPAAAAZHJzL2Rvd25yZXYueG1s&#10;TI7daoNAEIXvC32HZQq9a1ZDMcW6hiZQhNw17QOM7kRFd1bcTWLfPpOr9vL8cM5XbBc3qgvNofds&#10;IF0loIgbb3tuDfx8f768gQoR2eLomQz8UoBt+fhQYG79lb/ocoytkhEOORroYpxyrUPTkcOw8hOx&#10;ZCc/O4wi51bbGa8y7ka9TpJMO+xZHjqcaN9RMxzPzkA1BE+UeXuaaKiGQ7XUNt0Z8/y0fLyDirTE&#10;vzLc8QUdSmGq/ZltUKOBjfTEfQV1DzfrDFQtbpqCLgv9n768AQAA//8DAFBLAQItABQABgAIAAAA&#10;IQC2gziS/gAAAOEBAAATAAAAAAAAAAAAAAAAAAAAAABbQ29udGVudF9UeXBlc10ueG1sUEsBAi0A&#10;FAAGAAgAAAAhADj9If/WAAAAlAEAAAsAAAAAAAAAAAAAAAAALwEAAF9yZWxzLy5yZWxzUEsBAi0A&#10;FAAGAAgAAAAhAD5vHxBfAgAAtwQAAA4AAAAAAAAAAAAAAAAALgIAAGRycy9lMm9Eb2MueG1sUEsB&#10;Ai0AFAAGAAgAAAAhAJHYOjrWAAAABQEAAA8AAAAAAAAAAAAAAAAAuQQAAGRycy9kb3ducmV2Lnht&#10;bFBLBQYAAAAABAAEAPMAAAC8BQAAAAA=&#10;" fillcolor="#bd2a33" strokeweight=".5pt">
                <v:textbox>
                  <w:txbxContent>
                    <w:p w14:paraId="67DB58FE" w14:textId="77777777" w:rsidR="006017F2" w:rsidRPr="008F3812" w:rsidRDefault="006017F2" w:rsidP="006017F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F3812">
                        <w:rPr>
                          <w:b/>
                          <w:color w:val="FFFFFF" w:themeColor="background1"/>
                        </w:rPr>
                        <w:t>7 let</w:t>
                      </w:r>
                    </w:p>
                  </w:txbxContent>
                </v:textbox>
              </v:roundrect>
            </w:pict>
          </mc:Fallback>
        </mc:AlternateContent>
      </w:r>
      <w:r w:rsidRPr="0009277D">
        <w:rPr>
          <w:rFonts w:cstheme="minorHAnsi"/>
          <w:b/>
          <w:color w:val="BD2A33"/>
          <w:szCs w:val="28"/>
        </w:rPr>
        <w:t>7 let</w:t>
      </w:r>
      <w:r w:rsidRPr="0009277D">
        <w:rPr>
          <w:rFonts w:cstheme="minorHAnsi"/>
          <w:b/>
          <w:color w:val="BD2A33"/>
          <w:szCs w:val="28"/>
        </w:rPr>
        <w:tab/>
      </w:r>
      <w:r w:rsidRPr="0009277D">
        <w:rPr>
          <w:rFonts w:cstheme="minorHAnsi"/>
          <w:szCs w:val="28"/>
        </w:rPr>
        <w:t xml:space="preserve">Doba, </w:t>
      </w:r>
      <w:r w:rsidR="00A11B0C" w:rsidRPr="00A11B0C">
        <w:rPr>
          <w:rFonts w:cstheme="minorHAnsi"/>
          <w:szCs w:val="28"/>
        </w:rPr>
        <w:t>za kterou MO nebylo schopno pořídit</w:t>
      </w:r>
      <w:r w:rsidRPr="0009277D">
        <w:rPr>
          <w:rFonts w:cstheme="minorHAnsi"/>
          <w:szCs w:val="28"/>
        </w:rPr>
        <w:t xml:space="preserve"> pro chemické vojsko provětrávané protichemické izolační oděvy</w:t>
      </w:r>
      <w:r w:rsidR="00520242">
        <w:rPr>
          <w:rFonts w:cstheme="minorHAnsi"/>
          <w:szCs w:val="28"/>
        </w:rPr>
        <w:t>.</w:t>
      </w:r>
    </w:p>
    <w:p w14:paraId="23A0E962" w14:textId="77777777" w:rsidR="004403DF" w:rsidRPr="00365C5F" w:rsidRDefault="004403DF" w:rsidP="004403DF">
      <w:pPr>
        <w:rPr>
          <w:rFonts w:cstheme="minorHAnsi"/>
          <w:sz w:val="28"/>
          <w:szCs w:val="36"/>
        </w:rPr>
      </w:pPr>
    </w:p>
    <w:p w14:paraId="6F261351" w14:textId="77777777" w:rsidR="004403DF" w:rsidRPr="001974A6" w:rsidRDefault="004403DF" w:rsidP="004403DF">
      <w:pPr>
        <w:spacing w:after="0"/>
        <w:ind w:left="2832" w:hanging="2832"/>
        <w:jc w:val="center"/>
        <w:rPr>
          <w:rFonts w:cstheme="minorHAnsi"/>
          <w:b/>
          <w:color w:val="004595"/>
          <w:sz w:val="28"/>
          <w:szCs w:val="28"/>
        </w:rPr>
      </w:pPr>
      <w:r w:rsidRPr="001974A6">
        <w:rPr>
          <w:rFonts w:cstheme="minorHAnsi"/>
          <w:b/>
          <w:color w:val="004595"/>
          <w:sz w:val="28"/>
          <w:szCs w:val="28"/>
        </w:rPr>
        <w:t>Centrum biologické ochrany TĚCHONÍN</w:t>
      </w:r>
    </w:p>
    <w:p w14:paraId="22BFF10B" w14:textId="77777777" w:rsidR="004403DF" w:rsidRPr="00FA2D8F" w:rsidRDefault="004403DF" w:rsidP="004403DF">
      <w:pPr>
        <w:spacing w:after="0"/>
        <w:ind w:left="2832" w:hanging="2832"/>
        <w:jc w:val="center"/>
        <w:rPr>
          <w:rFonts w:cstheme="minorHAnsi"/>
          <w:sz w:val="22"/>
          <w:szCs w:val="28"/>
        </w:rPr>
      </w:pPr>
      <w:r w:rsidRPr="00FA2D8F">
        <w:rPr>
          <w:rFonts w:cstheme="minorHAnsi"/>
          <w:sz w:val="22"/>
          <w:szCs w:val="28"/>
        </w:rPr>
        <w:t>(specializované zařízení Armády České republiky)</w:t>
      </w:r>
    </w:p>
    <w:p w14:paraId="388EF05D" w14:textId="77777777" w:rsidR="004403DF" w:rsidRPr="00CC6BF5" w:rsidRDefault="004403DF" w:rsidP="00BC4F1D">
      <w:pPr>
        <w:spacing w:before="240" w:after="240"/>
        <w:ind w:left="2410" w:hanging="2410"/>
        <w:jc w:val="left"/>
        <w:rPr>
          <w:rFonts w:cstheme="minorHAnsi"/>
          <w:szCs w:val="28"/>
        </w:rPr>
      </w:pPr>
      <w:r>
        <w:rPr>
          <w:rFonts w:cstheme="minorHAnsi"/>
          <w:b/>
          <w:noProof/>
          <w:color w:val="BD2A33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DE438" wp14:editId="1BC9030D">
                <wp:simplePos x="0" y="0"/>
                <wp:positionH relativeFrom="column">
                  <wp:posOffset>4445</wp:posOffset>
                </wp:positionH>
                <wp:positionV relativeFrom="paragraph">
                  <wp:posOffset>159590</wp:posOffset>
                </wp:positionV>
                <wp:extent cx="1091381" cy="442451"/>
                <wp:effectExtent l="0" t="0" r="13970" b="1524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81" cy="442451"/>
                        </a:xfrm>
                        <a:prstGeom prst="roundRect">
                          <a:avLst/>
                        </a:prstGeom>
                        <a:solidFill>
                          <a:srgbClr val="00459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AFED5" w14:textId="77777777" w:rsidR="006017F2" w:rsidRPr="008F3812" w:rsidRDefault="006017F2" w:rsidP="006017F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3,7 mld.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DE438" id="Textové pole 21" o:spid="_x0000_s1029" style="position:absolute;left:0;text-align:left;margin-left:.35pt;margin-top:12.55pt;width:85.95pt;height:34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XVXwIAALcEAAAOAAAAZHJzL2Uyb0RvYy54bWysVMtu2zAQvBfoPxC8N5JtOU0My4GbIEWB&#10;IAmaFDnTFGULpbgsSVtK/6jf0R/rkH7k1VPRC8XlLoe7M7uanvWtZhvlfEOm5IOjnDNlJFWNWZb8&#10;2/3lhxPOfBCmEpqMKvmj8vxs9v7dtLMTNaQV6Uo5BhDjJ50t+SoEO8kyL1eqFf6IrDJw1uRaEWC6&#10;ZVY50QG91dkwz4+zjlxlHUnlPU4vtk4+S/h1rWS4qWuvAtMlR24hrS6ti7hms6mYLJ2wq0bu0hD/&#10;kEUrGoNHD1AXIgi2ds0bqLaRjjzV4UhSm1FdN1KlGlDNIH9Vzd1KWJVqATneHmjy/w9WXm9uHWuq&#10;kg8HnBnRQqN71Qfa/P7FLGnFcA6SOusniL2ziA79J+oh9v7c4zDW3teujV9UxeAH3Y8HigHJZLyU&#10;nw5GJ3hKwlcUw2KcYLKn29b58FlRy+Km5I7WpvoKHRO9YnPlA9JB/D4uvuhJN9Vlo3Uy3HJxrh3b&#10;iKh5XoxPxzFTXHkRpg3rSn48GucJ+YUvYh8gFlrI728RgKcNYCMzWwbiLvSLPtE52rOzoOoRpDna&#10;9p638rIB/JXw4VY4NBt4wgCFGyy1JuREux1nK3I//3Ye49ED8HLWoXlL7n+shVOc6S8G3XE6KIrY&#10;7ckoxh+HMNxzz+K5x6zbcwJXUAXZpW2MD3q/rR21D5izeXwVLmEk3i65DG5vnIftUGFSpZrPUxg6&#10;3IpwZe6sjOBRm0jsff8gnN3JG9AY17RvdDF5JfA2Nt40NF8HqpukfmR6y+tOAExHUng3yXH8ntsp&#10;6ul/M/sDAAD//wMAUEsDBBQABgAIAAAAIQDs2/6D3gAAAAYBAAAPAAAAZHJzL2Rvd25yZXYueG1s&#10;TI5NT8MwEETvSPwHa5G4UacRbdqQTQVInABVhA/16MZLEtVeR7Hbhv563BMcRzN684rVaI040OA7&#10;xwjTSQKCuHa64wbh4/3pZgHCB8VaGceE8EMeVuXlRaFy7Y78RocqNCJC2OcKoQ2hz6X0dUtW+Ynr&#10;iWP37QarQoxDI/WgjhFujUyTZC6t6jg+tKqnx5bqXbW3CC/Lz2R3ej6l2etMrt34tTHVwwbx+mq8&#10;vwMRaAx/YzjrR3Uoo9PW7Vl7YRCyuENIZ1MQ5zZL5yC2CMvbBciykP/1y18AAAD//wMAUEsBAi0A&#10;FAAGAAgAAAAhALaDOJL+AAAA4QEAABMAAAAAAAAAAAAAAAAAAAAAAFtDb250ZW50X1R5cGVzXS54&#10;bWxQSwECLQAUAAYACAAAACEAOP0h/9YAAACUAQAACwAAAAAAAAAAAAAAAAAvAQAAX3JlbHMvLnJl&#10;bHNQSwECLQAUAAYACAAAACEAvd/l1V8CAAC3BAAADgAAAAAAAAAAAAAAAAAuAgAAZHJzL2Uyb0Rv&#10;Yy54bWxQSwECLQAUAAYACAAAACEA7Nv+g94AAAAGAQAADwAAAAAAAAAAAAAAAAC5BAAAZHJzL2Rv&#10;d25yZXYueG1sUEsFBgAAAAAEAAQA8wAAAMQFAAAAAA==&#10;" fillcolor="#004595" strokeweight=".5pt">
                <v:textbox>
                  <w:txbxContent>
                    <w:p w14:paraId="31BAFED5" w14:textId="77777777" w:rsidR="006017F2" w:rsidRPr="008F3812" w:rsidRDefault="006017F2" w:rsidP="006017F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3,7 mld. Kč</w:t>
                      </w:r>
                    </w:p>
                  </w:txbxContent>
                </v:textbox>
              </v:roundrect>
            </w:pict>
          </mc:Fallback>
        </mc:AlternateContent>
      </w:r>
      <w:r w:rsidRPr="004C028C">
        <w:rPr>
          <w:rFonts w:cstheme="minorHAnsi"/>
          <w:color w:val="004595"/>
          <w:szCs w:val="28"/>
        </w:rPr>
        <w:tab/>
      </w:r>
      <w:r w:rsidRPr="00C04D1D">
        <w:rPr>
          <w:rFonts w:cstheme="minorHAnsi"/>
          <w:szCs w:val="28"/>
        </w:rPr>
        <w:t>Výdaje MO na výstavbu Centra biologické ochrany (dále také „CBO“) Těchonín od roku 2001 do roku 2022</w:t>
      </w:r>
      <w:r w:rsidRPr="00BC4F1D">
        <w:rPr>
          <w:rFonts w:cstheme="minorHAnsi"/>
          <w:szCs w:val="28"/>
        </w:rPr>
        <w:t>.</w:t>
      </w:r>
    </w:p>
    <w:p w14:paraId="5EA7F08E" w14:textId="162D5530" w:rsidR="004403DF" w:rsidRDefault="004403DF" w:rsidP="00BC4F1D">
      <w:pPr>
        <w:spacing w:before="240" w:after="240"/>
        <w:ind w:left="2410" w:hanging="2410"/>
        <w:jc w:val="left"/>
        <w:rPr>
          <w:rFonts w:cstheme="minorHAnsi"/>
          <w:szCs w:val="28"/>
        </w:rPr>
      </w:pPr>
      <w:r>
        <w:rPr>
          <w:rFonts w:cstheme="minorHAnsi"/>
          <w:b/>
          <w:noProof/>
          <w:color w:val="BD2A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C0E0" wp14:editId="11A1F8D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090930" cy="441960"/>
                <wp:effectExtent l="0" t="0" r="13970" b="1524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41960"/>
                        </a:xfrm>
                        <a:prstGeom prst="roundRect">
                          <a:avLst/>
                        </a:prstGeom>
                        <a:solidFill>
                          <a:srgbClr val="BD2A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AD8C4" w14:textId="77777777" w:rsidR="006017F2" w:rsidRPr="008F3812" w:rsidRDefault="006017F2" w:rsidP="006017F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 z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6C0E0" id="Textové pole 22" o:spid="_x0000_s1030" style="position:absolute;left:0;text-align:left;margin-left:.35pt;margin-top:.35pt;width:85.9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bYQIAALcEAAAOAAAAZHJzL2Uyb0RvYy54bWysVMtu2zAQvBfoPxC8N5IfSWvDcuA4SFEg&#10;SII6Rc40RdlCKS5L0pbSP+p39Mc6pB959VT0QnG5y+HuzK4m512j2VY5X5MpeO8k50wZSWVtVgX/&#10;dn/14RNnPghTCk1GFfxReX4+ff9u0tqx6tOadKkcA4jx49YWfB2CHWeZl2vVCH9CVhk4K3KNCDDd&#10;KiudaIHe6Kyf52dZS660jqTyHqeXOyefJvyqUjLcVpVXgemCI7eQVpfWZVyz6USMV07YdS33aYh/&#10;yKIRtcGjR6hLEQTbuPoNVFNLR56qcCKpyaiqaqlSDaiml7+qZrEWVqVaQI63R5r8/4OVN9s7x+qy&#10;4P0+Z0Y00OhedYG2v38xS1oxnIOk1voxYhcW0aG7oA5iH849DmPtXeWa+EVVDH7Q/XikGJBMxkv5&#10;KB8N4JLwDYe90VnSIHu6bZ0PnxU1LG4K7mhjyq/QMdErttc+IB3EH+Lii550XV7VWifDrZZz7dhW&#10;QPOLy/5sMIiZ4sqLMG1YW/CzwWmekF/4IvYRYqmF/P4WAXjaADYys2Mg7kK37BKdwwM7SyofQZqj&#10;Xe95K69qwF8LH+6EQ7OBDAxQuMVSaUJOtN9xtib382/nMR49AC9nLZq34P7HRjjFmf5i0B2j3nAY&#10;uz0Zw9OPfRjuuWf53GM2zZzAVQ+jamXaxvigD9vKUfOAOZvFV+ESRuLtgsvgDsY87IYKkyrVbJbC&#10;0OFWhGuzsDKCR20isffdg3B2L29AY9zQodHF+JXAu9h409BsE6iqk/qR6R2vewEwHUnh/STH8Xtu&#10;p6in/830DwAAAP//AwBQSwMEFAAGAAgAAAAhAFjjS7rWAAAABAEAAA8AAABkcnMvZG93bnJldi54&#10;bWxMjkFrwkAUhO8F/8PyhN7qRku1pNmIChLorbY/YJN9JiHZ90J21fTf99lLexkYZpj5su3ke3XF&#10;MbRMBpaLBBRSxa6l2sDX5/HpFVSIlpztmdDANwbY5rOHzKaOb/SB11OslYxQSK2BJsYh1TpUDXob&#10;FjwgSXbm0dsodqy1G+1Nxn2vV0my1t62JA+NHfDQYNWdLt5A0QVGXLM7D9gV3XsxlW65N+ZxPu3e&#10;QEWc4l8Z7viCDrkwlXwhF1RvYCO9X71nm9ULqFJs8gw6z/R/+PwHAAD//wMAUEsBAi0AFAAGAAgA&#10;AAAhALaDOJL+AAAA4QEAABMAAAAAAAAAAAAAAAAAAAAAAFtDb250ZW50X1R5cGVzXS54bWxQSwEC&#10;LQAUAAYACAAAACEAOP0h/9YAAACUAQAACwAAAAAAAAAAAAAAAAAvAQAAX3JlbHMvLnJlbHNQSwEC&#10;LQAUAAYACAAAACEA3AoYG2ECAAC3BAAADgAAAAAAAAAAAAAAAAAuAgAAZHJzL2Uyb0RvYy54bWxQ&#10;SwECLQAUAAYACAAAACEAWONLutYAAAAEAQAADwAAAAAAAAAAAAAAAAC7BAAAZHJzL2Rvd25yZXYu&#10;eG1sUEsFBgAAAAAEAAQA8wAAAL4FAAAAAA==&#10;" fillcolor="#bd2a33" strokeweight=".5pt">
                <v:textbox>
                  <w:txbxContent>
                    <w:p w14:paraId="3A9AD8C4" w14:textId="77777777" w:rsidR="006017F2" w:rsidRPr="008F3812" w:rsidRDefault="006017F2" w:rsidP="006017F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 z 9</w:t>
                      </w:r>
                    </w:p>
                  </w:txbxContent>
                </v:textbox>
              </v:roundrect>
            </w:pict>
          </mc:Fallback>
        </mc:AlternateContent>
      </w:r>
      <w:r w:rsidRPr="004C028C">
        <w:rPr>
          <w:rFonts w:cstheme="minorHAnsi"/>
          <w:b/>
          <w:color w:val="BD2A33"/>
          <w:szCs w:val="28"/>
        </w:rPr>
        <w:t>2 z 9</w:t>
      </w:r>
      <w:r w:rsidRPr="004C028C">
        <w:rPr>
          <w:rFonts w:cstheme="minorHAnsi"/>
          <w:color w:val="BD2A33"/>
          <w:szCs w:val="28"/>
        </w:rPr>
        <w:tab/>
      </w:r>
      <w:r w:rsidRPr="00C04D1D">
        <w:rPr>
          <w:rFonts w:cstheme="minorHAnsi"/>
          <w:szCs w:val="28"/>
        </w:rPr>
        <w:t>CBO Těchonín neplní ani po 22 letech od zahájení jeho výstavby dvě z devíti statutárních funkcí</w:t>
      </w:r>
      <w:r w:rsidR="009274F4">
        <w:rPr>
          <w:rStyle w:val="Znakapoznpodarou"/>
          <w:rFonts w:cstheme="minorHAnsi"/>
          <w:szCs w:val="28"/>
        </w:rPr>
        <w:footnoteReference w:id="2"/>
      </w:r>
      <w:r w:rsidRPr="00C04D1D">
        <w:rPr>
          <w:rFonts w:cstheme="minorHAnsi"/>
          <w:szCs w:val="28"/>
        </w:rPr>
        <w:t>.</w:t>
      </w:r>
    </w:p>
    <w:p w14:paraId="6429CF0D" w14:textId="77777777" w:rsidR="001D4B33" w:rsidRPr="003E14B8" w:rsidRDefault="001D4B33" w:rsidP="00513889">
      <w:pPr>
        <w:spacing w:before="240" w:after="240"/>
        <w:jc w:val="left"/>
        <w:rPr>
          <w:rFonts w:cstheme="minorHAnsi"/>
          <w:szCs w:val="28"/>
        </w:rPr>
      </w:pPr>
    </w:p>
    <w:p w14:paraId="6BC47071" w14:textId="11213019" w:rsidR="00D124FE" w:rsidRDefault="001D4B33" w:rsidP="007A5A76">
      <w:pPr>
        <w:spacing w:before="240"/>
        <w:ind w:left="284"/>
        <w:jc w:val="left"/>
        <w:rPr>
          <w:rFonts w:cstheme="minorHAnsi"/>
          <w:sz w:val="28"/>
          <w:szCs w:val="28"/>
          <w:highlight w:val="yellow"/>
        </w:rPr>
      </w:pPr>
      <w:r>
        <w:object w:dxaOrig="16470" w:dyaOrig="10440" w14:anchorId="675D9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59.9pt" o:ole="">
            <v:imagedata r:id="rId12" o:title="" cropbottom="28944f" cropleft="507f"/>
          </v:shape>
          <o:OLEObject Type="Embed" ProgID="Visio.Drawing.15" ShapeID="_x0000_i1025" DrawAspect="Content" ObjectID="_1762315712" r:id="rId13"/>
        </w:object>
      </w:r>
      <w:r w:rsidR="00D457AE">
        <w:rPr>
          <w:rFonts w:cstheme="minorHAnsi"/>
          <w:sz w:val="28"/>
          <w:szCs w:val="28"/>
          <w:highlight w:val="yellow"/>
        </w:rPr>
        <w:br w:type="page"/>
      </w:r>
    </w:p>
    <w:bookmarkEnd w:id="2"/>
    <w:p w14:paraId="6A1A9EBA" w14:textId="77777777" w:rsidR="001676C8" w:rsidRPr="00FA2D8F" w:rsidRDefault="00D457AE" w:rsidP="001676C8">
      <w:pPr>
        <w:pStyle w:val="Nadpis1"/>
        <w:jc w:val="center"/>
        <w:rPr>
          <w:rFonts w:cstheme="minorHAnsi"/>
          <w:sz w:val="28"/>
          <w:szCs w:val="28"/>
        </w:rPr>
      </w:pPr>
      <w:r w:rsidRPr="00FA2D8F">
        <w:rPr>
          <w:rFonts w:cstheme="minorHAnsi"/>
          <w:sz w:val="28"/>
          <w:szCs w:val="28"/>
        </w:rPr>
        <w:lastRenderedPageBreak/>
        <w:t>I. Shrnutí a vyhodnocení</w:t>
      </w:r>
    </w:p>
    <w:p w14:paraId="1A483331" w14:textId="77777777" w:rsidR="003B0F72" w:rsidRPr="00FA2D8F" w:rsidRDefault="003B0F72" w:rsidP="00490595">
      <w:pPr>
        <w:spacing w:after="0"/>
        <w:rPr>
          <w:rFonts w:cstheme="minorHAnsi"/>
          <w:sz w:val="28"/>
        </w:rPr>
      </w:pPr>
    </w:p>
    <w:p w14:paraId="5EE0AEAC" w14:textId="3722BFE0" w:rsidR="00035F9B" w:rsidRPr="00B91949" w:rsidRDefault="00D457AE" w:rsidP="00035F9B">
      <w:pPr>
        <w:pStyle w:val="Odstavecseseznamem"/>
        <w:numPr>
          <w:ilvl w:val="1"/>
          <w:numId w:val="25"/>
        </w:numPr>
        <w:spacing w:before="120"/>
        <w:ind w:left="0" w:firstLine="0"/>
        <w:contextualSpacing w:val="0"/>
        <w:rPr>
          <w:rFonts w:cstheme="minorHAnsi"/>
          <w:lang w:eastAsia="cs-CZ"/>
        </w:rPr>
      </w:pPr>
      <w:bookmarkStart w:id="3" w:name="_Hlk145495599"/>
      <w:r w:rsidRPr="003058E4">
        <w:t xml:space="preserve">NKÚ provedl kontrolu peněžních prostředků </w:t>
      </w:r>
      <w:r w:rsidRPr="00E828D3">
        <w:t>státního rozpočtu vynaložených MO na radiační, chemickou a biologickou ochranu</w:t>
      </w:r>
      <w:r>
        <w:t xml:space="preserve">, kterou </w:t>
      </w:r>
      <w:r>
        <w:rPr>
          <w:rFonts w:cstheme="minorHAnsi"/>
          <w:lang w:eastAsia="cs-CZ"/>
        </w:rPr>
        <w:t>představuje ochrana proti účinkům chemických, biologických, radiologických a jaderných zbraní a proti účinkům průmyslových nebezpečných látek.</w:t>
      </w:r>
      <w:r w:rsidR="00035F9B">
        <w:rPr>
          <w:rFonts w:cstheme="minorHAnsi"/>
          <w:lang w:eastAsia="cs-CZ"/>
        </w:rPr>
        <w:t xml:space="preserve"> </w:t>
      </w:r>
      <w:r w:rsidR="00035F9B" w:rsidRPr="002923FF">
        <w:rPr>
          <w:rFonts w:cstheme="minorHAnsi"/>
          <w:lang w:eastAsia="cs-CZ"/>
        </w:rPr>
        <w:t>V</w:t>
      </w:r>
      <w:r w:rsidR="007C3054">
        <w:rPr>
          <w:rFonts w:cstheme="minorHAnsi"/>
          <w:lang w:eastAsia="cs-CZ"/>
        </w:rPr>
        <w:t xml:space="preserve"> </w:t>
      </w:r>
      <w:r w:rsidR="00035F9B" w:rsidRPr="002923FF">
        <w:rPr>
          <w:rFonts w:cstheme="minorHAnsi"/>
          <w:lang w:eastAsia="cs-CZ"/>
        </w:rPr>
        <w:t xml:space="preserve">rámci struktury </w:t>
      </w:r>
      <w:r w:rsidR="007C3054">
        <w:rPr>
          <w:rFonts w:cstheme="minorHAnsi"/>
          <w:bCs/>
        </w:rPr>
        <w:t xml:space="preserve">Armády České republiky (dále také „AČR“) </w:t>
      </w:r>
      <w:r w:rsidR="00035F9B" w:rsidRPr="002923FF">
        <w:rPr>
          <w:rFonts w:cstheme="minorHAnsi"/>
          <w:lang w:eastAsia="cs-CZ"/>
        </w:rPr>
        <w:t>plní uvedené úkoly zejména 31. pluk radiační, chemické a</w:t>
      </w:r>
      <w:r w:rsidR="00CC6BF5">
        <w:rPr>
          <w:rFonts w:cstheme="minorHAnsi"/>
          <w:lang w:eastAsia="cs-CZ"/>
        </w:rPr>
        <w:t xml:space="preserve"> </w:t>
      </w:r>
      <w:r w:rsidR="00035F9B" w:rsidRPr="002923FF">
        <w:rPr>
          <w:rFonts w:cstheme="minorHAnsi"/>
          <w:lang w:eastAsia="cs-CZ"/>
        </w:rPr>
        <w:t xml:space="preserve">biologické ochrany </w:t>
      </w:r>
      <w:r w:rsidR="007C3054">
        <w:rPr>
          <w:rFonts w:cstheme="minorHAnsi"/>
          <w:lang w:eastAsia="cs-CZ"/>
        </w:rPr>
        <w:t xml:space="preserve">se sídlem </w:t>
      </w:r>
      <w:r w:rsidR="00035F9B" w:rsidRPr="002923FF">
        <w:rPr>
          <w:rFonts w:cstheme="minorHAnsi"/>
          <w:lang w:eastAsia="cs-CZ"/>
        </w:rPr>
        <w:t>v Liber</w:t>
      </w:r>
      <w:r w:rsidR="007C3054">
        <w:rPr>
          <w:rFonts w:cstheme="minorHAnsi"/>
          <w:lang w:eastAsia="cs-CZ"/>
        </w:rPr>
        <w:t>ci</w:t>
      </w:r>
      <w:r w:rsidR="00035F9B" w:rsidRPr="002923FF">
        <w:rPr>
          <w:rFonts w:cstheme="minorHAnsi"/>
          <w:lang w:eastAsia="cs-CZ"/>
        </w:rPr>
        <w:t xml:space="preserve"> (dále také „31. </w:t>
      </w:r>
      <w:proofErr w:type="spellStart"/>
      <w:r w:rsidR="00035F9B" w:rsidRPr="002923FF">
        <w:rPr>
          <w:rFonts w:cstheme="minorHAnsi"/>
          <w:lang w:eastAsia="cs-CZ"/>
        </w:rPr>
        <w:t>prchbo</w:t>
      </w:r>
      <w:proofErr w:type="spellEnd"/>
      <w:r w:rsidR="00035F9B" w:rsidRPr="002923FF">
        <w:rPr>
          <w:rFonts w:cstheme="minorHAnsi"/>
          <w:lang w:eastAsia="cs-CZ"/>
        </w:rPr>
        <w:t>“). Biologickou ochranu zajiš</w:t>
      </w:r>
      <w:r w:rsidR="00387DC3">
        <w:rPr>
          <w:rFonts w:cstheme="minorHAnsi"/>
          <w:lang w:eastAsia="cs-CZ"/>
        </w:rPr>
        <w:t>ť</w:t>
      </w:r>
      <w:r w:rsidR="00035F9B" w:rsidRPr="002923FF">
        <w:rPr>
          <w:rFonts w:cstheme="minorHAnsi"/>
          <w:lang w:eastAsia="cs-CZ"/>
        </w:rPr>
        <w:t xml:space="preserve">uje kromě 31. </w:t>
      </w:r>
      <w:proofErr w:type="spellStart"/>
      <w:r w:rsidR="00035F9B" w:rsidRPr="002923FF">
        <w:rPr>
          <w:rFonts w:cstheme="minorHAnsi"/>
          <w:lang w:eastAsia="cs-CZ"/>
        </w:rPr>
        <w:t>prchbo</w:t>
      </w:r>
      <w:proofErr w:type="spellEnd"/>
      <w:r w:rsidR="00035F9B" w:rsidRPr="002923FF" w:rsidDel="002923FF">
        <w:rPr>
          <w:rFonts w:cstheme="minorHAnsi"/>
          <w:lang w:eastAsia="cs-CZ"/>
        </w:rPr>
        <w:t xml:space="preserve"> </w:t>
      </w:r>
      <w:r w:rsidR="00035F9B" w:rsidRPr="002923FF">
        <w:rPr>
          <w:rFonts w:cstheme="minorHAnsi"/>
          <w:lang w:eastAsia="cs-CZ"/>
        </w:rPr>
        <w:t xml:space="preserve">i </w:t>
      </w:r>
      <w:r w:rsidR="00035F9B" w:rsidRPr="002923FF">
        <w:rPr>
          <w:rFonts w:cstheme="minorHAnsi"/>
          <w:bCs/>
          <w:lang w:eastAsia="cs-CZ"/>
        </w:rPr>
        <w:t xml:space="preserve">Odbor biologické ochrany – Těchonín, pod který spadá </w:t>
      </w:r>
      <w:r w:rsidR="00035F9B" w:rsidRPr="002923FF">
        <w:rPr>
          <w:rFonts w:cstheme="minorHAnsi"/>
          <w:bCs/>
        </w:rPr>
        <w:t>CBO Těchonín</w:t>
      </w:r>
      <w:r w:rsidR="00035F9B">
        <w:rPr>
          <w:rStyle w:val="Znakapoznpodarou"/>
          <w:rFonts w:cstheme="minorHAnsi"/>
          <w:bCs/>
        </w:rPr>
        <w:footnoteReference w:id="3"/>
      </w:r>
      <w:r w:rsidR="00035F9B" w:rsidRPr="002923FF">
        <w:rPr>
          <w:rFonts w:cstheme="minorHAnsi"/>
          <w:bCs/>
        </w:rPr>
        <w:t xml:space="preserve">, speciální zařízení </w:t>
      </w:r>
      <w:r w:rsidR="00F171AD">
        <w:rPr>
          <w:rFonts w:cstheme="minorHAnsi"/>
          <w:bCs/>
        </w:rPr>
        <w:t>Armády České republiky</w:t>
      </w:r>
      <w:r w:rsidR="00035F9B" w:rsidRPr="002923FF">
        <w:rPr>
          <w:rFonts w:cstheme="minorHAnsi"/>
          <w:bCs/>
        </w:rPr>
        <w:t xml:space="preserve">. </w:t>
      </w:r>
    </w:p>
    <w:p w14:paraId="0D33B5DF" w14:textId="78AB53D0" w:rsidR="007C0316" w:rsidRDefault="00D457AE" w:rsidP="007C0316">
      <w:pPr>
        <w:pStyle w:val="Odstavecseseznamem"/>
        <w:numPr>
          <w:ilvl w:val="1"/>
          <w:numId w:val="25"/>
        </w:numPr>
        <w:spacing w:before="120"/>
        <w:ind w:left="0" w:firstLine="0"/>
        <w:contextualSpacing w:val="0"/>
      </w:pPr>
      <w:bookmarkStart w:id="4" w:name="_Hlk145504503"/>
      <w:r w:rsidRPr="003058E4">
        <w:t xml:space="preserve">Cílem kontroly bylo prověřit, </w:t>
      </w:r>
      <w:r w:rsidRPr="00817ECD">
        <w:t xml:space="preserve">zda </w:t>
      </w:r>
      <w:r w:rsidR="00C82533">
        <w:t>MO</w:t>
      </w:r>
      <w:r w:rsidRPr="00817ECD">
        <w:t xml:space="preserve"> vynaložilo peněžní prostředky státního rozpočtu na radiační, chemickou a biologickou ochranu účelně, hospodárně a</w:t>
      </w:r>
      <w:r w:rsidR="00CC6BF5">
        <w:t xml:space="preserve"> </w:t>
      </w:r>
      <w:r w:rsidRPr="00817ECD">
        <w:t>v</w:t>
      </w:r>
      <w:r w:rsidR="00E539D4">
        <w:t> </w:t>
      </w:r>
      <w:r w:rsidRPr="00817ECD">
        <w:t>souladu s právními předpisy.</w:t>
      </w:r>
      <w:r>
        <w:t xml:space="preserve"> Ke kontrole byly vybrány dvě akce programu</w:t>
      </w:r>
      <w:r w:rsidR="00CB4DB3">
        <w:t xml:space="preserve"> </w:t>
      </w:r>
      <w:r w:rsidRPr="001A25F5">
        <w:t xml:space="preserve">107V68 – </w:t>
      </w:r>
      <w:r w:rsidRPr="00B22E23">
        <w:rPr>
          <w:i/>
        </w:rPr>
        <w:t>Udržení a rozvoj schopností pozemních sil AČR</w:t>
      </w:r>
      <w:r w:rsidRPr="003058E4">
        <w:t xml:space="preserve">, </w:t>
      </w:r>
      <w:r>
        <w:t xml:space="preserve">sedm akcí programu </w:t>
      </w:r>
      <w:r w:rsidRPr="001A25F5">
        <w:t xml:space="preserve">107V08 – </w:t>
      </w:r>
      <w:r w:rsidRPr="00B22E23">
        <w:rPr>
          <w:i/>
        </w:rPr>
        <w:t xml:space="preserve">Strategický program pozemních sil AČR </w:t>
      </w:r>
      <w:r w:rsidRPr="003058E4">
        <w:t>a</w:t>
      </w:r>
      <w:r w:rsidR="00C82533">
        <w:t> </w:t>
      </w:r>
      <w:r w:rsidR="001C489E">
        <w:t xml:space="preserve">tři </w:t>
      </w:r>
      <w:r>
        <w:t xml:space="preserve">akce programu </w:t>
      </w:r>
      <w:r w:rsidRPr="001A25F5">
        <w:t>107V49</w:t>
      </w:r>
      <w:r w:rsidR="00484969">
        <w:t>0</w:t>
      </w:r>
      <w:r w:rsidRPr="001A25F5">
        <w:t xml:space="preserve"> – </w:t>
      </w:r>
      <w:r w:rsidRPr="00B22E23">
        <w:rPr>
          <w:i/>
        </w:rPr>
        <w:t xml:space="preserve">Udržení a rozvoj schopností zdravotnické podpory. </w:t>
      </w:r>
      <w:r w:rsidR="00CB4DB3">
        <w:t>A</w:t>
      </w:r>
      <w:r>
        <w:t xml:space="preserve">kce byly zaměřeny na pořízení </w:t>
      </w:r>
      <w:r w:rsidR="00F27E2C">
        <w:t xml:space="preserve">techniky a </w:t>
      </w:r>
      <w:r>
        <w:t>materiálu i</w:t>
      </w:r>
      <w:r w:rsidR="00CC6BF5">
        <w:t xml:space="preserve"> </w:t>
      </w:r>
      <w:r>
        <w:t xml:space="preserve">investice do nemovitého majetku. </w:t>
      </w:r>
      <w:r w:rsidR="00CB4DB3">
        <w:t xml:space="preserve">NKÚ dále kontroloval </w:t>
      </w:r>
      <w:r w:rsidR="000A1A6B">
        <w:t xml:space="preserve">dva projekty </w:t>
      </w:r>
      <w:bookmarkStart w:id="5" w:name="_Hlk145939856"/>
      <w:r w:rsidR="000A1A6B">
        <w:t>obranného</w:t>
      </w:r>
      <w:r w:rsidR="00ED7A4F">
        <w:t xml:space="preserve"> výzkumu, experimentálního vývoje a inovací</w:t>
      </w:r>
      <w:bookmarkEnd w:id="5"/>
      <w:r w:rsidR="00ED7A4F">
        <w:t xml:space="preserve">, </w:t>
      </w:r>
      <w:r w:rsidR="00026683">
        <w:t>oba tyto projekty</w:t>
      </w:r>
      <w:r w:rsidR="00ED7A4F">
        <w:t xml:space="preserve"> měly podpořit rozvoj schopností chemického vojska. </w:t>
      </w:r>
      <w:r w:rsidR="00FE60F9">
        <w:t xml:space="preserve">Na </w:t>
      </w:r>
      <w:r w:rsidR="00910782">
        <w:t xml:space="preserve">vybrané </w:t>
      </w:r>
      <w:r w:rsidR="00FE60F9">
        <w:t xml:space="preserve">akce a projekty vynaložilo MO celkem </w:t>
      </w:r>
      <w:r w:rsidRPr="003058E4">
        <w:t>5 </w:t>
      </w:r>
      <w:r w:rsidR="001C489E">
        <w:t>419</w:t>
      </w:r>
      <w:r w:rsidRPr="003058E4">
        <w:t xml:space="preserve"> mil. Kč. </w:t>
      </w:r>
      <w:r>
        <w:t xml:space="preserve">NKÚ prověřil </w:t>
      </w:r>
      <w:r w:rsidR="00910782">
        <w:t xml:space="preserve">i </w:t>
      </w:r>
      <w:r w:rsidR="007C0316" w:rsidRPr="00B22E23">
        <w:rPr>
          <w:rFonts w:cstheme="minorHAnsi"/>
        </w:rPr>
        <w:t>realizac</w:t>
      </w:r>
      <w:r w:rsidR="007C0316">
        <w:rPr>
          <w:rFonts w:cstheme="minorHAnsi"/>
        </w:rPr>
        <w:t xml:space="preserve">i </w:t>
      </w:r>
      <w:r w:rsidR="007C0316" w:rsidRPr="007C0316">
        <w:rPr>
          <w:rFonts w:cstheme="minorHAnsi"/>
        </w:rPr>
        <w:t>opatření k odstranění nedostatků zjištěných předchozí kontrolní akc</w:t>
      </w:r>
      <w:r w:rsidR="00026683">
        <w:rPr>
          <w:rFonts w:cstheme="minorHAnsi"/>
        </w:rPr>
        <w:t>í</w:t>
      </w:r>
      <w:r w:rsidR="007C0316" w:rsidRPr="007C0316" w:rsidDel="003174B2">
        <w:rPr>
          <w:rFonts w:cstheme="minorHAnsi"/>
        </w:rPr>
        <w:t xml:space="preserve"> </w:t>
      </w:r>
      <w:r w:rsidR="007C0316" w:rsidRPr="007C0316">
        <w:rPr>
          <w:rFonts w:cstheme="minorHAnsi"/>
        </w:rPr>
        <w:t>NKÚ č. 14/41</w:t>
      </w:r>
      <w:bookmarkStart w:id="6" w:name="_Ref148949459"/>
      <w:r w:rsidR="007C0316" w:rsidRPr="0009277D">
        <w:rPr>
          <w:rStyle w:val="Znakapoznpodarou"/>
        </w:rPr>
        <w:footnoteReference w:id="4"/>
      </w:r>
      <w:bookmarkEnd w:id="6"/>
      <w:r w:rsidR="007C0316">
        <w:rPr>
          <w:rFonts w:cstheme="minorHAnsi"/>
        </w:rPr>
        <w:t xml:space="preserve">. </w:t>
      </w:r>
    </w:p>
    <w:bookmarkEnd w:id="3"/>
    <w:bookmarkEnd w:id="4"/>
    <w:p w14:paraId="55052483" w14:textId="77777777" w:rsidR="00EB505E" w:rsidRPr="00220EE8" w:rsidRDefault="00D457AE" w:rsidP="001B569A">
      <w:pPr>
        <w:rPr>
          <w:rStyle w:val="Styl1Char"/>
          <w:b/>
          <w:i w:val="0"/>
          <w:color w:val="auto"/>
          <w:sz w:val="24"/>
        </w:rPr>
      </w:pPr>
      <w:r w:rsidRPr="00463F06">
        <w:rPr>
          <w:rStyle w:val="Styl1Char"/>
          <w:b/>
          <w:i w:val="0"/>
          <w:color w:val="auto"/>
          <w:sz w:val="24"/>
        </w:rPr>
        <w:t>Celkové vyhodnocení</w:t>
      </w:r>
      <w:r w:rsidR="00C27483" w:rsidRPr="00220EE8">
        <w:rPr>
          <w:rStyle w:val="Styl1Char"/>
          <w:b/>
          <w:i w:val="0"/>
          <w:color w:val="auto"/>
          <w:sz w:val="24"/>
        </w:rPr>
        <w:t>:</w:t>
      </w:r>
    </w:p>
    <w:p w14:paraId="41569247" w14:textId="676E5128" w:rsidR="00847C99" w:rsidRPr="00CC6BF5" w:rsidRDefault="00D457AE" w:rsidP="008649E5">
      <w:pPr>
        <w:pStyle w:val="Odstavecseseznamem"/>
        <w:numPr>
          <w:ilvl w:val="1"/>
          <w:numId w:val="25"/>
        </w:numPr>
        <w:ind w:left="0" w:firstLine="0"/>
        <w:contextualSpacing w:val="0"/>
        <w:rPr>
          <w:rFonts w:cstheme="minorHAnsi"/>
          <w:b/>
        </w:rPr>
      </w:pPr>
      <w:r w:rsidRPr="0009277D">
        <w:rPr>
          <w:rFonts w:cstheme="minorHAnsi"/>
          <w:b/>
        </w:rPr>
        <w:t xml:space="preserve">MO </w:t>
      </w:r>
      <w:r w:rsidR="00A37628" w:rsidRPr="00CC6BF5">
        <w:rPr>
          <w:rFonts w:cstheme="minorHAnsi"/>
          <w:b/>
        </w:rPr>
        <w:t xml:space="preserve">při vynakládání peněžních prostředků </w:t>
      </w:r>
      <w:r w:rsidR="00CE4CEB">
        <w:rPr>
          <w:rFonts w:cstheme="minorHAnsi"/>
          <w:b/>
        </w:rPr>
        <w:t xml:space="preserve">státního rozpočtu </w:t>
      </w:r>
      <w:r w:rsidR="000412D8" w:rsidRPr="0009277D">
        <w:rPr>
          <w:rFonts w:cstheme="minorHAnsi"/>
          <w:b/>
        </w:rPr>
        <w:t xml:space="preserve">nezajistilo materiální potřeby </w:t>
      </w:r>
      <w:r w:rsidRPr="0009277D">
        <w:rPr>
          <w:rFonts w:cstheme="minorHAnsi"/>
          <w:b/>
        </w:rPr>
        <w:t>AČR</w:t>
      </w:r>
      <w:r w:rsidR="000412D8" w:rsidRPr="00345425">
        <w:rPr>
          <w:rFonts w:cstheme="minorHAnsi"/>
          <w:b/>
        </w:rPr>
        <w:t xml:space="preserve"> v oblasti radiační, chemické a biologické ochrany</w:t>
      </w:r>
      <w:r w:rsidR="00A37628" w:rsidRPr="00CC6BF5">
        <w:rPr>
          <w:rFonts w:cstheme="minorHAnsi"/>
          <w:b/>
        </w:rPr>
        <w:t xml:space="preserve">. </w:t>
      </w:r>
      <w:r w:rsidR="00847C99" w:rsidRPr="00CC6BF5">
        <w:rPr>
          <w:rFonts w:cstheme="minorHAnsi"/>
          <w:b/>
        </w:rPr>
        <w:t>Důvodem nebyl nedostatek prostředků</w:t>
      </w:r>
      <w:r w:rsidR="000412D8" w:rsidRPr="0009277D">
        <w:rPr>
          <w:rFonts w:cstheme="minorHAnsi"/>
          <w:b/>
        </w:rPr>
        <w:t xml:space="preserve">, </w:t>
      </w:r>
      <w:r w:rsidR="003F7E3C" w:rsidRPr="0009277D">
        <w:rPr>
          <w:rFonts w:cstheme="minorHAnsi"/>
          <w:b/>
        </w:rPr>
        <w:t xml:space="preserve">roční investiční výdaje resortu obrany </w:t>
      </w:r>
      <w:r w:rsidR="00102AA5" w:rsidRPr="00CC6BF5">
        <w:rPr>
          <w:rFonts w:cstheme="minorHAnsi"/>
          <w:b/>
        </w:rPr>
        <w:t xml:space="preserve">se </w:t>
      </w:r>
      <w:r w:rsidR="003F7E3C" w:rsidRPr="0009277D">
        <w:rPr>
          <w:rFonts w:cstheme="minorHAnsi"/>
          <w:b/>
        </w:rPr>
        <w:t>zvýšily v kontrolovaném období o</w:t>
      </w:r>
      <w:r w:rsidR="00CC6BF5">
        <w:rPr>
          <w:rFonts w:cstheme="minorHAnsi"/>
          <w:b/>
        </w:rPr>
        <w:t> </w:t>
      </w:r>
      <w:r w:rsidR="003F7E3C" w:rsidRPr="0009277D">
        <w:rPr>
          <w:rFonts w:cstheme="minorHAnsi"/>
          <w:b/>
        </w:rPr>
        <w:t xml:space="preserve">více než 226 %. </w:t>
      </w:r>
    </w:p>
    <w:p w14:paraId="31367BB8" w14:textId="13C96468" w:rsidR="002D71FD" w:rsidRPr="0009277D" w:rsidRDefault="00847C99" w:rsidP="008649E5">
      <w:pPr>
        <w:pStyle w:val="Odstavecseseznamem"/>
        <w:numPr>
          <w:ilvl w:val="1"/>
          <w:numId w:val="25"/>
        </w:numPr>
        <w:ind w:left="0" w:firstLine="0"/>
        <w:contextualSpacing w:val="0"/>
        <w:rPr>
          <w:rFonts w:cstheme="minorHAnsi"/>
          <w:b/>
        </w:rPr>
      </w:pPr>
      <w:r w:rsidRPr="00CC6BF5">
        <w:rPr>
          <w:rFonts w:cstheme="minorHAnsi"/>
          <w:b/>
        </w:rPr>
        <w:t>V</w:t>
      </w:r>
      <w:r w:rsidR="006017F2">
        <w:rPr>
          <w:rFonts w:cstheme="minorHAnsi"/>
          <w:b/>
        </w:rPr>
        <w:t xml:space="preserve"> </w:t>
      </w:r>
      <w:r w:rsidRPr="00CC6BF5">
        <w:rPr>
          <w:rFonts w:cstheme="minorHAnsi"/>
          <w:b/>
        </w:rPr>
        <w:t xml:space="preserve">oblasti radiační a chemické ochrany </w:t>
      </w:r>
      <w:r w:rsidR="00BC1707" w:rsidRPr="00345425">
        <w:rPr>
          <w:rFonts w:cstheme="minorHAnsi"/>
          <w:b/>
        </w:rPr>
        <w:t>n</w:t>
      </w:r>
      <w:r w:rsidR="003F7E3C" w:rsidRPr="00345425">
        <w:rPr>
          <w:rFonts w:cstheme="minorHAnsi"/>
          <w:b/>
        </w:rPr>
        <w:t xml:space="preserve">euskutečnilo </w:t>
      </w:r>
      <w:r w:rsidRPr="00CC6BF5">
        <w:rPr>
          <w:rFonts w:cstheme="minorHAnsi"/>
          <w:b/>
        </w:rPr>
        <w:t xml:space="preserve">MO </w:t>
      </w:r>
      <w:r w:rsidR="003F7E3C" w:rsidRPr="0009277D">
        <w:rPr>
          <w:rFonts w:cstheme="minorHAnsi"/>
          <w:b/>
        </w:rPr>
        <w:t xml:space="preserve">plánované akce (např. nákup </w:t>
      </w:r>
      <w:r w:rsidR="00BC1707" w:rsidRPr="00345425">
        <w:rPr>
          <w:rFonts w:cstheme="minorHAnsi"/>
          <w:b/>
        </w:rPr>
        <w:t xml:space="preserve">speciálních </w:t>
      </w:r>
      <w:r w:rsidR="003F7E3C" w:rsidRPr="00345425">
        <w:rPr>
          <w:rFonts w:cstheme="minorHAnsi"/>
          <w:b/>
        </w:rPr>
        <w:t>chemických automobilů, dekontaminačních prostředků nebo protichemických oděvů)</w:t>
      </w:r>
      <w:r w:rsidR="00D457AE" w:rsidRPr="0009277D">
        <w:rPr>
          <w:rStyle w:val="Znakapoznpodarou"/>
          <w:rFonts w:cstheme="minorHAnsi"/>
          <w:b/>
        </w:rPr>
        <w:footnoteReference w:id="5"/>
      </w:r>
      <w:r w:rsidR="00CC6BF5">
        <w:rPr>
          <w:rFonts w:cstheme="minorHAnsi"/>
          <w:b/>
        </w:rPr>
        <w:t xml:space="preserve"> </w:t>
      </w:r>
      <w:r w:rsidR="003F7E3C" w:rsidRPr="0009277D">
        <w:rPr>
          <w:rFonts w:cstheme="minorHAnsi"/>
          <w:b/>
        </w:rPr>
        <w:t>a</w:t>
      </w:r>
      <w:r w:rsidR="00CC6BF5">
        <w:rPr>
          <w:rFonts w:cstheme="minorHAnsi"/>
          <w:b/>
        </w:rPr>
        <w:t xml:space="preserve"> </w:t>
      </w:r>
      <w:r w:rsidR="003F7E3C" w:rsidRPr="00345425">
        <w:rPr>
          <w:rFonts w:cstheme="minorHAnsi"/>
          <w:b/>
        </w:rPr>
        <w:t xml:space="preserve">tím nesplnilo cíle </w:t>
      </w:r>
      <w:r w:rsidRPr="00CC6BF5">
        <w:rPr>
          <w:rFonts w:cstheme="minorHAnsi"/>
          <w:b/>
        </w:rPr>
        <w:t xml:space="preserve">dokumentací programů reprodukce majetku </w:t>
      </w:r>
      <w:r w:rsidR="00083DC9" w:rsidRPr="00CC6BF5">
        <w:rPr>
          <w:rFonts w:cstheme="minorHAnsi"/>
          <w:b/>
        </w:rPr>
        <w:t>a</w:t>
      </w:r>
      <w:r w:rsidR="00026683">
        <w:rPr>
          <w:rFonts w:cstheme="minorHAnsi"/>
          <w:b/>
        </w:rPr>
        <w:t>ni</w:t>
      </w:r>
      <w:r w:rsidR="00083DC9" w:rsidRPr="00CC6BF5">
        <w:rPr>
          <w:rFonts w:cstheme="minorHAnsi"/>
          <w:b/>
        </w:rPr>
        <w:t xml:space="preserve"> cíle </w:t>
      </w:r>
      <w:r w:rsidR="003F7E3C" w:rsidRPr="0009277D">
        <w:rPr>
          <w:rFonts w:cstheme="minorHAnsi"/>
          <w:b/>
        </w:rPr>
        <w:t xml:space="preserve">koncepčních dokumentů </w:t>
      </w:r>
      <w:r w:rsidR="003F7E3C" w:rsidRPr="00345425">
        <w:rPr>
          <w:rFonts w:cstheme="minorHAnsi"/>
          <w:b/>
        </w:rPr>
        <w:t xml:space="preserve">resortu obrany. </w:t>
      </w:r>
      <w:r w:rsidR="00DB606E" w:rsidRPr="00345425">
        <w:rPr>
          <w:rFonts w:cstheme="minorHAnsi"/>
          <w:b/>
        </w:rPr>
        <w:t>MO tak n</w:t>
      </w:r>
      <w:r w:rsidR="003F7E3C" w:rsidRPr="00463F06">
        <w:rPr>
          <w:rFonts w:cstheme="minorHAnsi"/>
          <w:b/>
        </w:rPr>
        <w:t>epostupovalo v</w:t>
      </w:r>
      <w:r w:rsidR="00026683">
        <w:rPr>
          <w:rFonts w:cstheme="minorHAnsi"/>
          <w:b/>
        </w:rPr>
        <w:t xml:space="preserve"> </w:t>
      </w:r>
      <w:r w:rsidR="003F7E3C" w:rsidRPr="00463F06">
        <w:rPr>
          <w:rFonts w:cstheme="minorHAnsi"/>
          <w:b/>
        </w:rPr>
        <w:t>souladu s</w:t>
      </w:r>
      <w:r w:rsidR="00083DC9" w:rsidRPr="00CC6BF5">
        <w:rPr>
          <w:rFonts w:cstheme="minorHAnsi"/>
          <w:b/>
        </w:rPr>
        <w:t xml:space="preserve"> ustanovením § 21 zákona </w:t>
      </w:r>
      <w:r w:rsidR="00A80809" w:rsidRPr="00CC6BF5">
        <w:rPr>
          <w:rFonts w:cstheme="minorHAnsi"/>
          <w:b/>
        </w:rPr>
        <w:t xml:space="preserve">České národní rady </w:t>
      </w:r>
      <w:r w:rsidR="003600DB" w:rsidRPr="00CC6BF5">
        <w:rPr>
          <w:rFonts w:cstheme="minorHAnsi"/>
          <w:b/>
        </w:rPr>
        <w:t>č. 2/</w:t>
      </w:r>
      <w:r w:rsidR="00083DC9" w:rsidRPr="00CC6BF5">
        <w:rPr>
          <w:rFonts w:cstheme="minorHAnsi"/>
          <w:b/>
        </w:rPr>
        <w:t>1969 Sb.</w:t>
      </w:r>
      <w:r w:rsidR="00814D06">
        <w:rPr>
          <w:rStyle w:val="Znakapoznpodarou"/>
          <w:rFonts w:cstheme="minorHAnsi"/>
          <w:b/>
        </w:rPr>
        <w:footnoteReference w:id="6"/>
      </w:r>
      <w:r w:rsidR="00083DC9" w:rsidRPr="00CC6BF5">
        <w:rPr>
          <w:rFonts w:cstheme="minorHAnsi"/>
          <w:b/>
        </w:rPr>
        <w:t xml:space="preserve">, když se neřídilo </w:t>
      </w:r>
      <w:r w:rsidR="003F7E3C" w:rsidRPr="0009277D">
        <w:rPr>
          <w:rFonts w:cstheme="minorHAnsi"/>
          <w:b/>
        </w:rPr>
        <w:t>usnesením vlády</w:t>
      </w:r>
      <w:bookmarkStart w:id="7" w:name="_Hlk147992695"/>
      <w:r w:rsidR="00D457AE" w:rsidRPr="0009277D">
        <w:rPr>
          <w:rStyle w:val="Znakapoznpodarou"/>
          <w:rFonts w:cstheme="minorHAnsi"/>
          <w:b/>
        </w:rPr>
        <w:footnoteReference w:id="7"/>
      </w:r>
      <w:bookmarkEnd w:id="7"/>
      <w:r w:rsidR="003F7E3C" w:rsidRPr="0009277D">
        <w:rPr>
          <w:rFonts w:cstheme="minorHAnsi"/>
          <w:b/>
        </w:rPr>
        <w:t xml:space="preserve"> Č</w:t>
      </w:r>
      <w:r w:rsidR="00A30278" w:rsidRPr="0009277D">
        <w:rPr>
          <w:rFonts w:cstheme="minorHAnsi"/>
          <w:b/>
        </w:rPr>
        <w:t>eské republiky</w:t>
      </w:r>
      <w:r w:rsidR="005B7AD3" w:rsidRPr="00345425">
        <w:rPr>
          <w:rFonts w:cstheme="minorHAnsi"/>
          <w:b/>
        </w:rPr>
        <w:t xml:space="preserve"> (dále také „ČR“)</w:t>
      </w:r>
      <w:r w:rsidR="00083DC9" w:rsidRPr="00CC6BF5">
        <w:rPr>
          <w:rFonts w:cstheme="minorHAnsi"/>
          <w:b/>
        </w:rPr>
        <w:t xml:space="preserve">. Z hlediska účelnosti peněžních prostředků </w:t>
      </w:r>
      <w:r w:rsidR="00CE4CEB">
        <w:rPr>
          <w:rFonts w:cstheme="minorHAnsi"/>
          <w:b/>
        </w:rPr>
        <w:t xml:space="preserve">státního </w:t>
      </w:r>
      <w:r w:rsidR="00CE4CEB">
        <w:rPr>
          <w:rFonts w:cstheme="minorHAnsi"/>
          <w:b/>
        </w:rPr>
        <w:lastRenderedPageBreak/>
        <w:t xml:space="preserve">rozpočtu </w:t>
      </w:r>
      <w:r w:rsidR="00083DC9" w:rsidRPr="00CC6BF5">
        <w:rPr>
          <w:rFonts w:cstheme="minorHAnsi"/>
          <w:b/>
        </w:rPr>
        <w:t xml:space="preserve">vynaložených na plánovací a akviziční činnost resortu obrany </w:t>
      </w:r>
      <w:r w:rsidR="003F7E3C" w:rsidRPr="0009277D">
        <w:rPr>
          <w:rFonts w:cstheme="minorHAnsi"/>
          <w:b/>
        </w:rPr>
        <w:t xml:space="preserve">nedosáhlo </w:t>
      </w:r>
      <w:r w:rsidR="00083DC9" w:rsidRPr="00CC6BF5">
        <w:rPr>
          <w:rFonts w:cstheme="minorHAnsi"/>
          <w:b/>
        </w:rPr>
        <w:t xml:space="preserve">MO </w:t>
      </w:r>
      <w:r w:rsidR="003F7E3C" w:rsidRPr="0009277D">
        <w:rPr>
          <w:rFonts w:cstheme="minorHAnsi"/>
          <w:b/>
        </w:rPr>
        <w:t>zamýšlených dopadů nákupů, tj.</w:t>
      </w:r>
      <w:r w:rsidR="00026683">
        <w:rPr>
          <w:rFonts w:cstheme="minorHAnsi"/>
          <w:b/>
        </w:rPr>
        <w:t xml:space="preserve"> </w:t>
      </w:r>
      <w:r w:rsidR="003F7E3C" w:rsidRPr="00345425">
        <w:rPr>
          <w:rFonts w:cstheme="minorHAnsi"/>
          <w:b/>
        </w:rPr>
        <w:t>získání požadovaných schopností AČR</w:t>
      </w:r>
      <w:r w:rsidR="00083DC9" w:rsidRPr="00CC6BF5">
        <w:rPr>
          <w:rFonts w:cstheme="minorHAnsi"/>
          <w:b/>
        </w:rPr>
        <w:t xml:space="preserve"> či splnění </w:t>
      </w:r>
      <w:r w:rsidR="008D114A">
        <w:rPr>
          <w:rFonts w:cstheme="minorHAnsi"/>
          <w:b/>
        </w:rPr>
        <w:t xml:space="preserve">cílů </w:t>
      </w:r>
      <w:r w:rsidR="00083DC9" w:rsidRPr="00CC6BF5">
        <w:rPr>
          <w:rFonts w:cstheme="minorHAnsi"/>
          <w:b/>
        </w:rPr>
        <w:t>výstavby schopností sil NATO</w:t>
      </w:r>
      <w:r w:rsidR="003F7E3C" w:rsidRPr="0009277D">
        <w:rPr>
          <w:rFonts w:cstheme="minorHAnsi"/>
          <w:b/>
        </w:rPr>
        <w:t>.</w:t>
      </w:r>
      <w:r w:rsidR="00083DC9" w:rsidRPr="00CC6BF5">
        <w:rPr>
          <w:rFonts w:cstheme="minorHAnsi"/>
          <w:b/>
        </w:rPr>
        <w:t xml:space="preserve"> V</w:t>
      </w:r>
      <w:r w:rsidR="00026683">
        <w:rPr>
          <w:rFonts w:cstheme="minorHAnsi"/>
          <w:b/>
        </w:rPr>
        <w:t xml:space="preserve"> </w:t>
      </w:r>
      <w:r w:rsidR="00083DC9" w:rsidRPr="00CC6BF5">
        <w:rPr>
          <w:rFonts w:cstheme="minorHAnsi"/>
          <w:b/>
        </w:rPr>
        <w:t xml:space="preserve">rámci kontroly peněžních prostředků </w:t>
      </w:r>
      <w:r w:rsidR="00CE4CEB">
        <w:rPr>
          <w:rFonts w:cstheme="minorHAnsi"/>
          <w:b/>
        </w:rPr>
        <w:t xml:space="preserve">státního rozpočtu </w:t>
      </w:r>
      <w:r w:rsidR="00083DC9" w:rsidRPr="00CC6BF5">
        <w:rPr>
          <w:rFonts w:cstheme="minorHAnsi"/>
          <w:b/>
        </w:rPr>
        <w:t xml:space="preserve">vynaložených na realizaci vybraných akcí </w:t>
      </w:r>
      <w:r w:rsidR="00035F9B">
        <w:rPr>
          <w:rFonts w:cstheme="minorHAnsi"/>
          <w:b/>
        </w:rPr>
        <w:t xml:space="preserve">a projektů </w:t>
      </w:r>
      <w:r w:rsidR="00083DC9" w:rsidRPr="00CC6BF5">
        <w:rPr>
          <w:rFonts w:cstheme="minorHAnsi"/>
          <w:b/>
        </w:rPr>
        <w:t xml:space="preserve">zjistil NKÚ nedostatky </w:t>
      </w:r>
      <w:r w:rsidR="00035F9B">
        <w:rPr>
          <w:rFonts w:cstheme="minorHAnsi"/>
          <w:b/>
        </w:rPr>
        <w:t>zejména</w:t>
      </w:r>
      <w:r w:rsidR="00083DC9" w:rsidRPr="00CC6BF5">
        <w:rPr>
          <w:rFonts w:cstheme="minorHAnsi"/>
          <w:b/>
        </w:rPr>
        <w:t xml:space="preserve"> u akce pořízení lehkých obrněných vozidel.</w:t>
      </w:r>
      <w:r w:rsidR="002F48E9">
        <w:rPr>
          <w:rFonts w:cstheme="minorHAnsi"/>
          <w:b/>
        </w:rPr>
        <w:t xml:space="preserve"> </w:t>
      </w:r>
      <w:r w:rsidR="00083DC9" w:rsidRPr="00CC6BF5">
        <w:rPr>
          <w:rFonts w:cstheme="minorHAnsi"/>
          <w:b/>
        </w:rPr>
        <w:t xml:space="preserve">MO při realizaci </w:t>
      </w:r>
      <w:r w:rsidR="008D114A">
        <w:rPr>
          <w:rFonts w:cstheme="minorHAnsi"/>
          <w:b/>
        </w:rPr>
        <w:t xml:space="preserve">akce </w:t>
      </w:r>
      <w:r w:rsidR="00083DC9" w:rsidRPr="00CC6BF5">
        <w:rPr>
          <w:rFonts w:cstheme="minorHAnsi"/>
          <w:b/>
        </w:rPr>
        <w:t>nepostupovalo v</w:t>
      </w:r>
      <w:r w:rsidR="00026683">
        <w:rPr>
          <w:rFonts w:cstheme="minorHAnsi"/>
          <w:b/>
        </w:rPr>
        <w:t xml:space="preserve"> </w:t>
      </w:r>
      <w:r w:rsidR="00083DC9" w:rsidRPr="00CC6BF5">
        <w:rPr>
          <w:rFonts w:cstheme="minorHAnsi"/>
          <w:b/>
        </w:rPr>
        <w:t>souladu s ustanovením § 39 zákona č. 218/2000 Sb</w:t>
      </w:r>
      <w:r w:rsidR="00A11B0C">
        <w:rPr>
          <w:rFonts w:cstheme="minorHAnsi"/>
          <w:b/>
        </w:rPr>
        <w:t>.</w:t>
      </w:r>
      <w:r w:rsidR="00C25B3A">
        <w:rPr>
          <w:rStyle w:val="Znakapoznpodarou"/>
          <w:rFonts w:cstheme="minorHAnsi"/>
          <w:b/>
        </w:rPr>
        <w:footnoteReference w:id="8"/>
      </w:r>
      <w:r w:rsidR="00A11B0C">
        <w:rPr>
          <w:rFonts w:cstheme="minorHAnsi"/>
          <w:b/>
        </w:rPr>
        <w:t xml:space="preserve"> </w:t>
      </w:r>
      <w:r w:rsidR="00083DC9" w:rsidRPr="00CC6BF5">
        <w:rPr>
          <w:rFonts w:cstheme="minorHAnsi"/>
          <w:b/>
        </w:rPr>
        <w:t>a § 26 zákona č. 320/2001 Sb.</w:t>
      </w:r>
      <w:r w:rsidR="00814D06">
        <w:rPr>
          <w:rStyle w:val="Znakapoznpodarou"/>
          <w:rFonts w:cstheme="minorHAnsi"/>
          <w:b/>
        </w:rPr>
        <w:footnoteReference w:id="9"/>
      </w:r>
      <w:r w:rsidR="003F7E3C" w:rsidRPr="0009277D">
        <w:rPr>
          <w:rFonts w:cstheme="minorHAnsi"/>
          <w:b/>
        </w:rPr>
        <w:t xml:space="preserve"> </w:t>
      </w:r>
    </w:p>
    <w:p w14:paraId="15C5744A" w14:textId="647C0D20" w:rsidR="00AD2EDA" w:rsidRPr="002B058B" w:rsidRDefault="00023C09" w:rsidP="007A3FF5">
      <w:pPr>
        <w:pStyle w:val="Odstavecseseznamem"/>
        <w:numPr>
          <w:ilvl w:val="1"/>
          <w:numId w:val="25"/>
        </w:numPr>
        <w:ind w:left="0" w:firstLine="0"/>
        <w:contextualSpacing w:val="0"/>
        <w:rPr>
          <w:rFonts w:cstheme="minorHAnsi"/>
        </w:rPr>
      </w:pPr>
      <w:r w:rsidRPr="00CC6BF5">
        <w:rPr>
          <w:rFonts w:cstheme="minorHAnsi"/>
          <w:b/>
        </w:rPr>
        <w:t xml:space="preserve">V oblasti biologické ochrany mělo MO </w:t>
      </w:r>
      <w:r w:rsidR="00D457AE" w:rsidRPr="0009277D">
        <w:rPr>
          <w:rFonts w:cstheme="minorHAnsi"/>
          <w:b/>
        </w:rPr>
        <w:t xml:space="preserve">vybudovat </w:t>
      </w:r>
      <w:r w:rsidRPr="00CC6BF5">
        <w:rPr>
          <w:rFonts w:cstheme="minorHAnsi"/>
          <w:b/>
        </w:rPr>
        <w:t xml:space="preserve">CBO Těchonín původně </w:t>
      </w:r>
      <w:r w:rsidR="002B058B" w:rsidRPr="00CC6BF5">
        <w:rPr>
          <w:rFonts w:cstheme="minorHAnsi"/>
          <w:b/>
        </w:rPr>
        <w:t xml:space="preserve">do roku </w:t>
      </w:r>
      <w:r w:rsidR="00D457AE" w:rsidRPr="0009277D">
        <w:rPr>
          <w:rFonts w:cstheme="minorHAnsi"/>
          <w:b/>
        </w:rPr>
        <w:t xml:space="preserve">2005. </w:t>
      </w:r>
      <w:r w:rsidR="00CC6BF5">
        <w:rPr>
          <w:rFonts w:cstheme="minorHAnsi"/>
          <w:b/>
        </w:rPr>
        <w:t xml:space="preserve">Termín </w:t>
      </w:r>
      <w:r w:rsidR="002B058B" w:rsidRPr="00CC6BF5">
        <w:rPr>
          <w:rFonts w:cstheme="minorHAnsi"/>
          <w:b/>
        </w:rPr>
        <w:t>nedodrželo, v letech 2015–2016 se zavázalo k dobudování zařízení nejpozději do konce roku 2022. Ani tento termín MO nesplnilo a nepostupovalo tak v</w:t>
      </w:r>
      <w:r w:rsidR="006017F2">
        <w:rPr>
          <w:rFonts w:cstheme="minorHAnsi"/>
          <w:b/>
        </w:rPr>
        <w:t xml:space="preserve"> </w:t>
      </w:r>
      <w:r w:rsidR="002B058B" w:rsidRPr="00CC6BF5">
        <w:rPr>
          <w:rFonts w:cstheme="minorHAnsi"/>
          <w:b/>
        </w:rPr>
        <w:t>souladu s ustanovením § 21 zákona</w:t>
      </w:r>
      <w:r w:rsidR="00A80809" w:rsidRPr="00CC6BF5">
        <w:rPr>
          <w:rFonts w:cstheme="minorHAnsi"/>
          <w:b/>
        </w:rPr>
        <w:t xml:space="preserve"> České národní rady </w:t>
      </w:r>
      <w:r w:rsidR="002B058B" w:rsidRPr="00CC6BF5">
        <w:rPr>
          <w:rFonts w:cstheme="minorHAnsi"/>
          <w:b/>
        </w:rPr>
        <w:t>č. 2/1969 Sb., když se neřídilo usneseními vlády ČR</w:t>
      </w:r>
      <w:bookmarkStart w:id="8" w:name="_Ref148015605"/>
      <w:r w:rsidR="002B058B" w:rsidRPr="00CC6BF5">
        <w:rPr>
          <w:b/>
          <w:vertAlign w:val="superscript"/>
        </w:rPr>
        <w:footnoteReference w:id="10"/>
      </w:r>
      <w:bookmarkEnd w:id="8"/>
      <w:r w:rsidR="002B058B" w:rsidRPr="00CC6BF5">
        <w:rPr>
          <w:rFonts w:cstheme="minorHAnsi"/>
          <w:b/>
        </w:rPr>
        <w:t>.</w:t>
      </w:r>
      <w:r w:rsidR="004E7D4E">
        <w:rPr>
          <w:rFonts w:cstheme="minorHAnsi"/>
          <w:b/>
        </w:rPr>
        <w:t xml:space="preserve"> </w:t>
      </w:r>
      <w:r w:rsidR="002B058B" w:rsidRPr="00CC6BF5">
        <w:rPr>
          <w:rFonts w:cstheme="minorHAnsi"/>
          <w:b/>
        </w:rPr>
        <w:t>CBO Těchonín dlouhodobě neplní dvě statutární funkce (laboratorní diagnostik</w:t>
      </w:r>
      <w:r w:rsidR="00C50867">
        <w:rPr>
          <w:rFonts w:cstheme="minorHAnsi"/>
          <w:b/>
        </w:rPr>
        <w:t>u</w:t>
      </w:r>
      <w:r w:rsidR="002B058B" w:rsidRPr="00CC6BF5">
        <w:rPr>
          <w:rFonts w:cstheme="minorHAnsi"/>
          <w:b/>
        </w:rPr>
        <w:t xml:space="preserve"> biologických agens</w:t>
      </w:r>
      <w:r w:rsidR="002318F1" w:rsidRPr="00CC6BF5">
        <w:rPr>
          <w:rStyle w:val="Znakapoznpodarou"/>
          <w:rFonts w:cstheme="minorHAnsi"/>
          <w:b/>
        </w:rPr>
        <w:footnoteReference w:id="11"/>
      </w:r>
      <w:r w:rsidR="002B058B" w:rsidRPr="00CC6BF5">
        <w:rPr>
          <w:rFonts w:cstheme="minorHAnsi"/>
          <w:b/>
        </w:rPr>
        <w:t xml:space="preserve"> </w:t>
      </w:r>
      <w:r w:rsidR="000254ED" w:rsidRPr="00CC6BF5">
        <w:rPr>
          <w:rFonts w:cstheme="minorHAnsi"/>
          <w:b/>
        </w:rPr>
        <w:t xml:space="preserve">zneužitelných k bioterorismu nebo k přípravě biologické zbraně </w:t>
      </w:r>
      <w:r w:rsidR="002B058B" w:rsidRPr="00CC6BF5">
        <w:rPr>
          <w:rFonts w:cstheme="minorHAnsi"/>
          <w:b/>
        </w:rPr>
        <w:t>a</w:t>
      </w:r>
      <w:r w:rsidR="00C50867">
        <w:rPr>
          <w:rFonts w:cstheme="minorHAnsi"/>
          <w:b/>
        </w:rPr>
        <w:t xml:space="preserve"> </w:t>
      </w:r>
      <w:r w:rsidR="002B058B" w:rsidRPr="00CC6BF5">
        <w:rPr>
          <w:rFonts w:cstheme="minorHAnsi"/>
          <w:b/>
        </w:rPr>
        <w:t>biologický obranný výzkum)</w:t>
      </w:r>
      <w:r w:rsidR="00C50867">
        <w:rPr>
          <w:rFonts w:cstheme="minorHAnsi"/>
          <w:b/>
        </w:rPr>
        <w:t>,</w:t>
      </w:r>
      <w:r w:rsidR="002B058B" w:rsidRPr="00CC6BF5">
        <w:rPr>
          <w:rFonts w:cstheme="minorHAnsi"/>
          <w:b/>
        </w:rPr>
        <w:t xml:space="preserve"> MO </w:t>
      </w:r>
      <w:r w:rsidR="00C50867">
        <w:rPr>
          <w:rFonts w:cstheme="minorHAnsi"/>
          <w:b/>
        </w:rPr>
        <w:t>tedy</w:t>
      </w:r>
      <w:r w:rsidR="002B058B" w:rsidRPr="00CC6BF5">
        <w:rPr>
          <w:rFonts w:cstheme="minorHAnsi"/>
          <w:b/>
        </w:rPr>
        <w:t xml:space="preserve"> nedosáhlo zamýšleného dopadu výstavby v podobě vytvoření funkčního celku na nejvyšším stupni biologického zabezpečení a</w:t>
      </w:r>
      <w:r w:rsidR="00472865">
        <w:rPr>
          <w:rFonts w:cstheme="minorHAnsi"/>
          <w:b/>
        </w:rPr>
        <w:t> </w:t>
      </w:r>
      <w:r w:rsidR="002B058B" w:rsidRPr="00CC6BF5">
        <w:rPr>
          <w:rFonts w:cstheme="minorHAnsi"/>
          <w:b/>
        </w:rPr>
        <w:t>plného využití</w:t>
      </w:r>
      <w:r w:rsidR="00536ED2">
        <w:rPr>
          <w:rFonts w:cstheme="minorHAnsi"/>
          <w:b/>
        </w:rPr>
        <w:t xml:space="preserve"> tohoto zařízení</w:t>
      </w:r>
      <w:r w:rsidR="002B058B" w:rsidRPr="00CC6BF5">
        <w:rPr>
          <w:rFonts w:cstheme="minorHAnsi"/>
          <w:b/>
        </w:rPr>
        <w:t xml:space="preserve">. NKÚ proto vyhodnotil peněžní prostředky </w:t>
      </w:r>
      <w:r w:rsidR="00CE4CEB">
        <w:rPr>
          <w:rFonts w:cstheme="minorHAnsi"/>
          <w:b/>
        </w:rPr>
        <w:t xml:space="preserve">státního rozpočtu </w:t>
      </w:r>
      <w:r w:rsidR="002B058B" w:rsidRPr="00CC6BF5">
        <w:rPr>
          <w:rFonts w:cstheme="minorHAnsi"/>
          <w:b/>
        </w:rPr>
        <w:t xml:space="preserve">ve výši 3,7 mld. Kč vynaložené do konce roku 2022 na CBO Těchonín za omezeně účelné. </w:t>
      </w:r>
    </w:p>
    <w:p w14:paraId="65A08E81" w14:textId="77777777" w:rsidR="00F86A67" w:rsidRDefault="00F86A67" w:rsidP="00F86A67">
      <w:pPr>
        <w:spacing w:after="0"/>
        <w:jc w:val="left"/>
        <w:rPr>
          <w:rStyle w:val="Styl1Char"/>
          <w:b/>
          <w:i w:val="0"/>
          <w:color w:val="auto"/>
          <w:sz w:val="24"/>
        </w:rPr>
      </w:pPr>
    </w:p>
    <w:p w14:paraId="5B87E4EC" w14:textId="77777777" w:rsidR="00EB505E" w:rsidRPr="009C4C03" w:rsidRDefault="00D457AE" w:rsidP="00472865">
      <w:pPr>
        <w:spacing w:after="0"/>
        <w:jc w:val="left"/>
        <w:rPr>
          <w:rStyle w:val="Styl1Char"/>
          <w:b/>
          <w:i w:val="0"/>
          <w:color w:val="auto"/>
          <w:sz w:val="24"/>
        </w:rPr>
      </w:pPr>
      <w:r w:rsidRPr="009C4C03">
        <w:rPr>
          <w:rStyle w:val="Styl1Char"/>
          <w:b/>
          <w:i w:val="0"/>
          <w:color w:val="auto"/>
          <w:sz w:val="24"/>
        </w:rPr>
        <w:t>Celkové vyhodnocení vyplývá z následujících skutečností zjištěných kontrolou:</w:t>
      </w:r>
    </w:p>
    <w:p w14:paraId="3867A019" w14:textId="6B3C72AA" w:rsidR="00C50867" w:rsidRPr="00C50867" w:rsidRDefault="00722A07" w:rsidP="003E2DEB">
      <w:pPr>
        <w:pStyle w:val="Odstavecseseznamem"/>
        <w:numPr>
          <w:ilvl w:val="0"/>
          <w:numId w:val="27"/>
        </w:numPr>
        <w:spacing w:before="120" w:after="0"/>
        <w:ind w:left="0" w:firstLine="0"/>
        <w:contextualSpacing w:val="0"/>
        <w:rPr>
          <w:rFonts w:cstheme="minorHAnsi"/>
        </w:rPr>
      </w:pPr>
      <w:bookmarkStart w:id="10" w:name="_Hlk148362234"/>
      <w:r w:rsidRPr="00C50867">
        <w:rPr>
          <w:rFonts w:cstheme="minorHAnsi"/>
        </w:rPr>
        <w:t>V</w:t>
      </w:r>
      <w:r w:rsidR="00C50867" w:rsidRPr="00C50867">
        <w:rPr>
          <w:rFonts w:cstheme="minorHAnsi"/>
        </w:rPr>
        <w:t xml:space="preserve"> </w:t>
      </w:r>
      <w:r w:rsidRPr="00C50867">
        <w:rPr>
          <w:rFonts w:cstheme="minorHAnsi"/>
        </w:rPr>
        <w:t>roce 2017 plnilo c</w:t>
      </w:r>
      <w:r w:rsidR="006D6166" w:rsidRPr="00C50867">
        <w:rPr>
          <w:rFonts w:cstheme="minorHAnsi"/>
        </w:rPr>
        <w:t>hemické vojsk</w:t>
      </w:r>
      <w:r w:rsidR="00035F9B" w:rsidRPr="00C50867">
        <w:rPr>
          <w:rFonts w:cstheme="minorHAnsi"/>
        </w:rPr>
        <w:t>o</w:t>
      </w:r>
      <w:r w:rsidR="006D6166" w:rsidRPr="00C50867">
        <w:rPr>
          <w:rFonts w:cstheme="minorHAnsi"/>
        </w:rPr>
        <w:t xml:space="preserve"> </w:t>
      </w:r>
      <w:r w:rsidR="007114A6" w:rsidRPr="00C50867">
        <w:rPr>
          <w:rFonts w:cstheme="minorHAnsi"/>
        </w:rPr>
        <w:t>v</w:t>
      </w:r>
      <w:r w:rsidR="00C50867" w:rsidRPr="00C50867">
        <w:rPr>
          <w:rFonts w:cstheme="minorHAnsi"/>
        </w:rPr>
        <w:t xml:space="preserve"> </w:t>
      </w:r>
      <w:r w:rsidR="007114A6" w:rsidRPr="00C50867">
        <w:rPr>
          <w:rFonts w:cstheme="minorHAnsi"/>
        </w:rPr>
        <w:t xml:space="preserve">důsledku neodpovídajícího materiálního </w:t>
      </w:r>
      <w:r w:rsidR="00C50867" w:rsidRPr="00C50867">
        <w:rPr>
          <w:rFonts w:cstheme="minorHAnsi"/>
        </w:rPr>
        <w:br/>
      </w:r>
      <w:r w:rsidR="005A1F73" w:rsidRPr="00C50867">
        <w:rPr>
          <w:rFonts w:cstheme="minorHAnsi"/>
        </w:rPr>
        <w:t>a</w:t>
      </w:r>
      <w:r w:rsidR="00C50867" w:rsidRPr="00C50867">
        <w:rPr>
          <w:rFonts w:cstheme="minorHAnsi"/>
        </w:rPr>
        <w:t xml:space="preserve"> </w:t>
      </w:r>
      <w:r w:rsidR="005A1F73" w:rsidRPr="00C50867">
        <w:rPr>
          <w:rFonts w:cstheme="minorHAnsi"/>
        </w:rPr>
        <w:t xml:space="preserve">technického </w:t>
      </w:r>
      <w:r w:rsidR="007114A6" w:rsidRPr="00C50867">
        <w:rPr>
          <w:rFonts w:cstheme="minorHAnsi"/>
        </w:rPr>
        <w:t>zabezpečení</w:t>
      </w:r>
      <w:r w:rsidR="00035F9B" w:rsidRPr="00C50867">
        <w:rPr>
          <w:rFonts w:cstheme="minorHAnsi"/>
        </w:rPr>
        <w:t xml:space="preserve"> </w:t>
      </w:r>
      <w:r w:rsidRPr="00C50867">
        <w:rPr>
          <w:rFonts w:cstheme="minorHAnsi"/>
        </w:rPr>
        <w:t xml:space="preserve">své úkoly a schopnosti </w:t>
      </w:r>
      <w:r w:rsidR="00035F9B" w:rsidRPr="00C50867">
        <w:rPr>
          <w:rFonts w:cstheme="minorHAnsi"/>
        </w:rPr>
        <w:t>s</w:t>
      </w:r>
      <w:r w:rsidR="00C50867" w:rsidRPr="00C50867">
        <w:rPr>
          <w:rFonts w:cstheme="minorHAnsi"/>
        </w:rPr>
        <w:t xml:space="preserve"> </w:t>
      </w:r>
      <w:r w:rsidR="005A1F73" w:rsidRPr="00C50867">
        <w:rPr>
          <w:rFonts w:cstheme="minorHAnsi"/>
        </w:rPr>
        <w:t>dílčím omezením</w:t>
      </w:r>
      <w:r w:rsidR="00996946" w:rsidRPr="00C50867">
        <w:rPr>
          <w:rFonts w:cstheme="minorHAnsi"/>
        </w:rPr>
        <w:t>.</w:t>
      </w:r>
      <w:r w:rsidRPr="00C50867">
        <w:rPr>
          <w:rFonts w:cstheme="minorHAnsi"/>
        </w:rPr>
        <w:t xml:space="preserve"> Požadovaných s</w:t>
      </w:r>
      <w:r w:rsidR="005A1F73" w:rsidRPr="00C50867">
        <w:rPr>
          <w:rFonts w:cstheme="minorHAnsi"/>
        </w:rPr>
        <w:t xml:space="preserve">chopností </w:t>
      </w:r>
      <w:r w:rsidR="00035F9B" w:rsidRPr="00C50867">
        <w:rPr>
          <w:rFonts w:cstheme="minorHAnsi"/>
        </w:rPr>
        <w:t xml:space="preserve">nedosahovalo </w:t>
      </w:r>
      <w:r w:rsidR="005A1F73" w:rsidRPr="00C50867">
        <w:rPr>
          <w:rFonts w:cstheme="minorHAnsi"/>
        </w:rPr>
        <w:t>zejména v</w:t>
      </w:r>
      <w:r w:rsidR="00C50867" w:rsidRPr="00C50867">
        <w:rPr>
          <w:rFonts w:cstheme="minorHAnsi"/>
        </w:rPr>
        <w:t xml:space="preserve"> </w:t>
      </w:r>
      <w:r w:rsidR="005A1F73" w:rsidRPr="00C50867">
        <w:rPr>
          <w:rFonts w:cstheme="minorHAnsi"/>
        </w:rPr>
        <w:t>oblasti detekce, identifikace a monitorování a</w:t>
      </w:r>
      <w:r w:rsidR="00472865" w:rsidRPr="00C50867">
        <w:rPr>
          <w:rFonts w:cstheme="minorHAnsi"/>
        </w:rPr>
        <w:t> </w:t>
      </w:r>
      <w:r w:rsidR="005A1F73" w:rsidRPr="00C50867">
        <w:rPr>
          <w:rFonts w:cstheme="minorHAnsi"/>
        </w:rPr>
        <w:t>individuální a kolektivní ochran</w:t>
      </w:r>
      <w:r w:rsidR="00BA33A5" w:rsidRPr="00C50867">
        <w:rPr>
          <w:rFonts w:cstheme="minorHAnsi"/>
        </w:rPr>
        <w:t>y</w:t>
      </w:r>
      <w:r w:rsidR="00996946" w:rsidRPr="00C50867">
        <w:rPr>
          <w:rFonts w:cstheme="minorHAnsi"/>
        </w:rPr>
        <w:t>. V</w:t>
      </w:r>
      <w:r w:rsidR="00C50867" w:rsidRPr="00C50867">
        <w:rPr>
          <w:rFonts w:cstheme="minorHAnsi"/>
        </w:rPr>
        <w:t xml:space="preserve"> </w:t>
      </w:r>
      <w:r w:rsidR="00996946" w:rsidRPr="00C50867">
        <w:rPr>
          <w:rFonts w:cstheme="minorHAnsi"/>
        </w:rPr>
        <w:t>koncepčních dokumentech (</w:t>
      </w:r>
      <w:r w:rsidR="00D95660" w:rsidRPr="00C50867">
        <w:rPr>
          <w:rFonts w:cstheme="minorHAnsi"/>
        </w:rPr>
        <w:t>zejména v</w:t>
      </w:r>
      <w:r w:rsidR="00C50867" w:rsidRPr="00C50867">
        <w:rPr>
          <w:rFonts w:cstheme="minorHAnsi"/>
        </w:rPr>
        <w:t xml:space="preserve"> </w:t>
      </w:r>
      <w:r w:rsidR="00996946" w:rsidRPr="00C50867">
        <w:rPr>
          <w:rFonts w:cstheme="minorHAnsi"/>
        </w:rPr>
        <w:t>KVAČR 2025</w:t>
      </w:r>
      <w:r w:rsidR="005370BC" w:rsidRPr="00C50867">
        <w:rPr>
          <w:rFonts w:cstheme="minorHAnsi"/>
          <w:vertAlign w:val="superscript"/>
        </w:rPr>
        <w:fldChar w:fldCharType="begin"/>
      </w:r>
      <w:r w:rsidR="005370BC" w:rsidRPr="00C50867">
        <w:rPr>
          <w:rFonts w:cstheme="minorHAnsi"/>
          <w:vertAlign w:val="superscript"/>
        </w:rPr>
        <w:instrText xml:space="preserve"> NOTEREF _Hlk147992695 \h  \* MERGEFORMAT </w:instrText>
      </w:r>
      <w:r w:rsidR="005370BC" w:rsidRPr="00C50867">
        <w:rPr>
          <w:rFonts w:cstheme="minorHAnsi"/>
          <w:vertAlign w:val="superscript"/>
        </w:rPr>
      </w:r>
      <w:r w:rsidR="005370BC" w:rsidRPr="00C50867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7</w:t>
      </w:r>
      <w:r w:rsidR="005370BC" w:rsidRPr="00C50867">
        <w:rPr>
          <w:rFonts w:cstheme="minorHAnsi"/>
          <w:vertAlign w:val="superscript"/>
        </w:rPr>
        <w:fldChar w:fldCharType="end"/>
      </w:r>
      <w:r w:rsidR="00996946" w:rsidRPr="00C50867">
        <w:rPr>
          <w:rFonts w:cstheme="minorHAnsi"/>
          <w:vertAlign w:val="superscript"/>
        </w:rPr>
        <w:t xml:space="preserve"> </w:t>
      </w:r>
      <w:r w:rsidR="00996946" w:rsidRPr="00C50867">
        <w:rPr>
          <w:rFonts w:cstheme="minorHAnsi"/>
        </w:rPr>
        <w:t>a</w:t>
      </w:r>
      <w:r w:rsidR="00472865" w:rsidRPr="00C50867">
        <w:rPr>
          <w:rFonts w:cstheme="minorHAnsi"/>
        </w:rPr>
        <w:t> </w:t>
      </w:r>
      <w:proofErr w:type="spellStart"/>
      <w:r w:rsidR="00996946" w:rsidRPr="00C50867">
        <w:rPr>
          <w:rFonts w:cstheme="minorHAnsi"/>
        </w:rPr>
        <w:t>KVPozS</w:t>
      </w:r>
      <w:proofErr w:type="spellEnd"/>
      <w:r w:rsidR="00996946" w:rsidRPr="00C50867">
        <w:rPr>
          <w:rFonts w:cstheme="minorHAnsi"/>
        </w:rPr>
        <w:t xml:space="preserve"> 2017</w:t>
      </w:r>
      <w:bookmarkStart w:id="11" w:name="_Ref148636045"/>
      <w:r w:rsidR="00D1346A">
        <w:rPr>
          <w:rStyle w:val="Znakapoznpodarou"/>
          <w:rFonts w:cstheme="minorHAnsi"/>
        </w:rPr>
        <w:footnoteReference w:id="12"/>
      </w:r>
      <w:bookmarkEnd w:id="11"/>
      <w:r w:rsidR="00996946" w:rsidRPr="00C50867">
        <w:rPr>
          <w:rFonts w:cstheme="minorHAnsi"/>
        </w:rPr>
        <w:t xml:space="preserve">) </w:t>
      </w:r>
      <w:r w:rsidR="00E45404" w:rsidRPr="00C50867">
        <w:rPr>
          <w:rFonts w:cstheme="minorHAnsi"/>
        </w:rPr>
        <w:t xml:space="preserve">proto </w:t>
      </w:r>
      <w:r w:rsidR="00996946" w:rsidRPr="00C50867">
        <w:rPr>
          <w:rFonts w:cstheme="minorHAnsi"/>
        </w:rPr>
        <w:t xml:space="preserve">MO stanovilo cíle, které měly </w:t>
      </w:r>
      <w:r w:rsidR="00FC3A7D" w:rsidRPr="00C50867">
        <w:rPr>
          <w:rFonts w:cstheme="minorHAnsi"/>
        </w:rPr>
        <w:t xml:space="preserve">negativní </w:t>
      </w:r>
      <w:r w:rsidR="00996946" w:rsidRPr="00C50867">
        <w:rPr>
          <w:rFonts w:cstheme="minorHAnsi"/>
        </w:rPr>
        <w:t xml:space="preserve">stav napravit, a to ve dvou </w:t>
      </w:r>
      <w:r w:rsidR="00BA33A5" w:rsidRPr="00C50867">
        <w:rPr>
          <w:rFonts w:cstheme="minorHAnsi"/>
        </w:rPr>
        <w:t xml:space="preserve">etapách </w:t>
      </w:r>
      <w:r w:rsidR="00996946" w:rsidRPr="00C50867">
        <w:rPr>
          <w:rFonts w:cstheme="minorHAnsi"/>
        </w:rPr>
        <w:t>(milnících)</w:t>
      </w:r>
      <w:r w:rsidR="0050754B" w:rsidRPr="00C50867">
        <w:rPr>
          <w:rFonts w:cstheme="minorHAnsi"/>
        </w:rPr>
        <w:t xml:space="preserve"> </w:t>
      </w:r>
      <w:r w:rsidR="00996946" w:rsidRPr="00C50867">
        <w:rPr>
          <w:rFonts w:cstheme="minorHAnsi"/>
        </w:rPr>
        <w:t>k</w:t>
      </w:r>
      <w:r w:rsidR="00C50867" w:rsidRPr="00C50867">
        <w:rPr>
          <w:rFonts w:cstheme="minorHAnsi"/>
        </w:rPr>
        <w:t xml:space="preserve"> </w:t>
      </w:r>
      <w:r w:rsidR="00996946" w:rsidRPr="00C50867">
        <w:rPr>
          <w:rFonts w:cstheme="minorHAnsi"/>
        </w:rPr>
        <w:t>roku 2020</w:t>
      </w:r>
      <w:r w:rsidR="00F171AD" w:rsidRPr="00C50867">
        <w:rPr>
          <w:rFonts w:cstheme="minorHAnsi"/>
        </w:rPr>
        <w:t>, resp.</w:t>
      </w:r>
      <w:r w:rsidR="0050754B" w:rsidRPr="00C50867">
        <w:rPr>
          <w:rFonts w:cstheme="minorHAnsi"/>
        </w:rPr>
        <w:t xml:space="preserve"> </w:t>
      </w:r>
      <w:r w:rsidR="00996946" w:rsidRPr="00C50867">
        <w:rPr>
          <w:rFonts w:cstheme="minorHAnsi"/>
        </w:rPr>
        <w:t xml:space="preserve">2025. </w:t>
      </w:r>
      <w:r w:rsidR="00A11B0C" w:rsidRPr="00C50867">
        <w:rPr>
          <w:rFonts w:cstheme="minorHAnsi"/>
        </w:rPr>
        <w:t xml:space="preserve">Cílů </w:t>
      </w:r>
      <w:r w:rsidR="00DE17CB" w:rsidRPr="00C50867">
        <w:rPr>
          <w:rFonts w:cstheme="minorHAnsi"/>
        </w:rPr>
        <w:t xml:space="preserve">plánovalo MO dosáhnout </w:t>
      </w:r>
      <w:r w:rsidR="00FC3A7D" w:rsidRPr="00C50867">
        <w:rPr>
          <w:rFonts w:cstheme="minorHAnsi"/>
        </w:rPr>
        <w:t xml:space="preserve">zejména </w:t>
      </w:r>
      <w:r w:rsidR="00DE17CB" w:rsidRPr="00C50867">
        <w:rPr>
          <w:rFonts w:cstheme="minorHAnsi"/>
        </w:rPr>
        <w:t xml:space="preserve">prostřednictvím </w:t>
      </w:r>
      <w:r w:rsidR="00FC3A7D" w:rsidRPr="00C50867">
        <w:rPr>
          <w:rFonts w:cstheme="minorHAnsi"/>
        </w:rPr>
        <w:t xml:space="preserve">vynakládání peněžních prostředků </w:t>
      </w:r>
      <w:r w:rsidR="00F171AD" w:rsidRPr="00C50867">
        <w:rPr>
          <w:rFonts w:cstheme="minorHAnsi"/>
        </w:rPr>
        <w:t xml:space="preserve">státního rozpočtu </w:t>
      </w:r>
      <w:r w:rsidR="00FC3A7D" w:rsidRPr="00C50867">
        <w:rPr>
          <w:rFonts w:cstheme="minorHAnsi"/>
        </w:rPr>
        <w:t xml:space="preserve">na </w:t>
      </w:r>
      <w:r w:rsidR="00F86A67" w:rsidRPr="00C50867">
        <w:rPr>
          <w:rFonts w:cstheme="minorHAnsi"/>
        </w:rPr>
        <w:t>přípravu</w:t>
      </w:r>
      <w:r w:rsidR="00B22E23" w:rsidRPr="00C50867">
        <w:rPr>
          <w:rFonts w:cstheme="minorHAnsi"/>
        </w:rPr>
        <w:t xml:space="preserve"> (plánovací a akviziční činnost MO)</w:t>
      </w:r>
      <w:r w:rsidR="00F86A67" w:rsidRPr="00C50867">
        <w:rPr>
          <w:rFonts w:cstheme="minorHAnsi"/>
        </w:rPr>
        <w:t xml:space="preserve"> a </w:t>
      </w:r>
      <w:r w:rsidR="00DE17CB" w:rsidRPr="00C50867">
        <w:rPr>
          <w:rFonts w:cstheme="minorHAnsi"/>
        </w:rPr>
        <w:t>realizac</w:t>
      </w:r>
      <w:r w:rsidR="00F86A67" w:rsidRPr="00C50867">
        <w:rPr>
          <w:rFonts w:cstheme="minorHAnsi"/>
        </w:rPr>
        <w:t>i</w:t>
      </w:r>
      <w:r w:rsidR="00DE17CB" w:rsidRPr="00C50867">
        <w:rPr>
          <w:rFonts w:cstheme="minorHAnsi"/>
        </w:rPr>
        <w:t xml:space="preserve"> akcí v programu 107V08. </w:t>
      </w:r>
      <w:r w:rsidR="00FC3A7D" w:rsidRPr="00C50867">
        <w:rPr>
          <w:rFonts w:cstheme="minorHAnsi"/>
        </w:rPr>
        <w:t>NKÚ zjistil, že z</w:t>
      </w:r>
      <w:r w:rsidR="00DE17CB" w:rsidRPr="00C50867">
        <w:rPr>
          <w:rFonts w:cstheme="minorHAnsi"/>
        </w:rPr>
        <w:t> celkových 12 akcí v předpokládané výši 6 769 mil. Kč</w:t>
      </w:r>
      <w:r w:rsidR="00D1346A" w:rsidRPr="00C50867">
        <w:rPr>
          <w:rFonts w:cstheme="minorHAnsi"/>
        </w:rPr>
        <w:t xml:space="preserve"> </w:t>
      </w:r>
      <w:r w:rsidR="00CD3225" w:rsidRPr="00C50867">
        <w:rPr>
          <w:rFonts w:cstheme="minorHAnsi"/>
        </w:rPr>
        <w:t xml:space="preserve">realizovalo MO </w:t>
      </w:r>
      <w:r w:rsidR="00D1346A" w:rsidRPr="00C50867">
        <w:rPr>
          <w:rFonts w:cstheme="minorHAnsi"/>
        </w:rPr>
        <w:t xml:space="preserve">do doby ukončení kontroly NKÚ </w:t>
      </w:r>
      <w:r w:rsidR="00DE17CB" w:rsidRPr="00C50867">
        <w:rPr>
          <w:rFonts w:cstheme="minorHAnsi"/>
        </w:rPr>
        <w:t>pouze tři, z toho jednu částečně (viz tabulka č. 1).</w:t>
      </w:r>
      <w:r w:rsidR="00D95660" w:rsidRPr="00C50867">
        <w:rPr>
          <w:rFonts w:cstheme="minorHAnsi"/>
        </w:rPr>
        <w:t xml:space="preserve"> </w:t>
      </w:r>
      <w:r w:rsidR="00DC55BF" w:rsidRPr="00E85F38">
        <w:t xml:space="preserve">MO </w:t>
      </w:r>
      <w:r>
        <w:t xml:space="preserve">tak </w:t>
      </w:r>
      <w:r w:rsidR="00DC55BF" w:rsidRPr="00E85F38">
        <w:t>nepostupovalo v</w:t>
      </w:r>
      <w:r w:rsidR="00C50867">
        <w:t xml:space="preserve"> </w:t>
      </w:r>
      <w:r w:rsidR="00DC55BF" w:rsidRPr="00E85F38">
        <w:t xml:space="preserve">souladu </w:t>
      </w:r>
      <w:r w:rsidR="00DC55BF">
        <w:t>s</w:t>
      </w:r>
      <w:r w:rsidR="00C50867">
        <w:t xml:space="preserve"> </w:t>
      </w:r>
      <w:r w:rsidR="00DC55BF">
        <w:t xml:space="preserve">ustanovením </w:t>
      </w:r>
      <w:r w:rsidR="006017F2">
        <w:br/>
      </w:r>
      <w:r w:rsidR="00DC55BF">
        <w:t>§</w:t>
      </w:r>
      <w:r w:rsidR="006017F2">
        <w:t xml:space="preserve"> </w:t>
      </w:r>
      <w:r w:rsidR="00DC55BF">
        <w:t>21</w:t>
      </w:r>
      <w:r w:rsidR="006017F2">
        <w:t xml:space="preserve"> </w:t>
      </w:r>
      <w:r w:rsidR="00DC55BF">
        <w:t>zákona České národní rady č. 2/1969 Sb., když se neřídilo usnesením vlády ČR</w:t>
      </w:r>
      <w:r w:rsidR="005370BC" w:rsidRPr="00C50867">
        <w:rPr>
          <w:vertAlign w:val="superscript"/>
        </w:rPr>
        <w:fldChar w:fldCharType="begin"/>
      </w:r>
      <w:r w:rsidR="005370BC" w:rsidRPr="00C50867">
        <w:rPr>
          <w:vertAlign w:val="superscript"/>
        </w:rPr>
        <w:instrText xml:space="preserve"> NOTEREF _Hlk147992695 \h  \* MERGEFORMAT </w:instrText>
      </w:r>
      <w:r w:rsidR="005370BC" w:rsidRPr="00C50867">
        <w:rPr>
          <w:vertAlign w:val="superscript"/>
        </w:rPr>
      </w:r>
      <w:r w:rsidR="005370BC" w:rsidRPr="00C50867">
        <w:rPr>
          <w:vertAlign w:val="superscript"/>
        </w:rPr>
        <w:fldChar w:fldCharType="separate"/>
      </w:r>
      <w:r w:rsidR="00A10EC7">
        <w:rPr>
          <w:vertAlign w:val="superscript"/>
        </w:rPr>
        <w:t>7</w:t>
      </w:r>
      <w:r w:rsidR="005370BC" w:rsidRPr="00C50867">
        <w:rPr>
          <w:vertAlign w:val="superscript"/>
        </w:rPr>
        <w:fldChar w:fldCharType="end"/>
      </w:r>
      <w:r w:rsidR="00DC55BF">
        <w:t xml:space="preserve">, </w:t>
      </w:r>
      <w:r w:rsidR="00F108C3">
        <w:t>neboť nezajistilo postupné dosahování schopností,</w:t>
      </w:r>
      <w:r w:rsidR="00FC3A7D">
        <w:t xml:space="preserve"> </w:t>
      </w:r>
      <w:r w:rsidR="00F108C3">
        <w:t xml:space="preserve">které </w:t>
      </w:r>
      <w:r w:rsidR="00FC3A7D">
        <w:t>byly</w:t>
      </w:r>
      <w:r w:rsidR="00F108C3">
        <w:t xml:space="preserve"> požadovány ke splnění všech úkolů a závazků </w:t>
      </w:r>
      <w:r w:rsidR="00536ED2">
        <w:t xml:space="preserve">chemického vojska, resp. </w:t>
      </w:r>
      <w:r w:rsidR="00FC3A7D">
        <w:t>AČR</w:t>
      </w:r>
      <w:r w:rsidR="00F108C3">
        <w:t xml:space="preserve"> v souladu s </w:t>
      </w:r>
      <w:r w:rsidR="00F108C3" w:rsidRPr="00C50867">
        <w:rPr>
          <w:rFonts w:cstheme="minorHAnsi"/>
        </w:rPr>
        <w:t>KVAČR 2025.</w:t>
      </w:r>
      <w:r w:rsidR="00FC3A7D" w:rsidRPr="00C50867">
        <w:rPr>
          <w:rFonts w:cstheme="minorHAnsi"/>
        </w:rPr>
        <w:t xml:space="preserve"> </w:t>
      </w:r>
      <w:r w:rsidR="00C50867" w:rsidRPr="00C50867">
        <w:rPr>
          <w:rFonts w:cstheme="minorHAnsi"/>
        </w:rPr>
        <w:br w:type="page"/>
      </w:r>
    </w:p>
    <w:p w14:paraId="75123771" w14:textId="59B6747A" w:rsidR="00A11B0C" w:rsidRDefault="006B3C36" w:rsidP="00250A5F">
      <w:pPr>
        <w:pStyle w:val="Odstavecseseznamem"/>
        <w:numPr>
          <w:ilvl w:val="0"/>
          <w:numId w:val="27"/>
        </w:numPr>
        <w:spacing w:before="120"/>
        <w:ind w:left="0" w:firstLine="0"/>
        <w:contextualSpacing w:val="0"/>
        <w:rPr>
          <w:rFonts w:cstheme="minorHAnsi"/>
        </w:rPr>
      </w:pPr>
      <w:r w:rsidRPr="00A11B0C">
        <w:rPr>
          <w:rFonts w:cstheme="minorHAnsi"/>
        </w:rPr>
        <w:lastRenderedPageBreak/>
        <w:t xml:space="preserve">Dopadem nerealizování akcí v plánovaných termínech a rozsahu je omezené, </w:t>
      </w:r>
      <w:r w:rsidR="00C50867">
        <w:rPr>
          <w:rFonts w:cstheme="minorHAnsi"/>
        </w:rPr>
        <w:br/>
      </w:r>
      <w:r w:rsidRPr="00A11B0C">
        <w:rPr>
          <w:rFonts w:cstheme="minorHAnsi"/>
        </w:rPr>
        <w:t xml:space="preserve">resp. částečné plnění některých cílů výstavby schopností sil NATO. </w:t>
      </w:r>
      <w:r w:rsidR="00F171AD" w:rsidRPr="00A11B0C">
        <w:rPr>
          <w:rFonts w:cstheme="minorHAnsi"/>
        </w:rPr>
        <w:t xml:space="preserve">MO </w:t>
      </w:r>
      <w:r w:rsidR="001D6163" w:rsidRPr="00A11B0C">
        <w:rPr>
          <w:rFonts w:cstheme="minorHAnsi"/>
        </w:rPr>
        <w:t>n</w:t>
      </w:r>
      <w:r w:rsidRPr="00A11B0C">
        <w:rPr>
          <w:rFonts w:cstheme="minorHAnsi"/>
        </w:rPr>
        <w:t xml:space="preserve">apříklad </w:t>
      </w:r>
      <w:r w:rsidR="001D6163" w:rsidRPr="00A11B0C">
        <w:rPr>
          <w:rFonts w:cstheme="minorHAnsi"/>
        </w:rPr>
        <w:t xml:space="preserve">po sedmi letech od zahájení pořizování </w:t>
      </w:r>
      <w:r w:rsidRPr="00A11B0C">
        <w:rPr>
          <w:rFonts w:cstheme="minorHAnsi"/>
        </w:rPr>
        <w:t>materiál</w:t>
      </w:r>
      <w:r w:rsidR="001D6163" w:rsidRPr="00A11B0C">
        <w:rPr>
          <w:rFonts w:cstheme="minorHAnsi"/>
        </w:rPr>
        <w:t>u</w:t>
      </w:r>
      <w:r w:rsidRPr="00A11B0C">
        <w:rPr>
          <w:rFonts w:cstheme="minorHAnsi"/>
        </w:rPr>
        <w:t xml:space="preserve"> k</w:t>
      </w:r>
      <w:r w:rsidR="00C50867">
        <w:rPr>
          <w:rFonts w:cstheme="minorHAnsi"/>
        </w:rPr>
        <w:t xml:space="preserve"> </w:t>
      </w:r>
      <w:r w:rsidRPr="00A11B0C">
        <w:rPr>
          <w:rFonts w:cstheme="minorHAnsi"/>
        </w:rPr>
        <w:t>dosažení cíle E6201N</w:t>
      </w:r>
      <w:r w:rsidRPr="00B22E23">
        <w:rPr>
          <w:rFonts w:cstheme="minorHAnsi"/>
          <w:vertAlign w:val="superscript"/>
        </w:rPr>
        <w:footnoteReference w:id="13"/>
      </w:r>
      <w:r w:rsidRPr="00A11B0C">
        <w:rPr>
          <w:rFonts w:cstheme="minorHAnsi"/>
        </w:rPr>
        <w:t xml:space="preserve"> </w:t>
      </w:r>
      <w:r w:rsidR="00F171AD" w:rsidRPr="00A11B0C">
        <w:rPr>
          <w:rFonts w:cstheme="minorHAnsi"/>
        </w:rPr>
        <w:t xml:space="preserve">nenakoupilo </w:t>
      </w:r>
      <w:r w:rsidR="00A11B0C" w:rsidRPr="00A11B0C">
        <w:rPr>
          <w:rFonts w:cstheme="minorHAnsi"/>
        </w:rPr>
        <w:t>ani polovinu</w:t>
      </w:r>
      <w:r w:rsidR="001D6163" w:rsidRPr="00A11B0C">
        <w:rPr>
          <w:rFonts w:cstheme="minorHAnsi"/>
        </w:rPr>
        <w:t xml:space="preserve"> </w:t>
      </w:r>
      <w:r w:rsidR="006017F2">
        <w:rPr>
          <w:rFonts w:cstheme="minorHAnsi"/>
        </w:rPr>
        <w:br/>
      </w:r>
      <w:r w:rsidR="001D6163" w:rsidRPr="00A11B0C">
        <w:rPr>
          <w:rFonts w:cstheme="minorHAnsi"/>
        </w:rPr>
        <w:t>z</w:t>
      </w:r>
      <w:r w:rsidR="006017F2">
        <w:rPr>
          <w:rFonts w:cstheme="minorHAnsi"/>
        </w:rPr>
        <w:t xml:space="preserve"> </w:t>
      </w:r>
      <w:r w:rsidR="00536ED2" w:rsidRPr="00A11B0C">
        <w:rPr>
          <w:rFonts w:cstheme="minorHAnsi"/>
        </w:rPr>
        <w:t>požadovaného</w:t>
      </w:r>
      <w:r w:rsidRPr="00A11B0C">
        <w:rPr>
          <w:rFonts w:cstheme="minorHAnsi"/>
        </w:rPr>
        <w:t xml:space="preserve"> počtu kusů. </w:t>
      </w:r>
      <w:r w:rsidR="001D6163" w:rsidRPr="00A11B0C">
        <w:rPr>
          <w:rFonts w:cstheme="minorHAnsi"/>
        </w:rPr>
        <w:t>V</w:t>
      </w:r>
      <w:r w:rsidR="00C50867">
        <w:rPr>
          <w:rFonts w:cstheme="minorHAnsi"/>
        </w:rPr>
        <w:t xml:space="preserve"> </w:t>
      </w:r>
      <w:r w:rsidR="001D6163" w:rsidRPr="00A11B0C">
        <w:rPr>
          <w:rFonts w:cstheme="minorHAnsi"/>
        </w:rPr>
        <w:t>důsledku o</w:t>
      </w:r>
      <w:r w:rsidRPr="00A11B0C">
        <w:rPr>
          <w:rFonts w:cstheme="minorHAnsi"/>
        </w:rPr>
        <w:t xml:space="preserve">dložení plánovaného nákupu automobilů chemických rozstřikovacích (ACHR-90), zařízení pro dekontaminaci bojové techniky </w:t>
      </w:r>
      <w:r w:rsidR="00C50867">
        <w:rPr>
          <w:rFonts w:cstheme="minorHAnsi"/>
        </w:rPr>
        <w:br/>
      </w:r>
      <w:r w:rsidRPr="00A11B0C">
        <w:rPr>
          <w:rFonts w:cstheme="minorHAnsi"/>
        </w:rPr>
        <w:t>(LINKA-08), vozidel pro SIBCRA</w:t>
      </w:r>
      <w:r w:rsidR="007E11F3">
        <w:rPr>
          <w:rStyle w:val="Znakapoznpodarou"/>
          <w:rFonts w:cstheme="minorHAnsi"/>
        </w:rPr>
        <w:footnoteReference w:id="14"/>
      </w:r>
      <w:r w:rsidRPr="00A11B0C">
        <w:rPr>
          <w:rFonts w:cstheme="minorHAnsi"/>
        </w:rPr>
        <w:t xml:space="preserve"> týmy</w:t>
      </w:r>
      <w:r w:rsidR="00200FCA" w:rsidRPr="00A11B0C">
        <w:rPr>
          <w:rFonts w:cstheme="minorHAnsi"/>
        </w:rPr>
        <w:t xml:space="preserve"> nebo </w:t>
      </w:r>
      <w:r w:rsidRPr="00A11B0C">
        <w:rPr>
          <w:rFonts w:cstheme="minorHAnsi"/>
        </w:rPr>
        <w:t xml:space="preserve">provětrávaných protichemických izolačních oděvů nedošlo k obměně technického vybavení </w:t>
      </w:r>
      <w:r w:rsidR="00F171AD" w:rsidRPr="00A11B0C">
        <w:rPr>
          <w:rFonts w:cstheme="minorHAnsi"/>
        </w:rPr>
        <w:t>a</w:t>
      </w:r>
      <w:r w:rsidRPr="00A11B0C">
        <w:rPr>
          <w:rFonts w:cstheme="minorHAnsi"/>
        </w:rPr>
        <w:t xml:space="preserve"> vybavení prostředky individuální ochrany</w:t>
      </w:r>
      <w:r w:rsidR="008D114A" w:rsidRPr="00A11B0C">
        <w:rPr>
          <w:rFonts w:cstheme="minorHAnsi"/>
        </w:rPr>
        <w:t xml:space="preserve"> chemického vojska</w:t>
      </w:r>
      <w:r w:rsidRPr="00A11B0C">
        <w:rPr>
          <w:rFonts w:cstheme="minorHAnsi"/>
        </w:rPr>
        <w:t xml:space="preserve">. </w:t>
      </w:r>
      <w:r w:rsidR="00200FCA" w:rsidRPr="00A11B0C">
        <w:rPr>
          <w:rFonts w:cstheme="minorHAnsi"/>
        </w:rPr>
        <w:t xml:space="preserve">To způsobuje, že MO vyčleňuje častěji pro integrovaný záchranný systém </w:t>
      </w:r>
      <w:r w:rsidR="00BC0980" w:rsidRPr="00A11B0C">
        <w:rPr>
          <w:rFonts w:cstheme="minorHAnsi"/>
        </w:rPr>
        <w:t xml:space="preserve">(dále jen „IZS“) </w:t>
      </w:r>
      <w:r w:rsidR="00200FCA" w:rsidRPr="00A11B0C">
        <w:rPr>
          <w:rFonts w:cstheme="minorHAnsi"/>
        </w:rPr>
        <w:t xml:space="preserve">část techniky a materiálu AČR po </w:t>
      </w:r>
      <w:r w:rsidR="00DF7550">
        <w:rPr>
          <w:rFonts w:cstheme="minorHAnsi"/>
        </w:rPr>
        <w:t>skončení</w:t>
      </w:r>
      <w:r w:rsidR="00200FCA" w:rsidRPr="00A11B0C">
        <w:rPr>
          <w:rFonts w:cstheme="minorHAnsi"/>
        </w:rPr>
        <w:t xml:space="preserve"> jejich životnosti</w:t>
      </w:r>
      <w:r w:rsidR="00A11B0C">
        <w:rPr>
          <w:rFonts w:cstheme="minorHAnsi"/>
        </w:rPr>
        <w:t xml:space="preserve"> s</w:t>
      </w:r>
      <w:r w:rsidR="006017F2">
        <w:rPr>
          <w:rFonts w:cstheme="minorHAnsi"/>
        </w:rPr>
        <w:t xml:space="preserve"> </w:t>
      </w:r>
      <w:r w:rsidR="00A11B0C">
        <w:rPr>
          <w:rFonts w:cstheme="minorHAnsi"/>
        </w:rPr>
        <w:t xml:space="preserve">dopadem omezeného využití při plnění úkolů. </w:t>
      </w:r>
    </w:p>
    <w:bookmarkEnd w:id="10"/>
    <w:p w14:paraId="10D1D937" w14:textId="62D4DE4E" w:rsidR="00463A49" w:rsidRPr="00663F67" w:rsidRDefault="00D457AE" w:rsidP="00663F67">
      <w:pPr>
        <w:pStyle w:val="Odstavecseseznamem"/>
        <w:numPr>
          <w:ilvl w:val="0"/>
          <w:numId w:val="27"/>
        </w:numPr>
        <w:spacing w:before="120"/>
        <w:ind w:left="0" w:firstLine="0"/>
        <w:contextualSpacing w:val="0"/>
        <w:rPr>
          <w:rFonts w:cstheme="minorHAnsi"/>
        </w:rPr>
      </w:pPr>
      <w:r w:rsidRPr="00906987">
        <w:rPr>
          <w:rFonts w:cstheme="minorHAnsi"/>
        </w:rPr>
        <w:t xml:space="preserve">MO </w:t>
      </w:r>
      <w:r w:rsidR="00200FCA" w:rsidRPr="00B91949">
        <w:rPr>
          <w:rFonts w:cstheme="minorHAnsi"/>
        </w:rPr>
        <w:t>původně</w:t>
      </w:r>
      <w:r w:rsidR="00200FCA" w:rsidRPr="00B22E23" w:rsidDel="00FD62C8">
        <w:rPr>
          <w:rFonts w:cstheme="minorHAnsi"/>
        </w:rPr>
        <w:t xml:space="preserve"> </w:t>
      </w:r>
      <w:r w:rsidR="0069174B" w:rsidRPr="00B22E23">
        <w:rPr>
          <w:rFonts w:cstheme="minorHAnsi"/>
        </w:rPr>
        <w:t xml:space="preserve">v roce 2015 </w:t>
      </w:r>
      <w:r w:rsidR="00925480" w:rsidRPr="00B22E23">
        <w:rPr>
          <w:rFonts w:cstheme="minorHAnsi"/>
        </w:rPr>
        <w:t xml:space="preserve">plánovalo </w:t>
      </w:r>
      <w:r w:rsidR="00FD62C8">
        <w:rPr>
          <w:rFonts w:cstheme="minorHAnsi"/>
        </w:rPr>
        <w:t>na základě prototypu</w:t>
      </w:r>
      <w:r w:rsidR="00FD62C8" w:rsidRPr="00B91949">
        <w:rPr>
          <w:rFonts w:cstheme="minorHAnsi"/>
          <w:vertAlign w:val="superscript"/>
        </w:rPr>
        <w:footnoteReference w:id="15"/>
      </w:r>
      <w:r w:rsidR="00FD62C8">
        <w:rPr>
          <w:rFonts w:cstheme="minorHAnsi"/>
        </w:rPr>
        <w:t xml:space="preserve"> </w:t>
      </w:r>
      <w:r w:rsidR="00925480" w:rsidRPr="00B22E23">
        <w:rPr>
          <w:rFonts w:cstheme="minorHAnsi"/>
        </w:rPr>
        <w:t xml:space="preserve">pořízení </w:t>
      </w:r>
      <w:r w:rsidR="00FD62C8">
        <w:rPr>
          <w:rFonts w:cstheme="minorHAnsi"/>
        </w:rPr>
        <w:t xml:space="preserve">14 </w:t>
      </w:r>
      <w:r w:rsidR="00925480" w:rsidRPr="00B22E23">
        <w:rPr>
          <w:rFonts w:cstheme="minorHAnsi"/>
        </w:rPr>
        <w:t>lehkých obrněných vozidel</w:t>
      </w:r>
      <w:r w:rsidR="007E0DE6" w:rsidRPr="00B22E23">
        <w:rPr>
          <w:rFonts w:cstheme="minorHAnsi"/>
        </w:rPr>
        <w:t xml:space="preserve"> </w:t>
      </w:r>
      <w:r w:rsidR="00925480" w:rsidRPr="00536ED2">
        <w:rPr>
          <w:rFonts w:cstheme="minorHAnsi"/>
        </w:rPr>
        <w:t>v letech 2017–2020</w:t>
      </w:r>
      <w:r w:rsidR="00A16BA8" w:rsidRPr="005513A4">
        <w:rPr>
          <w:rFonts w:cstheme="minorHAnsi"/>
        </w:rPr>
        <w:t xml:space="preserve"> </w:t>
      </w:r>
      <w:r w:rsidR="0069174B" w:rsidRPr="005513A4">
        <w:rPr>
          <w:rFonts w:cstheme="minorHAnsi"/>
        </w:rPr>
        <w:t xml:space="preserve">v rámci </w:t>
      </w:r>
      <w:r w:rsidR="00A16BA8" w:rsidRPr="005513A4">
        <w:rPr>
          <w:rFonts w:cstheme="minorHAnsi"/>
        </w:rPr>
        <w:t>programu 107V68</w:t>
      </w:r>
      <w:r w:rsidRPr="002F2E44">
        <w:rPr>
          <w:rFonts w:cstheme="minorHAnsi"/>
          <w:vertAlign w:val="superscript"/>
        </w:rPr>
        <w:footnoteReference w:id="16"/>
      </w:r>
      <w:r w:rsidR="00FD62C8">
        <w:rPr>
          <w:rFonts w:cstheme="minorHAnsi"/>
        </w:rPr>
        <w:t xml:space="preserve">. </w:t>
      </w:r>
      <w:r w:rsidR="0060761F" w:rsidRPr="00B22E23">
        <w:rPr>
          <w:rFonts w:cstheme="minorHAnsi"/>
        </w:rPr>
        <w:t>V</w:t>
      </w:r>
      <w:r w:rsidR="00A16BA8" w:rsidRPr="00536ED2">
        <w:rPr>
          <w:rFonts w:cstheme="minorHAnsi"/>
        </w:rPr>
        <w:t xml:space="preserve"> roce 2016 </w:t>
      </w:r>
      <w:r w:rsidR="0060761F" w:rsidRPr="00536ED2">
        <w:rPr>
          <w:rFonts w:cstheme="minorHAnsi"/>
        </w:rPr>
        <w:t xml:space="preserve">zásadně změnilo požadavky </w:t>
      </w:r>
      <w:r w:rsidR="00EB47A2" w:rsidRPr="005513A4">
        <w:rPr>
          <w:rFonts w:cstheme="minorHAnsi"/>
        </w:rPr>
        <w:t>na schopnosti vozidel</w:t>
      </w:r>
      <w:r w:rsidR="0060761F" w:rsidRPr="005715E6">
        <w:rPr>
          <w:rFonts w:cstheme="minorHAnsi"/>
        </w:rPr>
        <w:t xml:space="preserve"> a </w:t>
      </w:r>
      <w:r w:rsidR="00496ADB" w:rsidRPr="00906987">
        <w:rPr>
          <w:rFonts w:cstheme="minorHAnsi"/>
        </w:rPr>
        <w:t>rozhodlo o jejich provedení v párové konfiguraci.</w:t>
      </w:r>
      <w:r w:rsidR="00070208">
        <w:rPr>
          <w:rFonts w:cstheme="minorHAnsi"/>
        </w:rPr>
        <w:t xml:space="preserve"> </w:t>
      </w:r>
      <w:r w:rsidR="007E0DE6" w:rsidRPr="00B22E23">
        <w:rPr>
          <w:rFonts w:cstheme="minorHAnsi"/>
        </w:rPr>
        <w:t xml:space="preserve">MO </w:t>
      </w:r>
      <w:r w:rsidR="0060761F" w:rsidRPr="00B22E23">
        <w:rPr>
          <w:rFonts w:cstheme="minorHAnsi"/>
        </w:rPr>
        <w:t xml:space="preserve">současně </w:t>
      </w:r>
      <w:r w:rsidR="00925480" w:rsidRPr="00536ED2">
        <w:rPr>
          <w:rFonts w:cstheme="minorHAnsi"/>
        </w:rPr>
        <w:t xml:space="preserve">navýšilo počet </w:t>
      </w:r>
      <w:r w:rsidR="00720CF8" w:rsidRPr="005513A4">
        <w:rPr>
          <w:rFonts w:cstheme="minorHAnsi"/>
        </w:rPr>
        <w:t>po</w:t>
      </w:r>
      <w:r w:rsidR="00EB47A2" w:rsidRPr="005513A4">
        <w:rPr>
          <w:rFonts w:cstheme="minorHAnsi"/>
        </w:rPr>
        <w:t>žadovan</w:t>
      </w:r>
      <w:r w:rsidR="00FD1700" w:rsidRPr="005513A4">
        <w:rPr>
          <w:rFonts w:cstheme="minorHAnsi"/>
        </w:rPr>
        <w:t xml:space="preserve">ých vozidel </w:t>
      </w:r>
      <w:r w:rsidR="00925480" w:rsidRPr="005513A4">
        <w:rPr>
          <w:rFonts w:cstheme="minorHAnsi"/>
        </w:rPr>
        <w:t>ze 14</w:t>
      </w:r>
      <w:r w:rsidR="0060761F" w:rsidRPr="005715E6">
        <w:rPr>
          <w:rFonts w:cstheme="minorHAnsi"/>
        </w:rPr>
        <w:t> </w:t>
      </w:r>
      <w:r w:rsidR="00925480" w:rsidRPr="00906987">
        <w:rPr>
          <w:rFonts w:cstheme="minorHAnsi"/>
        </w:rPr>
        <w:t xml:space="preserve">na </w:t>
      </w:r>
      <w:r w:rsidR="008C2E73" w:rsidRPr="00906987">
        <w:rPr>
          <w:rFonts w:cstheme="minorHAnsi"/>
        </w:rPr>
        <w:t xml:space="preserve">80 kusů (resp. 40 </w:t>
      </w:r>
      <w:r w:rsidR="00EF6F84" w:rsidRPr="00906987">
        <w:rPr>
          <w:rFonts w:cstheme="minorHAnsi"/>
        </w:rPr>
        <w:t>párů</w:t>
      </w:r>
      <w:r w:rsidR="00995137" w:rsidRPr="00906987">
        <w:rPr>
          <w:rFonts w:cstheme="minorHAnsi"/>
        </w:rPr>
        <w:t xml:space="preserve"> vozidel</w:t>
      </w:r>
      <w:r w:rsidR="008C2E73" w:rsidRPr="00906987">
        <w:rPr>
          <w:rFonts w:cstheme="minorHAnsi"/>
        </w:rPr>
        <w:t>)</w:t>
      </w:r>
      <w:r w:rsidR="007D5A1C" w:rsidRPr="00906987">
        <w:rPr>
          <w:rFonts w:cstheme="minorHAnsi"/>
        </w:rPr>
        <w:t xml:space="preserve"> a</w:t>
      </w:r>
      <w:r w:rsidR="00227743">
        <w:rPr>
          <w:rFonts w:cstheme="minorHAnsi"/>
        </w:rPr>
        <w:t> </w:t>
      </w:r>
      <w:r w:rsidR="007D5A1C" w:rsidRPr="00906987">
        <w:rPr>
          <w:rFonts w:cstheme="minorHAnsi"/>
        </w:rPr>
        <w:t>výši předpokládaných výdajů z</w:t>
      </w:r>
      <w:r w:rsidR="006E0A2E">
        <w:rPr>
          <w:rFonts w:cstheme="minorHAnsi"/>
        </w:rPr>
        <w:t xml:space="preserve"> </w:t>
      </w:r>
      <w:r w:rsidR="007D5A1C" w:rsidRPr="00906987">
        <w:rPr>
          <w:rFonts w:cstheme="minorHAnsi"/>
        </w:rPr>
        <w:t xml:space="preserve">860 </w:t>
      </w:r>
      <w:r w:rsidR="007D5A1C" w:rsidRPr="009D5198">
        <w:rPr>
          <w:rFonts w:cstheme="minorHAnsi"/>
        </w:rPr>
        <w:t>mil. Kč na 5</w:t>
      </w:r>
      <w:r w:rsidR="0069174B" w:rsidRPr="009D5198">
        <w:rPr>
          <w:rFonts w:cstheme="minorHAnsi"/>
        </w:rPr>
        <w:t> </w:t>
      </w:r>
      <w:r w:rsidR="007D5A1C" w:rsidRPr="009D5198">
        <w:rPr>
          <w:rFonts w:cstheme="minorHAnsi"/>
        </w:rPr>
        <w:t>35</w:t>
      </w:r>
      <w:r w:rsidR="00565689" w:rsidRPr="009D5198">
        <w:rPr>
          <w:rFonts w:cstheme="minorHAnsi"/>
        </w:rPr>
        <w:t>2</w:t>
      </w:r>
      <w:r w:rsidR="0069174B" w:rsidRPr="009D5198">
        <w:rPr>
          <w:rFonts w:cstheme="minorHAnsi"/>
        </w:rPr>
        <w:t xml:space="preserve"> mil</w:t>
      </w:r>
      <w:r w:rsidR="007D5A1C" w:rsidRPr="009D5198">
        <w:rPr>
          <w:rFonts w:cstheme="minorHAnsi"/>
        </w:rPr>
        <w:t>. Kč</w:t>
      </w:r>
      <w:r w:rsidR="00AC3EA5" w:rsidRPr="009D5198">
        <w:rPr>
          <w:rFonts w:cstheme="minorHAnsi"/>
        </w:rPr>
        <w:t xml:space="preserve"> (o 522 %)</w:t>
      </w:r>
      <w:r w:rsidR="00925480" w:rsidRPr="009D5198">
        <w:rPr>
          <w:rFonts w:cstheme="minorHAnsi"/>
        </w:rPr>
        <w:t xml:space="preserve">. </w:t>
      </w:r>
      <w:r w:rsidR="008C2E73" w:rsidRPr="009D5198">
        <w:rPr>
          <w:rFonts w:cstheme="minorHAnsi"/>
        </w:rPr>
        <w:t>MO nezdůvodnilo nárůst požadovaného počtu vozidel</w:t>
      </w:r>
      <w:r w:rsidR="00A11B0C">
        <w:rPr>
          <w:rFonts w:cstheme="minorHAnsi"/>
        </w:rPr>
        <w:t>.</w:t>
      </w:r>
      <w:r w:rsidR="00663F67">
        <w:rPr>
          <w:rFonts w:cstheme="minorHAnsi"/>
        </w:rPr>
        <w:t xml:space="preserve"> </w:t>
      </w:r>
      <w:r w:rsidR="00A11B0C" w:rsidRPr="00663F67">
        <w:rPr>
          <w:rFonts w:cstheme="minorHAnsi"/>
        </w:rPr>
        <w:t xml:space="preserve">MO </w:t>
      </w:r>
      <w:r w:rsidR="00663F67" w:rsidRPr="00663F67">
        <w:rPr>
          <w:rFonts w:cstheme="minorHAnsi"/>
        </w:rPr>
        <w:t>dále nepostupovalo v</w:t>
      </w:r>
      <w:r w:rsidR="006017F2">
        <w:rPr>
          <w:rFonts w:cstheme="minorHAnsi"/>
        </w:rPr>
        <w:t xml:space="preserve"> </w:t>
      </w:r>
      <w:r w:rsidR="00663F67" w:rsidRPr="00663F67">
        <w:rPr>
          <w:rFonts w:cstheme="minorHAnsi"/>
        </w:rPr>
        <w:t>souladu s</w:t>
      </w:r>
      <w:r w:rsidR="006017F2">
        <w:rPr>
          <w:rFonts w:cstheme="minorHAnsi"/>
        </w:rPr>
        <w:t xml:space="preserve"> </w:t>
      </w:r>
      <w:r w:rsidR="00663F67" w:rsidRPr="00663F67">
        <w:rPr>
          <w:rFonts w:cstheme="minorHAnsi"/>
        </w:rPr>
        <w:t>ustanovením §</w:t>
      </w:r>
      <w:r w:rsidR="006017F2">
        <w:rPr>
          <w:rFonts w:cstheme="minorHAnsi"/>
        </w:rPr>
        <w:t xml:space="preserve"> </w:t>
      </w:r>
      <w:r w:rsidR="00663F67" w:rsidRPr="00663F67">
        <w:rPr>
          <w:rFonts w:cstheme="minorHAnsi"/>
        </w:rPr>
        <w:t xml:space="preserve">39 odst. 3 zákona č. 218/2000 Sb. </w:t>
      </w:r>
      <w:r w:rsidR="00DF7550">
        <w:rPr>
          <w:rFonts w:cstheme="minorHAnsi"/>
        </w:rPr>
        <w:t>tím</w:t>
      </w:r>
      <w:r w:rsidR="006E0A2E">
        <w:rPr>
          <w:rFonts w:cstheme="minorHAnsi"/>
        </w:rPr>
        <w:t>,</w:t>
      </w:r>
      <w:r w:rsidR="00DF7550">
        <w:rPr>
          <w:rFonts w:cstheme="minorHAnsi"/>
        </w:rPr>
        <w:t xml:space="preserve"> že</w:t>
      </w:r>
      <w:r w:rsidR="00663F67" w:rsidRPr="009D5198">
        <w:rPr>
          <w:rFonts w:cstheme="minorHAnsi"/>
        </w:rPr>
        <w:t xml:space="preserve"> </w:t>
      </w:r>
      <w:r w:rsidR="006E0A2E">
        <w:rPr>
          <w:rFonts w:cstheme="minorHAnsi"/>
        </w:rPr>
        <w:t>ne</w:t>
      </w:r>
      <w:r w:rsidR="0031062F">
        <w:rPr>
          <w:rFonts w:cstheme="minorHAnsi"/>
        </w:rPr>
        <w:t>splnilo</w:t>
      </w:r>
      <w:r w:rsidR="006E0A2E">
        <w:rPr>
          <w:rFonts w:cstheme="minorHAnsi"/>
        </w:rPr>
        <w:t xml:space="preserve"> svou povinnost </w:t>
      </w:r>
      <w:r w:rsidR="00663F67" w:rsidRPr="009D5198">
        <w:rPr>
          <w:rFonts w:cstheme="minorHAnsi"/>
        </w:rPr>
        <w:t>soustavně sledova</w:t>
      </w:r>
      <w:r w:rsidR="006E0A2E">
        <w:rPr>
          <w:rFonts w:cstheme="minorHAnsi"/>
        </w:rPr>
        <w:t>t</w:t>
      </w:r>
      <w:r w:rsidR="00663F67" w:rsidRPr="009D5198">
        <w:rPr>
          <w:rFonts w:cstheme="minorHAnsi"/>
        </w:rPr>
        <w:t xml:space="preserve"> a</w:t>
      </w:r>
      <w:r w:rsidR="006E0A2E">
        <w:rPr>
          <w:rFonts w:cstheme="minorHAnsi"/>
        </w:rPr>
        <w:t> </w:t>
      </w:r>
      <w:r w:rsidR="00663F67" w:rsidRPr="009D5198">
        <w:rPr>
          <w:rFonts w:cstheme="minorHAnsi"/>
        </w:rPr>
        <w:t>vyhodnocova</w:t>
      </w:r>
      <w:r w:rsidR="006E0A2E">
        <w:rPr>
          <w:rFonts w:cstheme="minorHAnsi"/>
        </w:rPr>
        <w:t>t</w:t>
      </w:r>
      <w:r w:rsidR="00663F67" w:rsidRPr="009D5198">
        <w:rPr>
          <w:rFonts w:cstheme="minorHAnsi"/>
        </w:rPr>
        <w:t xml:space="preserve"> efektivnost vynakládání peněžních prostředků státního rozpočtu</w:t>
      </w:r>
      <w:r w:rsidR="00663F67">
        <w:rPr>
          <w:rFonts w:cstheme="minorHAnsi"/>
        </w:rPr>
        <w:t xml:space="preserve">, </w:t>
      </w:r>
      <w:r w:rsidR="00DF7550">
        <w:rPr>
          <w:rFonts w:cstheme="minorHAnsi"/>
        </w:rPr>
        <w:t>když</w:t>
      </w:r>
      <w:r w:rsidR="00663F67" w:rsidRPr="00663F67">
        <w:rPr>
          <w:rFonts w:cstheme="minorHAnsi"/>
        </w:rPr>
        <w:t xml:space="preserve"> se při rozhodování o </w:t>
      </w:r>
      <w:r w:rsidR="00B319B9">
        <w:rPr>
          <w:rFonts w:cstheme="minorHAnsi"/>
        </w:rPr>
        <w:t>poskytování</w:t>
      </w:r>
      <w:r w:rsidR="00663F67" w:rsidRPr="00663F67">
        <w:rPr>
          <w:rFonts w:cstheme="minorHAnsi"/>
        </w:rPr>
        <w:t xml:space="preserve"> záloh dodavateli vozidel v</w:t>
      </w:r>
      <w:r w:rsidR="006E0A2E">
        <w:rPr>
          <w:rFonts w:cstheme="minorHAnsi"/>
        </w:rPr>
        <w:t xml:space="preserve"> </w:t>
      </w:r>
      <w:r w:rsidR="00663F67" w:rsidRPr="00663F67">
        <w:rPr>
          <w:rFonts w:cstheme="minorHAnsi"/>
        </w:rPr>
        <w:t>letech 2021 a 2022 v</w:t>
      </w:r>
      <w:r w:rsidR="006E0A2E">
        <w:rPr>
          <w:rFonts w:cstheme="minorHAnsi"/>
        </w:rPr>
        <w:t xml:space="preserve"> </w:t>
      </w:r>
      <w:r w:rsidR="00663F67" w:rsidRPr="00663F67">
        <w:rPr>
          <w:rFonts w:cstheme="minorHAnsi"/>
        </w:rPr>
        <w:t>celkové výši 2 547</w:t>
      </w:r>
      <w:r w:rsidR="006E0A2E">
        <w:rPr>
          <w:rFonts w:cstheme="minorHAnsi"/>
        </w:rPr>
        <w:t> </w:t>
      </w:r>
      <w:r w:rsidR="00663F67" w:rsidRPr="00663F67">
        <w:rPr>
          <w:rFonts w:cstheme="minorHAnsi"/>
        </w:rPr>
        <w:t>mil. Kč</w:t>
      </w:r>
      <w:r w:rsidR="00B319B9">
        <w:rPr>
          <w:rFonts w:cstheme="minorHAnsi"/>
        </w:rPr>
        <w:t xml:space="preserve"> </w:t>
      </w:r>
      <w:r w:rsidR="00663F67" w:rsidRPr="00663F67">
        <w:rPr>
          <w:rFonts w:cstheme="minorHAnsi"/>
        </w:rPr>
        <w:t>nezabývalo ekonomickou výhodností</w:t>
      </w:r>
      <w:r w:rsidR="00B319B9">
        <w:rPr>
          <w:rFonts w:cstheme="minorHAnsi"/>
        </w:rPr>
        <w:t xml:space="preserve"> jejich poskytnutí</w:t>
      </w:r>
      <w:r w:rsidR="00663F67" w:rsidRPr="00663F67">
        <w:rPr>
          <w:rFonts w:cstheme="minorHAnsi"/>
        </w:rPr>
        <w:t>.</w:t>
      </w:r>
      <w:r w:rsidR="00663F67">
        <w:rPr>
          <w:rFonts w:cstheme="minorHAnsi"/>
        </w:rPr>
        <w:t xml:space="preserve"> </w:t>
      </w:r>
      <w:r w:rsidR="008550B3" w:rsidRPr="00663F67">
        <w:rPr>
          <w:rFonts w:cstheme="minorHAnsi"/>
        </w:rPr>
        <w:t xml:space="preserve">MO </w:t>
      </w:r>
      <w:r w:rsidR="00663F67" w:rsidRPr="00663F67">
        <w:rPr>
          <w:rFonts w:cstheme="minorHAnsi"/>
        </w:rPr>
        <w:t xml:space="preserve">také </w:t>
      </w:r>
      <w:r w:rsidR="00BF7995" w:rsidRPr="00663F67">
        <w:rPr>
          <w:rFonts w:cstheme="minorHAnsi"/>
        </w:rPr>
        <w:t>nepostupovalo v souladu s</w:t>
      </w:r>
      <w:r w:rsidR="006E0A2E">
        <w:rPr>
          <w:rFonts w:cstheme="minorHAnsi"/>
        </w:rPr>
        <w:t xml:space="preserve"> </w:t>
      </w:r>
      <w:r w:rsidR="00BF7995" w:rsidRPr="00663F67">
        <w:rPr>
          <w:rFonts w:cstheme="minorHAnsi"/>
        </w:rPr>
        <w:t>ustanovením § 26 zákona č.</w:t>
      </w:r>
      <w:r w:rsidR="006E0A2E">
        <w:rPr>
          <w:rFonts w:cstheme="minorHAnsi"/>
        </w:rPr>
        <w:t xml:space="preserve"> </w:t>
      </w:r>
      <w:r w:rsidR="00BF7995" w:rsidRPr="00663F67">
        <w:rPr>
          <w:rFonts w:cstheme="minorHAnsi"/>
        </w:rPr>
        <w:t>320/2001 Sb., když neprovedlo předběžnou říd</w:t>
      </w:r>
      <w:r w:rsidR="00C50867">
        <w:rPr>
          <w:rFonts w:cstheme="minorHAnsi"/>
        </w:rPr>
        <w:t>i</w:t>
      </w:r>
      <w:r w:rsidR="00BF7995" w:rsidRPr="00663F67">
        <w:rPr>
          <w:rFonts w:cstheme="minorHAnsi"/>
        </w:rPr>
        <w:t>cí kontrolu před vznikem závazku, a</w:t>
      </w:r>
      <w:r w:rsidR="006E0A2E">
        <w:rPr>
          <w:rFonts w:cstheme="minorHAnsi"/>
        </w:rPr>
        <w:t xml:space="preserve"> </w:t>
      </w:r>
      <w:r w:rsidR="00BF7995" w:rsidRPr="00663F67">
        <w:rPr>
          <w:rFonts w:cstheme="minorHAnsi"/>
        </w:rPr>
        <w:t>to před podpisem dodatků</w:t>
      </w:r>
      <w:r w:rsidR="0060761F" w:rsidRPr="00663F67">
        <w:rPr>
          <w:rFonts w:cstheme="minorHAnsi"/>
        </w:rPr>
        <w:t xml:space="preserve"> ke kupní smlouvě</w:t>
      </w:r>
      <w:r w:rsidR="00A612B2" w:rsidRPr="00663F67">
        <w:rPr>
          <w:rFonts w:cstheme="minorHAnsi"/>
        </w:rPr>
        <w:t xml:space="preserve"> s dodavatelem vozidel</w:t>
      </w:r>
      <w:r w:rsidR="0060761F" w:rsidRPr="00663F67">
        <w:rPr>
          <w:rFonts w:cstheme="minorHAnsi"/>
        </w:rPr>
        <w:t xml:space="preserve">, </w:t>
      </w:r>
      <w:r w:rsidR="00BF7995" w:rsidRPr="00663F67">
        <w:rPr>
          <w:rFonts w:cstheme="minorHAnsi"/>
        </w:rPr>
        <w:t xml:space="preserve">ale </w:t>
      </w:r>
      <w:r w:rsidR="00D619FF" w:rsidRPr="00663F67">
        <w:rPr>
          <w:rFonts w:cstheme="minorHAnsi"/>
        </w:rPr>
        <w:t xml:space="preserve">až </w:t>
      </w:r>
      <w:r w:rsidR="00BF7995" w:rsidRPr="00663F67">
        <w:rPr>
          <w:rFonts w:cstheme="minorHAnsi"/>
        </w:rPr>
        <w:t xml:space="preserve">po jejich podpisu. </w:t>
      </w:r>
    </w:p>
    <w:p w14:paraId="1994845B" w14:textId="5D188307" w:rsidR="003174B2" w:rsidRPr="003174B2" w:rsidRDefault="00D457AE" w:rsidP="00B22E23">
      <w:pPr>
        <w:pStyle w:val="Odstavecseseznamem"/>
        <w:numPr>
          <w:ilvl w:val="0"/>
          <w:numId w:val="27"/>
        </w:numPr>
        <w:spacing w:before="120"/>
        <w:ind w:left="0" w:firstLine="0"/>
        <w:contextualSpacing w:val="0"/>
        <w:rPr>
          <w:rFonts w:cstheme="minorHAnsi"/>
        </w:rPr>
      </w:pPr>
      <w:r w:rsidRPr="00065CEB">
        <w:rPr>
          <w:rFonts w:cstheme="minorHAnsi"/>
        </w:rPr>
        <w:t xml:space="preserve">Od roku 2001 do </w:t>
      </w:r>
      <w:r w:rsidR="003174B2">
        <w:rPr>
          <w:rFonts w:cstheme="minorHAnsi"/>
        </w:rPr>
        <w:t xml:space="preserve">konce </w:t>
      </w:r>
      <w:r w:rsidRPr="00065CEB">
        <w:rPr>
          <w:rFonts w:cstheme="minorHAnsi"/>
        </w:rPr>
        <w:t xml:space="preserve">roku 2022 vynaložilo </w:t>
      </w:r>
      <w:r w:rsidR="00BA63D2" w:rsidRPr="00065CEB">
        <w:rPr>
          <w:rFonts w:cstheme="minorHAnsi"/>
        </w:rPr>
        <w:t xml:space="preserve">MO </w:t>
      </w:r>
      <w:r w:rsidRPr="00065CEB">
        <w:rPr>
          <w:rFonts w:cstheme="minorHAnsi"/>
        </w:rPr>
        <w:t xml:space="preserve">na výstavbu a provoz CBO Těchonín </w:t>
      </w:r>
      <w:r w:rsidR="00A87030">
        <w:rPr>
          <w:rFonts w:cstheme="minorHAnsi"/>
        </w:rPr>
        <w:t xml:space="preserve">peněžní </w:t>
      </w:r>
      <w:r w:rsidRPr="00065CEB">
        <w:rPr>
          <w:rFonts w:cstheme="minorHAnsi"/>
        </w:rPr>
        <w:t xml:space="preserve">prostředky </w:t>
      </w:r>
      <w:r w:rsidR="00524424">
        <w:rPr>
          <w:rFonts w:cstheme="minorHAnsi"/>
        </w:rPr>
        <w:t xml:space="preserve">státního rozpočtu </w:t>
      </w:r>
      <w:r w:rsidRPr="00065CEB">
        <w:rPr>
          <w:rFonts w:cstheme="minorHAnsi"/>
        </w:rPr>
        <w:t>v celkové výši 3</w:t>
      </w:r>
      <w:r w:rsidR="008947B0">
        <w:rPr>
          <w:rFonts w:cstheme="minorHAnsi"/>
        </w:rPr>
        <w:t> 671 mil</w:t>
      </w:r>
      <w:r w:rsidRPr="00065CEB">
        <w:rPr>
          <w:rFonts w:cstheme="minorHAnsi"/>
        </w:rPr>
        <w:t xml:space="preserve">. Kč, které vyhodnotil NKÚ </w:t>
      </w:r>
      <w:r w:rsidR="006017F2">
        <w:rPr>
          <w:rFonts w:cstheme="minorHAnsi"/>
        </w:rPr>
        <w:br/>
      </w:r>
      <w:r w:rsidRPr="00065CEB">
        <w:rPr>
          <w:rFonts w:cstheme="minorHAnsi"/>
        </w:rPr>
        <w:t>v</w:t>
      </w:r>
      <w:r w:rsidR="006017F2">
        <w:rPr>
          <w:rFonts w:cstheme="minorHAnsi"/>
        </w:rPr>
        <w:t xml:space="preserve"> </w:t>
      </w:r>
      <w:r w:rsidRPr="00065CEB">
        <w:rPr>
          <w:rFonts w:cstheme="minorHAnsi"/>
        </w:rPr>
        <w:t>době ukončení kontroly</w:t>
      </w:r>
      <w:r w:rsidR="00BC4F1D">
        <w:rPr>
          <w:rFonts w:cstheme="minorHAnsi"/>
        </w:rPr>
        <w:t xml:space="preserve"> </w:t>
      </w:r>
      <w:r w:rsidRPr="00065CEB">
        <w:rPr>
          <w:rFonts w:cstheme="minorHAnsi"/>
        </w:rPr>
        <w:t>jako omezeně účelné</w:t>
      </w:r>
      <w:r w:rsidR="007C0316">
        <w:rPr>
          <w:rFonts w:cstheme="minorHAnsi"/>
        </w:rPr>
        <w:t>. Z</w:t>
      </w:r>
      <w:r w:rsidR="003174B2">
        <w:rPr>
          <w:rFonts w:cstheme="minorHAnsi"/>
        </w:rPr>
        <w:t>ařízení</w:t>
      </w:r>
      <w:r w:rsidRPr="00065CEB">
        <w:rPr>
          <w:rFonts w:cstheme="minorHAnsi"/>
        </w:rPr>
        <w:t xml:space="preserve"> </w:t>
      </w:r>
      <w:r w:rsidR="007C0316">
        <w:rPr>
          <w:rFonts w:cstheme="minorHAnsi"/>
        </w:rPr>
        <w:t xml:space="preserve">totiž </w:t>
      </w:r>
      <w:r w:rsidR="00236764">
        <w:rPr>
          <w:rFonts w:cstheme="minorHAnsi"/>
        </w:rPr>
        <w:t>ne</w:t>
      </w:r>
      <w:r w:rsidRPr="00065CEB">
        <w:rPr>
          <w:rFonts w:cstheme="minorHAnsi"/>
        </w:rPr>
        <w:t>dispon</w:t>
      </w:r>
      <w:r w:rsidR="00236764">
        <w:rPr>
          <w:rFonts w:cstheme="minorHAnsi"/>
        </w:rPr>
        <w:t>uje</w:t>
      </w:r>
      <w:r w:rsidR="007C0316">
        <w:rPr>
          <w:rFonts w:cstheme="minorHAnsi"/>
        </w:rPr>
        <w:t xml:space="preserve"> dvěma </w:t>
      </w:r>
      <w:r w:rsidRPr="00065CEB">
        <w:rPr>
          <w:rFonts w:cstheme="minorHAnsi"/>
        </w:rPr>
        <w:t xml:space="preserve">schopnostmi stanovenými prostřednictvím </w:t>
      </w:r>
      <w:r w:rsidRPr="00065CEB">
        <w:rPr>
          <w:rFonts w:cstheme="minorHAnsi"/>
          <w:iCs/>
        </w:rPr>
        <w:t>statutárních funkcí (</w:t>
      </w:r>
      <w:r w:rsidR="00E51983">
        <w:rPr>
          <w:rFonts w:cstheme="minorHAnsi"/>
          <w:iCs/>
        </w:rPr>
        <w:t>není prováděn</w:t>
      </w:r>
      <w:r w:rsidR="00387B8D">
        <w:rPr>
          <w:rFonts w:cstheme="minorHAnsi"/>
          <w:iCs/>
        </w:rPr>
        <w:t xml:space="preserve"> </w:t>
      </w:r>
      <w:r w:rsidRPr="00065CEB">
        <w:rPr>
          <w:rFonts w:cstheme="minorHAnsi"/>
        </w:rPr>
        <w:t>biologick</w:t>
      </w:r>
      <w:r w:rsidR="00387B8D">
        <w:rPr>
          <w:rFonts w:cstheme="minorHAnsi"/>
        </w:rPr>
        <w:t>ý</w:t>
      </w:r>
      <w:r w:rsidRPr="00065CEB">
        <w:rPr>
          <w:rFonts w:cstheme="minorHAnsi"/>
        </w:rPr>
        <w:t xml:space="preserve"> obrann</w:t>
      </w:r>
      <w:r w:rsidR="00387B8D">
        <w:rPr>
          <w:rFonts w:cstheme="minorHAnsi"/>
        </w:rPr>
        <w:t>ý</w:t>
      </w:r>
      <w:r w:rsidRPr="00065CEB">
        <w:rPr>
          <w:rFonts w:cstheme="minorHAnsi"/>
        </w:rPr>
        <w:t xml:space="preserve"> výzkum AČR a</w:t>
      </w:r>
      <w:r w:rsidR="00C50867">
        <w:rPr>
          <w:rFonts w:cstheme="minorHAnsi"/>
        </w:rPr>
        <w:t xml:space="preserve"> </w:t>
      </w:r>
      <w:r w:rsidRPr="00065CEB">
        <w:rPr>
          <w:rFonts w:cstheme="minorHAnsi"/>
        </w:rPr>
        <w:t>laboratorní diagnostik</w:t>
      </w:r>
      <w:r w:rsidR="00387B8D">
        <w:rPr>
          <w:rFonts w:cstheme="minorHAnsi"/>
        </w:rPr>
        <w:t>a</w:t>
      </w:r>
      <w:r w:rsidRPr="00065CEB">
        <w:rPr>
          <w:rFonts w:cstheme="minorHAnsi"/>
        </w:rPr>
        <w:t xml:space="preserve"> biologických </w:t>
      </w:r>
      <w:r w:rsidRPr="00387B8D">
        <w:rPr>
          <w:rFonts w:cstheme="minorHAnsi"/>
        </w:rPr>
        <w:t>agens</w:t>
      </w:r>
      <w:r w:rsidR="00387B8D" w:rsidRPr="00387B8D">
        <w:rPr>
          <w:rFonts w:cstheme="minorHAnsi"/>
        </w:rPr>
        <w:t xml:space="preserve"> </w:t>
      </w:r>
      <w:r w:rsidR="00387B8D">
        <w:rPr>
          <w:rFonts w:cstheme="minorHAnsi"/>
        </w:rPr>
        <w:t>z</w:t>
      </w:r>
      <w:r w:rsidR="00387B8D" w:rsidRPr="00472865">
        <w:rPr>
          <w:rFonts w:cstheme="minorHAnsi"/>
        </w:rPr>
        <w:t>neužitelných k bioterorismu nebo k</w:t>
      </w:r>
      <w:r w:rsidR="006E0A2E">
        <w:rPr>
          <w:rFonts w:cstheme="minorHAnsi"/>
        </w:rPr>
        <w:t xml:space="preserve"> </w:t>
      </w:r>
      <w:r w:rsidR="00387B8D" w:rsidRPr="00472865">
        <w:rPr>
          <w:rFonts w:cstheme="minorHAnsi"/>
        </w:rPr>
        <w:t>přípravě biologické zbraně</w:t>
      </w:r>
      <w:r w:rsidRPr="00387B8D">
        <w:rPr>
          <w:rFonts w:cstheme="minorHAnsi"/>
        </w:rPr>
        <w:t>)</w:t>
      </w:r>
      <w:r w:rsidR="007C0316">
        <w:rPr>
          <w:rFonts w:cstheme="minorHAnsi"/>
          <w:iCs/>
        </w:rPr>
        <w:t xml:space="preserve">, </w:t>
      </w:r>
      <w:r w:rsidR="008D114A">
        <w:rPr>
          <w:rFonts w:cstheme="minorHAnsi"/>
          <w:iCs/>
        </w:rPr>
        <w:t xml:space="preserve">čímž </w:t>
      </w:r>
      <w:r w:rsidR="00236764">
        <w:rPr>
          <w:rFonts w:cstheme="minorHAnsi"/>
          <w:iCs/>
        </w:rPr>
        <w:t>ne</w:t>
      </w:r>
      <w:r w:rsidRPr="00065CEB">
        <w:rPr>
          <w:rFonts w:cstheme="minorHAnsi"/>
          <w:iCs/>
        </w:rPr>
        <w:t>tvoř</w:t>
      </w:r>
      <w:r w:rsidR="00236764">
        <w:rPr>
          <w:rFonts w:cstheme="minorHAnsi"/>
          <w:iCs/>
        </w:rPr>
        <w:t>í</w:t>
      </w:r>
      <w:r w:rsidRPr="00065CEB">
        <w:rPr>
          <w:rFonts w:cstheme="minorHAnsi"/>
          <w:iCs/>
        </w:rPr>
        <w:t xml:space="preserve"> </w:t>
      </w:r>
      <w:r w:rsidRPr="00065CEB">
        <w:rPr>
          <w:rFonts w:cstheme="minorHAnsi"/>
        </w:rPr>
        <w:t>funkční celek na nejvyšším stupni biologického zabezpečení BSL-4</w:t>
      </w:r>
      <w:r w:rsidR="008D114A">
        <w:rPr>
          <w:rFonts w:cstheme="minorHAnsi"/>
        </w:rPr>
        <w:t>,</w:t>
      </w:r>
      <w:r w:rsidR="003174B2">
        <w:rPr>
          <w:rFonts w:cstheme="minorHAnsi"/>
        </w:rPr>
        <w:t xml:space="preserve"> a není tak plně využito. MO nedodrželo termín </w:t>
      </w:r>
      <w:r w:rsidR="003174B2" w:rsidRPr="00065CEB">
        <w:rPr>
          <w:rFonts w:cstheme="minorHAnsi"/>
        </w:rPr>
        <w:t>výstavby do konce roku 2022</w:t>
      </w:r>
      <w:r w:rsidR="003174B2">
        <w:rPr>
          <w:rFonts w:cstheme="minorHAnsi"/>
        </w:rPr>
        <w:t xml:space="preserve"> a tím nepostupovalo v souladu s ustanovením § 21 zákona České národní rady č. 2/1969 Sb., když se neřídilo usneseními vlády </w:t>
      </w:r>
      <w:r w:rsidR="005875F0">
        <w:rPr>
          <w:rFonts w:cstheme="minorHAnsi"/>
        </w:rPr>
        <w:t>ČR</w:t>
      </w:r>
      <w:r w:rsidR="00F6005C" w:rsidRPr="00F6005C">
        <w:rPr>
          <w:rFonts w:cstheme="minorHAnsi"/>
          <w:vertAlign w:val="superscript"/>
        </w:rPr>
        <w:fldChar w:fldCharType="begin"/>
      </w:r>
      <w:r w:rsidR="00F6005C" w:rsidRPr="00F6005C">
        <w:rPr>
          <w:rFonts w:cstheme="minorHAnsi"/>
          <w:vertAlign w:val="superscript"/>
        </w:rPr>
        <w:instrText xml:space="preserve"> NOTEREF _Ref148015605 \h  \* MERGEFORMAT </w:instrText>
      </w:r>
      <w:r w:rsidR="00F6005C" w:rsidRPr="00F6005C">
        <w:rPr>
          <w:rFonts w:cstheme="minorHAnsi"/>
          <w:vertAlign w:val="superscript"/>
        </w:rPr>
      </w:r>
      <w:r w:rsidR="00F6005C" w:rsidRPr="00F6005C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10</w:t>
      </w:r>
      <w:r w:rsidR="00F6005C" w:rsidRPr="00F6005C">
        <w:rPr>
          <w:rFonts w:cstheme="minorHAnsi"/>
          <w:vertAlign w:val="superscript"/>
        </w:rPr>
        <w:fldChar w:fldCharType="end"/>
      </w:r>
      <w:r w:rsidR="003174B2">
        <w:rPr>
          <w:rFonts w:cstheme="minorHAnsi"/>
        </w:rPr>
        <w:t xml:space="preserve">. </w:t>
      </w:r>
      <w:r w:rsidRPr="00B22E23">
        <w:rPr>
          <w:rFonts w:cstheme="minorHAnsi"/>
        </w:rPr>
        <w:t>MO v</w:t>
      </w:r>
      <w:r w:rsidR="006017F2">
        <w:rPr>
          <w:rFonts w:cstheme="minorHAnsi"/>
        </w:rPr>
        <w:t xml:space="preserve"> </w:t>
      </w:r>
      <w:r w:rsidRPr="00B22E23">
        <w:rPr>
          <w:rFonts w:cstheme="minorHAnsi"/>
        </w:rPr>
        <w:t xml:space="preserve">době </w:t>
      </w:r>
      <w:r w:rsidR="003174B2">
        <w:rPr>
          <w:rFonts w:cstheme="minorHAnsi"/>
        </w:rPr>
        <w:t xml:space="preserve">ukončení </w:t>
      </w:r>
      <w:r w:rsidRPr="00B22E23">
        <w:rPr>
          <w:rFonts w:cstheme="minorHAnsi"/>
        </w:rPr>
        <w:t>kontroly NKÚ plánovalo výstavbu CBO Těchonín dokončit v roce 2027, kdy bude dobudován objekt pro vědu a výzkum</w:t>
      </w:r>
      <w:r w:rsidR="00E51983">
        <w:rPr>
          <w:rFonts w:cstheme="minorHAnsi"/>
        </w:rPr>
        <w:t>, nezbytný pro naplnění výše uvedených statutárních funkcí</w:t>
      </w:r>
      <w:r w:rsidRPr="00B22E23">
        <w:rPr>
          <w:rFonts w:cstheme="minorHAnsi"/>
        </w:rPr>
        <w:t>.</w:t>
      </w:r>
      <w:r w:rsidR="003174B2">
        <w:rPr>
          <w:rFonts w:cstheme="minorHAnsi"/>
        </w:rPr>
        <w:t xml:space="preserve"> </w:t>
      </w:r>
      <w:r w:rsidRPr="003174B2">
        <w:rPr>
          <w:rFonts w:cstheme="minorHAnsi"/>
        </w:rPr>
        <w:t xml:space="preserve">Kontrolou </w:t>
      </w:r>
      <w:r w:rsidR="00995F03">
        <w:rPr>
          <w:rFonts w:cstheme="minorHAnsi"/>
        </w:rPr>
        <w:t xml:space="preserve">NKÚ </w:t>
      </w:r>
      <w:r w:rsidRPr="003174B2">
        <w:rPr>
          <w:rFonts w:cstheme="minorHAnsi"/>
        </w:rPr>
        <w:t>byla prověřena realizovaná opatření k</w:t>
      </w:r>
      <w:r w:rsidR="006E0A2E">
        <w:rPr>
          <w:rFonts w:cstheme="minorHAnsi"/>
        </w:rPr>
        <w:t xml:space="preserve"> </w:t>
      </w:r>
      <w:r w:rsidR="00236764" w:rsidRPr="003174B2">
        <w:rPr>
          <w:rFonts w:cstheme="minorHAnsi"/>
        </w:rPr>
        <w:t xml:space="preserve">odstranění </w:t>
      </w:r>
      <w:r w:rsidRPr="003174B2">
        <w:rPr>
          <w:rFonts w:cstheme="minorHAnsi"/>
        </w:rPr>
        <w:t>nedostatků</w:t>
      </w:r>
      <w:r w:rsidR="00236764" w:rsidRPr="003174B2">
        <w:rPr>
          <w:rFonts w:cstheme="minorHAnsi"/>
        </w:rPr>
        <w:t xml:space="preserve"> </w:t>
      </w:r>
      <w:r w:rsidR="006E0A2E">
        <w:rPr>
          <w:rFonts w:cstheme="minorHAnsi"/>
        </w:rPr>
        <w:t xml:space="preserve">identifikovaných </w:t>
      </w:r>
      <w:r w:rsidR="003174B2" w:rsidRPr="003174B2">
        <w:rPr>
          <w:rFonts w:cstheme="minorHAnsi"/>
        </w:rPr>
        <w:t>předchozí kontrolní akc</w:t>
      </w:r>
      <w:r w:rsidR="006E0A2E">
        <w:rPr>
          <w:rFonts w:cstheme="minorHAnsi"/>
        </w:rPr>
        <w:t>í</w:t>
      </w:r>
      <w:r w:rsidR="003174B2" w:rsidRPr="003174B2" w:rsidDel="003174B2">
        <w:rPr>
          <w:rFonts w:cstheme="minorHAnsi"/>
        </w:rPr>
        <w:t xml:space="preserve"> </w:t>
      </w:r>
      <w:r w:rsidR="00E51983">
        <w:rPr>
          <w:rFonts w:cstheme="minorHAnsi"/>
        </w:rPr>
        <w:t xml:space="preserve">NKÚ </w:t>
      </w:r>
      <w:r w:rsidRPr="003174B2">
        <w:rPr>
          <w:rFonts w:cstheme="minorHAnsi"/>
        </w:rPr>
        <w:t>č. 14/41</w:t>
      </w:r>
      <w:r w:rsidR="008D114A">
        <w:rPr>
          <w:rFonts w:cstheme="minorHAnsi"/>
        </w:rPr>
        <w:t xml:space="preserve"> a bylo zjištěno, že </w:t>
      </w:r>
      <w:r w:rsidRPr="003174B2">
        <w:rPr>
          <w:rFonts w:cstheme="minorHAnsi"/>
        </w:rPr>
        <w:t xml:space="preserve">u </w:t>
      </w:r>
      <w:r w:rsidR="009A255A">
        <w:rPr>
          <w:rFonts w:cstheme="minorHAnsi"/>
        </w:rPr>
        <w:t>čtyř</w:t>
      </w:r>
      <w:r w:rsidRPr="003174B2">
        <w:rPr>
          <w:rFonts w:cstheme="minorHAnsi"/>
        </w:rPr>
        <w:t xml:space="preserve"> ze sedmi</w:t>
      </w:r>
      <w:r w:rsidR="00BA63D2" w:rsidRPr="003174B2">
        <w:rPr>
          <w:rFonts w:cstheme="minorHAnsi"/>
        </w:rPr>
        <w:t xml:space="preserve"> z nich </w:t>
      </w:r>
      <w:r w:rsidR="009A255A">
        <w:rPr>
          <w:rFonts w:cstheme="minorHAnsi"/>
        </w:rPr>
        <w:t>ne</w:t>
      </w:r>
      <w:r w:rsidRPr="003174B2">
        <w:rPr>
          <w:rFonts w:cstheme="minorHAnsi"/>
        </w:rPr>
        <w:t>došlo k</w:t>
      </w:r>
      <w:r w:rsidR="003174B2" w:rsidRPr="003174B2">
        <w:rPr>
          <w:rFonts w:cstheme="minorHAnsi"/>
        </w:rPr>
        <w:t> </w:t>
      </w:r>
      <w:r w:rsidRPr="003174B2">
        <w:rPr>
          <w:rFonts w:cstheme="minorHAnsi"/>
        </w:rPr>
        <w:t>nápravě</w:t>
      </w:r>
      <w:r w:rsidR="003174B2" w:rsidRPr="003174B2">
        <w:rPr>
          <w:rFonts w:cstheme="minorHAnsi"/>
        </w:rPr>
        <w:t>.</w:t>
      </w:r>
    </w:p>
    <w:p w14:paraId="71A65373" w14:textId="63E0B01C" w:rsidR="00200784" w:rsidRDefault="00200784">
      <w:pPr>
        <w:spacing w:after="0"/>
        <w:jc w:val="left"/>
        <w:rPr>
          <w:rFonts w:cstheme="minorHAnsi"/>
        </w:rPr>
      </w:pPr>
    </w:p>
    <w:p w14:paraId="41BECE59" w14:textId="77777777" w:rsidR="001676C8" w:rsidRPr="00BD1BC0" w:rsidRDefault="00D457AE" w:rsidP="004B6902">
      <w:pPr>
        <w:pStyle w:val="Nadpis1"/>
        <w:jc w:val="center"/>
        <w:rPr>
          <w:rFonts w:cstheme="minorHAnsi"/>
          <w:sz w:val="28"/>
          <w:szCs w:val="28"/>
        </w:rPr>
      </w:pPr>
      <w:r w:rsidRPr="00BD1BC0">
        <w:rPr>
          <w:rFonts w:cstheme="minorHAnsi"/>
          <w:sz w:val="28"/>
          <w:szCs w:val="28"/>
        </w:rPr>
        <w:t>II. Informace o kontrolované oblasti</w:t>
      </w:r>
    </w:p>
    <w:p w14:paraId="4FFEFBE8" w14:textId="77777777" w:rsidR="0036304C" w:rsidRPr="009A743A" w:rsidRDefault="0036304C" w:rsidP="00A87030">
      <w:pPr>
        <w:rPr>
          <w:rFonts w:cstheme="minorHAnsi"/>
        </w:rPr>
      </w:pPr>
    </w:p>
    <w:p w14:paraId="0412C961" w14:textId="321152D6" w:rsidR="001676C8" w:rsidRPr="0012228B" w:rsidRDefault="00D457AE" w:rsidP="0012228B">
      <w:pPr>
        <w:pStyle w:val="Odstavecseseznamem"/>
        <w:numPr>
          <w:ilvl w:val="1"/>
          <w:numId w:val="29"/>
        </w:numPr>
        <w:spacing w:before="120"/>
        <w:ind w:left="0" w:right="6" w:firstLine="0"/>
        <w:contextualSpacing w:val="0"/>
        <w:rPr>
          <w:rFonts w:cstheme="minorHAnsi"/>
        </w:rPr>
      </w:pPr>
      <w:r w:rsidRPr="00BD1BC0">
        <w:rPr>
          <w:rFonts w:cstheme="minorHAnsi"/>
        </w:rPr>
        <w:t xml:space="preserve">MO je </w:t>
      </w:r>
      <w:r w:rsidR="005E7F9D">
        <w:rPr>
          <w:rFonts w:cstheme="minorHAnsi"/>
        </w:rPr>
        <w:t>po</w:t>
      </w:r>
      <w:r w:rsidRPr="00BD1BC0">
        <w:rPr>
          <w:rFonts w:cstheme="minorHAnsi"/>
        </w:rPr>
        <w:t>dle zákona</w:t>
      </w:r>
      <w:r w:rsidR="00FD3EA6">
        <w:rPr>
          <w:rFonts w:cstheme="minorHAnsi"/>
        </w:rPr>
        <w:t xml:space="preserve"> České národní rady</w:t>
      </w:r>
      <w:r w:rsidRPr="00BD1BC0">
        <w:rPr>
          <w:rFonts w:cstheme="minorHAnsi"/>
        </w:rPr>
        <w:t xml:space="preserve"> č. 2/1969 Sb.</w:t>
      </w:r>
      <w:r w:rsidR="00B455A3" w:rsidRPr="00BD1BC0">
        <w:rPr>
          <w:rFonts w:cstheme="minorHAnsi"/>
        </w:rPr>
        <w:t xml:space="preserve"> </w:t>
      </w:r>
      <w:r w:rsidR="008E45F4" w:rsidRPr="00BD1BC0">
        <w:rPr>
          <w:rFonts w:cstheme="minorHAnsi"/>
        </w:rPr>
        <w:t>ú</w:t>
      </w:r>
      <w:r w:rsidRPr="00BD1BC0">
        <w:rPr>
          <w:rFonts w:cstheme="minorHAnsi"/>
        </w:rPr>
        <w:t>středním orgánem státní správy zejména pro</w:t>
      </w:r>
      <w:r w:rsidR="007974FA">
        <w:rPr>
          <w:rFonts w:cstheme="minorHAnsi"/>
        </w:rPr>
        <w:t xml:space="preserve"> </w:t>
      </w:r>
      <w:r w:rsidRPr="00BD1BC0">
        <w:rPr>
          <w:rFonts w:cstheme="minorHAnsi"/>
        </w:rPr>
        <w:t xml:space="preserve">zabezpečování obrany </w:t>
      </w:r>
      <w:r w:rsidR="005E7F9D">
        <w:rPr>
          <w:rFonts w:cstheme="minorHAnsi"/>
        </w:rPr>
        <w:t>ČR</w:t>
      </w:r>
      <w:r w:rsidRPr="00BD1BC0">
        <w:rPr>
          <w:rFonts w:cstheme="minorHAnsi"/>
        </w:rPr>
        <w:t>, řízení AČR a správu vojenských újezdů.</w:t>
      </w:r>
      <w:r w:rsidR="0012228B">
        <w:rPr>
          <w:rFonts w:cstheme="minorHAnsi"/>
        </w:rPr>
        <w:t xml:space="preserve"> </w:t>
      </w:r>
      <w:r w:rsidR="0012228B" w:rsidRPr="0012228B">
        <w:rPr>
          <w:rFonts w:cstheme="minorHAnsi"/>
        </w:rPr>
        <w:t xml:space="preserve">Rozpočet MO a jeho čerpání </w:t>
      </w:r>
      <w:r w:rsidRPr="0012228B">
        <w:rPr>
          <w:rFonts w:cstheme="minorHAnsi"/>
        </w:rPr>
        <w:t>uvádí příloha</w:t>
      </w:r>
      <w:r w:rsidR="007974FA">
        <w:rPr>
          <w:rFonts w:cstheme="minorHAnsi"/>
        </w:rPr>
        <w:t xml:space="preserve"> </w:t>
      </w:r>
      <w:r w:rsidRPr="0012228B">
        <w:rPr>
          <w:rFonts w:cstheme="minorHAnsi"/>
        </w:rPr>
        <w:t>č. 1</w:t>
      </w:r>
      <w:r w:rsidR="006E0A2E">
        <w:rPr>
          <w:rFonts w:cstheme="minorHAnsi"/>
        </w:rPr>
        <w:t>;</w:t>
      </w:r>
      <w:r w:rsidR="00706E72" w:rsidRPr="0012228B">
        <w:rPr>
          <w:rFonts w:cstheme="minorHAnsi"/>
        </w:rPr>
        <w:t xml:space="preserve"> </w:t>
      </w:r>
      <w:r w:rsidR="007C0316" w:rsidRPr="0012228B">
        <w:rPr>
          <w:rFonts w:cstheme="minorHAnsi"/>
        </w:rPr>
        <w:t>v</w:t>
      </w:r>
      <w:r w:rsidR="005E7F9D" w:rsidRPr="0012228B">
        <w:rPr>
          <w:rFonts w:cstheme="minorHAnsi"/>
        </w:rPr>
        <w:t xml:space="preserve"> letech 2018–2022 </w:t>
      </w:r>
      <w:r w:rsidR="00604B21" w:rsidRPr="0012228B">
        <w:rPr>
          <w:rFonts w:cstheme="minorHAnsi"/>
        </w:rPr>
        <w:t>se čerpání výdajů zvýšilo z</w:t>
      </w:r>
      <w:r w:rsidR="005E7F9D" w:rsidRPr="0012228B">
        <w:rPr>
          <w:rFonts w:cstheme="minorHAnsi"/>
        </w:rPr>
        <w:t xml:space="preserve"> </w:t>
      </w:r>
      <w:r w:rsidR="00604B21" w:rsidRPr="0012228B">
        <w:rPr>
          <w:rFonts w:cstheme="minorHAnsi"/>
        </w:rPr>
        <w:t>59,8</w:t>
      </w:r>
      <w:r w:rsidR="005E7F9D" w:rsidRPr="0012228B">
        <w:rPr>
          <w:rFonts w:cstheme="minorHAnsi"/>
        </w:rPr>
        <w:t xml:space="preserve"> </w:t>
      </w:r>
      <w:r w:rsidR="00604B21" w:rsidRPr="0012228B">
        <w:rPr>
          <w:rFonts w:cstheme="minorHAnsi"/>
        </w:rPr>
        <w:t>mld.</w:t>
      </w:r>
      <w:r w:rsidR="005E7F9D" w:rsidRPr="0012228B">
        <w:rPr>
          <w:rFonts w:cstheme="minorHAnsi"/>
        </w:rPr>
        <w:t xml:space="preserve"> </w:t>
      </w:r>
      <w:r w:rsidR="00604B21" w:rsidRPr="0012228B">
        <w:rPr>
          <w:rFonts w:cstheme="minorHAnsi"/>
        </w:rPr>
        <w:t>Kč na 90,8</w:t>
      </w:r>
      <w:r w:rsidR="005E7F9D" w:rsidRPr="0012228B">
        <w:rPr>
          <w:rFonts w:cstheme="minorHAnsi"/>
        </w:rPr>
        <w:t xml:space="preserve"> </w:t>
      </w:r>
      <w:r w:rsidR="00604B21" w:rsidRPr="0012228B">
        <w:rPr>
          <w:rFonts w:cstheme="minorHAnsi"/>
        </w:rPr>
        <w:t>mld. Kč, přičemž nejvíce vzrostlo čerpání kapitálových výdajů, a</w:t>
      </w:r>
      <w:r w:rsidR="007974FA">
        <w:rPr>
          <w:rFonts w:cstheme="minorHAnsi"/>
        </w:rPr>
        <w:t xml:space="preserve"> </w:t>
      </w:r>
      <w:r w:rsidR="00604B21" w:rsidRPr="0012228B">
        <w:rPr>
          <w:rFonts w:cstheme="minorHAnsi"/>
        </w:rPr>
        <w:t xml:space="preserve">to </w:t>
      </w:r>
      <w:r w:rsidR="006017F2">
        <w:rPr>
          <w:rFonts w:cstheme="minorHAnsi"/>
        </w:rPr>
        <w:br/>
      </w:r>
      <w:r w:rsidR="00604B21" w:rsidRPr="0012228B">
        <w:rPr>
          <w:rFonts w:cstheme="minorHAnsi"/>
        </w:rPr>
        <w:t>o</w:t>
      </w:r>
      <w:r w:rsidR="006017F2">
        <w:rPr>
          <w:rFonts w:cstheme="minorHAnsi"/>
        </w:rPr>
        <w:t xml:space="preserve"> </w:t>
      </w:r>
      <w:r w:rsidR="00604B21" w:rsidRPr="0012228B">
        <w:rPr>
          <w:rFonts w:cstheme="minorHAnsi"/>
        </w:rPr>
        <w:t>226 % (tj. nárůst z</w:t>
      </w:r>
      <w:r w:rsidR="007974FA">
        <w:rPr>
          <w:rFonts w:cstheme="minorHAnsi"/>
        </w:rPr>
        <w:t xml:space="preserve">e </w:t>
      </w:r>
      <w:r w:rsidR="00604B21" w:rsidRPr="0012228B">
        <w:rPr>
          <w:rFonts w:cstheme="minorHAnsi"/>
        </w:rPr>
        <w:t xml:space="preserve">7,5 mld. Kč na 24,6 mld. Kč), které jsou určeny na financování </w:t>
      </w:r>
      <w:r w:rsidR="003F39EB" w:rsidRPr="0012228B">
        <w:rPr>
          <w:rFonts w:cstheme="minorHAnsi"/>
        </w:rPr>
        <w:t>akcí programů reprodukce majetku.</w:t>
      </w:r>
      <w:r w:rsidR="00A16097" w:rsidRPr="0012228B">
        <w:rPr>
          <w:rFonts w:cstheme="minorHAnsi"/>
        </w:rPr>
        <w:t xml:space="preserve"> </w:t>
      </w:r>
      <w:r w:rsidR="00E04816" w:rsidRPr="0012228B">
        <w:rPr>
          <w:rFonts w:cstheme="minorHAnsi"/>
        </w:rPr>
        <w:t>V rámci těchto programů čerpalo MO v letech 2018–2022</w:t>
      </w:r>
      <w:r w:rsidR="008314FE" w:rsidRPr="0012228B">
        <w:rPr>
          <w:rFonts w:cstheme="minorHAnsi"/>
        </w:rPr>
        <w:t xml:space="preserve"> </w:t>
      </w:r>
      <w:r w:rsidR="00E04816" w:rsidRPr="0012228B">
        <w:rPr>
          <w:rFonts w:cstheme="minorHAnsi"/>
        </w:rPr>
        <w:t>na radiační, chemickou a</w:t>
      </w:r>
      <w:r w:rsidR="007974FA">
        <w:rPr>
          <w:rFonts w:cstheme="minorHAnsi"/>
        </w:rPr>
        <w:t xml:space="preserve"> </w:t>
      </w:r>
      <w:r w:rsidR="00E04816" w:rsidRPr="0012228B">
        <w:rPr>
          <w:rFonts w:cstheme="minorHAnsi"/>
        </w:rPr>
        <w:t xml:space="preserve">biologickou ochranu </w:t>
      </w:r>
      <w:r w:rsidR="007C0316" w:rsidRPr="0012228B">
        <w:rPr>
          <w:rFonts w:cstheme="minorHAnsi"/>
        </w:rPr>
        <w:t xml:space="preserve">peněžní prostředky státního rozpočtu </w:t>
      </w:r>
      <w:r w:rsidR="008314FE" w:rsidRPr="0012228B">
        <w:rPr>
          <w:rFonts w:cstheme="minorHAnsi"/>
        </w:rPr>
        <w:t>v</w:t>
      </w:r>
      <w:r w:rsidR="007974FA">
        <w:rPr>
          <w:rFonts w:cstheme="minorHAnsi"/>
        </w:rPr>
        <w:t xml:space="preserve"> </w:t>
      </w:r>
      <w:r w:rsidR="00E04816" w:rsidRPr="0012228B">
        <w:rPr>
          <w:rFonts w:cstheme="minorHAnsi"/>
        </w:rPr>
        <w:t>celkové výši 5,3 mld. Kč</w:t>
      </w:r>
      <w:r w:rsidR="00FC40B2" w:rsidRPr="0012228B">
        <w:rPr>
          <w:rFonts w:cstheme="minorHAnsi"/>
        </w:rPr>
        <w:t>, z</w:t>
      </w:r>
      <w:r w:rsidR="006017F2">
        <w:rPr>
          <w:rFonts w:cstheme="minorHAnsi"/>
        </w:rPr>
        <w:t xml:space="preserve"> </w:t>
      </w:r>
      <w:r w:rsidR="00FC40B2" w:rsidRPr="0012228B">
        <w:rPr>
          <w:rFonts w:cstheme="minorHAnsi"/>
        </w:rPr>
        <w:t>toho 9</w:t>
      </w:r>
      <w:r w:rsidR="00A4317D" w:rsidRPr="0012228B">
        <w:rPr>
          <w:rFonts w:cstheme="minorHAnsi"/>
        </w:rPr>
        <w:t>6</w:t>
      </w:r>
      <w:r w:rsidR="00FC40B2" w:rsidRPr="0012228B">
        <w:rPr>
          <w:rFonts w:cstheme="minorHAnsi"/>
        </w:rPr>
        <w:t xml:space="preserve"> % těchto prostředků </w:t>
      </w:r>
      <w:r w:rsidR="00227ECB" w:rsidRPr="0012228B">
        <w:rPr>
          <w:rFonts w:cstheme="minorHAnsi"/>
        </w:rPr>
        <w:t>vynaložilo na rea</w:t>
      </w:r>
      <w:r w:rsidR="00B90CBE" w:rsidRPr="0012228B">
        <w:rPr>
          <w:rFonts w:cstheme="minorHAnsi"/>
        </w:rPr>
        <w:t>lizaci jed</w:t>
      </w:r>
      <w:r w:rsidR="007C0316" w:rsidRPr="0012228B">
        <w:rPr>
          <w:rFonts w:cstheme="minorHAnsi"/>
        </w:rPr>
        <w:t>iné</w:t>
      </w:r>
      <w:r w:rsidR="00B90CBE" w:rsidRPr="0012228B">
        <w:rPr>
          <w:rFonts w:cstheme="minorHAnsi"/>
        </w:rPr>
        <w:t xml:space="preserve"> </w:t>
      </w:r>
      <w:r w:rsidR="00FC40B2" w:rsidRPr="0012228B">
        <w:rPr>
          <w:rFonts w:cstheme="minorHAnsi"/>
        </w:rPr>
        <w:t>akc</w:t>
      </w:r>
      <w:r w:rsidR="00B90CBE" w:rsidRPr="0012228B">
        <w:rPr>
          <w:rFonts w:cstheme="minorHAnsi"/>
        </w:rPr>
        <w:t>e</w:t>
      </w:r>
      <w:r w:rsidR="00A2581E" w:rsidRPr="0012228B">
        <w:rPr>
          <w:rFonts w:cstheme="minorHAnsi"/>
        </w:rPr>
        <w:t xml:space="preserve">, a to na </w:t>
      </w:r>
      <w:r w:rsidR="00704CEB" w:rsidRPr="0012228B">
        <w:rPr>
          <w:rFonts w:cstheme="minorHAnsi"/>
        </w:rPr>
        <w:t>pořízení lehkých obrněných vozidel</w:t>
      </w:r>
      <w:r w:rsidR="00A2581E" w:rsidRPr="0012228B">
        <w:rPr>
          <w:rFonts w:ascii="Calibri" w:hAnsi="Calibri" w:cs="Calibri"/>
        </w:rPr>
        <w:t>.</w:t>
      </w:r>
    </w:p>
    <w:p w14:paraId="5FC43666" w14:textId="16DF3C97" w:rsidR="00125CB4" w:rsidRPr="00AB7816" w:rsidRDefault="003F0DF7" w:rsidP="00C7553F">
      <w:pPr>
        <w:pStyle w:val="Odstavecseseznamem"/>
        <w:numPr>
          <w:ilvl w:val="1"/>
          <w:numId w:val="29"/>
        </w:numPr>
        <w:spacing w:before="120"/>
        <w:ind w:left="0" w:right="6" w:firstLine="0"/>
        <w:contextualSpacing w:val="0"/>
        <w:rPr>
          <w:rFonts w:cstheme="minorHAnsi"/>
          <w:lang w:eastAsia="cs-CZ"/>
        </w:rPr>
      </w:pPr>
      <w:r w:rsidRPr="00A5594B">
        <w:rPr>
          <w:rFonts w:cstheme="minorHAnsi"/>
          <w:lang w:eastAsia="cs-CZ"/>
        </w:rPr>
        <w:t>Chemické vojsko</w:t>
      </w:r>
      <w:r w:rsidR="00194211">
        <w:rPr>
          <w:rStyle w:val="Znakapoznpodarou"/>
          <w:rFonts w:cstheme="minorHAnsi"/>
          <w:lang w:eastAsia="cs-CZ"/>
        </w:rPr>
        <w:footnoteReference w:id="17"/>
      </w:r>
      <w:r w:rsidR="00194211">
        <w:rPr>
          <w:rFonts w:cstheme="minorHAnsi"/>
          <w:lang w:eastAsia="cs-CZ"/>
        </w:rPr>
        <w:t xml:space="preserve"> </w:t>
      </w:r>
      <w:r w:rsidRPr="00872161">
        <w:rPr>
          <w:rFonts w:cstheme="minorHAnsi"/>
          <w:lang w:eastAsia="cs-CZ"/>
        </w:rPr>
        <w:t xml:space="preserve">má více než stoletou historii. Jednotky chemického vojska se v minulosti mimo jiné zúčastnily operací na území Kuvajtu, Iráku, Afghánistánu nebo </w:t>
      </w:r>
      <w:r w:rsidR="006E0A2E">
        <w:rPr>
          <w:rFonts w:cstheme="minorHAnsi"/>
          <w:lang w:eastAsia="cs-CZ"/>
        </w:rPr>
        <w:t xml:space="preserve">na </w:t>
      </w:r>
      <w:r w:rsidRPr="00872161">
        <w:rPr>
          <w:rFonts w:cstheme="minorHAnsi"/>
          <w:lang w:eastAsia="cs-CZ"/>
        </w:rPr>
        <w:t xml:space="preserve">Balkáně. </w:t>
      </w:r>
      <w:r w:rsidR="00D457AE" w:rsidRPr="009F0BED">
        <w:t xml:space="preserve">Mezi </w:t>
      </w:r>
      <w:r w:rsidR="00D457AE" w:rsidRPr="00F10765">
        <w:t>hlavní úkoly</w:t>
      </w:r>
      <w:r w:rsidR="0068146A" w:rsidRPr="00AB7816">
        <w:t xml:space="preserve"> </w:t>
      </w:r>
      <w:r w:rsidR="00D457AE" w:rsidRPr="00AB7816">
        <w:t>patří zabezpečení radiačního a</w:t>
      </w:r>
      <w:r w:rsidR="0068146A" w:rsidRPr="00B00B8F">
        <w:t xml:space="preserve"> </w:t>
      </w:r>
      <w:r w:rsidR="00D457AE" w:rsidRPr="00B00B8F">
        <w:t>chemického průzkumu a</w:t>
      </w:r>
      <w:r w:rsidR="00125567">
        <w:t> </w:t>
      </w:r>
      <w:r w:rsidR="00D457AE" w:rsidRPr="00A479A9">
        <w:t>nespecifického biologického průz</w:t>
      </w:r>
      <w:r w:rsidR="00D457AE" w:rsidRPr="006D6166">
        <w:t xml:space="preserve">kumu, odběr vzorků, laboratorní analýzy radioaktivních </w:t>
      </w:r>
      <w:r w:rsidR="006017F2">
        <w:br/>
      </w:r>
      <w:r w:rsidR="00D457AE" w:rsidRPr="006D6166">
        <w:t>a</w:t>
      </w:r>
      <w:r w:rsidR="006017F2">
        <w:t xml:space="preserve"> </w:t>
      </w:r>
      <w:r w:rsidR="00D457AE" w:rsidRPr="008749D2">
        <w:t>toxických látek i</w:t>
      </w:r>
      <w:r w:rsidR="007974FA">
        <w:t xml:space="preserve"> </w:t>
      </w:r>
      <w:r w:rsidR="00D457AE" w:rsidRPr="0009277D">
        <w:t xml:space="preserve">varování </w:t>
      </w:r>
      <w:r w:rsidR="007974FA">
        <w:t>před</w:t>
      </w:r>
      <w:r w:rsidR="00D457AE" w:rsidRPr="0009277D">
        <w:t xml:space="preserve"> napadení</w:t>
      </w:r>
      <w:r w:rsidR="007974FA">
        <w:t>m</w:t>
      </w:r>
      <w:r w:rsidR="00D457AE" w:rsidRPr="0009277D">
        <w:t xml:space="preserve"> zbraněmi hromadného ničení a únik</w:t>
      </w:r>
      <w:r w:rsidR="007974FA">
        <w:t>em</w:t>
      </w:r>
      <w:r w:rsidR="00D457AE" w:rsidRPr="0009277D">
        <w:t xml:space="preserve"> toxických látek. </w:t>
      </w:r>
      <w:r w:rsidR="00D97205" w:rsidRPr="00345425">
        <w:rPr>
          <w:rFonts w:cstheme="minorHAnsi"/>
          <w:lang w:eastAsia="cs-CZ"/>
        </w:rPr>
        <w:t xml:space="preserve">Chemické vojsko je nasazováno </w:t>
      </w:r>
      <w:r w:rsidR="00403869" w:rsidRPr="00345425">
        <w:rPr>
          <w:rFonts w:cstheme="minorHAnsi"/>
          <w:lang w:eastAsia="cs-CZ"/>
        </w:rPr>
        <w:t xml:space="preserve">i </w:t>
      </w:r>
      <w:r w:rsidR="00D97205" w:rsidRPr="00345425">
        <w:rPr>
          <w:rFonts w:cstheme="minorHAnsi"/>
          <w:lang w:eastAsia="cs-CZ"/>
        </w:rPr>
        <w:t>na podporu IZS</w:t>
      </w:r>
      <w:r w:rsidR="00117AE9" w:rsidRPr="00345425">
        <w:rPr>
          <w:rFonts w:cstheme="minorHAnsi"/>
          <w:lang w:eastAsia="cs-CZ"/>
        </w:rPr>
        <w:t xml:space="preserve"> </w:t>
      </w:r>
      <w:r w:rsidR="00D97205" w:rsidRPr="00463F06">
        <w:rPr>
          <w:rFonts w:cstheme="minorHAnsi"/>
          <w:lang w:eastAsia="cs-CZ"/>
        </w:rPr>
        <w:t>při živelních pohromách, kdy na vyžádání posk</w:t>
      </w:r>
      <w:r w:rsidR="00D97205" w:rsidRPr="00220EE8">
        <w:rPr>
          <w:rFonts w:cstheme="minorHAnsi"/>
          <w:lang w:eastAsia="cs-CZ"/>
        </w:rPr>
        <w:t xml:space="preserve">ytuje </w:t>
      </w:r>
      <w:r w:rsidR="00C7391F">
        <w:rPr>
          <w:rFonts w:cstheme="minorHAnsi"/>
          <w:lang w:eastAsia="cs-CZ"/>
        </w:rPr>
        <w:t xml:space="preserve">zejména </w:t>
      </w:r>
      <w:r w:rsidR="00D97205" w:rsidRPr="00220EE8">
        <w:rPr>
          <w:rFonts w:cstheme="minorHAnsi"/>
          <w:lang w:eastAsia="cs-CZ"/>
        </w:rPr>
        <w:t>pomoc při záchranných a</w:t>
      </w:r>
      <w:r w:rsidR="0068146A" w:rsidRPr="00220EE8">
        <w:rPr>
          <w:rFonts w:cstheme="minorHAnsi"/>
          <w:lang w:eastAsia="cs-CZ"/>
        </w:rPr>
        <w:t xml:space="preserve"> </w:t>
      </w:r>
      <w:r w:rsidR="00D97205" w:rsidRPr="00872161">
        <w:rPr>
          <w:rFonts w:cstheme="minorHAnsi"/>
          <w:lang w:eastAsia="cs-CZ"/>
        </w:rPr>
        <w:t>likvidačních pracích formou odřadů</w:t>
      </w:r>
      <w:r w:rsidR="00D457AE" w:rsidRPr="00872161">
        <w:rPr>
          <w:rStyle w:val="Znakapoznpodarou"/>
          <w:rFonts w:eastAsia="Calibri" w:cstheme="minorHAnsi"/>
        </w:rPr>
        <w:footnoteReference w:id="18"/>
      </w:r>
      <w:r w:rsidR="00D97205" w:rsidRPr="00872161">
        <w:rPr>
          <w:rFonts w:cstheme="minorHAnsi"/>
          <w:lang w:eastAsia="cs-CZ"/>
        </w:rPr>
        <w:t xml:space="preserve">. </w:t>
      </w:r>
      <w:r w:rsidR="007C0B9B">
        <w:rPr>
          <w:rFonts w:cstheme="minorHAnsi"/>
          <w:lang w:eastAsia="cs-CZ"/>
        </w:rPr>
        <w:t xml:space="preserve">MO, resp. </w:t>
      </w:r>
      <w:r w:rsidR="00D97205" w:rsidRPr="00872161">
        <w:rPr>
          <w:rFonts w:cstheme="minorHAnsi"/>
          <w:lang w:eastAsia="cs-CZ"/>
        </w:rPr>
        <w:t xml:space="preserve">AČR </w:t>
      </w:r>
      <w:r w:rsidR="005579F7" w:rsidRPr="00872161">
        <w:rPr>
          <w:rFonts w:cstheme="minorHAnsi"/>
          <w:lang w:eastAsia="cs-CZ"/>
        </w:rPr>
        <w:t xml:space="preserve">na podporu IZS </w:t>
      </w:r>
      <w:r w:rsidR="00D97205" w:rsidRPr="00872161">
        <w:rPr>
          <w:rFonts w:cstheme="minorHAnsi"/>
          <w:lang w:eastAsia="cs-CZ"/>
        </w:rPr>
        <w:t xml:space="preserve">vyčleňuje odřady pro dekontaminaci techniky </w:t>
      </w:r>
      <w:r w:rsidR="006017F2">
        <w:rPr>
          <w:rFonts w:cstheme="minorHAnsi"/>
          <w:lang w:eastAsia="cs-CZ"/>
        </w:rPr>
        <w:br/>
      </w:r>
      <w:r w:rsidR="00D97205" w:rsidRPr="00872161">
        <w:rPr>
          <w:rFonts w:cstheme="minorHAnsi"/>
          <w:lang w:eastAsia="cs-CZ"/>
        </w:rPr>
        <w:t>a</w:t>
      </w:r>
      <w:r w:rsidR="006017F2">
        <w:rPr>
          <w:rFonts w:cstheme="minorHAnsi"/>
          <w:lang w:eastAsia="cs-CZ"/>
        </w:rPr>
        <w:t xml:space="preserve"> </w:t>
      </w:r>
      <w:r w:rsidR="00D97205" w:rsidRPr="00872161">
        <w:rPr>
          <w:rFonts w:cstheme="minorHAnsi"/>
          <w:lang w:eastAsia="cs-CZ"/>
        </w:rPr>
        <w:t>osob, speciální mobilní b</w:t>
      </w:r>
      <w:r w:rsidR="00D97205" w:rsidRPr="009A58A6">
        <w:rPr>
          <w:rFonts w:cstheme="minorHAnsi"/>
          <w:lang w:eastAsia="cs-CZ"/>
        </w:rPr>
        <w:t>iologický tým, průzkumný biologický tým a specializovanou infekční nemocnici</w:t>
      </w:r>
      <w:r w:rsidR="00C7391F" w:rsidRPr="00C7391F">
        <w:rPr>
          <w:rFonts w:cstheme="minorHAnsi"/>
        </w:rPr>
        <w:t xml:space="preserve"> </w:t>
      </w:r>
      <w:r w:rsidR="00C7391F">
        <w:rPr>
          <w:rFonts w:cstheme="minorHAnsi"/>
        </w:rPr>
        <w:t>(</w:t>
      </w:r>
      <w:r w:rsidR="00C7391F" w:rsidRPr="00065CEB">
        <w:rPr>
          <w:rFonts w:cstheme="minorHAnsi"/>
        </w:rPr>
        <w:t>CBO Těchonín</w:t>
      </w:r>
      <w:r w:rsidR="00C7391F">
        <w:rPr>
          <w:rFonts w:cstheme="minorHAnsi"/>
        </w:rPr>
        <w:t>)</w:t>
      </w:r>
      <w:r w:rsidR="00D97205" w:rsidRPr="009A58A6">
        <w:rPr>
          <w:rFonts w:cstheme="minorHAnsi"/>
          <w:lang w:eastAsia="cs-CZ"/>
        </w:rPr>
        <w:t>.</w:t>
      </w:r>
      <w:r w:rsidR="007C0B9B">
        <w:rPr>
          <w:rFonts w:cstheme="minorHAnsi"/>
          <w:lang w:eastAsia="cs-CZ"/>
        </w:rPr>
        <w:t xml:space="preserve"> </w:t>
      </w:r>
      <w:r w:rsidR="00D97205" w:rsidRPr="009A58A6">
        <w:rPr>
          <w:rFonts w:cstheme="minorHAnsi"/>
          <w:lang w:eastAsia="cs-CZ"/>
        </w:rPr>
        <w:t>Vyčleňování sil a</w:t>
      </w:r>
      <w:r w:rsidR="00403869" w:rsidRPr="00A5594B">
        <w:rPr>
          <w:rFonts w:cstheme="minorHAnsi"/>
          <w:lang w:eastAsia="cs-CZ"/>
        </w:rPr>
        <w:t xml:space="preserve"> </w:t>
      </w:r>
      <w:r w:rsidR="00D97205" w:rsidRPr="00A5594B">
        <w:rPr>
          <w:rFonts w:cstheme="minorHAnsi"/>
          <w:lang w:eastAsia="cs-CZ"/>
        </w:rPr>
        <w:t xml:space="preserve">prostředků </w:t>
      </w:r>
      <w:r w:rsidR="007C0B9B" w:rsidRPr="00872161">
        <w:rPr>
          <w:rFonts w:cstheme="minorHAnsi"/>
          <w:lang w:eastAsia="cs-CZ"/>
        </w:rPr>
        <w:t xml:space="preserve">na podporu IZS </w:t>
      </w:r>
      <w:r w:rsidR="00D97205" w:rsidRPr="00A5594B">
        <w:rPr>
          <w:rFonts w:cstheme="minorHAnsi"/>
          <w:lang w:eastAsia="cs-CZ"/>
        </w:rPr>
        <w:t>se řídí dohodami o</w:t>
      </w:r>
      <w:r w:rsidR="007A6EEB" w:rsidRPr="009F0BED">
        <w:rPr>
          <w:rFonts w:cstheme="minorHAnsi"/>
          <w:lang w:eastAsia="cs-CZ"/>
        </w:rPr>
        <w:t> </w:t>
      </w:r>
      <w:r w:rsidR="00D97205" w:rsidRPr="009F0BED">
        <w:rPr>
          <w:rFonts w:cstheme="minorHAnsi"/>
          <w:lang w:eastAsia="cs-CZ"/>
        </w:rPr>
        <w:t xml:space="preserve">spolupráci mezi </w:t>
      </w:r>
      <w:r w:rsidR="009A743A" w:rsidRPr="009F0BED">
        <w:rPr>
          <w:rFonts w:cstheme="minorHAnsi"/>
          <w:lang w:eastAsia="cs-CZ"/>
        </w:rPr>
        <w:t>M</w:t>
      </w:r>
      <w:r w:rsidR="0033753C">
        <w:rPr>
          <w:rFonts w:cstheme="minorHAnsi"/>
          <w:lang w:eastAsia="cs-CZ"/>
        </w:rPr>
        <w:t>O</w:t>
      </w:r>
      <w:r w:rsidR="00D97205" w:rsidRPr="009F0BED">
        <w:rPr>
          <w:rFonts w:cstheme="minorHAnsi"/>
          <w:lang w:eastAsia="cs-CZ"/>
        </w:rPr>
        <w:t>, Ministerstvem vnitra a</w:t>
      </w:r>
      <w:r w:rsidR="009A743A" w:rsidRPr="00F10765">
        <w:rPr>
          <w:rFonts w:cstheme="minorHAnsi"/>
          <w:lang w:eastAsia="cs-CZ"/>
        </w:rPr>
        <w:t xml:space="preserve"> </w:t>
      </w:r>
      <w:r w:rsidR="00D97205" w:rsidRPr="00F10765">
        <w:rPr>
          <w:rFonts w:cstheme="minorHAnsi"/>
          <w:lang w:eastAsia="cs-CZ"/>
        </w:rPr>
        <w:t>Ministerstvem zdravotnictví.</w:t>
      </w:r>
    </w:p>
    <w:p w14:paraId="0567CEAF" w14:textId="36523770" w:rsidR="00CC2483" w:rsidRPr="00BD1BC0" w:rsidRDefault="00D457AE" w:rsidP="00C7553F">
      <w:pPr>
        <w:pStyle w:val="Odstavecseseznamem"/>
        <w:numPr>
          <w:ilvl w:val="1"/>
          <w:numId w:val="29"/>
        </w:numPr>
        <w:spacing w:before="120"/>
        <w:ind w:left="0" w:right="6" w:firstLine="0"/>
        <w:contextualSpacing w:val="0"/>
        <w:rPr>
          <w:rFonts w:ascii="Calibri" w:hAnsi="Calibri" w:cs="Calibri"/>
        </w:rPr>
      </w:pPr>
      <w:r w:rsidRPr="00D755DB">
        <w:rPr>
          <w:rFonts w:ascii="Calibri" w:hAnsi="Calibri" w:cs="Calibri"/>
          <w:bCs/>
          <w:shd w:val="clear" w:color="auto" w:fill="FFFFFF"/>
        </w:rPr>
        <w:t>Odbor biologické ochrany – Těchonín</w:t>
      </w:r>
      <w:r w:rsidRPr="00BD1BC0">
        <w:rPr>
          <w:rFonts w:ascii="Calibri" w:hAnsi="Calibri" w:cs="Calibri"/>
          <w:bCs/>
          <w:shd w:val="clear" w:color="auto" w:fill="FFFFFF"/>
        </w:rPr>
        <w:t xml:space="preserve"> je specializované zdravotnické zařízení </w:t>
      </w:r>
      <w:r w:rsidR="0082483D" w:rsidRPr="00BD1BC0">
        <w:rPr>
          <w:rFonts w:ascii="Calibri" w:hAnsi="Calibri" w:cs="Calibri"/>
          <w:bCs/>
          <w:shd w:val="clear" w:color="auto" w:fill="FFFFFF"/>
        </w:rPr>
        <w:t>AČR</w:t>
      </w:r>
      <w:r w:rsidRPr="00BD1BC0">
        <w:rPr>
          <w:rFonts w:ascii="Calibri" w:hAnsi="Calibri" w:cs="Calibri"/>
          <w:bCs/>
          <w:shd w:val="clear" w:color="auto" w:fill="FFFFFF"/>
        </w:rPr>
        <w:t xml:space="preserve">, které slouží ke komplexnímu zabezpečení biologické ochrany AČR. Je jedním ze středisek Vojenského zdravotního ústavu </w:t>
      </w:r>
      <w:r w:rsidR="00A81765">
        <w:rPr>
          <w:rFonts w:ascii="Calibri" w:hAnsi="Calibri" w:cs="Calibri"/>
          <w:bCs/>
          <w:shd w:val="clear" w:color="auto" w:fill="FFFFFF"/>
        </w:rPr>
        <w:t xml:space="preserve">Agentury Vojenského zdravotnictví AČR </w:t>
      </w:r>
      <w:r w:rsidRPr="00BD1BC0">
        <w:rPr>
          <w:rFonts w:ascii="Calibri" w:hAnsi="Calibri" w:cs="Calibri"/>
          <w:bCs/>
          <w:shd w:val="clear" w:color="auto" w:fill="FFFFFF"/>
        </w:rPr>
        <w:t>se sídlem v</w:t>
      </w:r>
      <w:r w:rsidR="00D83385">
        <w:rPr>
          <w:rFonts w:ascii="Calibri" w:hAnsi="Calibri" w:cs="Calibri"/>
          <w:bCs/>
          <w:shd w:val="clear" w:color="auto" w:fill="FFFFFF"/>
        </w:rPr>
        <w:t> </w:t>
      </w:r>
      <w:r w:rsidRPr="00BD1BC0">
        <w:rPr>
          <w:rFonts w:ascii="Calibri" w:hAnsi="Calibri" w:cs="Calibri"/>
          <w:bCs/>
          <w:shd w:val="clear" w:color="auto" w:fill="FFFFFF"/>
        </w:rPr>
        <w:t>Praze.</w:t>
      </w:r>
      <w:r w:rsidR="00D83385">
        <w:rPr>
          <w:rFonts w:ascii="Calibri" w:hAnsi="Calibri" w:cs="Calibri"/>
          <w:bCs/>
          <w:shd w:val="clear" w:color="auto" w:fill="FFFFFF"/>
        </w:rPr>
        <w:t xml:space="preserve"> </w:t>
      </w:r>
      <w:r w:rsidRPr="00BD1BC0">
        <w:rPr>
          <w:rFonts w:ascii="Calibri" w:hAnsi="Calibri" w:cs="Calibri"/>
          <w:shd w:val="clear" w:color="auto" w:fill="FFFFFF"/>
        </w:rPr>
        <w:t xml:space="preserve">Součástí </w:t>
      </w:r>
      <w:r w:rsidR="007C0B9B">
        <w:rPr>
          <w:rFonts w:ascii="Calibri" w:hAnsi="Calibri" w:cs="Calibri"/>
          <w:shd w:val="clear" w:color="auto" w:fill="FFFFFF"/>
        </w:rPr>
        <w:t>odboru</w:t>
      </w:r>
      <w:r w:rsidRPr="00BD1BC0">
        <w:rPr>
          <w:rFonts w:ascii="Calibri" w:hAnsi="Calibri" w:cs="Calibri"/>
          <w:shd w:val="clear" w:color="auto" w:fill="FFFFFF"/>
        </w:rPr>
        <w:t xml:space="preserve"> je specializovaná infekční nemocnice pro izolaci a</w:t>
      </w:r>
      <w:r w:rsidR="007974FA">
        <w:rPr>
          <w:rFonts w:ascii="Calibri" w:hAnsi="Calibri" w:cs="Calibri"/>
          <w:shd w:val="clear" w:color="auto" w:fill="FFFFFF"/>
        </w:rPr>
        <w:t xml:space="preserve"> </w:t>
      </w:r>
      <w:r w:rsidRPr="00BD1BC0">
        <w:rPr>
          <w:rFonts w:ascii="Calibri" w:hAnsi="Calibri" w:cs="Calibri"/>
          <w:shd w:val="clear" w:color="auto" w:fill="FFFFFF"/>
        </w:rPr>
        <w:t>léčení osob se zvláště nebezpečnými a exotickými infekcemi na úrovni stupně biologického zabezpečení BSL</w:t>
      </w:r>
      <w:r w:rsidR="005875F0">
        <w:rPr>
          <w:rFonts w:ascii="Calibri" w:hAnsi="Calibri" w:cs="Calibri"/>
          <w:shd w:val="clear" w:color="auto" w:fill="FFFFFF"/>
        </w:rPr>
        <w:t>-</w:t>
      </w:r>
      <w:r w:rsidRPr="00BD1BC0">
        <w:rPr>
          <w:rFonts w:ascii="Calibri" w:hAnsi="Calibri" w:cs="Calibri"/>
          <w:shd w:val="clear" w:color="auto" w:fill="FFFFFF"/>
        </w:rPr>
        <w:t>3 a</w:t>
      </w:r>
      <w:r w:rsidR="000E6B76">
        <w:rPr>
          <w:rFonts w:ascii="Calibri" w:hAnsi="Calibri" w:cs="Calibri"/>
          <w:shd w:val="clear" w:color="auto" w:fill="FFFFFF"/>
        </w:rPr>
        <w:t> </w:t>
      </w:r>
      <w:r w:rsidRPr="00BD1BC0">
        <w:rPr>
          <w:rFonts w:ascii="Calibri" w:hAnsi="Calibri" w:cs="Calibri"/>
          <w:shd w:val="clear" w:color="auto" w:fill="FFFFFF"/>
        </w:rPr>
        <w:t>BSL</w:t>
      </w:r>
      <w:r w:rsidR="005875F0">
        <w:rPr>
          <w:rFonts w:ascii="Calibri" w:hAnsi="Calibri" w:cs="Calibri"/>
          <w:shd w:val="clear" w:color="auto" w:fill="FFFFFF"/>
        </w:rPr>
        <w:t>-</w:t>
      </w:r>
      <w:r w:rsidRPr="00BD1BC0">
        <w:rPr>
          <w:rFonts w:ascii="Calibri" w:hAnsi="Calibri" w:cs="Calibri"/>
          <w:shd w:val="clear" w:color="auto" w:fill="FFFFFF"/>
        </w:rPr>
        <w:t>4 (</w:t>
      </w:r>
      <w:proofErr w:type="spellStart"/>
      <w:r w:rsidRPr="00315D9B">
        <w:rPr>
          <w:rFonts w:ascii="Calibri" w:hAnsi="Calibri" w:cs="Calibri"/>
          <w:shd w:val="clear" w:color="auto" w:fill="FFFFFF"/>
        </w:rPr>
        <w:t>Biosafety</w:t>
      </w:r>
      <w:proofErr w:type="spellEnd"/>
      <w:r w:rsidRPr="00315D9B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15D9B">
        <w:rPr>
          <w:rFonts w:ascii="Calibri" w:hAnsi="Calibri" w:cs="Calibri"/>
          <w:shd w:val="clear" w:color="auto" w:fill="FFFFFF"/>
        </w:rPr>
        <w:t>Level</w:t>
      </w:r>
      <w:proofErr w:type="spellEnd"/>
      <w:r w:rsidRPr="00BD1BC0">
        <w:rPr>
          <w:rFonts w:ascii="Calibri" w:hAnsi="Calibri" w:cs="Calibri"/>
          <w:shd w:val="clear" w:color="auto" w:fill="FFFFFF"/>
        </w:rPr>
        <w:t xml:space="preserve"> 3, 4). Poskytuje izolačně-karanténní kapacity pro vyšetření vojáků po jejich návratu z</w:t>
      </w:r>
      <w:r w:rsidR="00427833">
        <w:rPr>
          <w:rFonts w:ascii="Calibri" w:hAnsi="Calibri" w:cs="Calibri"/>
          <w:shd w:val="clear" w:color="auto" w:fill="FFFFFF"/>
        </w:rPr>
        <w:t>e zahraničních operac</w:t>
      </w:r>
      <w:r w:rsidRPr="00BD1BC0">
        <w:rPr>
          <w:rFonts w:ascii="Calibri" w:hAnsi="Calibri" w:cs="Calibri"/>
          <w:shd w:val="clear" w:color="auto" w:fill="FFFFFF"/>
        </w:rPr>
        <w:t xml:space="preserve">í. </w:t>
      </w:r>
      <w:r w:rsidR="009E3218" w:rsidRPr="00BD1BC0">
        <w:rPr>
          <w:rFonts w:ascii="Calibri" w:hAnsi="Calibri" w:cs="Calibri"/>
        </w:rPr>
        <w:t>J</w:t>
      </w:r>
      <w:r w:rsidRPr="00BD1BC0">
        <w:rPr>
          <w:rFonts w:ascii="Calibri" w:hAnsi="Calibri" w:cs="Calibri"/>
        </w:rPr>
        <w:t xml:space="preserve">e součástí </w:t>
      </w:r>
      <w:r w:rsidR="009E3218" w:rsidRPr="00BD1BC0">
        <w:rPr>
          <w:rFonts w:ascii="Calibri" w:hAnsi="Calibri" w:cs="Calibri"/>
        </w:rPr>
        <w:t xml:space="preserve">IZS </w:t>
      </w:r>
      <w:r w:rsidRPr="00BD1BC0">
        <w:rPr>
          <w:rFonts w:ascii="Calibri" w:hAnsi="Calibri" w:cs="Calibri"/>
        </w:rPr>
        <w:t>a je zapojen</w:t>
      </w:r>
      <w:r w:rsidR="007974FA">
        <w:rPr>
          <w:rFonts w:ascii="Calibri" w:hAnsi="Calibri" w:cs="Calibri"/>
        </w:rPr>
        <w:t>a</w:t>
      </w:r>
      <w:r w:rsidRPr="00BD1BC0">
        <w:rPr>
          <w:rFonts w:ascii="Calibri" w:hAnsi="Calibri" w:cs="Calibri"/>
        </w:rPr>
        <w:t xml:space="preserve"> do systému biologické ochrany NATO.</w:t>
      </w:r>
    </w:p>
    <w:p w14:paraId="780D4516" w14:textId="1731740F" w:rsidR="00D755DB" w:rsidRPr="00874BC6" w:rsidRDefault="00D755DB" w:rsidP="004B0027">
      <w:pPr>
        <w:pStyle w:val="Odstavecseseznamem"/>
        <w:numPr>
          <w:ilvl w:val="1"/>
          <w:numId w:val="29"/>
        </w:numPr>
        <w:spacing w:before="120"/>
        <w:ind w:left="0" w:right="6" w:firstLine="0"/>
        <w:contextualSpacing w:val="0"/>
        <w:rPr>
          <w:rFonts w:cstheme="minorHAnsi"/>
          <w:b/>
        </w:rPr>
      </w:pPr>
      <w:bookmarkStart w:id="13" w:name="_Hlk145506121"/>
      <w:bookmarkStart w:id="14" w:name="_Hlk145512463"/>
      <w:r w:rsidRPr="00874BC6">
        <w:t>V</w:t>
      </w:r>
      <w:r w:rsidR="007974FA">
        <w:t xml:space="preserve"> </w:t>
      </w:r>
      <w:r w:rsidRPr="00874BC6">
        <w:t>oblasti radiační a chemické ochrany byl</w:t>
      </w:r>
      <w:r w:rsidR="00C7391F">
        <w:t>y</w:t>
      </w:r>
      <w:r w:rsidRPr="00874BC6">
        <w:t xml:space="preserve"> prověřeny dva programy reprodukce majetku, a to program 107V68</w:t>
      </w:r>
      <w:r w:rsidR="00C7391F">
        <w:rPr>
          <w:i/>
        </w:rPr>
        <w:t xml:space="preserve"> </w:t>
      </w:r>
      <w:r w:rsidR="00C7391F" w:rsidRPr="001A25F5">
        <w:t>–</w:t>
      </w:r>
      <w:r w:rsidR="00C7391F">
        <w:rPr>
          <w:i/>
        </w:rPr>
        <w:t xml:space="preserve"> </w:t>
      </w:r>
      <w:r w:rsidRPr="00874BC6">
        <w:rPr>
          <w:i/>
        </w:rPr>
        <w:t>Udržení a rozvoj schopností pozemních sil</w:t>
      </w:r>
      <w:r w:rsidR="00905786" w:rsidRPr="00874BC6">
        <w:t xml:space="preserve"> </w:t>
      </w:r>
      <w:r w:rsidR="007974FA" w:rsidRPr="00BC4F1D">
        <w:rPr>
          <w:i/>
        </w:rPr>
        <w:t>AČR</w:t>
      </w:r>
      <w:r w:rsidR="007974FA">
        <w:t xml:space="preserve"> </w:t>
      </w:r>
      <w:r w:rsidR="007974FA">
        <w:br/>
      </w:r>
      <w:r w:rsidR="00905786" w:rsidRPr="00874BC6">
        <w:t xml:space="preserve">a 107V08 </w:t>
      </w:r>
      <w:r w:rsidR="00C7391F" w:rsidRPr="001A25F5">
        <w:t>–</w:t>
      </w:r>
      <w:r w:rsidR="00C7391F" w:rsidRPr="00C7391F" w:rsidDel="00C7391F">
        <w:rPr>
          <w:i/>
        </w:rPr>
        <w:t xml:space="preserve"> </w:t>
      </w:r>
      <w:r w:rsidR="00905786" w:rsidRPr="00874BC6">
        <w:rPr>
          <w:i/>
        </w:rPr>
        <w:t>Strategický program pozemních sil AČR</w:t>
      </w:r>
      <w:r w:rsidR="00221F4B" w:rsidRPr="00874BC6">
        <w:t>, jejichž c</w:t>
      </w:r>
      <w:r w:rsidR="0092782C" w:rsidRPr="00874BC6">
        <w:t xml:space="preserve">ílem bylo </w:t>
      </w:r>
      <w:r w:rsidR="007639EC" w:rsidRPr="00874BC6">
        <w:t xml:space="preserve">pořízení </w:t>
      </w:r>
      <w:r w:rsidR="00221F4B" w:rsidRPr="00874BC6">
        <w:t>materiál</w:t>
      </w:r>
      <w:r w:rsidR="007639EC" w:rsidRPr="00874BC6">
        <w:t xml:space="preserve">u </w:t>
      </w:r>
      <w:r w:rsidR="006017F2">
        <w:br/>
      </w:r>
      <w:r w:rsidR="00221F4B" w:rsidRPr="00874BC6">
        <w:t>a</w:t>
      </w:r>
      <w:r w:rsidR="006017F2">
        <w:t xml:space="preserve"> </w:t>
      </w:r>
      <w:r w:rsidR="00221F4B" w:rsidRPr="00874BC6">
        <w:t>technik</w:t>
      </w:r>
      <w:r w:rsidR="007639EC" w:rsidRPr="00874BC6">
        <w:t xml:space="preserve">y </w:t>
      </w:r>
      <w:r w:rsidR="00221F4B" w:rsidRPr="00874BC6">
        <w:t>k</w:t>
      </w:r>
      <w:r w:rsidR="007974FA">
        <w:t xml:space="preserve"> </w:t>
      </w:r>
      <w:r w:rsidR="00221F4B" w:rsidRPr="00874BC6">
        <w:t>rozvoji schopností chemického vojska</w:t>
      </w:r>
      <w:r w:rsidR="007639EC" w:rsidRPr="00874BC6">
        <w:t xml:space="preserve">. </w:t>
      </w:r>
      <w:r w:rsidR="00221F4B" w:rsidRPr="00874BC6">
        <w:t>Ke kontrole bylo vybráno devět akcí, jejichž cílem bylo</w:t>
      </w:r>
      <w:r w:rsidR="007639EC" w:rsidRPr="00874BC6">
        <w:t xml:space="preserve"> </w:t>
      </w:r>
      <w:r w:rsidR="004B0027" w:rsidRPr="00874BC6">
        <w:t xml:space="preserve">například </w:t>
      </w:r>
      <w:r w:rsidR="00221F4B" w:rsidRPr="00874BC6">
        <w:t xml:space="preserve">pořízení přístrojů pro analýzu a detekci </w:t>
      </w:r>
      <w:r w:rsidR="000E6B76" w:rsidRPr="00874BC6">
        <w:t xml:space="preserve">bojových </w:t>
      </w:r>
      <w:r w:rsidR="00221F4B" w:rsidRPr="00874BC6">
        <w:t>chemických látek</w:t>
      </w:r>
      <w:r w:rsidR="007639EC" w:rsidRPr="00874BC6">
        <w:t xml:space="preserve">, </w:t>
      </w:r>
      <w:r w:rsidR="007974FA">
        <w:t xml:space="preserve">pořízení </w:t>
      </w:r>
      <w:r w:rsidR="007639EC" w:rsidRPr="00874BC6">
        <w:t>lehkých obrněných vozidel, softwaru CBRN</w:t>
      </w:r>
      <w:r w:rsidR="000E6B76" w:rsidRPr="00874BC6">
        <w:rPr>
          <w:rStyle w:val="Znakapoznpodarou"/>
        </w:rPr>
        <w:footnoteReference w:id="19"/>
      </w:r>
      <w:r w:rsidR="007639EC" w:rsidRPr="00874BC6">
        <w:t xml:space="preserve"> </w:t>
      </w:r>
      <w:proofErr w:type="spellStart"/>
      <w:r w:rsidR="007639EC" w:rsidRPr="00315D9B">
        <w:t>Analysis</w:t>
      </w:r>
      <w:proofErr w:type="spellEnd"/>
      <w:r w:rsidR="004B0027" w:rsidRPr="00874BC6">
        <w:t xml:space="preserve"> </w:t>
      </w:r>
      <w:r w:rsidR="00653610">
        <w:t>nebo</w:t>
      </w:r>
      <w:r w:rsidR="00653610" w:rsidRPr="00874BC6">
        <w:t xml:space="preserve"> </w:t>
      </w:r>
      <w:r w:rsidR="000E6B76" w:rsidRPr="00874BC6">
        <w:t>p</w:t>
      </w:r>
      <w:r w:rsidR="004B0027" w:rsidRPr="00874BC6">
        <w:t xml:space="preserve">rovětrávaných protichemických </w:t>
      </w:r>
      <w:r w:rsidR="008D114A">
        <w:t xml:space="preserve">izolačních </w:t>
      </w:r>
      <w:r w:rsidR="004B0027" w:rsidRPr="00874BC6">
        <w:t>oděvů.</w:t>
      </w:r>
      <w:r w:rsidR="004B0027" w:rsidRPr="00BC4F1D">
        <w:rPr>
          <w:rFonts w:cstheme="minorHAnsi"/>
        </w:rPr>
        <w:t xml:space="preserve"> </w:t>
      </w:r>
      <w:r w:rsidRPr="00874BC6">
        <w:t>V</w:t>
      </w:r>
      <w:r w:rsidR="007974FA">
        <w:t xml:space="preserve"> </w:t>
      </w:r>
      <w:r w:rsidRPr="00874BC6">
        <w:t>oblasti biologické ochrany byl prověřen program 107V490</w:t>
      </w:r>
      <w:r w:rsidRPr="00874BC6">
        <w:rPr>
          <w:i/>
        </w:rPr>
        <w:t xml:space="preserve"> </w:t>
      </w:r>
      <w:r w:rsidR="00653610" w:rsidRPr="001A25F5">
        <w:t>–</w:t>
      </w:r>
      <w:r w:rsidR="00653610" w:rsidRPr="00653610">
        <w:rPr>
          <w:i/>
        </w:rPr>
        <w:t xml:space="preserve"> </w:t>
      </w:r>
      <w:r w:rsidRPr="00874BC6">
        <w:rPr>
          <w:i/>
        </w:rPr>
        <w:t>Udržení a</w:t>
      </w:r>
      <w:r w:rsidR="007974FA">
        <w:rPr>
          <w:i/>
        </w:rPr>
        <w:t xml:space="preserve"> </w:t>
      </w:r>
      <w:r w:rsidRPr="00874BC6">
        <w:rPr>
          <w:i/>
        </w:rPr>
        <w:t>rozvoj schopnost</w:t>
      </w:r>
      <w:r w:rsidR="007974FA">
        <w:rPr>
          <w:i/>
        </w:rPr>
        <w:t>í</w:t>
      </w:r>
      <w:r w:rsidRPr="00874BC6">
        <w:rPr>
          <w:i/>
        </w:rPr>
        <w:t xml:space="preserve"> zdravotnické podpory</w:t>
      </w:r>
      <w:r w:rsidRPr="00874BC6">
        <w:t xml:space="preserve">, jehož cílem bylo </w:t>
      </w:r>
      <w:r w:rsidR="00653610">
        <w:t>mimo jiné</w:t>
      </w:r>
      <w:r w:rsidRPr="00874BC6">
        <w:t xml:space="preserve"> vytvořit věcné a</w:t>
      </w:r>
      <w:r w:rsidR="007974FA">
        <w:t xml:space="preserve"> </w:t>
      </w:r>
      <w:r w:rsidRPr="00874BC6">
        <w:t xml:space="preserve">materiální podmínky pro zajištění hygienicko-protiepidemického zabezpečení a biologické ochrany vojsk. Ke kontrole byly vybrány tři akce, jejichž cílem byla modernizace nástaveb vozidel biologické ochrany (BIOROVER), výstavba temperovaných garáží a výstavba objektu pro vědu a výzkum. </w:t>
      </w:r>
    </w:p>
    <w:p w14:paraId="177F8D76" w14:textId="3A055DBC" w:rsidR="009A743A" w:rsidRPr="003736B8" w:rsidRDefault="005D2C26" w:rsidP="004C3E51">
      <w:pPr>
        <w:pStyle w:val="Odstavecseseznamem"/>
        <w:numPr>
          <w:ilvl w:val="1"/>
          <w:numId w:val="29"/>
        </w:numPr>
        <w:spacing w:before="120"/>
        <w:ind w:left="0" w:right="6" w:firstLine="0"/>
        <w:contextualSpacing w:val="0"/>
        <w:rPr>
          <w:rFonts w:cstheme="minorHAnsi"/>
        </w:rPr>
      </w:pPr>
      <w:r w:rsidRPr="00D755DB">
        <w:rPr>
          <w:rFonts w:cstheme="minorHAnsi"/>
        </w:rPr>
        <w:t xml:space="preserve">Projekty </w:t>
      </w:r>
      <w:r w:rsidR="007330DF" w:rsidRPr="00D755DB">
        <w:rPr>
          <w:lang w:eastAsia="cs-CZ"/>
        </w:rPr>
        <w:t>obranného výzkumu</w:t>
      </w:r>
      <w:r w:rsidR="00156ACA" w:rsidRPr="00D755DB">
        <w:rPr>
          <w:lang w:eastAsia="cs-CZ"/>
        </w:rPr>
        <w:t>, experimentálního vývoje a inovací</w:t>
      </w:r>
      <w:r w:rsidR="00156ACA" w:rsidRPr="003736B8">
        <w:rPr>
          <w:b/>
          <w:lang w:eastAsia="cs-CZ"/>
        </w:rPr>
        <w:t xml:space="preserve"> </w:t>
      </w:r>
      <w:r w:rsidR="007330DF" w:rsidRPr="00BD1BC0">
        <w:rPr>
          <w:lang w:eastAsia="cs-CZ"/>
        </w:rPr>
        <w:t>j</w:t>
      </w:r>
      <w:r>
        <w:rPr>
          <w:lang w:eastAsia="cs-CZ"/>
        </w:rPr>
        <w:t>sou</w:t>
      </w:r>
      <w:r w:rsidR="007330DF" w:rsidRPr="00BD1BC0">
        <w:rPr>
          <w:lang w:eastAsia="cs-CZ"/>
        </w:rPr>
        <w:t xml:space="preserve"> určen</w:t>
      </w:r>
      <w:r>
        <w:rPr>
          <w:lang w:eastAsia="cs-CZ"/>
        </w:rPr>
        <w:t>y</w:t>
      </w:r>
      <w:r w:rsidR="007330DF" w:rsidRPr="00BD1BC0">
        <w:rPr>
          <w:lang w:eastAsia="cs-CZ"/>
        </w:rPr>
        <w:t xml:space="preserve"> </w:t>
      </w:r>
      <w:r w:rsidR="00D26F21">
        <w:rPr>
          <w:lang w:eastAsia="cs-CZ"/>
        </w:rPr>
        <w:t xml:space="preserve">mimo jiné </w:t>
      </w:r>
      <w:r w:rsidR="007330DF" w:rsidRPr="00BD1BC0">
        <w:rPr>
          <w:lang w:eastAsia="cs-CZ"/>
        </w:rPr>
        <w:t>k</w:t>
      </w:r>
      <w:r w:rsidR="006017F2">
        <w:rPr>
          <w:lang w:eastAsia="cs-CZ"/>
        </w:rPr>
        <w:t xml:space="preserve"> </w:t>
      </w:r>
      <w:r w:rsidR="007330DF" w:rsidRPr="00BD1BC0">
        <w:rPr>
          <w:lang w:eastAsia="cs-CZ"/>
        </w:rPr>
        <w:t xml:space="preserve">výzkumu </w:t>
      </w:r>
      <w:r w:rsidR="00D457AE" w:rsidRPr="00BD1BC0">
        <w:t xml:space="preserve">nových </w:t>
      </w:r>
      <w:r w:rsidR="007330DF" w:rsidRPr="00BD1BC0">
        <w:t>metod, postupů a</w:t>
      </w:r>
      <w:r w:rsidR="00156ACA" w:rsidRPr="00BD1BC0">
        <w:t xml:space="preserve"> </w:t>
      </w:r>
      <w:r w:rsidR="007330DF" w:rsidRPr="00BD1BC0">
        <w:t xml:space="preserve">technických řešení a vývoji nových zbraňových systémů za účelem získávání nových </w:t>
      </w:r>
      <w:r w:rsidR="00D457AE" w:rsidRPr="00BD1BC0">
        <w:t xml:space="preserve">schopností </w:t>
      </w:r>
      <w:r w:rsidR="00C20720">
        <w:t xml:space="preserve">chemického vojska </w:t>
      </w:r>
      <w:r w:rsidR="00BE05C0" w:rsidRPr="00BD1BC0">
        <w:t>A</w:t>
      </w:r>
      <w:r w:rsidR="00D457AE" w:rsidRPr="00BD1BC0">
        <w:t xml:space="preserve">ČR. MO je poskytovatelem </w:t>
      </w:r>
      <w:r w:rsidR="007330DF" w:rsidRPr="00BD1BC0">
        <w:t xml:space="preserve">institucionální a účelové </w:t>
      </w:r>
      <w:r w:rsidR="00D457AE" w:rsidRPr="00BD1BC0">
        <w:t>podpory, řešitelem, uživatelem i</w:t>
      </w:r>
      <w:r w:rsidR="006E427A">
        <w:t xml:space="preserve"> </w:t>
      </w:r>
      <w:r w:rsidR="00D457AE" w:rsidRPr="00BD1BC0">
        <w:t xml:space="preserve">auditorem </w:t>
      </w:r>
      <w:r w:rsidR="00653610">
        <w:t xml:space="preserve">těchto </w:t>
      </w:r>
      <w:r w:rsidR="00D457AE" w:rsidRPr="00BD1BC0">
        <w:t xml:space="preserve">projektů. </w:t>
      </w:r>
      <w:r w:rsidR="00FB52B1">
        <w:t>Ke kontrole byly vybrány dva projekty, jejichž cílem byl</w:t>
      </w:r>
      <w:r w:rsidR="00DF063C">
        <w:t>o</w:t>
      </w:r>
      <w:r w:rsidR="00FB52B1">
        <w:t xml:space="preserve"> </w:t>
      </w:r>
      <w:r w:rsidR="00DF063C">
        <w:t>navrhnout</w:t>
      </w:r>
      <w:r w:rsidR="00FB52B1">
        <w:t xml:space="preserve"> a </w:t>
      </w:r>
      <w:r w:rsidR="00DF063C">
        <w:t>vyrobit</w:t>
      </w:r>
      <w:r w:rsidR="00FB52B1">
        <w:t xml:space="preserve"> prototyp detektoru chemických látek</w:t>
      </w:r>
      <w:r w:rsidR="00EA0DAC">
        <w:t xml:space="preserve">, který by </w:t>
      </w:r>
      <w:r w:rsidR="00DF063C">
        <w:t>byl</w:t>
      </w:r>
      <w:r w:rsidR="006E427A">
        <w:t>o možné instalovat</w:t>
      </w:r>
      <w:r w:rsidR="00EA0DAC">
        <w:t xml:space="preserve"> do lehkých obrněných vozidel</w:t>
      </w:r>
      <w:r w:rsidR="00FB52B1">
        <w:t xml:space="preserve"> a</w:t>
      </w:r>
      <w:r w:rsidR="00DF063C">
        <w:t xml:space="preserve"> </w:t>
      </w:r>
      <w:r w:rsidR="00FB52B1">
        <w:t>specializovaného vozidla určeného pro týmy provádějící kvalifikované odběry a</w:t>
      </w:r>
      <w:r w:rsidR="005D62D6">
        <w:t> </w:t>
      </w:r>
      <w:r w:rsidR="00FB52B1">
        <w:t xml:space="preserve">transport vzorků </w:t>
      </w:r>
      <w:r w:rsidR="008D114A">
        <w:t>chemických a biologických látek.</w:t>
      </w:r>
      <w:bookmarkEnd w:id="13"/>
    </w:p>
    <w:bookmarkEnd w:id="14"/>
    <w:p w14:paraId="487E35AF" w14:textId="77777777" w:rsidR="00FA5B6A" w:rsidRPr="00D755DB" w:rsidRDefault="00FA5B6A" w:rsidP="00D755DB">
      <w:pPr>
        <w:spacing w:before="120"/>
        <w:rPr>
          <w:rFonts w:cstheme="minorHAnsi"/>
        </w:rPr>
      </w:pPr>
    </w:p>
    <w:p w14:paraId="2CDE5B3C" w14:textId="77777777" w:rsidR="001676C8" w:rsidRPr="001A25F5" w:rsidRDefault="00D457AE" w:rsidP="004B6902">
      <w:pPr>
        <w:pStyle w:val="Nadpis1"/>
        <w:jc w:val="center"/>
        <w:rPr>
          <w:rFonts w:cstheme="minorHAnsi"/>
          <w:sz w:val="28"/>
          <w:szCs w:val="28"/>
        </w:rPr>
      </w:pPr>
      <w:r w:rsidRPr="001A25F5">
        <w:rPr>
          <w:rFonts w:cstheme="minorHAnsi"/>
          <w:sz w:val="28"/>
          <w:szCs w:val="28"/>
        </w:rPr>
        <w:t xml:space="preserve">III. Rozsah kontroly </w:t>
      </w:r>
    </w:p>
    <w:p w14:paraId="695ECC69" w14:textId="77777777" w:rsidR="008A4602" w:rsidRPr="009A743A" w:rsidRDefault="008A4602" w:rsidP="00D755DB">
      <w:pPr>
        <w:spacing w:before="120"/>
        <w:rPr>
          <w:rFonts w:cstheme="minorHAnsi"/>
        </w:rPr>
      </w:pPr>
    </w:p>
    <w:p w14:paraId="74D4BA26" w14:textId="68B7C370" w:rsidR="001676C8" w:rsidRDefault="00D457AE" w:rsidP="00885E32">
      <w:pPr>
        <w:pStyle w:val="Odstavecseseznamem"/>
        <w:numPr>
          <w:ilvl w:val="1"/>
          <w:numId w:val="31"/>
        </w:numPr>
        <w:spacing w:before="120"/>
        <w:ind w:left="0" w:firstLine="0"/>
        <w:contextualSpacing w:val="0"/>
        <w:rPr>
          <w:rFonts w:cstheme="minorHAnsi"/>
        </w:rPr>
      </w:pPr>
      <w:r w:rsidRPr="00A031AF">
        <w:rPr>
          <w:rFonts w:cstheme="minorHAnsi"/>
        </w:rPr>
        <w:t>Cílem kontroly</w:t>
      </w:r>
      <w:r w:rsidRPr="000568CF">
        <w:rPr>
          <w:rFonts w:cstheme="minorHAnsi"/>
        </w:rPr>
        <w:t xml:space="preserve"> bylo prověřit, zda MO</w:t>
      </w:r>
      <w:r w:rsidR="009A00C1" w:rsidRPr="000568CF">
        <w:rPr>
          <w:rFonts w:cstheme="minorHAnsi"/>
        </w:rPr>
        <w:t xml:space="preserve"> v</w:t>
      </w:r>
      <w:r w:rsidR="007974FA">
        <w:rPr>
          <w:rFonts w:cstheme="minorHAnsi"/>
        </w:rPr>
        <w:t xml:space="preserve"> </w:t>
      </w:r>
      <w:r w:rsidR="009A00C1" w:rsidRPr="000568CF">
        <w:rPr>
          <w:rFonts w:cstheme="minorHAnsi"/>
        </w:rPr>
        <w:t>letech 2018</w:t>
      </w:r>
      <w:r w:rsidR="009F6F7B" w:rsidRPr="000568CF">
        <w:rPr>
          <w:rFonts w:cstheme="minorHAnsi"/>
        </w:rPr>
        <w:t>–</w:t>
      </w:r>
      <w:r w:rsidR="009A00C1" w:rsidRPr="00BD1BC0">
        <w:rPr>
          <w:rFonts w:cstheme="minorHAnsi"/>
        </w:rPr>
        <w:t>2022</w:t>
      </w:r>
      <w:r w:rsidRPr="00BD1BC0">
        <w:rPr>
          <w:rFonts w:cstheme="minorHAnsi"/>
        </w:rPr>
        <w:t xml:space="preserve"> vynakládalo peněžní prostředky státního </w:t>
      </w:r>
      <w:r w:rsidR="009A00C1" w:rsidRPr="00BD1BC0">
        <w:rPr>
          <w:rFonts w:cstheme="minorHAnsi"/>
        </w:rPr>
        <w:t>rozpočtu na</w:t>
      </w:r>
      <w:r w:rsidRPr="00BD1BC0">
        <w:rPr>
          <w:rFonts w:cstheme="minorHAnsi"/>
        </w:rPr>
        <w:t xml:space="preserve"> </w:t>
      </w:r>
      <w:r w:rsidR="009A00C1" w:rsidRPr="00BD1BC0">
        <w:rPr>
          <w:rFonts w:cstheme="minorHAnsi"/>
        </w:rPr>
        <w:t>radiační, chemickou a biologickou ochranu účelně, hospodárně a v</w:t>
      </w:r>
      <w:r w:rsidR="007974FA">
        <w:rPr>
          <w:rFonts w:cstheme="minorHAnsi"/>
        </w:rPr>
        <w:t xml:space="preserve"> </w:t>
      </w:r>
      <w:r w:rsidR="009A00C1" w:rsidRPr="00BD1BC0">
        <w:rPr>
          <w:rFonts w:cstheme="minorHAnsi"/>
        </w:rPr>
        <w:t>souladu s</w:t>
      </w:r>
      <w:r w:rsidR="007974FA">
        <w:rPr>
          <w:rFonts w:cstheme="minorHAnsi"/>
        </w:rPr>
        <w:t xml:space="preserve"> </w:t>
      </w:r>
      <w:r w:rsidR="009A00C1" w:rsidRPr="00BD1BC0">
        <w:rPr>
          <w:rFonts w:cstheme="minorHAnsi"/>
        </w:rPr>
        <w:t xml:space="preserve">právními předpisy. </w:t>
      </w:r>
      <w:r w:rsidRPr="00BD1BC0">
        <w:rPr>
          <w:rFonts w:cstheme="minorHAnsi"/>
        </w:rPr>
        <w:t xml:space="preserve">Celkový kontrolovaný objem peněžních prostředků činil </w:t>
      </w:r>
      <w:r w:rsidR="0019111E" w:rsidRPr="00BD1BC0">
        <w:rPr>
          <w:rFonts w:cstheme="minorHAnsi"/>
        </w:rPr>
        <w:t xml:space="preserve">5 419 010 253 </w:t>
      </w:r>
      <w:r w:rsidRPr="00BD1BC0">
        <w:rPr>
          <w:rFonts w:cstheme="minorHAnsi"/>
        </w:rPr>
        <w:t>Kč</w:t>
      </w:r>
      <w:r w:rsidR="00645773">
        <w:rPr>
          <w:rFonts w:cstheme="minorHAnsi"/>
        </w:rPr>
        <w:t xml:space="preserve"> (viz příloha č. </w:t>
      </w:r>
      <w:r w:rsidR="0081655F">
        <w:rPr>
          <w:rFonts w:cstheme="minorHAnsi"/>
        </w:rPr>
        <w:t>2</w:t>
      </w:r>
      <w:r w:rsidR="00645773">
        <w:rPr>
          <w:rFonts w:cstheme="minorHAnsi"/>
        </w:rPr>
        <w:t>)</w:t>
      </w:r>
      <w:r w:rsidRPr="00BD1BC0">
        <w:rPr>
          <w:rFonts w:cstheme="minorHAnsi"/>
        </w:rPr>
        <w:t>.</w:t>
      </w:r>
      <w:r w:rsidR="009A00C1" w:rsidRPr="00BD1BC0">
        <w:rPr>
          <w:rFonts w:cstheme="minorHAnsi"/>
        </w:rPr>
        <w:t xml:space="preserve"> </w:t>
      </w:r>
    </w:p>
    <w:p w14:paraId="1FF63420" w14:textId="77777777" w:rsidR="00FA5B6A" w:rsidRPr="005715E6" w:rsidRDefault="00627CF9" w:rsidP="00D755DB">
      <w:pPr>
        <w:pStyle w:val="Odstavecseseznamem"/>
        <w:numPr>
          <w:ilvl w:val="1"/>
          <w:numId w:val="31"/>
        </w:numPr>
        <w:spacing w:after="0"/>
        <w:ind w:left="0" w:firstLine="0"/>
        <w:contextualSpacing w:val="0"/>
        <w:rPr>
          <w:rFonts w:cstheme="minorHAnsi"/>
        </w:rPr>
      </w:pPr>
      <w:r>
        <w:t>K</w:t>
      </w:r>
      <w:r w:rsidR="00FA5B6A" w:rsidRPr="00B849F1">
        <w:t xml:space="preserve">ontrola </w:t>
      </w:r>
      <w:r>
        <w:t xml:space="preserve">se </w:t>
      </w:r>
      <w:r w:rsidR="00FA5B6A" w:rsidRPr="00B849F1">
        <w:t xml:space="preserve">zaměřila na </w:t>
      </w:r>
      <w:r w:rsidR="00FA5B6A" w:rsidRPr="004867C2">
        <w:t xml:space="preserve">peněžní prostředky </w:t>
      </w:r>
      <w:r>
        <w:t xml:space="preserve">státního rozpočtu </w:t>
      </w:r>
      <w:r w:rsidR="00FA5B6A" w:rsidRPr="004867C2">
        <w:t xml:space="preserve">vynaložené </w:t>
      </w:r>
      <w:r>
        <w:t xml:space="preserve">MO </w:t>
      </w:r>
      <w:r w:rsidR="00FA5B6A" w:rsidRPr="004867C2">
        <w:t>na následující činnosti:</w:t>
      </w:r>
    </w:p>
    <w:p w14:paraId="433A6DE4" w14:textId="77777777" w:rsidR="00FA5B6A" w:rsidRPr="005715E6" w:rsidRDefault="00FA5B6A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>
        <w:t xml:space="preserve">plánovací a akviziční činnost, která je nezbytnou podmínkou pro plnění cílů </w:t>
      </w:r>
      <w:r w:rsidR="006A6F5A">
        <w:t xml:space="preserve">vybraných </w:t>
      </w:r>
      <w:r>
        <w:t>programů</w:t>
      </w:r>
      <w:r w:rsidR="006A6F5A">
        <w:t xml:space="preserve"> (</w:t>
      </w:r>
      <w:r w:rsidR="006A6F5A" w:rsidRPr="001A25F5">
        <w:t xml:space="preserve">107V68 – </w:t>
      </w:r>
      <w:r w:rsidR="006A6F5A" w:rsidRPr="006A6F5A">
        <w:rPr>
          <w:i/>
        </w:rPr>
        <w:t>Udržení a rozvoj schopností pozemních sil AČR</w:t>
      </w:r>
      <w:r w:rsidR="006A6F5A" w:rsidRPr="003058E4">
        <w:t>,</w:t>
      </w:r>
      <w:r w:rsidR="006A6F5A">
        <w:t xml:space="preserve"> </w:t>
      </w:r>
      <w:r w:rsidR="006A6F5A" w:rsidRPr="001A25F5">
        <w:t xml:space="preserve">107V08 – </w:t>
      </w:r>
      <w:r w:rsidR="006A6F5A" w:rsidRPr="006A6F5A">
        <w:rPr>
          <w:i/>
        </w:rPr>
        <w:t xml:space="preserve">Strategický program pozemních sil AČR </w:t>
      </w:r>
      <w:r w:rsidR="006A6F5A" w:rsidRPr="003058E4">
        <w:t>a</w:t>
      </w:r>
      <w:r w:rsidR="006A6F5A">
        <w:t xml:space="preserve"> </w:t>
      </w:r>
      <w:r w:rsidR="006A6F5A" w:rsidRPr="001A25F5">
        <w:t>107V49</w:t>
      </w:r>
      <w:r w:rsidR="006A6F5A">
        <w:t>0</w:t>
      </w:r>
      <w:r w:rsidR="006A6F5A" w:rsidRPr="001A25F5">
        <w:t xml:space="preserve"> – </w:t>
      </w:r>
      <w:r w:rsidR="006A6F5A" w:rsidRPr="006A6F5A">
        <w:rPr>
          <w:i/>
        </w:rPr>
        <w:t>Udržení a rozvoj schopností zdravotnické podpory</w:t>
      </w:r>
      <w:r w:rsidR="006A6F5A" w:rsidRPr="00BC4F1D">
        <w:t>)</w:t>
      </w:r>
      <w:r w:rsidR="006A6F5A" w:rsidRPr="006A6F5A">
        <w:rPr>
          <w:i/>
        </w:rPr>
        <w:t xml:space="preserve"> </w:t>
      </w:r>
      <w:r>
        <w:t>a plnění cílů koncepčních dokumentů</w:t>
      </w:r>
      <w:r w:rsidR="006A6F5A" w:rsidRPr="00B849F1">
        <w:rPr>
          <w:rStyle w:val="Znakapoznpodarou"/>
        </w:rPr>
        <w:footnoteReference w:id="20"/>
      </w:r>
      <w:r>
        <w:t xml:space="preserve"> resortu obrany;</w:t>
      </w:r>
    </w:p>
    <w:p w14:paraId="33969B7F" w14:textId="3FC76C72" w:rsidR="00FA5B6A" w:rsidRPr="005715E6" w:rsidRDefault="00FA5B6A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>
        <w:t xml:space="preserve">plnění cílů </w:t>
      </w:r>
      <w:r w:rsidR="006A6F5A" w:rsidRPr="00D755DB">
        <w:t>radiační, chemické a biologické ochrany</w:t>
      </w:r>
      <w:r w:rsidR="006A6F5A">
        <w:t xml:space="preserve"> včetně </w:t>
      </w:r>
      <w:r w:rsidRPr="004867C2">
        <w:t>plnění cílů výstavby schopností sil NATO</w:t>
      </w:r>
      <w:r w:rsidR="006A6F5A">
        <w:t xml:space="preserve"> a cílů při </w:t>
      </w:r>
      <w:r w:rsidR="006A6F5A" w:rsidRPr="004867C2">
        <w:t xml:space="preserve">vyčleňování prostředků (techniky a materiálu) </w:t>
      </w:r>
      <w:r w:rsidR="00E313C7">
        <w:t xml:space="preserve">AČR </w:t>
      </w:r>
      <w:r w:rsidR="006A6F5A" w:rsidRPr="004867C2">
        <w:t>pro IZS</w:t>
      </w:r>
      <w:r w:rsidR="006A6F5A">
        <w:t>;</w:t>
      </w:r>
    </w:p>
    <w:p w14:paraId="33D81E8B" w14:textId="6CD19639" w:rsidR="00FA5B6A" w:rsidRPr="005715E6" w:rsidRDefault="00FA5B6A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 w:rsidRPr="004867C2">
        <w:t>pořizování techniky a materiálu a obnov</w:t>
      </w:r>
      <w:r w:rsidR="00DF063C">
        <w:t>u</w:t>
      </w:r>
      <w:r w:rsidRPr="004867C2">
        <w:t xml:space="preserve"> nemovité infrastruktury pro chemické vojsko (vybrané akce) prostřednictvím</w:t>
      </w:r>
      <w:r>
        <w:t xml:space="preserve"> </w:t>
      </w:r>
      <w:r w:rsidRPr="004867C2">
        <w:t xml:space="preserve">programů 107V68 – </w:t>
      </w:r>
      <w:r w:rsidRPr="00627CF9">
        <w:rPr>
          <w:i/>
        </w:rPr>
        <w:t xml:space="preserve">Udržení a rozvoj schopností pozemních sil AČR </w:t>
      </w:r>
      <w:r w:rsidRPr="005614C4">
        <w:t>a</w:t>
      </w:r>
      <w:r w:rsidRPr="004867C2">
        <w:t xml:space="preserve"> 107V08 – </w:t>
      </w:r>
      <w:r w:rsidRPr="00627CF9">
        <w:rPr>
          <w:i/>
        </w:rPr>
        <w:t>Strategický program pozemních sil AČR</w:t>
      </w:r>
      <w:r w:rsidR="008D114A">
        <w:t>;</w:t>
      </w:r>
    </w:p>
    <w:p w14:paraId="0518984F" w14:textId="57C9C310" w:rsidR="00FA5B6A" w:rsidRPr="005715E6" w:rsidRDefault="00FA5B6A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 w:rsidRPr="00726BFB">
        <w:t>realizaci vybraných projektů obranného výzkumu, experimentálního vývoje a inovací pro potřeby chemického vojska</w:t>
      </w:r>
      <w:r w:rsidR="008D114A">
        <w:t>;</w:t>
      </w:r>
    </w:p>
    <w:p w14:paraId="1B97D210" w14:textId="774A546D" w:rsidR="00FA5B6A" w:rsidRPr="005715E6" w:rsidRDefault="00E313C7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>
        <w:t>plnění</w:t>
      </w:r>
      <w:r w:rsidR="00FA5B6A" w:rsidRPr="005614C4">
        <w:t xml:space="preserve"> </w:t>
      </w:r>
      <w:r w:rsidR="00FA5B6A">
        <w:t xml:space="preserve">cílů </w:t>
      </w:r>
      <w:r w:rsidR="00FA5B6A" w:rsidRPr="005614C4">
        <w:t>biologické ochrany (CBO Těchonín)</w:t>
      </w:r>
      <w:r w:rsidR="008D114A">
        <w:t>;</w:t>
      </w:r>
    </w:p>
    <w:p w14:paraId="2A626E9B" w14:textId="37170F12" w:rsidR="00FA5B6A" w:rsidRPr="00D755DB" w:rsidRDefault="00FA5B6A" w:rsidP="00D755DB">
      <w:pPr>
        <w:pStyle w:val="Odstavecseseznamem"/>
        <w:numPr>
          <w:ilvl w:val="0"/>
          <w:numId w:val="37"/>
        </w:numPr>
        <w:spacing w:after="0"/>
        <w:contextualSpacing w:val="0"/>
        <w:rPr>
          <w:rFonts w:cstheme="minorHAnsi"/>
        </w:rPr>
      </w:pPr>
      <w:r w:rsidRPr="00B849F1">
        <w:t xml:space="preserve">pořizování </w:t>
      </w:r>
      <w:r w:rsidRPr="004867C2">
        <w:t>techniky a materiálu a obnov</w:t>
      </w:r>
      <w:r w:rsidR="00DF063C">
        <w:t>u</w:t>
      </w:r>
      <w:r w:rsidRPr="004867C2">
        <w:t xml:space="preserve"> nemovité infrastruktury pro CBO Těchonín (vybrané akce) prostřednictvím programu 107V490 – </w:t>
      </w:r>
      <w:r w:rsidRPr="00627CF9">
        <w:rPr>
          <w:i/>
        </w:rPr>
        <w:t>Udržení a rozvoj schopností zdravotnické podpory</w:t>
      </w:r>
      <w:r w:rsidR="00DF063C" w:rsidRPr="0060524F">
        <w:t>.</w:t>
      </w:r>
    </w:p>
    <w:p w14:paraId="1D39EC07" w14:textId="2595045B" w:rsidR="00FA5B6A" w:rsidRPr="00DF063C" w:rsidRDefault="00DF063C" w:rsidP="00BC4F1D">
      <w:pPr>
        <w:spacing w:after="0"/>
        <w:rPr>
          <w:rFonts w:cstheme="minorHAnsi"/>
        </w:rPr>
      </w:pPr>
      <w:r>
        <w:t xml:space="preserve">Kontrola ověřila také </w:t>
      </w:r>
      <w:r w:rsidR="00FA5B6A" w:rsidRPr="00484969">
        <w:t xml:space="preserve">realizaci </w:t>
      </w:r>
      <w:r w:rsidR="001776C9" w:rsidRPr="00DF063C">
        <w:rPr>
          <w:rFonts w:cstheme="minorHAnsi"/>
        </w:rPr>
        <w:t>opatření k</w:t>
      </w:r>
      <w:r>
        <w:rPr>
          <w:rFonts w:cstheme="minorHAnsi"/>
        </w:rPr>
        <w:t xml:space="preserve"> </w:t>
      </w:r>
      <w:r w:rsidR="001776C9" w:rsidRPr="00DF063C">
        <w:rPr>
          <w:rFonts w:cstheme="minorHAnsi"/>
        </w:rPr>
        <w:t>odstranění nedostatků zjištěných předchozí kontrolní akc</w:t>
      </w:r>
      <w:r>
        <w:rPr>
          <w:rFonts w:cstheme="minorHAnsi"/>
        </w:rPr>
        <w:t>í</w:t>
      </w:r>
      <w:r w:rsidR="001776C9" w:rsidRPr="00DF063C" w:rsidDel="003174B2">
        <w:rPr>
          <w:rFonts w:cstheme="minorHAnsi"/>
        </w:rPr>
        <w:t xml:space="preserve"> </w:t>
      </w:r>
      <w:r w:rsidR="001776C9" w:rsidRPr="00DF063C">
        <w:rPr>
          <w:rFonts w:cstheme="minorHAnsi"/>
        </w:rPr>
        <w:t>NKÚ č.</w:t>
      </w:r>
      <w:r w:rsidR="0025073F" w:rsidRPr="00DF063C">
        <w:rPr>
          <w:rFonts w:cstheme="minorHAnsi"/>
        </w:rPr>
        <w:t> </w:t>
      </w:r>
      <w:r w:rsidR="001776C9" w:rsidRPr="00DF063C">
        <w:rPr>
          <w:rFonts w:cstheme="minorHAnsi"/>
        </w:rPr>
        <w:t>14/41</w:t>
      </w:r>
      <w:r w:rsidR="00FA5B6A" w:rsidRPr="00875A5A">
        <w:t>.</w:t>
      </w:r>
    </w:p>
    <w:p w14:paraId="52209977" w14:textId="228260AA" w:rsidR="00FA5B6A" w:rsidRPr="00875A5A" w:rsidRDefault="00FA5B6A" w:rsidP="00FA5B6A">
      <w:pPr>
        <w:pStyle w:val="Odstavecseseznamem"/>
        <w:numPr>
          <w:ilvl w:val="1"/>
          <w:numId w:val="31"/>
        </w:numPr>
        <w:spacing w:before="120"/>
        <w:ind w:left="0" w:firstLine="0"/>
        <w:contextualSpacing w:val="0"/>
      </w:pPr>
      <w:r w:rsidRPr="00484969">
        <w:t xml:space="preserve">NKÚ na kontrolním vzorku devíti </w:t>
      </w:r>
      <w:r w:rsidRPr="00875A5A">
        <w:t xml:space="preserve">akcí na pořízení techniky a materiálu </w:t>
      </w:r>
      <w:r>
        <w:t>a</w:t>
      </w:r>
      <w:r w:rsidR="006E427A">
        <w:t xml:space="preserve"> </w:t>
      </w:r>
      <w:r>
        <w:t xml:space="preserve">obnovu nemovité infrastruktury </w:t>
      </w:r>
      <w:r w:rsidRPr="00875A5A">
        <w:t>pro chemické vojsko s celkovými výdaji ve</w:t>
      </w:r>
      <w:r w:rsidR="0060524F">
        <w:t xml:space="preserve"> </w:t>
      </w:r>
      <w:r w:rsidRPr="00875A5A">
        <w:t xml:space="preserve">výši 5 306 491 094 Kč, tří akcí </w:t>
      </w:r>
      <w:r w:rsidRPr="005614C4">
        <w:t xml:space="preserve">pro </w:t>
      </w:r>
      <w:r w:rsidRPr="00484969">
        <w:t>CBO Těchonín s</w:t>
      </w:r>
      <w:r w:rsidR="00580C59">
        <w:t xml:space="preserve"> </w:t>
      </w:r>
      <w:r w:rsidRPr="00484969">
        <w:t>celkovými výdaji ve výši 70 325 159 Kč a</w:t>
      </w:r>
      <w:r w:rsidR="00DF063C">
        <w:t xml:space="preserve"> </w:t>
      </w:r>
      <w:r w:rsidRPr="00875A5A">
        <w:t>dvou projektů obranného výzkumu, experimentálního vývoje a inovací s</w:t>
      </w:r>
      <w:r w:rsidR="00580C59">
        <w:t xml:space="preserve"> </w:t>
      </w:r>
      <w:r w:rsidRPr="00875A5A">
        <w:t>celkovými výdaji 42 194 000 Kč prověřoval, zda MO vyn</w:t>
      </w:r>
      <w:r w:rsidRPr="005614C4">
        <w:t xml:space="preserve">akládalo </w:t>
      </w:r>
      <w:r w:rsidR="001776C9">
        <w:t>peněžní prostředky státního rozpočtu</w:t>
      </w:r>
      <w:r w:rsidR="001776C9" w:rsidRPr="00484969">
        <w:t xml:space="preserve"> </w:t>
      </w:r>
      <w:r w:rsidRPr="00484969">
        <w:t>účelně, hospodárně a</w:t>
      </w:r>
      <w:r w:rsidR="00580C59">
        <w:t xml:space="preserve"> </w:t>
      </w:r>
      <w:r w:rsidRPr="00484969">
        <w:t>v</w:t>
      </w:r>
      <w:r w:rsidR="00580C59">
        <w:t xml:space="preserve"> </w:t>
      </w:r>
      <w:r w:rsidRPr="00484969">
        <w:t xml:space="preserve">souladu s právními předpisy. </w:t>
      </w:r>
    </w:p>
    <w:p w14:paraId="47AC4AAA" w14:textId="36005F33" w:rsidR="00FA5B6A" w:rsidRPr="00FA5B29" w:rsidRDefault="00FA5B6A" w:rsidP="00FA5B6A">
      <w:pPr>
        <w:pStyle w:val="Odstavecseseznamem"/>
        <w:numPr>
          <w:ilvl w:val="1"/>
          <w:numId w:val="31"/>
        </w:numPr>
        <w:spacing w:before="120"/>
        <w:ind w:left="0" w:firstLine="0"/>
        <w:contextualSpacing w:val="0"/>
      </w:pPr>
      <w:r w:rsidRPr="00FA5B29">
        <w:t>Účelnost</w:t>
      </w:r>
      <w:r w:rsidRPr="00FA5B29">
        <w:rPr>
          <w:rFonts w:cstheme="minorHAnsi"/>
        </w:rPr>
        <w:t xml:space="preserve"> </w:t>
      </w:r>
      <w:r>
        <w:rPr>
          <w:rFonts w:cstheme="minorHAnsi"/>
        </w:rPr>
        <w:t xml:space="preserve">vynaložených peněžních prostředků státního rozpočtu </w:t>
      </w:r>
      <w:r w:rsidRPr="00FA5B29">
        <w:rPr>
          <w:rFonts w:cstheme="minorHAnsi"/>
        </w:rPr>
        <w:t xml:space="preserve">posuzoval NKÚ na základě </w:t>
      </w:r>
      <w:r w:rsidR="00DF063C">
        <w:rPr>
          <w:rFonts w:cstheme="minorHAnsi"/>
        </w:rPr>
        <w:t>míry</w:t>
      </w:r>
      <w:r w:rsidRPr="00FA5B29">
        <w:rPr>
          <w:rFonts w:cstheme="minorHAnsi"/>
        </w:rPr>
        <w:t xml:space="preserve"> splnění cílů</w:t>
      </w:r>
      <w:r w:rsidR="00E313C7">
        <w:rPr>
          <w:rFonts w:cstheme="minorHAnsi"/>
        </w:rPr>
        <w:t xml:space="preserve"> </w:t>
      </w:r>
      <w:r w:rsidRPr="00FA5B29">
        <w:rPr>
          <w:rFonts w:cstheme="minorHAnsi"/>
        </w:rPr>
        <w:t>uvedených v</w:t>
      </w:r>
      <w:r w:rsidR="00DF063C">
        <w:rPr>
          <w:rFonts w:cstheme="minorHAnsi"/>
        </w:rPr>
        <w:t xml:space="preserve"> </w:t>
      </w:r>
      <w:r w:rsidRPr="00FA5B29">
        <w:rPr>
          <w:rFonts w:cstheme="minorHAnsi"/>
        </w:rPr>
        <w:t>koncepčních dokumentech a</w:t>
      </w:r>
      <w:r>
        <w:rPr>
          <w:rFonts w:cstheme="minorHAnsi"/>
        </w:rPr>
        <w:t xml:space="preserve"> </w:t>
      </w:r>
      <w:r w:rsidRPr="00FA5B29">
        <w:rPr>
          <w:rFonts w:cstheme="minorHAnsi"/>
        </w:rPr>
        <w:t>program</w:t>
      </w:r>
      <w:r>
        <w:rPr>
          <w:rFonts w:cstheme="minorHAnsi"/>
        </w:rPr>
        <w:t xml:space="preserve">ech </w:t>
      </w:r>
      <w:r w:rsidR="006E427A">
        <w:rPr>
          <w:rFonts w:cstheme="minorHAnsi"/>
        </w:rPr>
        <w:br/>
      </w:r>
      <w:r w:rsidR="00E313C7" w:rsidRPr="004867C2">
        <w:t xml:space="preserve">107V68 – </w:t>
      </w:r>
      <w:r w:rsidR="00E313C7" w:rsidRPr="005614C4">
        <w:rPr>
          <w:i/>
        </w:rPr>
        <w:t xml:space="preserve">Udržení a rozvoj schopností pozemních sil AČR </w:t>
      </w:r>
      <w:r w:rsidR="00E313C7" w:rsidRPr="005614C4">
        <w:t>a</w:t>
      </w:r>
      <w:r w:rsidR="00E313C7" w:rsidRPr="004867C2">
        <w:t xml:space="preserve"> 107V08 – </w:t>
      </w:r>
      <w:r w:rsidR="00E313C7" w:rsidRPr="005614C4">
        <w:rPr>
          <w:i/>
        </w:rPr>
        <w:t xml:space="preserve">Strategický program pozemních sil </w:t>
      </w:r>
      <w:r w:rsidR="00875E26" w:rsidRPr="005614C4">
        <w:rPr>
          <w:i/>
        </w:rPr>
        <w:t>AČR,</w:t>
      </w:r>
      <w:r w:rsidR="00577F3B">
        <w:rPr>
          <w:rFonts w:cstheme="minorHAnsi"/>
        </w:rPr>
        <w:t xml:space="preserve"> prostřednictvím nichž </w:t>
      </w:r>
      <w:r w:rsidRPr="00FA5B29">
        <w:rPr>
          <w:rFonts w:cstheme="minorHAnsi"/>
        </w:rPr>
        <w:t xml:space="preserve">měly být cíle chemického vojska naplňovány, dále podle splnění cíle akce a míry naplnění potřeb a požadavků AČR. U </w:t>
      </w:r>
      <w:r w:rsidRPr="00FA5B29">
        <w:t xml:space="preserve">CBO Těchonín prověřil NKÚ </w:t>
      </w:r>
      <w:r>
        <w:t xml:space="preserve">účelnost peněžních prostředků státního rozpočtu </w:t>
      </w:r>
      <w:r w:rsidR="00DF063C">
        <w:t xml:space="preserve">vynaložených </w:t>
      </w:r>
      <w:r w:rsidRPr="00FA5B29">
        <w:t xml:space="preserve">na jeho výstavbu </w:t>
      </w:r>
      <w:r w:rsidR="00E313C7">
        <w:t xml:space="preserve">(program </w:t>
      </w:r>
      <w:r w:rsidR="00E313C7" w:rsidRPr="004867C2">
        <w:t xml:space="preserve">107V490 – </w:t>
      </w:r>
      <w:r w:rsidR="00E313C7" w:rsidRPr="005614C4">
        <w:rPr>
          <w:i/>
        </w:rPr>
        <w:t>Udržení a rozvoj schopností zdravotnické podpory</w:t>
      </w:r>
      <w:r w:rsidR="00E313C7" w:rsidRPr="00D755DB">
        <w:t>)</w:t>
      </w:r>
      <w:r w:rsidR="00E313C7" w:rsidRPr="00FA5B29">
        <w:t xml:space="preserve"> </w:t>
      </w:r>
      <w:r w:rsidRPr="00FA5B29">
        <w:t>a</w:t>
      </w:r>
      <w:r w:rsidR="00885E32">
        <w:t> </w:t>
      </w:r>
      <w:r w:rsidRPr="00FA5B29">
        <w:t>provoz</w:t>
      </w:r>
      <w:r w:rsidR="00DF063C">
        <w:t>;</w:t>
      </w:r>
      <w:r w:rsidRPr="00FA5B29">
        <w:t xml:space="preserve"> </w:t>
      </w:r>
      <w:r w:rsidR="00DF063C">
        <w:t xml:space="preserve">tyto výdaje </w:t>
      </w:r>
      <w:r w:rsidRPr="00FA5B29">
        <w:t xml:space="preserve">byly posouzeny ve vztahu k plnění </w:t>
      </w:r>
      <w:r w:rsidRPr="00FA5B29">
        <w:rPr>
          <w:rFonts w:cstheme="minorHAnsi"/>
          <w:lang w:eastAsia="cs-CZ"/>
        </w:rPr>
        <w:t>úkolů</w:t>
      </w:r>
      <w:r w:rsidR="008D114A">
        <w:rPr>
          <w:rFonts w:cstheme="minorHAnsi"/>
          <w:lang w:eastAsia="cs-CZ"/>
        </w:rPr>
        <w:t xml:space="preserve"> a cílů</w:t>
      </w:r>
      <w:r w:rsidRPr="00FA5B29">
        <w:rPr>
          <w:rFonts w:cstheme="minorHAnsi"/>
          <w:lang w:eastAsia="cs-CZ"/>
        </w:rPr>
        <w:t xml:space="preserve">, </w:t>
      </w:r>
      <w:r w:rsidRPr="00FA5B29">
        <w:rPr>
          <w:rFonts w:cstheme="minorHAnsi"/>
        </w:rPr>
        <w:t xml:space="preserve">pro které bylo </w:t>
      </w:r>
      <w:r>
        <w:rPr>
          <w:rFonts w:cstheme="minorHAnsi"/>
        </w:rPr>
        <w:t xml:space="preserve">CBO Těchonín </w:t>
      </w:r>
      <w:r w:rsidRPr="00FA5B29">
        <w:rPr>
          <w:rFonts w:cstheme="minorHAnsi"/>
        </w:rPr>
        <w:t xml:space="preserve">zřízeno, tj. </w:t>
      </w:r>
      <w:r>
        <w:rPr>
          <w:rFonts w:cstheme="minorHAnsi"/>
        </w:rPr>
        <w:t xml:space="preserve">zda disponuje </w:t>
      </w:r>
      <w:r w:rsidRPr="00FA5B29">
        <w:rPr>
          <w:rFonts w:cstheme="minorHAnsi"/>
        </w:rPr>
        <w:t xml:space="preserve">všemi unikátními schopnostmi stanovenými prostřednictvím </w:t>
      </w:r>
      <w:r w:rsidRPr="00FA5B29">
        <w:rPr>
          <w:rFonts w:cstheme="minorHAnsi"/>
          <w:iCs/>
        </w:rPr>
        <w:t>statutárních funkcí</w:t>
      </w:r>
      <w:r w:rsidR="00E313C7">
        <w:rPr>
          <w:rFonts w:cstheme="minorHAnsi"/>
          <w:iCs/>
        </w:rPr>
        <w:t xml:space="preserve">, </w:t>
      </w:r>
      <w:r>
        <w:rPr>
          <w:rFonts w:cstheme="minorHAnsi"/>
          <w:iCs/>
        </w:rPr>
        <w:t xml:space="preserve">zda tvoří </w:t>
      </w:r>
      <w:r w:rsidRPr="00FA5B29">
        <w:rPr>
          <w:rFonts w:cstheme="minorHAnsi"/>
        </w:rPr>
        <w:t>funkční celek zdravotnického zařízení</w:t>
      </w:r>
      <w:r w:rsidRPr="00FA5B29">
        <w:rPr>
          <w:rFonts w:cstheme="minorHAnsi"/>
          <w:iCs/>
        </w:rPr>
        <w:t xml:space="preserve"> </w:t>
      </w:r>
      <w:r w:rsidRPr="00FA5B29">
        <w:rPr>
          <w:rFonts w:cstheme="minorHAnsi"/>
        </w:rPr>
        <w:t>na nejvyšším stupni biologického zabezpečení BSL-4</w:t>
      </w:r>
      <w:r w:rsidR="00E313C7">
        <w:rPr>
          <w:rFonts w:cstheme="minorHAnsi"/>
        </w:rPr>
        <w:t xml:space="preserve"> a</w:t>
      </w:r>
      <w:r w:rsidR="00FE2EC6">
        <w:rPr>
          <w:rFonts w:cstheme="minorHAnsi"/>
        </w:rPr>
        <w:t> </w:t>
      </w:r>
      <w:r w:rsidR="00E313C7">
        <w:rPr>
          <w:rFonts w:cstheme="minorHAnsi"/>
        </w:rPr>
        <w:t xml:space="preserve">zda je plně využito. </w:t>
      </w:r>
    </w:p>
    <w:p w14:paraId="37B92CD5" w14:textId="5A34C77C" w:rsidR="00FA5B6A" w:rsidRPr="00BC4F1D" w:rsidRDefault="00FA5B6A" w:rsidP="00783CB8">
      <w:pPr>
        <w:pStyle w:val="Odstavecseseznamem"/>
        <w:numPr>
          <w:ilvl w:val="1"/>
          <w:numId w:val="31"/>
        </w:numPr>
        <w:spacing w:before="120"/>
        <w:ind w:left="0" w:firstLine="0"/>
        <w:contextualSpacing w:val="0"/>
        <w:rPr>
          <w:rFonts w:cstheme="minorHAnsi"/>
          <w:sz w:val="20"/>
          <w:lang w:eastAsia="cs-CZ"/>
        </w:rPr>
      </w:pPr>
      <w:r w:rsidRPr="00FA5B29">
        <w:rPr>
          <w:rFonts w:cstheme="minorHAnsi"/>
        </w:rPr>
        <w:t>Hospodárnost</w:t>
      </w:r>
      <w:r w:rsidRPr="00FA5B29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vynaložených peněžních prostředků státního rozpočtu </w:t>
      </w:r>
      <w:r w:rsidRPr="00FA5B29">
        <w:rPr>
          <w:rFonts w:cstheme="minorHAnsi"/>
          <w:lang w:eastAsia="cs-CZ"/>
        </w:rPr>
        <w:t xml:space="preserve">posuzoval NKÚ </w:t>
      </w:r>
      <w:r w:rsidR="00783CB8">
        <w:rPr>
          <w:rFonts w:cstheme="minorHAnsi"/>
          <w:lang w:eastAsia="cs-CZ"/>
        </w:rPr>
        <w:t>při kontrole</w:t>
      </w:r>
      <w:r>
        <w:rPr>
          <w:rFonts w:cstheme="minorHAnsi"/>
          <w:lang w:eastAsia="cs-CZ"/>
        </w:rPr>
        <w:t xml:space="preserve"> veřejn</w:t>
      </w:r>
      <w:r w:rsidR="00520242">
        <w:rPr>
          <w:rFonts w:cstheme="minorHAnsi"/>
          <w:lang w:eastAsia="cs-CZ"/>
        </w:rPr>
        <w:t>ých</w:t>
      </w:r>
      <w:r>
        <w:rPr>
          <w:rFonts w:cstheme="minorHAnsi"/>
          <w:lang w:eastAsia="cs-CZ"/>
        </w:rPr>
        <w:t xml:space="preserve"> zakáz</w:t>
      </w:r>
      <w:r w:rsidR="00520242">
        <w:rPr>
          <w:rFonts w:cstheme="minorHAnsi"/>
          <w:lang w:eastAsia="cs-CZ"/>
        </w:rPr>
        <w:t>e</w:t>
      </w:r>
      <w:r>
        <w:rPr>
          <w:rFonts w:cstheme="minorHAnsi"/>
          <w:lang w:eastAsia="cs-CZ"/>
        </w:rPr>
        <w:t>k</w:t>
      </w:r>
      <w:r w:rsidR="006E427A">
        <w:rPr>
          <w:rFonts w:cstheme="minorHAnsi"/>
          <w:lang w:eastAsia="cs-CZ"/>
        </w:rPr>
        <w:t xml:space="preserve"> </w:t>
      </w:r>
      <w:r w:rsidR="006E427A" w:rsidRPr="004867C2">
        <w:t>–</w:t>
      </w:r>
      <w:r w:rsidR="00DF7550">
        <w:rPr>
          <w:rFonts w:cstheme="minorHAnsi"/>
          <w:lang w:eastAsia="cs-CZ"/>
        </w:rPr>
        <w:t xml:space="preserve"> </w:t>
      </w:r>
      <w:r w:rsidR="006E427A">
        <w:rPr>
          <w:rFonts w:cstheme="minorHAnsi"/>
          <w:lang w:eastAsia="cs-CZ"/>
        </w:rPr>
        <w:t xml:space="preserve">ověřováno bylo, </w:t>
      </w:r>
      <w:r w:rsidR="00DF7550" w:rsidRPr="00DF7550">
        <w:rPr>
          <w:rFonts w:cstheme="minorHAnsi"/>
        </w:rPr>
        <w:t xml:space="preserve">zda </w:t>
      </w:r>
      <w:r w:rsidR="00783CB8">
        <w:rPr>
          <w:rFonts w:cstheme="minorHAnsi"/>
        </w:rPr>
        <w:t>M</w:t>
      </w:r>
      <w:r w:rsidR="00520242">
        <w:rPr>
          <w:rFonts w:cstheme="minorHAnsi"/>
        </w:rPr>
        <w:t>O</w:t>
      </w:r>
      <w:r w:rsidR="00783CB8">
        <w:rPr>
          <w:rFonts w:cstheme="minorHAnsi"/>
        </w:rPr>
        <w:t xml:space="preserve"> použilo</w:t>
      </w:r>
      <w:r w:rsidR="00DF7550" w:rsidRPr="00DF7550">
        <w:rPr>
          <w:rFonts w:cstheme="minorHAnsi"/>
        </w:rPr>
        <w:t xml:space="preserve"> </w:t>
      </w:r>
      <w:r w:rsidR="00DF7550">
        <w:rPr>
          <w:rFonts w:cstheme="minorHAnsi"/>
        </w:rPr>
        <w:t>prostředk</w:t>
      </w:r>
      <w:r w:rsidR="00783CB8">
        <w:rPr>
          <w:rFonts w:cstheme="minorHAnsi"/>
        </w:rPr>
        <w:t>y</w:t>
      </w:r>
      <w:r w:rsidR="00DF7550">
        <w:rPr>
          <w:rFonts w:cstheme="minorHAnsi"/>
        </w:rPr>
        <w:t xml:space="preserve"> </w:t>
      </w:r>
      <w:r w:rsidR="00DF7550" w:rsidRPr="00DF7550">
        <w:rPr>
          <w:rFonts w:cstheme="minorHAnsi"/>
        </w:rPr>
        <w:t xml:space="preserve">k zajištění </w:t>
      </w:r>
      <w:r w:rsidR="00783CB8">
        <w:rPr>
          <w:rFonts w:cstheme="minorHAnsi"/>
        </w:rPr>
        <w:t>cílů akc</w:t>
      </w:r>
      <w:r w:rsidR="003572DD">
        <w:rPr>
          <w:rFonts w:cstheme="minorHAnsi"/>
        </w:rPr>
        <w:t>í</w:t>
      </w:r>
      <w:r w:rsidR="00783CB8">
        <w:rPr>
          <w:rFonts w:cstheme="minorHAnsi"/>
        </w:rPr>
        <w:t xml:space="preserve"> a cílů vybraných programů </w:t>
      </w:r>
      <w:r w:rsidR="00DF7550" w:rsidRPr="00783CB8">
        <w:rPr>
          <w:rFonts w:cstheme="minorHAnsi"/>
        </w:rPr>
        <w:t>s co nejnižším vynaložením těchto prostředků</w:t>
      </w:r>
      <w:r w:rsidR="00783CB8">
        <w:rPr>
          <w:rFonts w:cstheme="minorHAnsi"/>
        </w:rPr>
        <w:t xml:space="preserve"> </w:t>
      </w:r>
      <w:r w:rsidR="00783CB8" w:rsidRPr="00DF7550">
        <w:rPr>
          <w:rFonts w:cstheme="minorHAnsi"/>
        </w:rPr>
        <w:t>při dodržení odpovídající kvality</w:t>
      </w:r>
      <w:r w:rsidR="00783CB8">
        <w:rPr>
          <w:rFonts w:cstheme="minorHAnsi"/>
        </w:rPr>
        <w:t xml:space="preserve">. </w:t>
      </w:r>
      <w:r w:rsidRPr="00783CB8">
        <w:rPr>
          <w:rFonts w:cstheme="minorHAnsi"/>
          <w:lang w:eastAsia="cs-CZ"/>
        </w:rPr>
        <w:t>V</w:t>
      </w:r>
      <w:r w:rsidR="006E427A">
        <w:rPr>
          <w:rFonts w:cstheme="minorHAnsi"/>
          <w:lang w:eastAsia="cs-CZ"/>
        </w:rPr>
        <w:t xml:space="preserve"> </w:t>
      </w:r>
      <w:r w:rsidRPr="00783CB8">
        <w:rPr>
          <w:rFonts w:cstheme="minorHAnsi"/>
          <w:lang w:eastAsia="cs-CZ"/>
        </w:rPr>
        <w:t>případě využití výjimky ze zákona</w:t>
      </w:r>
      <w:r>
        <w:rPr>
          <w:rStyle w:val="Znakapoznpodarou"/>
          <w:rFonts w:cstheme="minorHAnsi"/>
          <w:lang w:eastAsia="cs-CZ"/>
        </w:rPr>
        <w:footnoteReference w:id="21"/>
      </w:r>
      <w:r w:rsidRPr="00783CB8">
        <w:rPr>
          <w:rFonts w:cstheme="minorHAnsi"/>
          <w:lang w:eastAsia="cs-CZ"/>
        </w:rPr>
        <w:t xml:space="preserve"> posuzoval NKÚ způsob určení ceny v místě a čase obvyklé. U</w:t>
      </w:r>
      <w:r w:rsidR="006E427A">
        <w:rPr>
          <w:rFonts w:cstheme="minorHAnsi"/>
          <w:lang w:eastAsia="cs-CZ"/>
        </w:rPr>
        <w:t xml:space="preserve"> </w:t>
      </w:r>
      <w:r w:rsidRPr="00783CB8">
        <w:rPr>
          <w:rFonts w:cstheme="minorHAnsi"/>
          <w:lang w:eastAsia="cs-CZ"/>
        </w:rPr>
        <w:t>kontroly projektů obranného výzkumu, experimentálního vývoje a</w:t>
      </w:r>
      <w:r w:rsidR="008C2EEE" w:rsidRPr="00783CB8">
        <w:rPr>
          <w:rFonts w:cstheme="minorHAnsi"/>
          <w:lang w:eastAsia="cs-CZ"/>
        </w:rPr>
        <w:t> </w:t>
      </w:r>
      <w:r w:rsidRPr="00783CB8">
        <w:rPr>
          <w:rFonts w:cstheme="minorHAnsi"/>
          <w:lang w:eastAsia="cs-CZ"/>
        </w:rPr>
        <w:t xml:space="preserve">inovací prověřil </w:t>
      </w:r>
      <w:r w:rsidR="00DF063C" w:rsidRPr="00783CB8">
        <w:rPr>
          <w:rFonts w:cstheme="minorHAnsi"/>
          <w:lang w:eastAsia="cs-CZ"/>
        </w:rPr>
        <w:t xml:space="preserve">NKÚ </w:t>
      </w:r>
      <w:r w:rsidRPr="00783CB8">
        <w:rPr>
          <w:rFonts w:cstheme="minorHAnsi"/>
          <w:lang w:eastAsia="cs-CZ"/>
        </w:rPr>
        <w:t xml:space="preserve">zejména dodržení </w:t>
      </w:r>
      <w:r w:rsidRPr="00783CB8">
        <w:rPr>
          <w:rFonts w:cstheme="minorHAnsi"/>
        </w:rPr>
        <w:t xml:space="preserve">smluvních podmínek (uznatelnost nákladů). </w:t>
      </w:r>
    </w:p>
    <w:p w14:paraId="55F9AF62" w14:textId="1FA2BFBE" w:rsidR="00FA5B6A" w:rsidRPr="005D6B72" w:rsidRDefault="00FA5B6A" w:rsidP="00FA5B6A">
      <w:pPr>
        <w:pStyle w:val="Odstavecseseznamem"/>
        <w:numPr>
          <w:ilvl w:val="1"/>
          <w:numId w:val="31"/>
        </w:numPr>
        <w:spacing w:after="0"/>
        <w:ind w:left="0" w:firstLine="0"/>
        <w:contextualSpacing w:val="0"/>
      </w:pPr>
      <w:r w:rsidRPr="00FA5B29">
        <w:t>Kritéria pro posouzení souladu s</w:t>
      </w:r>
      <w:r w:rsidR="00DF063C">
        <w:t xml:space="preserve"> </w:t>
      </w:r>
      <w:r w:rsidRPr="00FA5B29">
        <w:t>právními předpisy</w:t>
      </w:r>
      <w:r w:rsidRPr="005D6B72">
        <w:t xml:space="preserve"> byla čerpána ze zákon</w:t>
      </w:r>
      <w:r>
        <w:t>ů</w:t>
      </w:r>
      <w:r w:rsidRPr="005D6B72">
        <w:t xml:space="preserve"> </w:t>
      </w:r>
      <w:r w:rsidR="00DF063C">
        <w:br/>
      </w:r>
      <w:r w:rsidRPr="005D6B72">
        <w:t>č. 2/1969 Sb., č.</w:t>
      </w:r>
      <w:r w:rsidR="00DF063C">
        <w:t xml:space="preserve"> </w:t>
      </w:r>
      <w:r w:rsidRPr="005D6B72">
        <w:t>219/1999 Sb.</w:t>
      </w:r>
      <w:r>
        <w:rPr>
          <w:rStyle w:val="Znakapoznpodarou"/>
        </w:rPr>
        <w:footnoteReference w:id="22"/>
      </w:r>
      <w:r w:rsidRPr="005D6B72">
        <w:t>, č.</w:t>
      </w:r>
      <w:r w:rsidR="00DF063C">
        <w:t xml:space="preserve"> </w:t>
      </w:r>
      <w:r w:rsidRPr="005D6B72">
        <w:t>218/2000 Sb., č. 219/2000 Sb.</w:t>
      </w:r>
      <w:r>
        <w:rPr>
          <w:rStyle w:val="Znakapoznpodarou"/>
        </w:rPr>
        <w:footnoteReference w:id="23"/>
      </w:r>
      <w:r w:rsidRPr="005D6B72">
        <w:t xml:space="preserve">, č. 134/2016 Sb., </w:t>
      </w:r>
      <w:r w:rsidR="0060524F">
        <w:br/>
      </w:r>
      <w:r w:rsidRPr="005D6B72">
        <w:t>č.</w:t>
      </w:r>
      <w:r w:rsidR="0060524F">
        <w:t xml:space="preserve"> </w:t>
      </w:r>
      <w:r w:rsidRPr="005D6B72">
        <w:t>239/2000 Sb.</w:t>
      </w:r>
      <w:r>
        <w:rPr>
          <w:rStyle w:val="Znakapoznpodarou"/>
          <w:rFonts w:cstheme="minorHAnsi"/>
          <w:lang w:eastAsia="cs-CZ"/>
        </w:rPr>
        <w:footnoteReference w:id="24"/>
      </w:r>
      <w:r w:rsidRPr="005D6B72">
        <w:t>, č.</w:t>
      </w:r>
      <w:r w:rsidR="00DF063C">
        <w:t xml:space="preserve"> </w:t>
      </w:r>
      <w:r w:rsidRPr="005D6B72">
        <w:t>320/2001 Sb., č.</w:t>
      </w:r>
      <w:r w:rsidR="00DF063C">
        <w:t xml:space="preserve"> </w:t>
      </w:r>
      <w:r w:rsidRPr="005D6B72">
        <w:t>89/2012 Sb.</w:t>
      </w:r>
      <w:r>
        <w:rPr>
          <w:rStyle w:val="Znakapoznpodarou"/>
        </w:rPr>
        <w:footnoteReference w:id="25"/>
      </w:r>
      <w:r w:rsidRPr="005D6B72">
        <w:t>, č. 130/2002 Sb.</w:t>
      </w:r>
      <w:r>
        <w:rPr>
          <w:rStyle w:val="Znakapoznpodarou"/>
        </w:rPr>
        <w:footnoteReference w:id="26"/>
      </w:r>
      <w:r w:rsidRPr="005D6B72">
        <w:t xml:space="preserve"> a </w:t>
      </w:r>
      <w:r w:rsidR="00DF063C">
        <w:t xml:space="preserve">z </w:t>
      </w:r>
      <w:r w:rsidRPr="005D6B72">
        <w:t>vyhláš</w:t>
      </w:r>
      <w:r w:rsidR="00DF063C">
        <w:t>e</w:t>
      </w:r>
      <w:r w:rsidRPr="005D6B72">
        <w:t xml:space="preserve">k </w:t>
      </w:r>
      <w:r w:rsidR="0060524F">
        <w:br/>
      </w:r>
      <w:r w:rsidRPr="005D6B72">
        <w:t>č.</w:t>
      </w:r>
      <w:r w:rsidR="0060524F">
        <w:t xml:space="preserve"> </w:t>
      </w:r>
      <w:r w:rsidRPr="005D6B72">
        <w:t>416/2004 Sb.</w:t>
      </w:r>
      <w:r>
        <w:rPr>
          <w:rStyle w:val="Znakapoznpodarou"/>
          <w:rFonts w:cstheme="minorHAnsi"/>
        </w:rPr>
        <w:footnoteReference w:id="27"/>
      </w:r>
      <w:r w:rsidRPr="005D6B72">
        <w:t>, č.</w:t>
      </w:r>
      <w:r w:rsidR="00DF063C">
        <w:t xml:space="preserve"> </w:t>
      </w:r>
      <w:r w:rsidRPr="005D6B72">
        <w:t>560/2006 Sb.</w:t>
      </w:r>
      <w:r>
        <w:rPr>
          <w:rStyle w:val="Znakapoznpodarou"/>
        </w:rPr>
        <w:footnoteReference w:id="28"/>
      </w:r>
      <w:r w:rsidRPr="005D6B72">
        <w:t xml:space="preserve"> a</w:t>
      </w:r>
      <w:r w:rsidR="00DF063C">
        <w:t xml:space="preserve"> </w:t>
      </w:r>
      <w:r w:rsidRPr="005D6B72">
        <w:t>č.</w:t>
      </w:r>
      <w:r w:rsidR="00DF063C">
        <w:t xml:space="preserve"> </w:t>
      </w:r>
      <w:r w:rsidRPr="005D6B72">
        <w:t>328/2001 Sb.</w:t>
      </w:r>
      <w:r>
        <w:rPr>
          <w:rStyle w:val="Znakapoznpodarou"/>
        </w:rPr>
        <w:footnoteReference w:id="29"/>
      </w:r>
      <w:r w:rsidRPr="005D6B72">
        <w:t xml:space="preserve"> Pojmy hospodárnost a účelnost vymezuje ustanovení § 2 písm. m) a o) zákona č. 320/2001 Sb.</w:t>
      </w:r>
    </w:p>
    <w:p w14:paraId="66CA31CB" w14:textId="77777777" w:rsidR="00FA5B6A" w:rsidRPr="00065CEB" w:rsidRDefault="00FA5B6A" w:rsidP="00FA5B6A">
      <w:pPr>
        <w:pStyle w:val="Odstavecseseznamem"/>
        <w:spacing w:after="0"/>
        <w:ind w:left="0"/>
        <w:contextualSpacing w:val="0"/>
        <w:rPr>
          <w:rFonts w:cstheme="minorHAnsi"/>
          <w:sz w:val="20"/>
          <w:lang w:eastAsia="cs-CZ"/>
        </w:rPr>
      </w:pPr>
    </w:p>
    <w:p w14:paraId="75E527DD" w14:textId="7CDB85A1" w:rsidR="00FA5B6A" w:rsidRDefault="00FA5B6A" w:rsidP="00BC4F1D">
      <w:pPr>
        <w:pStyle w:val="Odstavecseseznamem"/>
        <w:ind w:left="567" w:hanging="567"/>
        <w:contextualSpacing w:val="0"/>
        <w:rPr>
          <w:rFonts w:cstheme="minorHAnsi"/>
          <w:i/>
          <w:sz w:val="20"/>
          <w:lang w:eastAsia="cs-CZ"/>
        </w:rPr>
      </w:pPr>
      <w:bookmarkStart w:id="16" w:name="_Hlk150841354"/>
      <w:r w:rsidRPr="00065CEB">
        <w:rPr>
          <w:rFonts w:cstheme="minorHAnsi"/>
          <w:b/>
          <w:i/>
          <w:sz w:val="20"/>
          <w:lang w:eastAsia="cs-CZ"/>
        </w:rPr>
        <w:t>Pozn.:</w:t>
      </w:r>
      <w:r w:rsidRPr="00065CEB">
        <w:rPr>
          <w:rFonts w:cstheme="minorHAnsi"/>
          <w:i/>
          <w:sz w:val="20"/>
          <w:lang w:eastAsia="cs-CZ"/>
        </w:rPr>
        <w:t xml:space="preserve"> </w:t>
      </w:r>
      <w:r w:rsidR="00750D24">
        <w:rPr>
          <w:rFonts w:cstheme="minorHAnsi"/>
          <w:i/>
          <w:sz w:val="20"/>
          <w:lang w:eastAsia="cs-CZ"/>
        </w:rPr>
        <w:tab/>
      </w:r>
      <w:r w:rsidRPr="00065CEB">
        <w:rPr>
          <w:rFonts w:cstheme="minorHAnsi"/>
          <w:i/>
          <w:sz w:val="20"/>
          <w:lang w:eastAsia="cs-CZ"/>
        </w:rPr>
        <w:t>Právní předpisy uvedené v</w:t>
      </w:r>
      <w:r w:rsidR="00750D24">
        <w:rPr>
          <w:rFonts w:cstheme="minorHAnsi"/>
          <w:i/>
          <w:sz w:val="20"/>
          <w:lang w:eastAsia="cs-CZ"/>
        </w:rPr>
        <w:t xml:space="preserve"> </w:t>
      </w:r>
      <w:r w:rsidRPr="00065CEB">
        <w:rPr>
          <w:rFonts w:cstheme="minorHAnsi"/>
          <w:i/>
          <w:sz w:val="20"/>
          <w:lang w:eastAsia="cs-CZ"/>
        </w:rPr>
        <w:t>tomto kontrolním závěru jsou aplikovány ve znění účinném pro kontrol</w:t>
      </w:r>
      <w:r w:rsidR="00750D24">
        <w:rPr>
          <w:rFonts w:cstheme="minorHAnsi"/>
          <w:i/>
          <w:sz w:val="20"/>
          <w:lang w:eastAsia="cs-CZ"/>
        </w:rPr>
        <w:t>ované</w:t>
      </w:r>
      <w:r w:rsidRPr="00065CEB">
        <w:rPr>
          <w:rFonts w:cstheme="minorHAnsi"/>
          <w:i/>
          <w:sz w:val="20"/>
          <w:lang w:eastAsia="cs-CZ"/>
        </w:rPr>
        <w:t xml:space="preserve"> </w:t>
      </w:r>
      <w:r w:rsidRPr="0009277D">
        <w:rPr>
          <w:rFonts w:cstheme="minorHAnsi"/>
          <w:i/>
          <w:sz w:val="20"/>
          <w:lang w:eastAsia="cs-CZ"/>
        </w:rPr>
        <w:t>období. Hodnoty peněžních prostředků zahrnují ceny včetně DPH, pokud není uvedeno jinak.</w:t>
      </w:r>
    </w:p>
    <w:bookmarkEnd w:id="16"/>
    <w:p w14:paraId="31FFF309" w14:textId="77777777" w:rsidR="00290877" w:rsidRDefault="00290877">
      <w:pPr>
        <w:spacing w:after="0"/>
        <w:jc w:val="left"/>
        <w:rPr>
          <w:rFonts w:cstheme="minorHAnsi"/>
        </w:rPr>
      </w:pPr>
    </w:p>
    <w:p w14:paraId="7337316F" w14:textId="4E87276A" w:rsidR="00D74F3A" w:rsidRDefault="00D74F3A">
      <w:pPr>
        <w:spacing w:after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AD7ED8B" w14:textId="180D605F" w:rsidR="001676C8" w:rsidRDefault="00D457AE" w:rsidP="00BC4F1D">
      <w:pPr>
        <w:pStyle w:val="Nadpis1"/>
        <w:jc w:val="center"/>
        <w:rPr>
          <w:rFonts w:cstheme="minorHAnsi"/>
          <w:sz w:val="28"/>
          <w:szCs w:val="28"/>
        </w:rPr>
      </w:pPr>
      <w:r w:rsidRPr="00345425">
        <w:rPr>
          <w:rFonts w:cstheme="minorHAnsi"/>
          <w:sz w:val="28"/>
          <w:szCs w:val="28"/>
        </w:rPr>
        <w:t>IV. Podrobnosti ke zjištěným skutečnostem</w:t>
      </w:r>
    </w:p>
    <w:p w14:paraId="5436EE12" w14:textId="22D2C2FE" w:rsidR="00AA38E2" w:rsidRPr="00AA38E2" w:rsidRDefault="00AA38E2" w:rsidP="00BC4F1D">
      <w:pPr>
        <w:rPr>
          <w:rFonts w:cstheme="minorHAnsi"/>
        </w:rPr>
      </w:pPr>
    </w:p>
    <w:p w14:paraId="0874A26C" w14:textId="2A4B89C6" w:rsidR="005715E6" w:rsidRPr="00D755DB" w:rsidRDefault="00D457AE" w:rsidP="00BC4F1D">
      <w:pPr>
        <w:pStyle w:val="Odstavecseseznamem"/>
        <w:numPr>
          <w:ilvl w:val="0"/>
          <w:numId w:val="38"/>
        </w:numPr>
        <w:pBdr>
          <w:bottom w:val="single" w:sz="4" w:space="1" w:color="auto"/>
        </w:pBdr>
        <w:spacing w:after="0"/>
        <w:ind w:left="426" w:hanging="426"/>
        <w:jc w:val="left"/>
        <w:rPr>
          <w:b/>
          <w:i/>
        </w:rPr>
      </w:pPr>
      <w:bookmarkStart w:id="17" w:name="_Toc141018451"/>
      <w:bookmarkStart w:id="18" w:name="_Hlk134620789"/>
      <w:bookmarkStart w:id="19" w:name="_Hlk137882355"/>
      <w:r w:rsidRPr="00345425">
        <w:rPr>
          <w:b/>
          <w:i/>
        </w:rPr>
        <w:t>M</w:t>
      </w:r>
      <w:r w:rsidR="00AA38E2">
        <w:rPr>
          <w:b/>
          <w:i/>
        </w:rPr>
        <w:t>O</w:t>
      </w:r>
      <w:r w:rsidRPr="00345425">
        <w:rPr>
          <w:b/>
          <w:i/>
        </w:rPr>
        <w:t xml:space="preserve"> </w:t>
      </w:r>
      <w:r w:rsidR="00345425" w:rsidRPr="00345425">
        <w:rPr>
          <w:b/>
          <w:i/>
        </w:rPr>
        <w:t>nedosáhlo požadovaných schopností</w:t>
      </w:r>
      <w:r w:rsidR="00345425">
        <w:rPr>
          <w:b/>
          <w:i/>
        </w:rPr>
        <w:t xml:space="preserve"> </w:t>
      </w:r>
      <w:r w:rsidR="00345425" w:rsidRPr="00345425">
        <w:rPr>
          <w:b/>
          <w:i/>
        </w:rPr>
        <w:t xml:space="preserve">chemického vojska stanovených v koncepčních dokumentech </w:t>
      </w:r>
      <w:r w:rsidR="005715E6">
        <w:rPr>
          <w:b/>
          <w:i/>
        </w:rPr>
        <w:t xml:space="preserve">resortu obrany </w:t>
      </w:r>
      <w:r w:rsidR="00345425" w:rsidRPr="00345425">
        <w:rPr>
          <w:b/>
          <w:i/>
        </w:rPr>
        <w:t>a program</w:t>
      </w:r>
      <w:r w:rsidR="005715E6">
        <w:rPr>
          <w:b/>
          <w:i/>
        </w:rPr>
        <w:t>ech</w:t>
      </w:r>
      <w:r w:rsidR="00345425" w:rsidRPr="00345425">
        <w:rPr>
          <w:b/>
          <w:i/>
        </w:rPr>
        <w:t xml:space="preserve"> </w:t>
      </w:r>
      <w:r w:rsidR="005715E6" w:rsidRPr="00D755DB">
        <w:rPr>
          <w:b/>
          <w:i/>
        </w:rPr>
        <w:t>107V08 a 107V68</w:t>
      </w:r>
    </w:p>
    <w:p w14:paraId="7D87B30A" w14:textId="65D134EE" w:rsidR="00C4557F" w:rsidRDefault="00D457AE" w:rsidP="00885E32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1A25F5">
        <w:t>MO se v</w:t>
      </w:r>
      <w:r w:rsidR="006E427A">
        <w:t xml:space="preserve"> </w:t>
      </w:r>
      <w:r w:rsidRPr="001A25F5">
        <w:t xml:space="preserve">kontrolovaném období řídilo </w:t>
      </w:r>
      <w:r w:rsidR="003068A6">
        <w:t xml:space="preserve">zejména </w:t>
      </w:r>
      <w:r w:rsidRPr="001A25F5">
        <w:t xml:space="preserve">těmito koncepčními </w:t>
      </w:r>
      <w:bookmarkEnd w:id="17"/>
      <w:r w:rsidRPr="001A25F5">
        <w:t>dokumenty</w:t>
      </w:r>
      <w:r w:rsidR="008855CF">
        <w:t>:</w:t>
      </w:r>
      <w:r w:rsidR="003068A6">
        <w:t xml:space="preserve"> </w:t>
      </w:r>
      <w:r w:rsidR="004C4ED6" w:rsidRPr="001A25F5">
        <w:rPr>
          <w:lang w:eastAsia="cs-CZ"/>
        </w:rPr>
        <w:t>KVAČR</w:t>
      </w:r>
      <w:r w:rsidR="008855CF">
        <w:rPr>
          <w:lang w:eastAsia="cs-CZ"/>
        </w:rPr>
        <w:t xml:space="preserve"> </w:t>
      </w:r>
      <w:r w:rsidRPr="001A25F5">
        <w:rPr>
          <w:lang w:eastAsia="cs-CZ"/>
        </w:rPr>
        <w:t>2025</w:t>
      </w:r>
      <w:r w:rsidR="00D74F3A" w:rsidRPr="00D74F3A">
        <w:rPr>
          <w:vertAlign w:val="superscript"/>
          <w:lang w:eastAsia="cs-CZ"/>
        </w:rPr>
        <w:fldChar w:fldCharType="begin"/>
      </w:r>
      <w:r w:rsidR="00D74F3A" w:rsidRPr="00D74F3A">
        <w:rPr>
          <w:vertAlign w:val="superscript"/>
          <w:lang w:eastAsia="cs-CZ"/>
        </w:rPr>
        <w:instrText xml:space="preserve"> NOTEREF _Hlk147992695 \h </w:instrText>
      </w:r>
      <w:r w:rsidR="00D74F3A">
        <w:rPr>
          <w:vertAlign w:val="superscript"/>
          <w:lang w:eastAsia="cs-CZ"/>
        </w:rPr>
        <w:instrText xml:space="preserve"> \* MERGEFORMAT </w:instrText>
      </w:r>
      <w:r w:rsidR="00D74F3A" w:rsidRPr="00D74F3A">
        <w:rPr>
          <w:vertAlign w:val="superscript"/>
          <w:lang w:eastAsia="cs-CZ"/>
        </w:rPr>
      </w:r>
      <w:r w:rsidR="00D74F3A" w:rsidRPr="00D74F3A">
        <w:rPr>
          <w:vertAlign w:val="superscript"/>
          <w:lang w:eastAsia="cs-CZ"/>
        </w:rPr>
        <w:fldChar w:fldCharType="separate"/>
      </w:r>
      <w:r w:rsidR="00A10EC7">
        <w:rPr>
          <w:vertAlign w:val="superscript"/>
          <w:lang w:eastAsia="cs-CZ"/>
        </w:rPr>
        <w:t>7</w:t>
      </w:r>
      <w:r w:rsidR="00D74F3A" w:rsidRPr="00D74F3A">
        <w:rPr>
          <w:vertAlign w:val="superscript"/>
          <w:lang w:eastAsia="cs-CZ"/>
        </w:rPr>
        <w:fldChar w:fldCharType="end"/>
      </w:r>
      <w:r w:rsidRPr="001A25F5">
        <w:rPr>
          <w:lang w:eastAsia="cs-CZ"/>
        </w:rPr>
        <w:t>, K</w:t>
      </w:r>
      <w:r w:rsidR="008855CF">
        <w:rPr>
          <w:lang w:eastAsia="cs-CZ"/>
        </w:rPr>
        <w:t>VAČR 2030</w:t>
      </w:r>
      <w:r w:rsidR="006F7487">
        <w:rPr>
          <w:rStyle w:val="Znakapoznpodarou"/>
          <w:lang w:eastAsia="cs-CZ"/>
        </w:rPr>
        <w:footnoteReference w:id="30"/>
      </w:r>
      <w:r w:rsidRPr="001A25F5">
        <w:rPr>
          <w:lang w:eastAsia="cs-CZ"/>
        </w:rPr>
        <w:t xml:space="preserve">, </w:t>
      </w:r>
      <w:proofErr w:type="spellStart"/>
      <w:r w:rsidRPr="001A25F5">
        <w:rPr>
          <w:lang w:eastAsia="cs-CZ"/>
        </w:rPr>
        <w:t>K</w:t>
      </w:r>
      <w:r w:rsidR="004C4ED6" w:rsidRPr="001A25F5">
        <w:rPr>
          <w:lang w:eastAsia="cs-CZ"/>
        </w:rPr>
        <w:t>VPozS</w:t>
      </w:r>
      <w:proofErr w:type="spellEnd"/>
      <w:r w:rsidR="004C4ED6" w:rsidRPr="001A25F5">
        <w:rPr>
          <w:lang w:eastAsia="cs-CZ"/>
        </w:rPr>
        <w:t xml:space="preserve"> </w:t>
      </w:r>
      <w:r w:rsidRPr="001A25F5">
        <w:rPr>
          <w:lang w:eastAsia="cs-CZ"/>
        </w:rPr>
        <w:t>2017</w:t>
      </w:r>
      <w:r w:rsidR="00D74F3A" w:rsidRPr="00D74F3A">
        <w:rPr>
          <w:vertAlign w:val="superscript"/>
          <w:lang w:eastAsia="cs-CZ"/>
        </w:rPr>
        <w:fldChar w:fldCharType="begin"/>
      </w:r>
      <w:r w:rsidR="00D74F3A" w:rsidRPr="00D74F3A">
        <w:rPr>
          <w:vertAlign w:val="superscript"/>
          <w:lang w:eastAsia="cs-CZ"/>
        </w:rPr>
        <w:instrText xml:space="preserve"> NOTEREF _Ref148636045 \h  \* MERGEFORMAT </w:instrText>
      </w:r>
      <w:r w:rsidR="00D74F3A" w:rsidRPr="00D74F3A">
        <w:rPr>
          <w:vertAlign w:val="superscript"/>
          <w:lang w:eastAsia="cs-CZ"/>
        </w:rPr>
      </w:r>
      <w:r w:rsidR="00D74F3A" w:rsidRPr="00D74F3A">
        <w:rPr>
          <w:vertAlign w:val="superscript"/>
          <w:lang w:eastAsia="cs-CZ"/>
        </w:rPr>
        <w:fldChar w:fldCharType="separate"/>
      </w:r>
      <w:r w:rsidR="00A10EC7">
        <w:rPr>
          <w:vertAlign w:val="superscript"/>
          <w:lang w:eastAsia="cs-CZ"/>
        </w:rPr>
        <w:t>12</w:t>
      </w:r>
      <w:r w:rsidR="00D74F3A" w:rsidRPr="00D74F3A">
        <w:rPr>
          <w:vertAlign w:val="superscript"/>
          <w:lang w:eastAsia="cs-CZ"/>
        </w:rPr>
        <w:fldChar w:fldCharType="end"/>
      </w:r>
      <w:r w:rsidRPr="001A25F5">
        <w:rPr>
          <w:lang w:eastAsia="cs-CZ"/>
        </w:rPr>
        <w:t xml:space="preserve"> a </w:t>
      </w:r>
      <w:proofErr w:type="spellStart"/>
      <w:r w:rsidRPr="001A25F5">
        <w:rPr>
          <w:lang w:eastAsia="cs-CZ"/>
        </w:rPr>
        <w:t>K</w:t>
      </w:r>
      <w:r w:rsidR="008855CF">
        <w:rPr>
          <w:lang w:eastAsia="cs-CZ"/>
        </w:rPr>
        <w:t>VPozS</w:t>
      </w:r>
      <w:proofErr w:type="spellEnd"/>
      <w:r w:rsidRPr="001A25F5">
        <w:rPr>
          <w:lang w:eastAsia="cs-CZ"/>
        </w:rPr>
        <w:t xml:space="preserve"> 2020</w:t>
      </w:r>
      <w:r w:rsidR="00196BA6">
        <w:rPr>
          <w:rStyle w:val="Znakapoznpodarou"/>
          <w:lang w:eastAsia="cs-CZ"/>
        </w:rPr>
        <w:footnoteReference w:id="31"/>
      </w:r>
      <w:r w:rsidRPr="001A25F5">
        <w:rPr>
          <w:lang w:eastAsia="cs-CZ"/>
        </w:rPr>
        <w:t xml:space="preserve">. </w:t>
      </w:r>
    </w:p>
    <w:p w14:paraId="59EC9479" w14:textId="46BA324A" w:rsidR="00AB3A22" w:rsidRPr="001A25F5" w:rsidRDefault="00D457AE" w:rsidP="00DB606E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1A25F5">
        <w:t xml:space="preserve">Usnesením vlády ČR </w:t>
      </w:r>
      <w:r w:rsidR="001B4DDB">
        <w:t xml:space="preserve">ze dne 21. prosince 2015 </w:t>
      </w:r>
      <w:r w:rsidRPr="001A25F5">
        <w:t>č. 1094</w:t>
      </w:r>
      <w:r w:rsidR="006E427A">
        <w:t>,</w:t>
      </w:r>
      <w:r w:rsidRPr="001A25F5">
        <w:t xml:space="preserve"> </w:t>
      </w:r>
      <w:r w:rsidR="001B4DDB">
        <w:rPr>
          <w:i/>
        </w:rPr>
        <w:t>o</w:t>
      </w:r>
      <w:r w:rsidR="001B4DDB" w:rsidRPr="00C4557F">
        <w:rPr>
          <w:i/>
        </w:rPr>
        <w:t xml:space="preserve"> </w:t>
      </w:r>
      <w:r w:rsidRPr="00C4557F">
        <w:rPr>
          <w:i/>
          <w:lang w:eastAsia="cs-CZ"/>
        </w:rPr>
        <w:t>Koncepci výstavby Armády Č</w:t>
      </w:r>
      <w:r w:rsidR="001B4DDB">
        <w:rPr>
          <w:i/>
          <w:lang w:eastAsia="cs-CZ"/>
        </w:rPr>
        <w:t>eské republiky do roku</w:t>
      </w:r>
      <w:r w:rsidRPr="00C4557F">
        <w:rPr>
          <w:i/>
          <w:lang w:eastAsia="cs-CZ"/>
        </w:rPr>
        <w:t xml:space="preserve"> 2025</w:t>
      </w:r>
      <w:r w:rsidR="006E427A">
        <w:rPr>
          <w:lang w:eastAsia="cs-CZ"/>
        </w:rPr>
        <w:t>,</w:t>
      </w:r>
      <w:r w:rsidRPr="001A25F5">
        <w:t xml:space="preserve"> uložila vláda ministru obrany mj. zajistit postupné dosahování schopností AČR, které jsou požadovány ke splnění všech úkolů AČR dle této koncepce. Úkolem chemického vojska bylo </w:t>
      </w:r>
      <w:r w:rsidR="00A6761C">
        <w:t>mimo jiné</w:t>
      </w:r>
      <w:r w:rsidRPr="001A25F5">
        <w:t xml:space="preserve"> rozvíjet schopnost monitorovat a vyhodnocovat radiační a</w:t>
      </w:r>
      <w:r w:rsidR="00C4557F">
        <w:t> </w:t>
      </w:r>
      <w:r w:rsidRPr="001A25F5">
        <w:t>chemickou situaci</w:t>
      </w:r>
      <w:r w:rsidR="00A6761C">
        <w:t>. V</w:t>
      </w:r>
      <w:r w:rsidRPr="001A25F5">
        <w:t> chemickém zabezpečení pak rozvoj schopností ochrany proti zbraním hromadného ničení zejména v</w:t>
      </w:r>
      <w:r w:rsidR="00AA42B1">
        <w:t xml:space="preserve"> </w:t>
      </w:r>
      <w:r w:rsidRPr="001A25F5">
        <w:t xml:space="preserve">oblasti detekce, identifikace, dekontaminace a kolektivní ochrany. Požadovaného stavu hodlalo MO dosáhnout ve dvou </w:t>
      </w:r>
      <w:r w:rsidR="00A6761C">
        <w:t>etapách</w:t>
      </w:r>
      <w:r w:rsidR="00A6761C" w:rsidRPr="001A25F5">
        <w:t xml:space="preserve"> </w:t>
      </w:r>
      <w:r w:rsidRPr="001A25F5">
        <w:t xml:space="preserve">(milník 2020 a milník 2025). Milník 2020 představoval stav, kdy mělo MO odstranit nedostatky předchozího stavu a vytvořit podmínky pro zahájení rozvoje schopností AČR. Nástrojem pro dosažení cílů </w:t>
      </w:r>
      <w:r w:rsidR="008855CF">
        <w:t xml:space="preserve">KVAČR 2025 </w:t>
      </w:r>
      <w:r w:rsidRPr="001A25F5">
        <w:t xml:space="preserve">měla být realizace akcí z programů reprodukce majetku, zejména </w:t>
      </w:r>
      <w:r w:rsidR="00A05F56">
        <w:t>z</w:t>
      </w:r>
      <w:r w:rsidR="00E63BF3">
        <w:t> </w:t>
      </w:r>
      <w:r w:rsidRPr="001A25F5">
        <w:t>programu 107V08</w:t>
      </w:r>
      <w:r>
        <w:rPr>
          <w:rStyle w:val="Znakapoznpodarou"/>
          <w:rFonts w:cstheme="minorHAnsi"/>
        </w:rPr>
        <w:footnoteReference w:id="32"/>
      </w:r>
      <w:r w:rsidRPr="001A25F5">
        <w:t xml:space="preserve">. </w:t>
      </w:r>
    </w:p>
    <w:p w14:paraId="6408B9F3" w14:textId="0FB10AFC" w:rsidR="0075474F" w:rsidRDefault="00D457AE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1A25F5">
        <w:t xml:space="preserve">Konkrétní akce zařazené do programu 107V08 </w:t>
      </w:r>
      <w:r w:rsidR="00A05F56">
        <w:t xml:space="preserve">stanovilo MO </w:t>
      </w:r>
      <w:r w:rsidR="00CC10C3" w:rsidRPr="001A25F5">
        <w:t>v </w:t>
      </w:r>
      <w:proofErr w:type="spellStart"/>
      <w:r w:rsidRPr="001A25F5">
        <w:t>K</w:t>
      </w:r>
      <w:r w:rsidR="00CC10C3" w:rsidRPr="001A25F5">
        <w:t>VPozS</w:t>
      </w:r>
      <w:proofErr w:type="spellEnd"/>
      <w:r w:rsidRPr="001A25F5">
        <w:t xml:space="preserve"> 2017</w:t>
      </w:r>
      <w:r w:rsidR="00A05F56">
        <w:t xml:space="preserve"> a</w:t>
      </w:r>
      <w:r w:rsidRPr="001A25F5">
        <w:t xml:space="preserve"> </w:t>
      </w:r>
      <w:r w:rsidR="00D57B6C">
        <w:t xml:space="preserve">tamtéž </w:t>
      </w:r>
      <w:r w:rsidRPr="001A25F5">
        <w:t xml:space="preserve">uvedlo, že výsledkem neefektivního akvizičního procesu i samotné realizace </w:t>
      </w:r>
      <w:r w:rsidR="008855CF">
        <w:t xml:space="preserve">předchozích </w:t>
      </w:r>
      <w:r w:rsidRPr="001A25F5">
        <w:t xml:space="preserve">akcí </w:t>
      </w:r>
      <w:r w:rsidR="009308BD">
        <w:t>(</w:t>
      </w:r>
      <w:r w:rsidR="00A05F56">
        <w:t xml:space="preserve">mimo jiné i z </w:t>
      </w:r>
      <w:r w:rsidR="009308BD">
        <w:t xml:space="preserve">programu 107V68) </w:t>
      </w:r>
      <w:r w:rsidRPr="001A25F5">
        <w:t>byl v roce 2017 stav, kdy chemické vojsko mělo omezené schopnosti mj. a)</w:t>
      </w:r>
      <w:r w:rsidR="00AA42B1">
        <w:t xml:space="preserve"> </w:t>
      </w:r>
      <w:r w:rsidRPr="001A25F5">
        <w:t>působit v</w:t>
      </w:r>
      <w:r w:rsidR="00AA42B1">
        <w:t xml:space="preserve"> </w:t>
      </w:r>
      <w:r w:rsidRPr="001A25F5">
        <w:t>prostředí kontaminovaném zbraněmi hromadného ničení a</w:t>
      </w:r>
      <w:r w:rsidR="00577F3B">
        <w:t> </w:t>
      </w:r>
      <w:r w:rsidRPr="001A25F5">
        <w:t>průmyslovými toxickými látkami, a to z</w:t>
      </w:r>
      <w:r w:rsidR="00AA42B1">
        <w:t xml:space="preserve"> </w:t>
      </w:r>
      <w:r w:rsidRPr="001A25F5">
        <w:t>důvodu nedostatečné vybavenosti prostředky kolektivní a</w:t>
      </w:r>
      <w:r w:rsidR="00AA42B1">
        <w:t xml:space="preserve"> </w:t>
      </w:r>
      <w:r w:rsidRPr="001A25F5">
        <w:t>individuální ochrany</w:t>
      </w:r>
      <w:r w:rsidR="00AA42B1">
        <w:t>,</w:t>
      </w:r>
      <w:r w:rsidRPr="001A25F5">
        <w:t xml:space="preserve"> b) v</w:t>
      </w:r>
      <w:r w:rsidR="00AA42B1">
        <w:t xml:space="preserve"> </w:t>
      </w:r>
      <w:r w:rsidRPr="001A25F5">
        <w:t>oblasti detekce a identifikace CBRN látek z</w:t>
      </w:r>
      <w:r w:rsidR="00AA42B1">
        <w:t xml:space="preserve"> </w:t>
      </w:r>
      <w:r w:rsidRPr="001A25F5">
        <w:t>důvodu zastaralé techniky a materiálu a</w:t>
      </w:r>
      <w:r w:rsidR="00AA42B1">
        <w:t xml:space="preserve"> </w:t>
      </w:r>
      <w:r w:rsidRPr="001A25F5">
        <w:t>částečné nevybavenosti odběrových a</w:t>
      </w:r>
      <w:r w:rsidR="00AA42B1">
        <w:t xml:space="preserve"> </w:t>
      </w:r>
      <w:r w:rsidRPr="001A25F5">
        <w:t xml:space="preserve">transportních týmů. Proces budování schopností chemického vojska byl v návaznosti na </w:t>
      </w:r>
      <w:r w:rsidR="00CC10C3" w:rsidRPr="001A25F5">
        <w:t xml:space="preserve">KVAČR </w:t>
      </w:r>
      <w:r w:rsidRPr="001A25F5">
        <w:t>2025 rozdělen do dvou milníků, do roku 2020 a 2025. Do konce roku 2020 měly být např. pořízeny odběrové a</w:t>
      </w:r>
      <w:r w:rsidR="00ED49F2">
        <w:t> </w:t>
      </w:r>
      <w:r w:rsidRPr="001A25F5">
        <w:t xml:space="preserve">transportní soupravy, zahájen nákup </w:t>
      </w:r>
      <w:r w:rsidR="008855CF">
        <w:t xml:space="preserve">lehkých obrněných vozidel nebo </w:t>
      </w:r>
      <w:r w:rsidRPr="001A25F5">
        <w:t>realizována obměna přístrojů detekce CBRN látek</w:t>
      </w:r>
      <w:r w:rsidR="008855CF">
        <w:t>.</w:t>
      </w:r>
    </w:p>
    <w:p w14:paraId="3DD290DE" w14:textId="6CC439EC" w:rsidR="00C4557F" w:rsidRPr="00BB6C8C" w:rsidRDefault="00D457AE" w:rsidP="009A10D3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663C89">
        <w:t xml:space="preserve">Program </w:t>
      </w:r>
      <w:r w:rsidR="00663C89" w:rsidRPr="00663C89">
        <w:t xml:space="preserve">107V68 – </w:t>
      </w:r>
      <w:r w:rsidR="00663C89" w:rsidRPr="00C4557F">
        <w:rPr>
          <w:i/>
        </w:rPr>
        <w:t>Udržení a rozvoj schopností pozemních sil AČR</w:t>
      </w:r>
      <w:r w:rsidR="00663C89">
        <w:t xml:space="preserve"> </w:t>
      </w:r>
      <w:r w:rsidRPr="001A25F5">
        <w:t xml:space="preserve">byl realizován </w:t>
      </w:r>
      <w:r w:rsidR="00965CFA">
        <w:br/>
      </w:r>
      <w:r w:rsidRPr="001A25F5">
        <w:t>v</w:t>
      </w:r>
      <w:r w:rsidR="00965CFA">
        <w:t xml:space="preserve"> </w:t>
      </w:r>
      <w:r w:rsidRPr="001A25F5">
        <w:t>období 2015</w:t>
      </w:r>
      <w:r w:rsidR="004C2DEB">
        <w:t>–</w:t>
      </w:r>
      <w:r w:rsidRPr="001A25F5">
        <w:t>2020 s</w:t>
      </w:r>
      <w:r w:rsidR="00AA42B1">
        <w:t xml:space="preserve"> </w:t>
      </w:r>
      <w:r w:rsidR="00D43391">
        <w:t xml:space="preserve">peněžními </w:t>
      </w:r>
      <w:r w:rsidRPr="001A25F5">
        <w:t>prostředky státního rozpočtu ve výši 4</w:t>
      </w:r>
      <w:r w:rsidR="00AA42B1">
        <w:t xml:space="preserve"> </w:t>
      </w:r>
      <w:r w:rsidR="009A10D3">
        <w:t>948 mil</w:t>
      </w:r>
      <w:r w:rsidRPr="001A25F5">
        <w:t xml:space="preserve">. Kč. Obecným cílem </w:t>
      </w:r>
      <w:r w:rsidR="00663C89">
        <w:t xml:space="preserve">programu </w:t>
      </w:r>
      <w:r w:rsidRPr="001A25F5">
        <w:t>mělo být mj. zabezpečení rozvoje a činnosti pozemních sil AČR v</w:t>
      </w:r>
      <w:r w:rsidR="00EC5931">
        <w:t> </w:t>
      </w:r>
      <w:r w:rsidRPr="001A25F5">
        <w:t>oblasti pořízení a</w:t>
      </w:r>
      <w:r w:rsidR="00663C89">
        <w:t> </w:t>
      </w:r>
      <w:r w:rsidRPr="001A25F5">
        <w:t>zhodnocení movitého a nemovitého majetku</w:t>
      </w:r>
      <w:r w:rsidR="006B7A02">
        <w:t>. C</w:t>
      </w:r>
      <w:r w:rsidRPr="001A25F5">
        <w:t xml:space="preserve">ílem v oblasti chemického vojska měl být rozvoj schopností ochrany proti účinkům zbraní hromadného ničení zejména </w:t>
      </w:r>
      <w:r w:rsidR="00965CFA">
        <w:br/>
      </w:r>
      <w:r w:rsidRPr="001A25F5">
        <w:t>v</w:t>
      </w:r>
      <w:r w:rsidR="00965CFA">
        <w:t xml:space="preserve"> </w:t>
      </w:r>
      <w:r w:rsidRPr="001A25F5">
        <w:t xml:space="preserve">oblasti detekce, identifikace a dekontaminace. </w:t>
      </w:r>
      <w:r w:rsidR="00FE1124">
        <w:t>S</w:t>
      </w:r>
      <w:r w:rsidRPr="001A25F5">
        <w:t xml:space="preserve">chopnost detekce </w:t>
      </w:r>
      <w:r w:rsidR="00FE1124">
        <w:t>a</w:t>
      </w:r>
      <w:r w:rsidRPr="00BB6C8C">
        <w:t xml:space="preserve"> identifikace nebezpečných látek byla </w:t>
      </w:r>
      <w:r w:rsidR="00FE1124">
        <w:t xml:space="preserve">totiž </w:t>
      </w:r>
      <w:r w:rsidRPr="00BB6C8C">
        <w:t>v</w:t>
      </w:r>
      <w:r w:rsidR="00965CFA">
        <w:t xml:space="preserve"> </w:t>
      </w:r>
      <w:r w:rsidRPr="00BB6C8C">
        <w:t>roce 2015 zabezpečena pouze na 50 %, v</w:t>
      </w:r>
      <w:r w:rsidR="00965CFA">
        <w:t xml:space="preserve"> </w:t>
      </w:r>
      <w:r w:rsidRPr="00BB6C8C">
        <w:t xml:space="preserve">prostředcích kolektivní ochrany byl plněn požadavek u AČR na 25 %. Přestože naléhavost zabezpečení potřeb chemického vojska byla </w:t>
      </w:r>
      <w:r w:rsidR="00AA42B1">
        <w:t>vzhledem k</w:t>
      </w:r>
      <w:r w:rsidR="00A05F56">
        <w:t xml:space="preserve"> výše uvedené</w:t>
      </w:r>
      <w:r w:rsidR="00AA42B1">
        <w:t>mu</w:t>
      </w:r>
      <w:r w:rsidR="00A05F56">
        <w:t xml:space="preserve"> </w:t>
      </w:r>
      <w:r w:rsidR="00D43391">
        <w:t xml:space="preserve">stavu </w:t>
      </w:r>
      <w:r w:rsidRPr="00BB6C8C">
        <w:t>značná, z</w:t>
      </w:r>
      <w:r w:rsidR="00AA42B1">
        <w:t xml:space="preserve"> </w:t>
      </w:r>
      <w:r w:rsidRPr="00BB6C8C">
        <w:t>osmi plánovaných akcí v</w:t>
      </w:r>
      <w:r w:rsidR="00AA42B1">
        <w:t xml:space="preserve"> </w:t>
      </w:r>
      <w:r w:rsidRPr="00BB6C8C">
        <w:t>celkové výši 1</w:t>
      </w:r>
      <w:r w:rsidR="009A10D3" w:rsidRPr="00BB6C8C">
        <w:t> 551</w:t>
      </w:r>
      <w:r w:rsidR="00AA42B1">
        <w:t xml:space="preserve"> </w:t>
      </w:r>
      <w:r w:rsidR="009A10D3" w:rsidRPr="00BB6C8C">
        <w:t>mil</w:t>
      </w:r>
      <w:r w:rsidRPr="00BB6C8C">
        <w:t>.</w:t>
      </w:r>
      <w:r w:rsidR="00AA42B1">
        <w:t xml:space="preserve"> </w:t>
      </w:r>
      <w:r w:rsidRPr="00BB6C8C">
        <w:t xml:space="preserve">Kč (např. provětrávaný protichemický oděv </w:t>
      </w:r>
      <w:r w:rsidR="00AA42B1">
        <w:br/>
      </w:r>
      <w:r w:rsidRPr="00BB6C8C">
        <w:t xml:space="preserve">OPCH-05, viz část </w:t>
      </w:r>
      <w:r w:rsidR="00F671C9" w:rsidRPr="00BB6C8C">
        <w:t xml:space="preserve">IV. </w:t>
      </w:r>
      <w:r w:rsidR="00D73283" w:rsidRPr="00BB6C8C">
        <w:t xml:space="preserve">písm. </w:t>
      </w:r>
      <w:r w:rsidR="008D534B">
        <w:t>B</w:t>
      </w:r>
      <w:r w:rsidR="00F671C9" w:rsidRPr="00BB6C8C">
        <w:t xml:space="preserve"> </w:t>
      </w:r>
      <w:r w:rsidR="00AA42B1">
        <w:t xml:space="preserve">tohoto </w:t>
      </w:r>
      <w:r w:rsidRPr="00BB6C8C">
        <w:t xml:space="preserve">kontrolního závěru) </w:t>
      </w:r>
      <w:r w:rsidR="00427833" w:rsidRPr="00BB6C8C">
        <w:t xml:space="preserve">alokovalo </w:t>
      </w:r>
      <w:r w:rsidRPr="00BB6C8C">
        <w:t xml:space="preserve">MO </w:t>
      </w:r>
      <w:r w:rsidR="0031265F">
        <w:t xml:space="preserve">peněžní prostředky </w:t>
      </w:r>
      <w:r w:rsidRPr="00BB6C8C">
        <w:t>státního rozpočtu</w:t>
      </w:r>
      <w:r w:rsidR="00427833" w:rsidRPr="00BB6C8C">
        <w:t xml:space="preserve"> pouze na jednu akci</w:t>
      </w:r>
      <w:r w:rsidRPr="00BB6C8C">
        <w:t xml:space="preserve">, a to ve výši </w:t>
      </w:r>
      <w:r w:rsidR="00CD0B53" w:rsidRPr="00BB6C8C">
        <w:t>265 mil</w:t>
      </w:r>
      <w:r w:rsidRPr="00BB6C8C">
        <w:t xml:space="preserve">. Kč (pořízení materiálu k dosažení cíle E6201N dle </w:t>
      </w:r>
      <w:r w:rsidR="000B7326" w:rsidRPr="00BB6C8C">
        <w:t xml:space="preserve">NATO </w:t>
      </w:r>
      <w:proofErr w:type="spellStart"/>
      <w:r w:rsidR="000B7326" w:rsidRPr="00315D9B">
        <w:rPr>
          <w:rFonts w:cstheme="minorHAnsi"/>
          <w:lang w:eastAsia="cs-CZ"/>
        </w:rPr>
        <w:t>Capability</w:t>
      </w:r>
      <w:proofErr w:type="spellEnd"/>
      <w:r w:rsidR="000B7326" w:rsidRPr="00315D9B">
        <w:rPr>
          <w:rFonts w:cstheme="minorHAnsi"/>
          <w:lang w:eastAsia="cs-CZ"/>
        </w:rPr>
        <w:t xml:space="preserve"> </w:t>
      </w:r>
      <w:proofErr w:type="spellStart"/>
      <w:r w:rsidR="000B7326" w:rsidRPr="00315D9B">
        <w:rPr>
          <w:rFonts w:cstheme="minorHAnsi"/>
          <w:lang w:eastAsia="cs-CZ"/>
        </w:rPr>
        <w:t>Targets</w:t>
      </w:r>
      <w:proofErr w:type="spellEnd"/>
      <w:r w:rsidRPr="00577F3B">
        <w:rPr>
          <w:rStyle w:val="Znakapoznpodarou"/>
          <w:rFonts w:cstheme="minorHAnsi"/>
          <w:lang w:val="en-US" w:eastAsia="cs-CZ"/>
        </w:rPr>
        <w:footnoteReference w:id="33"/>
      </w:r>
      <w:r w:rsidR="000B7326" w:rsidRPr="00BB6C8C">
        <w:rPr>
          <w:rFonts w:cstheme="minorHAnsi"/>
          <w:i/>
          <w:lang w:eastAsia="cs-CZ"/>
        </w:rPr>
        <w:t xml:space="preserve"> </w:t>
      </w:r>
      <w:r w:rsidR="000B7326" w:rsidRPr="00BB6C8C">
        <w:rPr>
          <w:rFonts w:cstheme="minorHAnsi"/>
          <w:lang w:eastAsia="cs-CZ"/>
        </w:rPr>
        <w:t xml:space="preserve">(dále také „CT“) </w:t>
      </w:r>
      <w:r w:rsidRPr="00BB6C8C">
        <w:t xml:space="preserve">2013, viz část </w:t>
      </w:r>
      <w:r w:rsidR="00F671C9" w:rsidRPr="00BB6C8C">
        <w:t xml:space="preserve">IV. </w:t>
      </w:r>
      <w:r w:rsidR="00D73283" w:rsidRPr="00BB6C8C">
        <w:t>písm. B</w:t>
      </w:r>
      <w:r w:rsidR="00F671C9" w:rsidRPr="00BB6C8C">
        <w:t xml:space="preserve"> </w:t>
      </w:r>
      <w:r w:rsidR="00AA42B1">
        <w:t xml:space="preserve">tohoto </w:t>
      </w:r>
      <w:r w:rsidR="00F671C9" w:rsidRPr="00BB6C8C">
        <w:t>k</w:t>
      </w:r>
      <w:r w:rsidRPr="00BB6C8C">
        <w:t xml:space="preserve">ontrolního závěru). </w:t>
      </w:r>
    </w:p>
    <w:p w14:paraId="520C7C93" w14:textId="6702EB90" w:rsidR="00AB3A22" w:rsidRPr="00BB6C8C" w:rsidRDefault="00D457AE" w:rsidP="00DB606E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BB6C8C">
        <w:t xml:space="preserve">NKÚ dále zjistil, že MO ve skutečnosti na zabezpečení potřeb chemického vojska </w:t>
      </w:r>
      <w:r w:rsidR="00AA42B1" w:rsidRPr="00BB6C8C">
        <w:t xml:space="preserve">vynaložilo </w:t>
      </w:r>
      <w:r w:rsidRPr="00BB6C8C">
        <w:t>z programu 107V68 pouze částku 78,94 mil. Kč</w:t>
      </w:r>
      <w:r w:rsidRPr="00BB6C8C">
        <w:rPr>
          <w:rStyle w:val="Znakapoznpodarou"/>
          <w:rFonts w:cstheme="minorHAnsi"/>
        </w:rPr>
        <w:footnoteReference w:id="34"/>
      </w:r>
      <w:r w:rsidR="003068A6" w:rsidRPr="00BB6C8C">
        <w:t xml:space="preserve"> (cca 30 %)</w:t>
      </w:r>
      <w:r w:rsidR="00BB6C8C" w:rsidRPr="00BB6C8C">
        <w:t xml:space="preserve">. </w:t>
      </w:r>
      <w:r w:rsidR="00BB6C8C" w:rsidRPr="00D755DB">
        <w:rPr>
          <w:rFonts w:cstheme="minorHAnsi"/>
        </w:rPr>
        <w:t xml:space="preserve">Z hlediska účelnosti peněžních prostředků </w:t>
      </w:r>
      <w:r w:rsidR="00D43391">
        <w:rPr>
          <w:rFonts w:cstheme="minorHAnsi"/>
        </w:rPr>
        <w:t xml:space="preserve">státního rozpočtu </w:t>
      </w:r>
      <w:r w:rsidR="00BB6C8C" w:rsidRPr="00D755DB">
        <w:rPr>
          <w:rFonts w:cstheme="minorHAnsi"/>
        </w:rPr>
        <w:t xml:space="preserve">vynaložených na plánovací a akviziční činnost resortu obrany </w:t>
      </w:r>
      <w:r w:rsidRPr="00BB6C8C">
        <w:t xml:space="preserve">nedosáhlo </w:t>
      </w:r>
      <w:r w:rsidR="00AA42B1" w:rsidRPr="00D755DB">
        <w:rPr>
          <w:rFonts w:cstheme="minorHAnsi"/>
        </w:rPr>
        <w:t>MO</w:t>
      </w:r>
      <w:r w:rsidR="00AA42B1">
        <w:rPr>
          <w:rFonts w:cstheme="minorHAnsi"/>
        </w:rPr>
        <w:t xml:space="preserve"> </w:t>
      </w:r>
      <w:r w:rsidRPr="00BB6C8C">
        <w:t xml:space="preserve">stanovených cílů a zamýšlených dopadů, kterými </w:t>
      </w:r>
      <w:r w:rsidR="002E4A57">
        <w:t xml:space="preserve">byl </w:t>
      </w:r>
      <w:r w:rsidR="00AA42B1">
        <w:t>především</w:t>
      </w:r>
      <w:r w:rsidR="002E4A57">
        <w:t xml:space="preserve"> </w:t>
      </w:r>
      <w:r w:rsidR="002E4A57" w:rsidRPr="001A25F5">
        <w:t xml:space="preserve">rozvoj schopností ochrany proti účinkům zbraní hromadného ničení zejména </w:t>
      </w:r>
      <w:r w:rsidR="0060524F">
        <w:br/>
      </w:r>
      <w:r w:rsidR="002E4A57" w:rsidRPr="001A25F5">
        <w:t>v</w:t>
      </w:r>
      <w:r w:rsidR="0060524F">
        <w:t xml:space="preserve"> </w:t>
      </w:r>
      <w:r w:rsidR="002E4A57" w:rsidRPr="001A25F5">
        <w:t>oblasti detekce, identifikace a</w:t>
      </w:r>
      <w:r w:rsidR="00AA42B1">
        <w:t xml:space="preserve"> </w:t>
      </w:r>
      <w:r w:rsidR="002E4A57" w:rsidRPr="001A25F5">
        <w:t>dekontaminace</w:t>
      </w:r>
      <w:r w:rsidR="002E4A57">
        <w:t>.</w:t>
      </w:r>
      <w:r w:rsidRPr="00BB6C8C">
        <w:t xml:space="preserve"> Negativní stav materiálního zabezpečení </w:t>
      </w:r>
      <w:r w:rsidR="003068A6" w:rsidRPr="00BB6C8C">
        <w:t xml:space="preserve">chemického vojska </w:t>
      </w:r>
      <w:r w:rsidRPr="00BB6C8C">
        <w:t xml:space="preserve">měl změnit navazující program 107V08. </w:t>
      </w:r>
    </w:p>
    <w:p w14:paraId="4413EAC5" w14:textId="2210F5A8" w:rsidR="00496E48" w:rsidRDefault="00D457AE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</w:pPr>
      <w:r w:rsidRPr="001A25F5">
        <w:t xml:space="preserve">Program </w:t>
      </w:r>
      <w:r w:rsidR="00E7008C">
        <w:t xml:space="preserve">107V08 – </w:t>
      </w:r>
      <w:r w:rsidR="00E7008C" w:rsidRPr="00B007E4">
        <w:rPr>
          <w:i/>
        </w:rPr>
        <w:t xml:space="preserve">Strategický program pozemních sil AČR </w:t>
      </w:r>
      <w:r w:rsidRPr="001A25F5">
        <w:t>byl schválen</w:t>
      </w:r>
      <w:r>
        <w:rPr>
          <w:rStyle w:val="Znakapoznpodarou"/>
          <w:rFonts w:cstheme="minorHAnsi"/>
        </w:rPr>
        <w:footnoteReference w:id="35"/>
      </w:r>
      <w:r w:rsidRPr="001A25F5">
        <w:t xml:space="preserve"> na období 2017–2026 </w:t>
      </w:r>
      <w:r w:rsidR="00AA42B1">
        <w:t>(</w:t>
      </w:r>
      <w:r w:rsidRPr="001A25F5">
        <w:t>resp. 2029</w:t>
      </w:r>
      <w:r>
        <w:rPr>
          <w:rStyle w:val="Znakapoznpodarou"/>
          <w:rFonts w:cstheme="minorHAnsi"/>
        </w:rPr>
        <w:footnoteReference w:id="36"/>
      </w:r>
      <w:r w:rsidR="00AA42B1">
        <w:t>)</w:t>
      </w:r>
      <w:r w:rsidRPr="001A25F5">
        <w:t xml:space="preserve"> s</w:t>
      </w:r>
      <w:r w:rsidR="00D57B6C">
        <w:t xml:space="preserve"> peněžními </w:t>
      </w:r>
      <w:r w:rsidRPr="001A25F5">
        <w:t>prostředky státního rozpočtu ve výši 117</w:t>
      </w:r>
      <w:r w:rsidR="009A10D3">
        <w:t xml:space="preserve"> 033 mil. </w:t>
      </w:r>
      <w:r w:rsidRPr="001A25F5">
        <w:t xml:space="preserve">Kč. Obecným cílem </w:t>
      </w:r>
      <w:r w:rsidR="00257FEC">
        <w:t xml:space="preserve">programu </w:t>
      </w:r>
      <w:r w:rsidR="00D57B6C">
        <w:t>je</w:t>
      </w:r>
      <w:r w:rsidRPr="001A25F5">
        <w:t xml:space="preserve"> výstavba prvků pozemních sil AČR</w:t>
      </w:r>
      <w:r w:rsidR="003068A6">
        <w:t xml:space="preserve">. </w:t>
      </w:r>
      <w:r w:rsidRPr="001A25F5">
        <w:rPr>
          <w:lang w:eastAsia="cs-CZ"/>
        </w:rPr>
        <w:t>MO vyčlenilo v programu na potřeby chemického vojska v období 2017</w:t>
      </w:r>
      <w:r w:rsidR="009C617D">
        <w:rPr>
          <w:lang w:eastAsia="cs-CZ"/>
        </w:rPr>
        <w:t>–</w:t>
      </w:r>
      <w:r w:rsidRPr="001A25F5">
        <w:rPr>
          <w:lang w:eastAsia="cs-CZ"/>
        </w:rPr>
        <w:t>2022 částku 6</w:t>
      </w:r>
      <w:r w:rsidR="00804109">
        <w:rPr>
          <w:lang w:eastAsia="cs-CZ"/>
        </w:rPr>
        <w:t> 769 mil</w:t>
      </w:r>
      <w:r w:rsidRPr="001A25F5">
        <w:t>. Kč. NKÚ zjistil, že skutečn</w:t>
      </w:r>
      <w:r w:rsidR="00592C1F">
        <w:t>é</w:t>
      </w:r>
      <w:r w:rsidRPr="001A25F5">
        <w:t xml:space="preserve"> </w:t>
      </w:r>
      <w:r w:rsidR="0089780D">
        <w:t xml:space="preserve">čerpání </w:t>
      </w:r>
      <w:r w:rsidR="00AA42B1">
        <w:t>činilo</w:t>
      </w:r>
      <w:r w:rsidR="00A63D42">
        <w:t xml:space="preserve"> 5</w:t>
      </w:r>
      <w:r w:rsidR="00965CFA">
        <w:t xml:space="preserve"> </w:t>
      </w:r>
      <w:r w:rsidR="00A63D42">
        <w:t>228 mil. Kč</w:t>
      </w:r>
      <w:r w:rsidR="0089780D">
        <w:t>, z</w:t>
      </w:r>
      <w:r w:rsidR="00965CFA">
        <w:t xml:space="preserve"> </w:t>
      </w:r>
      <w:r w:rsidR="0089780D">
        <w:t xml:space="preserve">toho </w:t>
      </w:r>
      <w:r w:rsidRPr="001A25F5">
        <w:t xml:space="preserve">98 % výdajů </w:t>
      </w:r>
      <w:r w:rsidR="00F3773F">
        <w:t xml:space="preserve">vynaložilo MO na akci </w:t>
      </w:r>
      <w:r w:rsidRPr="001A25F5">
        <w:t>č.</w:t>
      </w:r>
      <w:r w:rsidR="008D0EB0" w:rsidRPr="001A25F5">
        <w:t> </w:t>
      </w:r>
      <w:r w:rsidRPr="001A25F5">
        <w:t xml:space="preserve">107V081001909 </w:t>
      </w:r>
      <w:r w:rsidRPr="00BC4F1D">
        <w:rPr>
          <w:i/>
        </w:rPr>
        <w:t>Lehké obrněné vozidlo CBRN – nákup</w:t>
      </w:r>
      <w:r w:rsidRPr="001A25F5">
        <w:t xml:space="preserve"> (viz část</w:t>
      </w:r>
      <w:r w:rsidR="0012604C" w:rsidRPr="001A25F5">
        <w:t xml:space="preserve"> IV.</w:t>
      </w:r>
      <w:r w:rsidR="00D73283">
        <w:t xml:space="preserve"> písm. </w:t>
      </w:r>
      <w:r w:rsidR="0031265F">
        <w:t>C</w:t>
      </w:r>
      <w:r w:rsidR="0012604C" w:rsidRPr="001A25F5">
        <w:t xml:space="preserve"> </w:t>
      </w:r>
      <w:r w:rsidR="00AA42B1">
        <w:t xml:space="preserve">tohoto </w:t>
      </w:r>
      <w:r w:rsidRPr="001A25F5">
        <w:t xml:space="preserve">kontrolního závěru). </w:t>
      </w:r>
    </w:p>
    <w:p w14:paraId="4B225976" w14:textId="29EBE084" w:rsidR="00AB3A22" w:rsidRDefault="00592C1F" w:rsidP="00290877">
      <w:pPr>
        <w:pStyle w:val="Odstavecseseznamem"/>
        <w:numPr>
          <w:ilvl w:val="1"/>
          <w:numId w:val="34"/>
        </w:numPr>
        <w:spacing w:before="120" w:after="0"/>
        <w:ind w:left="0" w:firstLine="0"/>
        <w:contextualSpacing w:val="0"/>
      </w:pPr>
      <w:bookmarkStart w:id="20" w:name="_Hlk147926444"/>
      <w:r w:rsidRPr="001A25F5">
        <w:rPr>
          <w:lang w:eastAsia="cs-CZ"/>
        </w:rPr>
        <w:t>V</w:t>
      </w:r>
      <w:r w:rsidR="00965CFA">
        <w:rPr>
          <w:lang w:eastAsia="cs-CZ"/>
        </w:rPr>
        <w:t xml:space="preserve"> </w:t>
      </w:r>
      <w:r w:rsidRPr="001A25F5">
        <w:rPr>
          <w:lang w:eastAsia="cs-CZ"/>
        </w:rPr>
        <w:t xml:space="preserve">oblasti chemického vojska měly být </w:t>
      </w:r>
      <w:r>
        <w:rPr>
          <w:lang w:eastAsia="cs-CZ"/>
        </w:rPr>
        <w:t xml:space="preserve">dílčím </w:t>
      </w:r>
      <w:r w:rsidRPr="001A25F5">
        <w:rPr>
          <w:lang w:eastAsia="cs-CZ"/>
        </w:rPr>
        <w:t>cílem</w:t>
      </w:r>
      <w:r w:rsidRPr="00592C1F">
        <w:t xml:space="preserve"> </w:t>
      </w:r>
      <w:r>
        <w:t xml:space="preserve">č. 4 </w:t>
      </w:r>
      <w:r>
        <w:rPr>
          <w:lang w:eastAsia="cs-CZ"/>
        </w:rPr>
        <w:t xml:space="preserve">programu </w:t>
      </w:r>
      <w:r>
        <w:t>107V08</w:t>
      </w:r>
      <w:r>
        <w:rPr>
          <w:lang w:eastAsia="cs-CZ"/>
        </w:rPr>
        <w:t xml:space="preserve"> </w:t>
      </w:r>
      <w:r w:rsidRPr="00BC4F1D">
        <w:rPr>
          <w:lang w:eastAsia="cs-CZ"/>
        </w:rPr>
        <w:t>„</w:t>
      </w:r>
      <w:r w:rsidRPr="001871D9">
        <w:rPr>
          <w:i/>
          <w:lang w:eastAsia="cs-CZ"/>
        </w:rPr>
        <w:t>vyvážené interoperabilní síly chemického vojska schopné plnit úkoly bojové a</w:t>
      </w:r>
      <w:r w:rsidR="00F25704">
        <w:rPr>
          <w:i/>
          <w:lang w:eastAsia="cs-CZ"/>
        </w:rPr>
        <w:t xml:space="preserve"> </w:t>
      </w:r>
      <w:r w:rsidRPr="001871D9">
        <w:rPr>
          <w:i/>
          <w:lang w:eastAsia="cs-CZ"/>
        </w:rPr>
        <w:t>odborné (všeobecné) podpory bojových sil na bázi 4. brigády rychlého nasazení a</w:t>
      </w:r>
      <w:r w:rsidR="00AA42B1">
        <w:rPr>
          <w:i/>
          <w:lang w:eastAsia="cs-CZ"/>
        </w:rPr>
        <w:t xml:space="preserve"> </w:t>
      </w:r>
      <w:r w:rsidRPr="001871D9">
        <w:rPr>
          <w:i/>
          <w:lang w:eastAsia="cs-CZ"/>
        </w:rPr>
        <w:t>7.</w:t>
      </w:r>
      <w:r w:rsidR="00AA42B1">
        <w:rPr>
          <w:i/>
          <w:lang w:eastAsia="cs-CZ"/>
        </w:rPr>
        <w:t xml:space="preserve"> </w:t>
      </w:r>
      <w:r w:rsidRPr="001871D9">
        <w:rPr>
          <w:i/>
          <w:lang w:eastAsia="cs-CZ"/>
        </w:rPr>
        <w:t>mechanizované brigády</w:t>
      </w:r>
      <w:r w:rsidRPr="00BC4F1D">
        <w:rPr>
          <w:lang w:eastAsia="cs-CZ"/>
        </w:rPr>
        <w:t>“</w:t>
      </w:r>
      <w:r w:rsidRPr="00AA42B1">
        <w:rPr>
          <w:lang w:eastAsia="cs-CZ"/>
        </w:rPr>
        <w:t>,</w:t>
      </w:r>
      <w:r w:rsidRPr="001A25F5">
        <w:rPr>
          <w:lang w:eastAsia="cs-CZ"/>
        </w:rPr>
        <w:t xml:space="preserve"> přičemž termíny pro dosažení cíl</w:t>
      </w:r>
      <w:r w:rsidR="00F25704">
        <w:rPr>
          <w:lang w:eastAsia="cs-CZ"/>
        </w:rPr>
        <w:t>e</w:t>
      </w:r>
      <w:r w:rsidRPr="001A25F5">
        <w:rPr>
          <w:lang w:eastAsia="cs-CZ"/>
        </w:rPr>
        <w:t xml:space="preserve"> provázalo MO s</w:t>
      </w:r>
      <w:r w:rsidR="00F25704">
        <w:rPr>
          <w:lang w:eastAsia="cs-CZ"/>
        </w:rPr>
        <w:t xml:space="preserve"> </w:t>
      </w:r>
      <w:r w:rsidRPr="001A25F5">
        <w:rPr>
          <w:lang w:eastAsia="cs-CZ"/>
        </w:rPr>
        <w:t xml:space="preserve">milníky </w:t>
      </w:r>
      <w:r w:rsidRPr="001A25F5">
        <w:t>KVAČR 2025</w:t>
      </w:r>
      <w:r w:rsidRPr="001A25F5">
        <w:rPr>
          <w:lang w:eastAsia="cs-CZ"/>
        </w:rPr>
        <w:t xml:space="preserve">, tj. </w:t>
      </w:r>
      <w:r w:rsidR="00F25704">
        <w:rPr>
          <w:lang w:eastAsia="cs-CZ"/>
        </w:rPr>
        <w:t xml:space="preserve">s </w:t>
      </w:r>
      <w:r w:rsidRPr="001A25F5">
        <w:rPr>
          <w:lang w:eastAsia="cs-CZ"/>
        </w:rPr>
        <w:t>rok</w:t>
      </w:r>
      <w:r w:rsidR="00F25704">
        <w:rPr>
          <w:lang w:eastAsia="cs-CZ"/>
        </w:rPr>
        <w:t>y</w:t>
      </w:r>
      <w:r w:rsidRPr="001A25F5">
        <w:rPr>
          <w:lang w:eastAsia="cs-CZ"/>
        </w:rPr>
        <w:t xml:space="preserve"> 2020 a</w:t>
      </w:r>
      <w:r w:rsidR="000E46FE">
        <w:rPr>
          <w:lang w:eastAsia="cs-CZ"/>
        </w:rPr>
        <w:t> </w:t>
      </w:r>
      <w:r w:rsidRPr="001A25F5">
        <w:rPr>
          <w:lang w:eastAsia="cs-CZ"/>
        </w:rPr>
        <w:t>2025.</w:t>
      </w:r>
      <w:r>
        <w:rPr>
          <w:lang w:eastAsia="cs-CZ"/>
        </w:rPr>
        <w:t xml:space="preserve"> Stav </w:t>
      </w:r>
      <w:r w:rsidRPr="00BB6C8C">
        <w:t>materiálního zabezpečení chemického vojska</w:t>
      </w:r>
      <w:r>
        <w:t xml:space="preserve"> se v období 2015</w:t>
      </w:r>
      <w:r w:rsidR="00F25704" w:rsidRPr="00F25704">
        <w:t>–</w:t>
      </w:r>
      <w:r>
        <w:t>2017 významně nezlepšil</w:t>
      </w:r>
      <w:r>
        <w:rPr>
          <w:rStyle w:val="Znakapoznpodarou"/>
          <w:rFonts w:cstheme="minorHAnsi"/>
        </w:rPr>
        <w:footnoteReference w:id="37"/>
      </w:r>
      <w:r>
        <w:t xml:space="preserve">. Proto mělo </w:t>
      </w:r>
      <w:bookmarkEnd w:id="20"/>
      <w:r w:rsidR="00D457AE" w:rsidRPr="001A25F5">
        <w:t xml:space="preserve">MO </w:t>
      </w:r>
      <w:r w:rsidR="00324313">
        <w:t xml:space="preserve">prostřednictvím programu </w:t>
      </w:r>
      <w:r w:rsidR="00D457AE" w:rsidRPr="001A25F5">
        <w:t>realizovat 12</w:t>
      </w:r>
      <w:r w:rsidR="00F25704">
        <w:t xml:space="preserve"> </w:t>
      </w:r>
      <w:r w:rsidR="00D457AE" w:rsidRPr="001A25F5">
        <w:t>akcí (viz tabulka č.</w:t>
      </w:r>
      <w:r w:rsidR="0012604C" w:rsidRPr="001A25F5">
        <w:t xml:space="preserve"> 1</w:t>
      </w:r>
      <w:r w:rsidR="00D457AE" w:rsidRPr="001A25F5">
        <w:t>)</w:t>
      </w:r>
      <w:r w:rsidR="000B7326">
        <w:t xml:space="preserve"> a</w:t>
      </w:r>
      <w:r w:rsidR="003C6D17">
        <w:t> </w:t>
      </w:r>
      <w:r w:rsidR="00D457AE" w:rsidRPr="001A25F5">
        <w:t xml:space="preserve">tím postupně plnit </w:t>
      </w:r>
      <w:r w:rsidR="00961407">
        <w:t xml:space="preserve">dílčí </w:t>
      </w:r>
      <w:r w:rsidR="00D457AE" w:rsidRPr="001A25F5">
        <w:t xml:space="preserve">cíl </w:t>
      </w:r>
      <w:r w:rsidR="00595E0D">
        <w:t xml:space="preserve">dle </w:t>
      </w:r>
      <w:r w:rsidR="00D457AE" w:rsidRPr="00B92E0B">
        <w:t>indikátor</w:t>
      </w:r>
      <w:r w:rsidR="00595E0D">
        <w:t>ů</w:t>
      </w:r>
      <w:r w:rsidR="00D457AE" w:rsidRPr="00B92E0B">
        <w:t xml:space="preserve"> I.</w:t>
      </w:r>
      <w:r w:rsidR="00D9554B">
        <w:t> </w:t>
      </w:r>
      <w:r w:rsidR="00D457AE" w:rsidRPr="00B92E0B">
        <w:t>etapy (202</w:t>
      </w:r>
      <w:r w:rsidR="00A06797">
        <w:t>0</w:t>
      </w:r>
      <w:r w:rsidR="00D457AE" w:rsidRPr="00B92E0B">
        <w:t>),</w:t>
      </w:r>
      <w:r w:rsidR="00595E0D">
        <w:t xml:space="preserve"> </w:t>
      </w:r>
      <w:r w:rsidR="00D457AE" w:rsidRPr="00B92E0B">
        <w:t>resp. II. etapy (202</w:t>
      </w:r>
      <w:r w:rsidR="00A06797">
        <w:t>5</w:t>
      </w:r>
      <w:r w:rsidR="00D457AE" w:rsidRPr="00B92E0B">
        <w:t>).</w:t>
      </w:r>
      <w:bookmarkStart w:id="21" w:name="_Hlk138966418"/>
      <w:bookmarkEnd w:id="18"/>
      <w:bookmarkEnd w:id="19"/>
      <w:r w:rsidR="00D457AE" w:rsidRPr="00B92E0B">
        <w:t xml:space="preserve"> </w:t>
      </w:r>
    </w:p>
    <w:p w14:paraId="17697B0C" w14:textId="27CE557A" w:rsidR="009D5198" w:rsidRDefault="009D5198" w:rsidP="005A5224">
      <w:pPr>
        <w:pStyle w:val="Odstavecseseznamem"/>
        <w:spacing w:after="0"/>
        <w:ind w:left="0"/>
        <w:contextualSpacing w:val="0"/>
      </w:pPr>
    </w:p>
    <w:p w14:paraId="412CF71F" w14:textId="77777777" w:rsidR="00AB3A22" w:rsidRPr="00B92E0B" w:rsidRDefault="00D457AE" w:rsidP="004B6902">
      <w:pPr>
        <w:pStyle w:val="Nzevtabulka"/>
        <w:numPr>
          <w:ilvl w:val="0"/>
          <w:numId w:val="0"/>
        </w:numPr>
        <w:ind w:left="1247" w:right="-142" w:hanging="1247"/>
        <w:rPr>
          <w:b/>
          <w:lang w:eastAsia="cs-CZ"/>
        </w:rPr>
      </w:pPr>
      <w:r w:rsidRPr="001A1E12">
        <w:rPr>
          <w:b/>
          <w:lang w:eastAsia="cs-CZ"/>
        </w:rPr>
        <w:t>Tabulka č.</w:t>
      </w:r>
      <w:r w:rsidR="001A1E12" w:rsidRPr="001A1E12">
        <w:rPr>
          <w:b/>
          <w:lang w:eastAsia="cs-CZ"/>
        </w:rPr>
        <w:t xml:space="preserve"> 1: P</w:t>
      </w:r>
      <w:r w:rsidRPr="001A1E12">
        <w:rPr>
          <w:b/>
          <w:lang w:eastAsia="cs-CZ"/>
        </w:rPr>
        <w:t>řehled potřeb chemického vojska a stav plnění v době ukončení kontroly NKÚ</w:t>
      </w:r>
    </w:p>
    <w:tbl>
      <w:tblPr>
        <w:tblStyle w:val="Mkatabulky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983"/>
        <w:gridCol w:w="992"/>
        <w:gridCol w:w="1753"/>
        <w:gridCol w:w="2726"/>
      </w:tblGrid>
      <w:tr w:rsidR="00F25704" w14:paraId="79158AF8" w14:textId="77777777" w:rsidTr="0069363A">
        <w:trPr>
          <w:trHeight w:val="567"/>
          <w:jc w:val="center"/>
        </w:trPr>
        <w:tc>
          <w:tcPr>
            <w:tcW w:w="1757" w:type="dxa"/>
            <w:vMerge w:val="restart"/>
            <w:shd w:val="clear" w:color="auto" w:fill="E5F1FF"/>
            <w:noWrap/>
            <w:vAlign w:val="center"/>
            <w:hideMark/>
          </w:tcPr>
          <w:p w14:paraId="75112D36" w14:textId="27C78F4E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975" w:type="dxa"/>
            <w:gridSpan w:val="2"/>
            <w:shd w:val="clear" w:color="auto" w:fill="E5F1FF"/>
            <w:vAlign w:val="center"/>
          </w:tcPr>
          <w:p w14:paraId="2F005F5D" w14:textId="77777777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Údaje dle dokumentace programu 107V08</w:t>
            </w:r>
          </w:p>
        </w:tc>
        <w:tc>
          <w:tcPr>
            <w:tcW w:w="4479" w:type="dxa"/>
            <w:gridSpan w:val="2"/>
            <w:vMerge w:val="restart"/>
            <w:shd w:val="clear" w:color="auto" w:fill="E5F1FF"/>
            <w:vAlign w:val="center"/>
          </w:tcPr>
          <w:p w14:paraId="3C57383F" w14:textId="58C97937" w:rsidR="00F25704" w:rsidRPr="00B92E0B" w:rsidRDefault="00F25704" w:rsidP="00937B5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Stav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plnění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t>v době ukončení kontroly NKÚ</w:t>
            </w:r>
          </w:p>
        </w:tc>
      </w:tr>
      <w:tr w:rsidR="00F25704" w14:paraId="72EB0EF2" w14:textId="77777777" w:rsidTr="0069363A">
        <w:trPr>
          <w:trHeight w:val="567"/>
          <w:jc w:val="center"/>
        </w:trPr>
        <w:tc>
          <w:tcPr>
            <w:tcW w:w="1757" w:type="dxa"/>
            <w:vMerge/>
            <w:shd w:val="clear" w:color="auto" w:fill="E5F1FF"/>
            <w:noWrap/>
            <w:vAlign w:val="center"/>
            <w:hideMark/>
          </w:tcPr>
          <w:p w14:paraId="4A81543D" w14:textId="77777777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E5F1FF"/>
            <w:noWrap/>
            <w:vAlign w:val="center"/>
            <w:hideMark/>
          </w:tcPr>
          <w:p w14:paraId="5E8983A5" w14:textId="77777777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992" w:type="dxa"/>
            <w:shd w:val="clear" w:color="auto" w:fill="E5F1FF"/>
            <w:noWrap/>
            <w:vAlign w:val="center"/>
            <w:hideMark/>
          </w:tcPr>
          <w:p w14:paraId="5C8C48D3" w14:textId="77777777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Cena </w:t>
            </w:r>
          </w:p>
          <w:p w14:paraId="0CD2B879" w14:textId="10B65105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v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t>mil. Kč)</w:t>
            </w:r>
          </w:p>
        </w:tc>
        <w:tc>
          <w:tcPr>
            <w:tcW w:w="4479" w:type="dxa"/>
            <w:gridSpan w:val="2"/>
            <w:vMerge/>
            <w:shd w:val="clear" w:color="auto" w:fill="E5F1FF"/>
            <w:noWrap/>
            <w:vAlign w:val="center"/>
          </w:tcPr>
          <w:p w14:paraId="73B7F2D0" w14:textId="0739CE0C" w:rsidR="00F25704" w:rsidRPr="00B92E0B" w:rsidRDefault="00F25704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26E27" w14:paraId="3AB593FB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3EA93DA5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Modernizace informačního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systému LR-130Ch</w:t>
            </w:r>
          </w:p>
        </w:tc>
        <w:tc>
          <w:tcPr>
            <w:tcW w:w="1983" w:type="dxa"/>
            <w:noWrap/>
            <w:vAlign w:val="center"/>
            <w:hideMark/>
          </w:tcPr>
          <w:p w14:paraId="7DAEB3C9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323425D9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4 ks v roce 2020</w:t>
            </w:r>
            <w:r w:rsidRPr="00B92E0B">
              <w:rPr>
                <w:rFonts w:cstheme="minorHAnsi"/>
                <w:sz w:val="18"/>
                <w:szCs w:val="18"/>
              </w:rPr>
              <w:br/>
              <w:t>4 ks v roce 2021</w:t>
            </w:r>
          </w:p>
        </w:tc>
        <w:tc>
          <w:tcPr>
            <w:tcW w:w="992" w:type="dxa"/>
            <w:noWrap/>
            <w:vAlign w:val="center"/>
            <w:hideMark/>
          </w:tcPr>
          <w:p w14:paraId="159CCB2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1753" w:type="dxa"/>
            <w:noWrap/>
            <w:vAlign w:val="center"/>
            <w:hideMark/>
          </w:tcPr>
          <w:p w14:paraId="09B33F79" w14:textId="77777777" w:rsidR="009D7EDE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B2B52EB" w14:textId="1E965E7A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v letech 2020–2021 realizován</w:t>
            </w:r>
            <w:r w:rsidR="008649DC">
              <w:rPr>
                <w:rFonts w:cstheme="minorHAnsi"/>
                <w:sz w:val="18"/>
                <w:szCs w:val="18"/>
              </w:rPr>
              <w:t>a</w:t>
            </w:r>
            <w:r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0818C57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5DAA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395CDDCB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MO uvedlo, že zpožděním v realizaci ztratila akce význam vzhledem k době provozu a konci životnosti podvozkové části </w:t>
            </w:r>
            <w:r w:rsidR="008F5DAA">
              <w:rPr>
                <w:rFonts w:cstheme="minorHAnsi"/>
                <w:sz w:val="18"/>
                <w:szCs w:val="18"/>
              </w:rPr>
              <w:br/>
            </w:r>
            <w:r w:rsidRPr="00B92E0B">
              <w:rPr>
                <w:rFonts w:cstheme="minorHAnsi"/>
                <w:sz w:val="18"/>
                <w:szCs w:val="18"/>
              </w:rPr>
              <w:t>LR-130 Ch.</w:t>
            </w:r>
          </w:p>
        </w:tc>
      </w:tr>
      <w:tr w:rsidR="00326E27" w14:paraId="32318626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62FAD8DA" w14:textId="431A9D26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Pořízení vozidel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pro SIBC</w:t>
            </w:r>
            <w:r w:rsidR="007E11F3">
              <w:rPr>
                <w:rFonts w:cstheme="minorHAnsi"/>
                <w:b/>
                <w:bCs/>
                <w:sz w:val="18"/>
                <w:szCs w:val="18"/>
              </w:rPr>
              <w:t>RA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 týmy</w:t>
            </w:r>
          </w:p>
        </w:tc>
        <w:tc>
          <w:tcPr>
            <w:tcW w:w="1983" w:type="dxa"/>
            <w:noWrap/>
            <w:vAlign w:val="center"/>
            <w:hideMark/>
          </w:tcPr>
          <w:p w14:paraId="4C5E06C6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4E36C321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4 ks v roce 2020</w:t>
            </w:r>
          </w:p>
          <w:p w14:paraId="25E8A3B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4 ks v roce 2021</w:t>
            </w:r>
          </w:p>
        </w:tc>
        <w:tc>
          <w:tcPr>
            <w:tcW w:w="992" w:type="dxa"/>
            <w:noWrap/>
            <w:vAlign w:val="center"/>
            <w:hideMark/>
          </w:tcPr>
          <w:p w14:paraId="68DDEF22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1753" w:type="dxa"/>
            <w:noWrap/>
            <w:vAlign w:val="center"/>
            <w:hideMark/>
          </w:tcPr>
          <w:p w14:paraId="252BE004" w14:textId="3C96AD92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9D7EDE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letech 2020–2021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1F3DCC2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20CEA235" w14:textId="1D3A0F79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B92E0B">
              <w:rPr>
                <w:rFonts w:cstheme="minorHAnsi"/>
                <w:sz w:val="18"/>
                <w:szCs w:val="18"/>
              </w:rPr>
              <w:t>v letech 2028</w:t>
            </w:r>
            <w:r w:rsidR="0069363A" w:rsidRPr="00B92E0B">
              <w:rPr>
                <w:rFonts w:cstheme="minorHAnsi"/>
                <w:sz w:val="18"/>
                <w:szCs w:val="18"/>
              </w:rPr>
              <w:t>–</w:t>
            </w:r>
            <w:r w:rsidRPr="00B92E0B">
              <w:rPr>
                <w:rFonts w:cstheme="minorHAnsi"/>
                <w:sz w:val="18"/>
                <w:szCs w:val="18"/>
              </w:rPr>
              <w:t>2030.</w:t>
            </w:r>
          </w:p>
        </w:tc>
      </w:tr>
      <w:tr w:rsidR="00326E27" w14:paraId="66A8A2EF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30F430C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Pořízení materiálu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k dosažení cíle E6201N dle CT 2013</w:t>
            </w:r>
          </w:p>
        </w:tc>
        <w:tc>
          <w:tcPr>
            <w:tcW w:w="1983" w:type="dxa"/>
            <w:noWrap/>
            <w:vAlign w:val="center"/>
            <w:hideMark/>
          </w:tcPr>
          <w:p w14:paraId="23010FE0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60</w:t>
            </w:r>
          </w:p>
          <w:p w14:paraId="7ACAD15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2017</w:t>
            </w:r>
          </w:p>
          <w:p w14:paraId="51CD4BE5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2018</w:t>
            </w:r>
          </w:p>
          <w:p w14:paraId="4BE57C0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2019</w:t>
            </w:r>
          </w:p>
          <w:p w14:paraId="3DD3678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2020</w:t>
            </w:r>
          </w:p>
          <w:p w14:paraId="7237FAE9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2021</w:t>
            </w:r>
          </w:p>
          <w:p w14:paraId="68A1BE6B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10 ks v roce 2022</w:t>
            </w:r>
          </w:p>
        </w:tc>
        <w:tc>
          <w:tcPr>
            <w:tcW w:w="992" w:type="dxa"/>
            <w:noWrap/>
            <w:vAlign w:val="center"/>
            <w:hideMark/>
          </w:tcPr>
          <w:p w14:paraId="2012FFC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318</w:t>
            </w:r>
          </w:p>
        </w:tc>
        <w:tc>
          <w:tcPr>
            <w:tcW w:w="1753" w:type="dxa"/>
            <w:noWrap/>
            <w:vAlign w:val="center"/>
            <w:hideMark/>
          </w:tcPr>
          <w:p w14:paraId="13EBB7F6" w14:textId="7B8D7EBF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Akce </w:t>
            </w:r>
            <w:r w:rsidR="00D457AE" w:rsidRPr="00B92E0B">
              <w:rPr>
                <w:rFonts w:cstheme="minorHAnsi"/>
                <w:sz w:val="18"/>
                <w:szCs w:val="18"/>
              </w:rPr>
              <w:t>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9D7EDE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částečně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54FD0818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5DAA">
              <w:rPr>
                <w:rFonts w:cstheme="minorHAnsi"/>
                <w:color w:val="FFC000"/>
                <w:sz w:val="36"/>
                <w:szCs w:val="36"/>
              </w:rPr>
              <w:t>•</w:t>
            </w:r>
          </w:p>
        </w:tc>
        <w:tc>
          <w:tcPr>
            <w:tcW w:w="2726" w:type="dxa"/>
            <w:vAlign w:val="center"/>
          </w:tcPr>
          <w:p w14:paraId="0A2C759C" w14:textId="0AB14F53" w:rsidR="00AB3A22" w:rsidRPr="00501B23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pořídilo v roce 2018 pět kusů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 xml:space="preserve">a v roce 2020 dvanáct kusů tohoto materiálu </w:t>
            </w:r>
            <w:r w:rsidR="00E200B1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(viz část</w:t>
            </w:r>
            <w:r w:rsidR="0012604C" w:rsidRPr="00501B23">
              <w:rPr>
                <w:rFonts w:cstheme="minorHAnsi"/>
                <w:sz w:val="18"/>
                <w:szCs w:val="18"/>
              </w:rPr>
              <w:t xml:space="preserve"> IV. </w:t>
            </w:r>
            <w:r w:rsidR="00D73283">
              <w:rPr>
                <w:rFonts w:cstheme="minorHAnsi"/>
                <w:sz w:val="18"/>
                <w:szCs w:val="18"/>
              </w:rPr>
              <w:t>písm. B</w:t>
            </w:r>
            <w:r w:rsidR="0012604C" w:rsidRPr="00501B23">
              <w:rPr>
                <w:rFonts w:cstheme="minorHAnsi"/>
                <w:sz w:val="18"/>
                <w:szCs w:val="18"/>
              </w:rPr>
              <w:t xml:space="preserve"> </w:t>
            </w:r>
            <w:r w:rsidR="00E200B1">
              <w:rPr>
                <w:rFonts w:cstheme="minorHAnsi"/>
                <w:sz w:val="18"/>
                <w:szCs w:val="18"/>
              </w:rPr>
              <w:t xml:space="preserve">tohoto </w:t>
            </w:r>
            <w:r w:rsidRPr="00501B23">
              <w:rPr>
                <w:rFonts w:cstheme="minorHAnsi"/>
                <w:sz w:val="18"/>
                <w:szCs w:val="18"/>
              </w:rPr>
              <w:t>kontrolního závěru)</w:t>
            </w:r>
            <w:r w:rsidR="008649D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26E27" w14:paraId="7B4A0F07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6E7F8CAE" w14:textId="241C27FC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Souprava chemického pozorovatele </w:t>
            </w:r>
            <w:r w:rsidR="007E11F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t>SCHP-05</w:t>
            </w:r>
          </w:p>
        </w:tc>
        <w:tc>
          <w:tcPr>
            <w:tcW w:w="1983" w:type="dxa"/>
            <w:noWrap/>
            <w:vAlign w:val="center"/>
            <w:hideMark/>
          </w:tcPr>
          <w:p w14:paraId="2E44D198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30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297AB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30 ks v roce 2024</w:t>
            </w:r>
          </w:p>
        </w:tc>
        <w:tc>
          <w:tcPr>
            <w:tcW w:w="992" w:type="dxa"/>
            <w:noWrap/>
            <w:vAlign w:val="center"/>
            <w:hideMark/>
          </w:tcPr>
          <w:p w14:paraId="4F56087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53" w:type="dxa"/>
            <w:noWrap/>
            <w:vAlign w:val="center"/>
            <w:hideMark/>
          </w:tcPr>
          <w:p w14:paraId="329071DC" w14:textId="62444269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Akce 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nebude </w:t>
            </w:r>
            <w:r w:rsidR="009D7EDE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roce 2024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6A6CE594" w14:textId="77777777" w:rsidR="00AB3A22" w:rsidRPr="00120EB0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6EB044BE" w14:textId="6C4119EC" w:rsidR="00AB3A22" w:rsidRPr="00501B23" w:rsidRDefault="00AB3A22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E27" w14:paraId="3E99E0C6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632F6FD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SW CBRN </w:t>
            </w:r>
            <w:proofErr w:type="spellStart"/>
            <w:r w:rsidRPr="00B92E0B">
              <w:rPr>
                <w:rFonts w:cstheme="minorHAnsi"/>
                <w:b/>
                <w:bCs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1983" w:type="dxa"/>
            <w:noWrap/>
            <w:vAlign w:val="center"/>
            <w:hideMark/>
          </w:tcPr>
          <w:p w14:paraId="2DE32F8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5</w:t>
            </w:r>
          </w:p>
          <w:p w14:paraId="7FA40BE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 ks v roce 2017</w:t>
            </w:r>
          </w:p>
          <w:p w14:paraId="5368F13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 ks v roce 2018</w:t>
            </w:r>
          </w:p>
          <w:p w14:paraId="7BFB68A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 ks v roce 2019</w:t>
            </w:r>
          </w:p>
          <w:p w14:paraId="76EBCBE6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 ks v roce 2020</w:t>
            </w:r>
          </w:p>
          <w:p w14:paraId="4EFA3DF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 ks v roce 2021</w:t>
            </w:r>
          </w:p>
        </w:tc>
        <w:tc>
          <w:tcPr>
            <w:tcW w:w="992" w:type="dxa"/>
            <w:noWrap/>
            <w:vAlign w:val="center"/>
            <w:hideMark/>
          </w:tcPr>
          <w:p w14:paraId="712775C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53" w:type="dxa"/>
            <w:noWrap/>
            <w:vAlign w:val="center"/>
            <w:hideMark/>
          </w:tcPr>
          <w:p w14:paraId="11DF5A92" w14:textId="188C515F" w:rsidR="00AB3A22" w:rsidRPr="00B92E0B" w:rsidRDefault="008649DC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40A25AE5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5DAA">
              <w:rPr>
                <w:rFonts w:cstheme="minorHAnsi"/>
                <w:color w:val="00B05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2F85E473" w14:textId="42CF8C2A" w:rsidR="00AB3A22" w:rsidRPr="00501B23" w:rsidRDefault="00AB3A22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6E27" w14:paraId="491014A6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3050F355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Souprava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pro řízení </w:t>
            </w:r>
            <w:proofErr w:type="spellStart"/>
            <w:r w:rsidRPr="00B92E0B">
              <w:rPr>
                <w:rFonts w:cstheme="minorHAnsi"/>
                <w:b/>
                <w:bCs/>
                <w:sz w:val="18"/>
                <w:szCs w:val="18"/>
              </w:rPr>
              <w:t>RCHPz</w:t>
            </w:r>
            <w:proofErr w:type="spellEnd"/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(VAP-1M)</w:t>
            </w:r>
          </w:p>
        </w:tc>
        <w:tc>
          <w:tcPr>
            <w:tcW w:w="1983" w:type="dxa"/>
            <w:noWrap/>
            <w:vAlign w:val="center"/>
            <w:hideMark/>
          </w:tcPr>
          <w:p w14:paraId="2C93D0D5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3DBF43C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4 ks v roce 2020</w:t>
            </w:r>
          </w:p>
        </w:tc>
        <w:tc>
          <w:tcPr>
            <w:tcW w:w="992" w:type="dxa"/>
            <w:noWrap/>
            <w:vAlign w:val="center"/>
            <w:hideMark/>
          </w:tcPr>
          <w:p w14:paraId="6D975525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1753" w:type="dxa"/>
            <w:noWrap/>
            <w:vAlign w:val="center"/>
            <w:hideMark/>
          </w:tcPr>
          <w:p w14:paraId="61AA6D51" w14:textId="6D101F87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8F5DAA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roce 2020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6230A673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7F6E6470" w14:textId="77777777" w:rsidR="00AB3A22" w:rsidRPr="00501B23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v roce 2027.</w:t>
            </w:r>
          </w:p>
        </w:tc>
      </w:tr>
      <w:tr w:rsidR="00326E27" w14:paraId="48DDB961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08F4F6C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Automobil chemický rozstřikovací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(ACHR-90)</w:t>
            </w:r>
          </w:p>
        </w:tc>
        <w:tc>
          <w:tcPr>
            <w:tcW w:w="1983" w:type="dxa"/>
            <w:noWrap/>
            <w:vAlign w:val="center"/>
            <w:hideMark/>
          </w:tcPr>
          <w:p w14:paraId="38ACEFC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7</w:t>
            </w:r>
          </w:p>
          <w:p w14:paraId="5D77DFA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2 ks v roce 2022</w:t>
            </w:r>
          </w:p>
          <w:p w14:paraId="5ACB667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5 ks v roce 2023</w:t>
            </w:r>
          </w:p>
        </w:tc>
        <w:tc>
          <w:tcPr>
            <w:tcW w:w="992" w:type="dxa"/>
            <w:noWrap/>
            <w:vAlign w:val="center"/>
            <w:hideMark/>
          </w:tcPr>
          <w:p w14:paraId="48263BBE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1753" w:type="dxa"/>
            <w:noWrap/>
            <w:vAlign w:val="center"/>
            <w:hideMark/>
          </w:tcPr>
          <w:p w14:paraId="7DCECC6D" w14:textId="6ED3EC89" w:rsidR="00AB3A22" w:rsidRPr="00B92E0B" w:rsidRDefault="008649DC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6D0567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letech 2022–2023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01855ABA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73F63F0D" w14:textId="4F3CE850" w:rsidR="00AB3A22" w:rsidRPr="00501B23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v letech 2028</w:t>
            </w:r>
            <w:r w:rsidR="00E200B1" w:rsidRPr="00B92E0B">
              <w:rPr>
                <w:rFonts w:cstheme="minorHAnsi"/>
                <w:sz w:val="18"/>
                <w:szCs w:val="18"/>
              </w:rPr>
              <w:t>–</w:t>
            </w:r>
            <w:r w:rsidRPr="00501B23">
              <w:rPr>
                <w:rFonts w:cstheme="minorHAnsi"/>
                <w:sz w:val="18"/>
                <w:szCs w:val="18"/>
              </w:rPr>
              <w:t>2030.</w:t>
            </w:r>
          </w:p>
        </w:tc>
      </w:tr>
      <w:tr w:rsidR="00326E27" w14:paraId="705707B7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7D1D9394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Malý dekontaminační automobil (MDA)</w:t>
            </w:r>
          </w:p>
        </w:tc>
        <w:tc>
          <w:tcPr>
            <w:tcW w:w="1983" w:type="dxa"/>
            <w:noWrap/>
            <w:vAlign w:val="center"/>
            <w:hideMark/>
          </w:tcPr>
          <w:p w14:paraId="72B390B2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5</w:t>
            </w:r>
          </w:p>
          <w:p w14:paraId="6DC2E749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2 ks v roce 2021</w:t>
            </w:r>
          </w:p>
          <w:p w14:paraId="692FC7A4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3 ks v roce 2022</w:t>
            </w:r>
          </w:p>
        </w:tc>
        <w:tc>
          <w:tcPr>
            <w:tcW w:w="992" w:type="dxa"/>
            <w:noWrap/>
            <w:vAlign w:val="center"/>
            <w:hideMark/>
          </w:tcPr>
          <w:p w14:paraId="690ABC9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753" w:type="dxa"/>
            <w:noWrap/>
            <w:vAlign w:val="center"/>
            <w:hideMark/>
          </w:tcPr>
          <w:p w14:paraId="5BF2AB4D" w14:textId="5326458B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6D0567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letech 2021–2022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07A281C4" w14:textId="77777777" w:rsidR="00AB3A22" w:rsidRPr="00120EB0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0058F90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MO uvedlo, že termín pořízení nebyl stanoven. </w:t>
            </w:r>
          </w:p>
        </w:tc>
      </w:tr>
      <w:tr w:rsidR="00326E27" w14:paraId="46B7A1B8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55CFE6D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Prostředek mobilní dekontaminace</w:t>
            </w:r>
          </w:p>
        </w:tc>
        <w:tc>
          <w:tcPr>
            <w:tcW w:w="1983" w:type="dxa"/>
            <w:noWrap/>
            <w:vAlign w:val="center"/>
            <w:hideMark/>
          </w:tcPr>
          <w:p w14:paraId="23D711B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0CD00E0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8 ks v roce 2021</w:t>
            </w:r>
          </w:p>
        </w:tc>
        <w:tc>
          <w:tcPr>
            <w:tcW w:w="992" w:type="dxa"/>
            <w:noWrap/>
            <w:vAlign w:val="center"/>
            <w:hideMark/>
          </w:tcPr>
          <w:p w14:paraId="24B7B768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1753" w:type="dxa"/>
            <w:noWrap/>
            <w:vAlign w:val="center"/>
            <w:hideMark/>
          </w:tcPr>
          <w:p w14:paraId="3703CA7A" w14:textId="146B8AF9" w:rsidR="00AB3A22" w:rsidRPr="00B92E0B" w:rsidRDefault="008649DC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8F5DAA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roce 2021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277B7EEB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47C0B39E" w14:textId="6EA911A3" w:rsidR="00AB3A22" w:rsidRPr="00501B23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v letech 2028</w:t>
            </w:r>
            <w:r w:rsidR="00E200B1" w:rsidRPr="00B92E0B">
              <w:rPr>
                <w:rFonts w:cstheme="minorHAnsi"/>
                <w:sz w:val="18"/>
                <w:szCs w:val="18"/>
              </w:rPr>
              <w:t>–</w:t>
            </w:r>
            <w:r w:rsidRPr="00501B23">
              <w:rPr>
                <w:rFonts w:cstheme="minorHAnsi"/>
                <w:sz w:val="18"/>
                <w:szCs w:val="18"/>
              </w:rPr>
              <w:t>2030.</w:t>
            </w:r>
          </w:p>
        </w:tc>
      </w:tr>
      <w:tr w:rsidR="00326E27" w14:paraId="526519B2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0DC3EA36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Maska ochranná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(OM-2015)</w:t>
            </w:r>
          </w:p>
        </w:tc>
        <w:tc>
          <w:tcPr>
            <w:tcW w:w="1983" w:type="dxa"/>
            <w:noWrap/>
            <w:vAlign w:val="center"/>
            <w:hideMark/>
          </w:tcPr>
          <w:p w14:paraId="2FFCCF58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20 000</w:t>
            </w:r>
          </w:p>
          <w:p w14:paraId="10AB1F84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5 000 ks v roce 2023</w:t>
            </w:r>
          </w:p>
          <w:p w14:paraId="0FE4B571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5 000 ks v roce 2024</w:t>
            </w:r>
          </w:p>
          <w:p w14:paraId="54116327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5 000 ks v roce 2025</w:t>
            </w:r>
          </w:p>
          <w:p w14:paraId="3A15A45D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5 000 ks v roce 2026</w:t>
            </w:r>
          </w:p>
        </w:tc>
        <w:tc>
          <w:tcPr>
            <w:tcW w:w="992" w:type="dxa"/>
            <w:noWrap/>
            <w:vAlign w:val="center"/>
            <w:hideMark/>
          </w:tcPr>
          <w:p w14:paraId="6B4F4B6A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1753" w:type="dxa"/>
            <w:noWrap/>
            <w:vAlign w:val="center"/>
            <w:hideMark/>
          </w:tcPr>
          <w:p w14:paraId="5C0D1439" w14:textId="7CBF30A5" w:rsidR="00AB3A22" w:rsidRPr="00B92E0B" w:rsidRDefault="008649DC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nebude v letech 2023–2026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7CCDAC24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7951CE52" w14:textId="67168C7A" w:rsidR="00AB3A22" w:rsidRPr="00501B23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v letech 2027</w:t>
            </w:r>
            <w:r w:rsidR="00E200B1" w:rsidRPr="00B92E0B">
              <w:rPr>
                <w:rFonts w:cstheme="minorHAnsi"/>
                <w:sz w:val="18"/>
                <w:szCs w:val="18"/>
              </w:rPr>
              <w:t>–</w:t>
            </w:r>
            <w:r w:rsidRPr="00501B23">
              <w:rPr>
                <w:rFonts w:cstheme="minorHAnsi"/>
                <w:sz w:val="18"/>
                <w:szCs w:val="18"/>
              </w:rPr>
              <w:t>2030.</w:t>
            </w:r>
          </w:p>
        </w:tc>
      </w:tr>
      <w:tr w:rsidR="00326E27" w14:paraId="7D4E1BF9" w14:textId="77777777" w:rsidTr="0069363A">
        <w:trPr>
          <w:trHeight w:val="567"/>
          <w:jc w:val="center"/>
        </w:trPr>
        <w:tc>
          <w:tcPr>
            <w:tcW w:w="1757" w:type="dxa"/>
            <w:noWrap/>
            <w:vAlign w:val="center"/>
            <w:hideMark/>
          </w:tcPr>
          <w:p w14:paraId="0B97AFE3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>Provětrávaný protichemický izolační oděv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(OPCH-05)</w:t>
            </w:r>
          </w:p>
        </w:tc>
        <w:tc>
          <w:tcPr>
            <w:tcW w:w="1983" w:type="dxa"/>
            <w:noWrap/>
            <w:vAlign w:val="center"/>
            <w:hideMark/>
          </w:tcPr>
          <w:p w14:paraId="5543525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360</w:t>
            </w:r>
          </w:p>
          <w:p w14:paraId="12BB646C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120 ks v roce 2021</w:t>
            </w:r>
          </w:p>
          <w:p w14:paraId="3A084446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120 ks v roce 2022</w:t>
            </w:r>
          </w:p>
          <w:p w14:paraId="6A2FFE61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>120 ks v roce 2023</w:t>
            </w:r>
          </w:p>
        </w:tc>
        <w:tc>
          <w:tcPr>
            <w:tcW w:w="992" w:type="dxa"/>
            <w:noWrap/>
            <w:vAlign w:val="center"/>
            <w:hideMark/>
          </w:tcPr>
          <w:p w14:paraId="4E3EBDFB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67,68</w:t>
            </w:r>
          </w:p>
        </w:tc>
        <w:tc>
          <w:tcPr>
            <w:tcW w:w="1753" w:type="dxa"/>
            <w:noWrap/>
            <w:vAlign w:val="center"/>
            <w:hideMark/>
          </w:tcPr>
          <w:p w14:paraId="580B31DB" w14:textId="7E46D669" w:rsidR="00AB3A22" w:rsidRPr="00B92E0B" w:rsidRDefault="008649DC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D457AE" w:rsidRPr="00B92E0B">
              <w:rPr>
                <w:rFonts w:cstheme="minorHAnsi"/>
                <w:sz w:val="18"/>
                <w:szCs w:val="18"/>
              </w:rPr>
              <w:t>nebyl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6D0567">
              <w:rPr>
                <w:rFonts w:cstheme="minorHAnsi"/>
                <w:sz w:val="18"/>
                <w:szCs w:val="18"/>
              </w:rPr>
              <w:br/>
            </w:r>
            <w:r w:rsidR="00D457AE" w:rsidRPr="00B92E0B">
              <w:rPr>
                <w:rFonts w:cstheme="minorHAnsi"/>
                <w:sz w:val="18"/>
                <w:szCs w:val="18"/>
              </w:rPr>
              <w:t>v letech 2021–2023 realizován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D457AE" w:rsidRPr="00B92E0B">
              <w:rPr>
                <w:rFonts w:cstheme="minorHAnsi"/>
                <w:sz w:val="18"/>
                <w:szCs w:val="18"/>
              </w:rPr>
              <w:t>.</w:t>
            </w:r>
          </w:p>
          <w:p w14:paraId="40847912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E74E9">
              <w:rPr>
                <w:rFonts w:cstheme="minorHAnsi"/>
                <w:color w:val="FF0000"/>
                <w:sz w:val="36"/>
                <w:szCs w:val="36"/>
              </w:rPr>
              <w:t>•</w:t>
            </w:r>
          </w:p>
        </w:tc>
        <w:tc>
          <w:tcPr>
            <w:tcW w:w="2726" w:type="dxa"/>
            <w:noWrap/>
            <w:vAlign w:val="center"/>
          </w:tcPr>
          <w:p w14:paraId="35259190" w14:textId="671824AC" w:rsidR="00AB3A22" w:rsidRPr="00501B23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01B23">
              <w:rPr>
                <w:rFonts w:cstheme="minorHAnsi"/>
                <w:sz w:val="18"/>
                <w:szCs w:val="18"/>
              </w:rPr>
              <w:t xml:space="preserve">MO plánuje akci realizovat </w:t>
            </w:r>
            <w:r w:rsidR="004C2DEB">
              <w:rPr>
                <w:rFonts w:cstheme="minorHAnsi"/>
                <w:sz w:val="18"/>
                <w:szCs w:val="18"/>
              </w:rPr>
              <w:br/>
            </w:r>
            <w:r w:rsidRPr="00501B23">
              <w:rPr>
                <w:rFonts w:cstheme="minorHAnsi"/>
                <w:sz w:val="18"/>
                <w:szCs w:val="18"/>
              </w:rPr>
              <w:t>v letech 2023</w:t>
            </w:r>
            <w:r w:rsidR="00E200B1" w:rsidRPr="00B92E0B">
              <w:rPr>
                <w:rFonts w:cstheme="minorHAnsi"/>
                <w:sz w:val="18"/>
                <w:szCs w:val="18"/>
              </w:rPr>
              <w:t>–</w:t>
            </w:r>
            <w:r w:rsidRPr="00501B23">
              <w:rPr>
                <w:rFonts w:cstheme="minorHAnsi"/>
                <w:sz w:val="18"/>
                <w:szCs w:val="18"/>
              </w:rPr>
              <w:t>2025.</w:t>
            </w:r>
          </w:p>
        </w:tc>
      </w:tr>
      <w:tr w:rsidR="00326E27" w14:paraId="12953FF5" w14:textId="77777777" w:rsidTr="0069363A">
        <w:trPr>
          <w:trHeight w:val="567"/>
          <w:jc w:val="center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894176B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92E0B">
              <w:rPr>
                <w:rFonts w:cstheme="minorHAnsi"/>
                <w:b/>
                <w:bCs/>
                <w:sz w:val="18"/>
                <w:szCs w:val="18"/>
              </w:rPr>
              <w:t xml:space="preserve">Lehká obrněná vozidla </w:t>
            </w:r>
            <w:r w:rsidRPr="00B92E0B">
              <w:rPr>
                <w:rFonts w:cstheme="minorHAnsi"/>
                <w:b/>
                <w:bCs/>
                <w:sz w:val="18"/>
                <w:szCs w:val="18"/>
              </w:rPr>
              <w:br/>
              <w:t>(S-LOV-CBRN + LOV CBRN II)</w:t>
            </w:r>
          </w:p>
        </w:tc>
        <w:tc>
          <w:tcPr>
            <w:tcW w:w="1983" w:type="dxa"/>
            <w:noWrap/>
            <w:vAlign w:val="center"/>
            <w:hideMark/>
          </w:tcPr>
          <w:p w14:paraId="2453365F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40</w:t>
            </w:r>
          </w:p>
          <w:p w14:paraId="27598D77" w14:textId="5546FBDD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3 </w:t>
            </w:r>
            <w:r w:rsidR="0069363A">
              <w:rPr>
                <w:rFonts w:cstheme="minorHAnsi"/>
                <w:sz w:val="18"/>
                <w:szCs w:val="18"/>
              </w:rPr>
              <w:t>soupravy</w:t>
            </w:r>
            <w:r w:rsidRPr="00B92E0B">
              <w:rPr>
                <w:rFonts w:cstheme="minorHAnsi"/>
                <w:sz w:val="18"/>
                <w:szCs w:val="18"/>
              </w:rPr>
              <w:t xml:space="preserve"> v roce 2019</w:t>
            </w:r>
          </w:p>
          <w:p w14:paraId="3194D57D" w14:textId="1F3942A0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4 </w:t>
            </w:r>
            <w:r w:rsidR="0069363A">
              <w:rPr>
                <w:rFonts w:cstheme="minorHAnsi"/>
                <w:sz w:val="18"/>
                <w:szCs w:val="18"/>
              </w:rPr>
              <w:t>soupravy</w:t>
            </w:r>
            <w:r w:rsidRPr="00B92E0B">
              <w:rPr>
                <w:rFonts w:cstheme="minorHAnsi"/>
                <w:sz w:val="18"/>
                <w:szCs w:val="18"/>
              </w:rPr>
              <w:t xml:space="preserve"> v roce 2020</w:t>
            </w:r>
          </w:p>
          <w:p w14:paraId="35CEEC49" w14:textId="72BDB8D5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9 </w:t>
            </w:r>
            <w:r w:rsidR="0069363A">
              <w:rPr>
                <w:rFonts w:cstheme="minorHAnsi"/>
                <w:sz w:val="18"/>
                <w:szCs w:val="18"/>
              </w:rPr>
              <w:t>souprav</w:t>
            </w:r>
            <w:r w:rsidRPr="00B92E0B">
              <w:rPr>
                <w:rFonts w:cstheme="minorHAnsi"/>
                <w:sz w:val="18"/>
                <w:szCs w:val="18"/>
              </w:rPr>
              <w:t xml:space="preserve"> v roce 2021</w:t>
            </w:r>
          </w:p>
          <w:p w14:paraId="5E4B781F" w14:textId="7368B2DF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92E0B">
              <w:rPr>
                <w:rFonts w:cstheme="minorHAnsi"/>
                <w:sz w:val="18"/>
                <w:szCs w:val="18"/>
              </w:rPr>
              <w:t xml:space="preserve">24 </w:t>
            </w:r>
            <w:r w:rsidR="0069363A">
              <w:rPr>
                <w:rFonts w:cstheme="minorHAnsi"/>
                <w:sz w:val="18"/>
                <w:szCs w:val="18"/>
              </w:rPr>
              <w:t>souprav</w:t>
            </w:r>
            <w:r w:rsidRPr="00B92E0B">
              <w:rPr>
                <w:rFonts w:cstheme="minorHAnsi"/>
                <w:sz w:val="18"/>
                <w:szCs w:val="18"/>
              </w:rPr>
              <w:t xml:space="preserve"> v roce 2022</w:t>
            </w:r>
          </w:p>
        </w:tc>
        <w:tc>
          <w:tcPr>
            <w:tcW w:w="992" w:type="dxa"/>
            <w:noWrap/>
            <w:vAlign w:val="center"/>
            <w:hideMark/>
          </w:tcPr>
          <w:p w14:paraId="104C21AB" w14:textId="77777777" w:rsidR="00AB3A22" w:rsidRPr="00B92E0B" w:rsidRDefault="00D457AE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2E0B">
              <w:rPr>
                <w:rFonts w:cstheme="minorHAnsi"/>
                <w:b/>
                <w:sz w:val="18"/>
                <w:szCs w:val="18"/>
              </w:rPr>
              <w:t>5 351,51</w:t>
            </w:r>
          </w:p>
        </w:tc>
        <w:tc>
          <w:tcPr>
            <w:tcW w:w="1753" w:type="dxa"/>
            <w:noWrap/>
            <w:vAlign w:val="center"/>
            <w:hideMark/>
          </w:tcPr>
          <w:p w14:paraId="53B45FE2" w14:textId="7890EEF6" w:rsidR="00AB3A22" w:rsidRPr="00B92E0B" w:rsidRDefault="008649DC" w:rsidP="004B6902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</w:t>
            </w:r>
            <w:r w:rsidRPr="00B92E0B">
              <w:rPr>
                <w:rFonts w:cstheme="minorHAnsi"/>
                <w:sz w:val="18"/>
                <w:szCs w:val="18"/>
              </w:rPr>
              <w:t xml:space="preserve"> </w:t>
            </w:r>
            <w:r w:rsidR="00F3773F">
              <w:rPr>
                <w:rFonts w:cstheme="minorHAnsi"/>
                <w:sz w:val="18"/>
                <w:szCs w:val="18"/>
              </w:rPr>
              <w:t>byl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F3773F">
              <w:rPr>
                <w:rFonts w:cstheme="minorHAnsi"/>
                <w:sz w:val="18"/>
                <w:szCs w:val="18"/>
              </w:rPr>
              <w:t xml:space="preserve"> dokončen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F3773F">
              <w:rPr>
                <w:rFonts w:cstheme="minorHAnsi"/>
                <w:sz w:val="18"/>
                <w:szCs w:val="18"/>
              </w:rPr>
              <w:t xml:space="preserve"> se zpožděním </w:t>
            </w:r>
            <w:r w:rsidR="00F3773F">
              <w:rPr>
                <w:rFonts w:cstheme="minorHAnsi"/>
                <w:sz w:val="18"/>
                <w:szCs w:val="18"/>
              </w:rPr>
              <w:br/>
              <w:t>v roce 2023.</w:t>
            </w:r>
          </w:p>
          <w:p w14:paraId="49CF34DF" w14:textId="77777777" w:rsidR="00AB3A22" w:rsidRPr="00B92E0B" w:rsidRDefault="00D457AE" w:rsidP="004B690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F5DAA">
              <w:rPr>
                <w:rFonts w:cstheme="minorHAnsi"/>
                <w:color w:val="00B050"/>
                <w:sz w:val="36"/>
                <w:szCs w:val="36"/>
              </w:rPr>
              <w:t>•</w:t>
            </w:r>
          </w:p>
        </w:tc>
        <w:tc>
          <w:tcPr>
            <w:tcW w:w="2726" w:type="dxa"/>
            <w:vAlign w:val="center"/>
          </w:tcPr>
          <w:p w14:paraId="2D2C2BB3" w14:textId="659FB52D" w:rsidR="00AB3A22" w:rsidRPr="00501B23" w:rsidRDefault="00AB3A22" w:rsidP="004B690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2C349E3" w14:textId="114FE053" w:rsidR="00AB3A22" w:rsidRPr="003060FA" w:rsidRDefault="00D457AE" w:rsidP="004B6902">
      <w:pPr>
        <w:spacing w:after="0"/>
        <w:rPr>
          <w:rFonts w:cstheme="minorHAnsi"/>
          <w:sz w:val="20"/>
          <w:szCs w:val="20"/>
        </w:rPr>
      </w:pPr>
      <w:r w:rsidRPr="003060FA">
        <w:rPr>
          <w:rFonts w:cstheme="minorHAnsi"/>
          <w:b/>
          <w:sz w:val="20"/>
          <w:szCs w:val="20"/>
        </w:rPr>
        <w:t>Zdroj:</w:t>
      </w:r>
      <w:r w:rsidRPr="003060FA">
        <w:rPr>
          <w:rFonts w:cstheme="minorHAnsi"/>
          <w:sz w:val="20"/>
          <w:szCs w:val="20"/>
        </w:rPr>
        <w:t xml:space="preserve"> </w:t>
      </w:r>
      <w:r w:rsidR="00E200B1">
        <w:rPr>
          <w:rFonts w:cstheme="minorHAnsi"/>
          <w:sz w:val="20"/>
          <w:szCs w:val="20"/>
        </w:rPr>
        <w:t>d</w:t>
      </w:r>
      <w:r w:rsidRPr="003060FA">
        <w:rPr>
          <w:rFonts w:cstheme="minorHAnsi"/>
          <w:sz w:val="20"/>
          <w:szCs w:val="20"/>
        </w:rPr>
        <w:t xml:space="preserve">okumentace programu 107V08, odpovědi </w:t>
      </w:r>
      <w:r w:rsidR="00E200B1">
        <w:rPr>
          <w:rFonts w:cstheme="minorHAnsi"/>
          <w:sz w:val="20"/>
          <w:szCs w:val="20"/>
        </w:rPr>
        <w:t>Ministerstva obrany</w:t>
      </w:r>
      <w:r w:rsidRPr="003060FA">
        <w:rPr>
          <w:rFonts w:cstheme="minorHAnsi"/>
          <w:sz w:val="20"/>
          <w:szCs w:val="20"/>
        </w:rPr>
        <w:t>.</w:t>
      </w:r>
      <w:r w:rsidRPr="00750D24">
        <w:rPr>
          <w:rFonts w:cstheme="minorHAnsi"/>
          <w:sz w:val="20"/>
          <w:szCs w:val="20"/>
        </w:rPr>
        <w:t xml:space="preserve"> </w:t>
      </w:r>
    </w:p>
    <w:p w14:paraId="18F63F91" w14:textId="77777777" w:rsidR="00AB3A22" w:rsidRDefault="00AB3A22" w:rsidP="004B6902">
      <w:pPr>
        <w:spacing w:after="0"/>
        <w:rPr>
          <w:rFonts w:cstheme="minorHAnsi"/>
        </w:rPr>
      </w:pPr>
    </w:p>
    <w:p w14:paraId="39F156B3" w14:textId="612F758C" w:rsidR="00C4557F" w:rsidRDefault="00D457AE" w:rsidP="001B23EC">
      <w:pPr>
        <w:pStyle w:val="Odstavecseseznamem"/>
        <w:numPr>
          <w:ilvl w:val="1"/>
          <w:numId w:val="34"/>
        </w:numPr>
        <w:ind w:left="0" w:firstLine="0"/>
        <w:contextualSpacing w:val="0"/>
        <w:rPr>
          <w:rFonts w:cstheme="minorHAnsi"/>
          <w:lang w:eastAsia="cs-CZ"/>
        </w:rPr>
      </w:pPr>
      <w:r w:rsidRPr="00A031AF">
        <w:t>V</w:t>
      </w:r>
      <w:r w:rsidR="00F017A0">
        <w:t xml:space="preserve"> </w:t>
      </w:r>
      <w:r w:rsidRPr="00B92E0B">
        <w:rPr>
          <w:rFonts w:cstheme="minorHAnsi"/>
        </w:rPr>
        <w:t xml:space="preserve">I. etapě </w:t>
      </w:r>
      <w:r w:rsidR="003068A6">
        <w:rPr>
          <w:rFonts w:cstheme="minorHAnsi"/>
        </w:rPr>
        <w:t xml:space="preserve">(2020) </w:t>
      </w:r>
      <w:r w:rsidRPr="00B92E0B">
        <w:rPr>
          <w:rFonts w:cstheme="minorHAnsi"/>
        </w:rPr>
        <w:t>měl</w:t>
      </w:r>
      <w:r w:rsidR="008D114A">
        <w:rPr>
          <w:rFonts w:cstheme="minorHAnsi"/>
        </w:rPr>
        <w:t xml:space="preserve">o MO doplnit techniku </w:t>
      </w:r>
      <w:r w:rsidRPr="00B92E0B">
        <w:rPr>
          <w:rFonts w:cstheme="minorHAnsi"/>
        </w:rPr>
        <w:t xml:space="preserve">a materiál </w:t>
      </w:r>
      <w:r w:rsidR="00C20944">
        <w:rPr>
          <w:rFonts w:cstheme="minorHAnsi"/>
        </w:rPr>
        <w:t xml:space="preserve">pro jednotky chemického vojska </w:t>
      </w:r>
      <w:r w:rsidRPr="00B92E0B">
        <w:rPr>
          <w:rFonts w:cstheme="minorHAnsi"/>
        </w:rPr>
        <w:t xml:space="preserve">(např. vozidla pro SIBCRA týmy), neboť výchozí </w:t>
      </w:r>
      <w:r w:rsidR="005265D1">
        <w:rPr>
          <w:rFonts w:cstheme="minorHAnsi"/>
        </w:rPr>
        <w:t xml:space="preserve">stav </w:t>
      </w:r>
      <w:r w:rsidR="00862416">
        <w:rPr>
          <w:rFonts w:cstheme="minorHAnsi"/>
        </w:rPr>
        <w:t>naplněnost</w:t>
      </w:r>
      <w:r w:rsidR="005265D1">
        <w:rPr>
          <w:rFonts w:cstheme="minorHAnsi"/>
        </w:rPr>
        <w:t>i</w:t>
      </w:r>
      <w:r w:rsidR="00592C1F">
        <w:rPr>
          <w:rFonts w:cstheme="minorHAnsi"/>
        </w:rPr>
        <w:t xml:space="preserve"> </w:t>
      </w:r>
      <w:r w:rsidRPr="00B92E0B">
        <w:rPr>
          <w:rFonts w:cstheme="minorHAnsi"/>
        </w:rPr>
        <w:t>techniky jednotek radiačního a chemického průzkumu byl 25 %</w:t>
      </w:r>
      <w:r w:rsidR="006769CA">
        <w:rPr>
          <w:rFonts w:cstheme="minorHAnsi"/>
        </w:rPr>
        <w:t>.</w:t>
      </w:r>
      <w:r w:rsidR="00592C1F">
        <w:rPr>
          <w:rFonts w:cstheme="minorHAnsi"/>
        </w:rPr>
        <w:t xml:space="preserve"> </w:t>
      </w:r>
      <w:r w:rsidRPr="00B92E0B">
        <w:rPr>
          <w:rFonts w:cstheme="minorHAnsi"/>
        </w:rPr>
        <w:t>U</w:t>
      </w:r>
      <w:r w:rsidR="00A031AF">
        <w:rPr>
          <w:rFonts w:cstheme="minorHAnsi"/>
        </w:rPr>
        <w:t> </w:t>
      </w:r>
      <w:r w:rsidRPr="00B92E0B">
        <w:rPr>
          <w:rFonts w:cstheme="minorHAnsi"/>
        </w:rPr>
        <w:t>materiálu</w:t>
      </w:r>
      <w:r w:rsidR="00862416">
        <w:rPr>
          <w:rFonts w:cstheme="minorHAnsi"/>
        </w:rPr>
        <w:t xml:space="preserve"> </w:t>
      </w:r>
      <w:r w:rsidRPr="00B92E0B">
        <w:rPr>
          <w:rFonts w:cstheme="minorHAnsi"/>
        </w:rPr>
        <w:t>k ochraně vojsk byl počáteční stav 50 %</w:t>
      </w:r>
      <w:r w:rsidR="00C20944">
        <w:rPr>
          <w:rFonts w:cstheme="minorHAnsi"/>
        </w:rPr>
        <w:t>,</w:t>
      </w:r>
      <w:r w:rsidRPr="00B92E0B">
        <w:rPr>
          <w:rFonts w:cstheme="minorHAnsi"/>
        </w:rPr>
        <w:t xml:space="preserve"> a proto měl být mj. pořízen materiál k</w:t>
      </w:r>
      <w:r w:rsidR="006656C5">
        <w:rPr>
          <w:rFonts w:cstheme="minorHAnsi"/>
        </w:rPr>
        <w:t> </w:t>
      </w:r>
      <w:r w:rsidRPr="00B92E0B">
        <w:rPr>
          <w:rFonts w:cstheme="minorHAnsi"/>
        </w:rPr>
        <w:t xml:space="preserve">dosažení cíle E6201N </w:t>
      </w:r>
      <w:r>
        <w:rPr>
          <w:rFonts w:cstheme="minorHAnsi"/>
        </w:rPr>
        <w:t xml:space="preserve">dle CT 2013. </w:t>
      </w:r>
      <w:bookmarkStart w:id="22" w:name="_Hlk138619764"/>
      <w:r w:rsidRPr="00B92E0B">
        <w:rPr>
          <w:rFonts w:cstheme="minorHAnsi"/>
          <w:lang w:eastAsia="cs-CZ"/>
        </w:rPr>
        <w:t xml:space="preserve">Kromě výše uvedených dvou akcí mělo MO dále </w:t>
      </w:r>
      <w:r w:rsidRPr="00B92E0B">
        <w:rPr>
          <w:rFonts w:cstheme="minorHAnsi"/>
        </w:rPr>
        <w:t xml:space="preserve">modernizovat informační systém LR-130Ch, pořídit soupravu pro řízení </w:t>
      </w:r>
      <w:proofErr w:type="spellStart"/>
      <w:r w:rsidRPr="00B92E0B">
        <w:rPr>
          <w:rFonts w:cstheme="minorHAnsi"/>
        </w:rPr>
        <w:t>RCHPz</w:t>
      </w:r>
      <w:proofErr w:type="spellEnd"/>
      <w:r w:rsidRPr="00B92E0B">
        <w:rPr>
          <w:rFonts w:cstheme="minorHAnsi"/>
        </w:rPr>
        <w:t xml:space="preserve"> (VAP-1M)</w:t>
      </w:r>
      <w:r>
        <w:rPr>
          <w:rFonts w:cstheme="minorHAnsi"/>
        </w:rPr>
        <w:t xml:space="preserve">, </w:t>
      </w:r>
      <w:r w:rsidR="003068A6">
        <w:rPr>
          <w:rFonts w:cstheme="minorHAnsi"/>
        </w:rPr>
        <w:t xml:space="preserve">lehká obrněná </w:t>
      </w:r>
      <w:r w:rsidRPr="00B92E0B">
        <w:rPr>
          <w:rFonts w:cstheme="minorHAnsi"/>
        </w:rPr>
        <w:t>vozid</w:t>
      </w:r>
      <w:r>
        <w:rPr>
          <w:rFonts w:cstheme="minorHAnsi"/>
        </w:rPr>
        <w:t>la</w:t>
      </w:r>
      <w:r w:rsidRPr="00B92E0B">
        <w:rPr>
          <w:rFonts w:cstheme="minorHAnsi"/>
        </w:rPr>
        <w:t xml:space="preserve"> </w:t>
      </w:r>
      <w:r w:rsidR="003068A6">
        <w:rPr>
          <w:rFonts w:cstheme="minorHAnsi"/>
        </w:rPr>
        <w:t xml:space="preserve">a </w:t>
      </w:r>
      <w:r w:rsidRPr="00B92E0B">
        <w:rPr>
          <w:rFonts w:cstheme="minorHAnsi"/>
        </w:rPr>
        <w:t xml:space="preserve">nakoupit SW CBRN </w:t>
      </w:r>
      <w:proofErr w:type="spellStart"/>
      <w:r w:rsidRPr="00B92E0B">
        <w:rPr>
          <w:rFonts w:cstheme="minorHAnsi"/>
        </w:rPr>
        <w:t>Analysis</w:t>
      </w:r>
      <w:proofErr w:type="spellEnd"/>
      <w:r w:rsidRPr="00B92E0B">
        <w:rPr>
          <w:rFonts w:cstheme="minorHAnsi"/>
        </w:rPr>
        <w:t>.</w:t>
      </w:r>
      <w:bookmarkEnd w:id="22"/>
      <w:r w:rsidRPr="00B92E0B">
        <w:rPr>
          <w:rFonts w:cstheme="minorHAnsi"/>
        </w:rPr>
        <w:t xml:space="preserve"> Kontrolou NKÚ bylo zjištěno, že z šesti výše uvedených akcí byla k 1. lednu 2021 dokončena pouze </w:t>
      </w:r>
      <w:r w:rsidRPr="001A434B">
        <w:rPr>
          <w:rFonts w:cstheme="minorHAnsi"/>
        </w:rPr>
        <w:t xml:space="preserve">jedna (SW CBRN </w:t>
      </w:r>
      <w:proofErr w:type="spellStart"/>
      <w:r w:rsidRPr="001A434B">
        <w:rPr>
          <w:rFonts w:cstheme="minorHAnsi"/>
        </w:rPr>
        <w:t>Analysis</w:t>
      </w:r>
      <w:proofErr w:type="spellEnd"/>
      <w:r w:rsidRPr="001A434B">
        <w:rPr>
          <w:rFonts w:cstheme="minorHAnsi"/>
        </w:rPr>
        <w:t>), jedna akce byla realizována částečně (pořízení materiálu k</w:t>
      </w:r>
      <w:r w:rsidR="00EB3370">
        <w:rPr>
          <w:rFonts w:cstheme="minorHAnsi"/>
        </w:rPr>
        <w:t> </w:t>
      </w:r>
      <w:r w:rsidRPr="001A434B">
        <w:rPr>
          <w:rFonts w:cstheme="minorHAnsi"/>
        </w:rPr>
        <w:t>dosažení cíle E6201N dle CT 2013) a</w:t>
      </w:r>
      <w:r w:rsidR="00EC0B8C">
        <w:rPr>
          <w:rFonts w:cstheme="minorHAnsi"/>
        </w:rPr>
        <w:t xml:space="preserve"> </w:t>
      </w:r>
      <w:r w:rsidRPr="00A5594B">
        <w:rPr>
          <w:rFonts w:cstheme="minorHAnsi"/>
        </w:rPr>
        <w:t>jedna akce (</w:t>
      </w:r>
      <w:r w:rsidR="003068A6" w:rsidRPr="00A5594B">
        <w:rPr>
          <w:rFonts w:cstheme="minorHAnsi"/>
        </w:rPr>
        <w:t>lehká obrněná vozidla</w:t>
      </w:r>
      <w:r w:rsidRPr="00A5594B">
        <w:rPr>
          <w:rFonts w:cstheme="minorHAnsi"/>
        </w:rPr>
        <w:t xml:space="preserve">) byla sice zahájena, ale k dodání </w:t>
      </w:r>
      <w:r w:rsidRPr="009F0BED">
        <w:rPr>
          <w:rFonts w:cstheme="minorHAnsi"/>
        </w:rPr>
        <w:t xml:space="preserve">plánovaných sedmi kusů vozidel k uvedenému datu nedošlo. MO k uvedenému datu nesplnilo </w:t>
      </w:r>
      <w:r w:rsidR="00542C6F" w:rsidRPr="009F0BED">
        <w:rPr>
          <w:rFonts w:cstheme="minorHAnsi"/>
        </w:rPr>
        <w:t xml:space="preserve">dílčí </w:t>
      </w:r>
      <w:r w:rsidRPr="009F0BED">
        <w:rPr>
          <w:rFonts w:cstheme="minorHAnsi"/>
        </w:rPr>
        <w:t>cíl</w:t>
      </w:r>
      <w:r w:rsidR="00542C6F" w:rsidRPr="009F0BED">
        <w:rPr>
          <w:rFonts w:cstheme="minorHAnsi"/>
        </w:rPr>
        <w:t xml:space="preserve"> č. 4</w:t>
      </w:r>
      <w:r w:rsidRPr="009F0BED">
        <w:rPr>
          <w:rFonts w:cstheme="minorHAnsi"/>
        </w:rPr>
        <w:t xml:space="preserve"> programu 107V08 a</w:t>
      </w:r>
      <w:r w:rsidR="00EC0B8C">
        <w:rPr>
          <w:rFonts w:cstheme="minorHAnsi"/>
        </w:rPr>
        <w:t>ni</w:t>
      </w:r>
      <w:r w:rsidRPr="009F0BED">
        <w:rPr>
          <w:rFonts w:cstheme="minorHAnsi"/>
        </w:rPr>
        <w:t xml:space="preserve"> cíl</w:t>
      </w:r>
      <w:r w:rsidR="006126AF" w:rsidRPr="009F0BED">
        <w:rPr>
          <w:rFonts w:cstheme="minorHAnsi"/>
        </w:rPr>
        <w:t xml:space="preserve"> </w:t>
      </w:r>
      <w:proofErr w:type="spellStart"/>
      <w:r w:rsidR="006126AF" w:rsidRPr="009F0BED">
        <w:rPr>
          <w:rFonts w:cstheme="minorHAnsi"/>
        </w:rPr>
        <w:t>KVPozS</w:t>
      </w:r>
      <w:proofErr w:type="spellEnd"/>
      <w:r w:rsidR="006126AF" w:rsidRPr="009F0BED">
        <w:rPr>
          <w:rFonts w:cstheme="minorHAnsi"/>
        </w:rPr>
        <w:t xml:space="preserve"> </w:t>
      </w:r>
      <w:r w:rsidRPr="00A32D27">
        <w:rPr>
          <w:rFonts w:cstheme="minorHAnsi"/>
        </w:rPr>
        <w:t xml:space="preserve">2017. </w:t>
      </w:r>
      <w:r w:rsidR="00C73AF5" w:rsidRPr="00D755DB">
        <w:rPr>
          <w:rFonts w:cstheme="minorHAnsi"/>
        </w:rPr>
        <w:t xml:space="preserve">MO </w:t>
      </w:r>
      <w:r w:rsidR="00C9368F" w:rsidRPr="00D755DB">
        <w:rPr>
          <w:rFonts w:cstheme="minorHAnsi"/>
        </w:rPr>
        <w:t xml:space="preserve">tak </w:t>
      </w:r>
      <w:r w:rsidRPr="001A434B">
        <w:rPr>
          <w:rFonts w:cstheme="minorHAnsi"/>
        </w:rPr>
        <w:t xml:space="preserve">nepostupovalo </w:t>
      </w:r>
      <w:r w:rsidRPr="00A5594B">
        <w:rPr>
          <w:rFonts w:cstheme="minorHAnsi"/>
        </w:rPr>
        <w:t xml:space="preserve">v souladu </w:t>
      </w:r>
      <w:r w:rsidR="00C73AF5" w:rsidRPr="00D755DB">
        <w:rPr>
          <w:rFonts w:cstheme="minorHAnsi"/>
        </w:rPr>
        <w:t>s</w:t>
      </w:r>
      <w:r w:rsidR="00EC0B8C">
        <w:rPr>
          <w:rFonts w:cstheme="minorHAnsi"/>
        </w:rPr>
        <w:t xml:space="preserve"> </w:t>
      </w:r>
      <w:r w:rsidR="00C73AF5" w:rsidRPr="00D755DB">
        <w:rPr>
          <w:rFonts w:cstheme="minorHAnsi"/>
        </w:rPr>
        <w:t xml:space="preserve">ustanovením § 21 zákona </w:t>
      </w:r>
      <w:r w:rsidR="00FD3EA6" w:rsidRPr="00D755DB">
        <w:rPr>
          <w:rFonts w:cstheme="minorHAnsi"/>
        </w:rPr>
        <w:t xml:space="preserve">České národní rady </w:t>
      </w:r>
      <w:r w:rsidR="00C73AF5" w:rsidRPr="00D755DB">
        <w:rPr>
          <w:rFonts w:cstheme="minorHAnsi"/>
        </w:rPr>
        <w:t>č.</w:t>
      </w:r>
      <w:r w:rsidR="00FD3EA6" w:rsidRPr="00D755DB">
        <w:rPr>
          <w:rFonts w:cstheme="minorHAnsi"/>
        </w:rPr>
        <w:t> </w:t>
      </w:r>
      <w:r w:rsidR="00C73AF5" w:rsidRPr="00D755DB">
        <w:rPr>
          <w:rFonts w:cstheme="minorHAnsi"/>
        </w:rPr>
        <w:t>2/1969 Sb., když se neřídilo usnesením vlády ČR</w:t>
      </w:r>
      <w:r w:rsidR="007E11F3" w:rsidRPr="007E11F3">
        <w:rPr>
          <w:rFonts w:cstheme="minorHAnsi"/>
          <w:vertAlign w:val="superscript"/>
        </w:rPr>
        <w:fldChar w:fldCharType="begin"/>
      </w:r>
      <w:r w:rsidR="007E11F3" w:rsidRPr="007E11F3">
        <w:rPr>
          <w:rFonts w:cstheme="minorHAnsi"/>
          <w:vertAlign w:val="superscript"/>
        </w:rPr>
        <w:instrText xml:space="preserve"> NOTEREF _Hlk147992695 \h  \* MERGEFORMAT </w:instrText>
      </w:r>
      <w:r w:rsidR="007E11F3" w:rsidRPr="007E11F3">
        <w:rPr>
          <w:rFonts w:cstheme="minorHAnsi"/>
          <w:vertAlign w:val="superscript"/>
        </w:rPr>
      </w:r>
      <w:r w:rsidR="007E11F3" w:rsidRPr="007E11F3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7</w:t>
      </w:r>
      <w:r w:rsidR="007E11F3" w:rsidRPr="007E11F3">
        <w:rPr>
          <w:rFonts w:cstheme="minorHAnsi"/>
          <w:vertAlign w:val="superscript"/>
        </w:rPr>
        <w:fldChar w:fldCharType="end"/>
      </w:r>
      <w:r w:rsidR="001A434B" w:rsidRPr="00D755DB">
        <w:rPr>
          <w:rFonts w:cstheme="minorHAnsi"/>
        </w:rPr>
        <w:t xml:space="preserve">. </w:t>
      </w:r>
      <w:r w:rsidR="00F10765" w:rsidRPr="00F6295B">
        <w:rPr>
          <w:rFonts w:cstheme="minorHAnsi"/>
        </w:rPr>
        <w:t>Z</w:t>
      </w:r>
      <w:r w:rsidR="00EC0B8C">
        <w:rPr>
          <w:rFonts w:cstheme="minorHAnsi"/>
        </w:rPr>
        <w:t xml:space="preserve"> </w:t>
      </w:r>
      <w:r w:rsidR="00F10765" w:rsidRPr="00F6295B">
        <w:rPr>
          <w:rFonts w:cstheme="minorHAnsi"/>
        </w:rPr>
        <w:t xml:space="preserve">hlediska účelnosti vynaložených peněžních prostředků </w:t>
      </w:r>
      <w:r w:rsidR="009875E3">
        <w:rPr>
          <w:rFonts w:cstheme="minorHAnsi"/>
        </w:rPr>
        <w:t xml:space="preserve">státního rozpočtu </w:t>
      </w:r>
      <w:r w:rsidR="00F10765" w:rsidRPr="00F6295B">
        <w:rPr>
          <w:rFonts w:cstheme="minorHAnsi"/>
        </w:rPr>
        <w:t>na plánovací a</w:t>
      </w:r>
      <w:r w:rsidR="00EB3370">
        <w:rPr>
          <w:rFonts w:cstheme="minorHAnsi"/>
        </w:rPr>
        <w:t> </w:t>
      </w:r>
      <w:r w:rsidR="00F10765" w:rsidRPr="00F6295B">
        <w:rPr>
          <w:rFonts w:cstheme="minorHAnsi"/>
        </w:rPr>
        <w:t>akviziční proces resortu obrany nedosáhlo MO zamýšlených dopadů nákupů</w:t>
      </w:r>
      <w:r w:rsidR="00F10765">
        <w:rPr>
          <w:rFonts w:cstheme="minorHAnsi"/>
        </w:rPr>
        <w:t xml:space="preserve">. </w:t>
      </w:r>
      <w:r w:rsidR="008B7311" w:rsidRPr="00A5594B">
        <w:rPr>
          <w:rFonts w:cstheme="minorHAnsi"/>
        </w:rPr>
        <w:t xml:space="preserve">U </w:t>
      </w:r>
      <w:r w:rsidR="004E7D4E">
        <w:rPr>
          <w:rFonts w:cstheme="minorHAnsi"/>
        </w:rPr>
        <w:t>vybraných akcí (</w:t>
      </w:r>
      <w:r w:rsidR="00EC0B8C">
        <w:rPr>
          <w:rFonts w:cstheme="minorHAnsi"/>
        </w:rPr>
        <w:t xml:space="preserve">viz </w:t>
      </w:r>
      <w:r w:rsidR="004E7D4E">
        <w:rPr>
          <w:rFonts w:cstheme="minorHAnsi"/>
        </w:rPr>
        <w:t xml:space="preserve">příloha č. 2) </w:t>
      </w:r>
      <w:r w:rsidR="008B7311">
        <w:rPr>
          <w:rFonts w:cstheme="minorHAnsi"/>
        </w:rPr>
        <w:t>nezjistil</w:t>
      </w:r>
      <w:r w:rsidR="004E7D4E" w:rsidDel="004E7D4E">
        <w:rPr>
          <w:rFonts w:cstheme="minorHAnsi"/>
        </w:rPr>
        <w:t xml:space="preserve"> </w:t>
      </w:r>
      <w:r w:rsidR="004E7D4E">
        <w:rPr>
          <w:rFonts w:cstheme="minorHAnsi"/>
        </w:rPr>
        <w:t xml:space="preserve">NKÚ </w:t>
      </w:r>
      <w:r w:rsidR="008B7311">
        <w:rPr>
          <w:rFonts w:cstheme="minorHAnsi"/>
        </w:rPr>
        <w:t xml:space="preserve">nehospodárné </w:t>
      </w:r>
      <w:r w:rsidR="004E7D4E">
        <w:rPr>
          <w:rFonts w:cstheme="minorHAnsi"/>
        </w:rPr>
        <w:t>nebo</w:t>
      </w:r>
      <w:r w:rsidR="00DB4E98">
        <w:rPr>
          <w:rFonts w:cstheme="minorHAnsi"/>
        </w:rPr>
        <w:t xml:space="preserve"> neúčelné</w:t>
      </w:r>
      <w:r w:rsidR="004E7D4E">
        <w:rPr>
          <w:rFonts w:cstheme="minorHAnsi"/>
        </w:rPr>
        <w:t xml:space="preserve"> </w:t>
      </w:r>
      <w:r w:rsidR="008B7311">
        <w:rPr>
          <w:rFonts w:cstheme="minorHAnsi"/>
        </w:rPr>
        <w:t>vynakládání peněžních prostředků státního rozpočtu.</w:t>
      </w:r>
    </w:p>
    <w:p w14:paraId="301D23B4" w14:textId="0E64D0AF" w:rsidR="00AB3A22" w:rsidRPr="003060FA" w:rsidRDefault="00AF713C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Kontrolou </w:t>
      </w:r>
      <w:r w:rsidR="004E7D4E">
        <w:rPr>
          <w:rFonts w:cstheme="minorHAnsi"/>
        </w:rPr>
        <w:t xml:space="preserve">NKÚ </w:t>
      </w:r>
      <w:r>
        <w:rPr>
          <w:rFonts w:cstheme="minorHAnsi"/>
        </w:rPr>
        <w:t>bylo zjištěno, že h</w:t>
      </w:r>
      <w:r w:rsidR="00D457AE" w:rsidRPr="00501B23">
        <w:rPr>
          <w:rFonts w:cstheme="minorHAnsi"/>
        </w:rPr>
        <w:t>lavní</w:t>
      </w:r>
      <w:r w:rsidR="00EC0B8C">
        <w:rPr>
          <w:rFonts w:cstheme="minorHAnsi"/>
        </w:rPr>
        <w:t>m</w:t>
      </w:r>
      <w:r w:rsidR="00D457AE" w:rsidRPr="00501B23">
        <w:rPr>
          <w:rFonts w:cstheme="minorHAnsi"/>
        </w:rPr>
        <w:t xml:space="preserve"> druh</w:t>
      </w:r>
      <w:r w:rsidR="00EC0B8C">
        <w:rPr>
          <w:rFonts w:cstheme="minorHAnsi"/>
        </w:rPr>
        <w:t>ům</w:t>
      </w:r>
      <w:r w:rsidR="00D457AE" w:rsidRPr="00501B23">
        <w:rPr>
          <w:rFonts w:cstheme="minorHAnsi"/>
        </w:rPr>
        <w:t xml:space="preserve"> chemické techniky a materiálu</w:t>
      </w:r>
      <w:r w:rsidR="00D457AE" w:rsidRPr="00501B23">
        <w:rPr>
          <w:rFonts w:cstheme="minorHAnsi"/>
          <w:i/>
        </w:rPr>
        <w:t xml:space="preserve"> </w:t>
      </w:r>
      <w:r w:rsidR="00EC0B8C" w:rsidRPr="003060FA">
        <w:rPr>
          <w:rFonts w:cstheme="minorHAnsi"/>
        </w:rPr>
        <w:t>skončila</w:t>
      </w:r>
      <w:r w:rsidR="00EC0B8C">
        <w:rPr>
          <w:rFonts w:cstheme="minorHAnsi"/>
        </w:rPr>
        <w:t xml:space="preserve"> doba </w:t>
      </w:r>
      <w:r w:rsidR="00D457AE" w:rsidRPr="00501B23">
        <w:rPr>
          <w:rFonts w:cstheme="minorHAnsi"/>
        </w:rPr>
        <w:t xml:space="preserve">životnosti (mj. UAZ-469CH, BRDM-2RCH, LR-130RCH, ARS-12M nebo </w:t>
      </w:r>
      <w:r w:rsidR="00CF1CFD">
        <w:rPr>
          <w:rFonts w:cstheme="minorHAnsi"/>
        </w:rPr>
        <w:br/>
      </w:r>
      <w:r w:rsidR="00D457AE" w:rsidRPr="00501B23">
        <w:rPr>
          <w:rFonts w:cstheme="minorHAnsi"/>
        </w:rPr>
        <w:t>ACHR-90M)</w:t>
      </w:r>
      <w:r w:rsidR="00010BF6">
        <w:rPr>
          <w:rFonts w:cstheme="minorHAnsi"/>
        </w:rPr>
        <w:t xml:space="preserve">. </w:t>
      </w:r>
      <w:r w:rsidR="00D457AE" w:rsidRPr="00501B23">
        <w:rPr>
          <w:rFonts w:cstheme="minorHAnsi"/>
        </w:rPr>
        <w:t>Jak vyplývá z</w:t>
      </w:r>
      <w:r w:rsidR="00EC0B8C">
        <w:rPr>
          <w:rFonts w:cstheme="minorHAnsi"/>
        </w:rPr>
        <w:t xml:space="preserve"> </w:t>
      </w:r>
      <w:r w:rsidR="00D457AE" w:rsidRPr="00501B23">
        <w:rPr>
          <w:rFonts w:cstheme="minorHAnsi"/>
        </w:rPr>
        <w:t>tabulky č.</w:t>
      </w:r>
      <w:r w:rsidR="00FF40E1" w:rsidRPr="00501B23">
        <w:rPr>
          <w:rFonts w:cstheme="minorHAnsi"/>
        </w:rPr>
        <w:t xml:space="preserve"> 1</w:t>
      </w:r>
      <w:r w:rsidR="00D457AE" w:rsidRPr="00501B23">
        <w:rPr>
          <w:rFonts w:cstheme="minorHAnsi"/>
        </w:rPr>
        <w:t>, ani od roku 2021 do doby ukončení kontroly NKÚ nedošlo k</w:t>
      </w:r>
      <w:r w:rsidR="00EC0B8C">
        <w:rPr>
          <w:rFonts w:cstheme="minorHAnsi"/>
        </w:rPr>
        <w:t> </w:t>
      </w:r>
      <w:r w:rsidR="00D457AE" w:rsidRPr="00501B23">
        <w:rPr>
          <w:rFonts w:cstheme="minorHAnsi"/>
        </w:rPr>
        <w:t>zdárné realizaci akcí, jejichž dopad na plnění schopnost</w:t>
      </w:r>
      <w:r w:rsidR="00EC0B8C">
        <w:rPr>
          <w:rFonts w:cstheme="minorHAnsi"/>
        </w:rPr>
        <w:t>í</w:t>
      </w:r>
      <w:r w:rsidR="00D457AE" w:rsidRPr="00501B23">
        <w:rPr>
          <w:rFonts w:cstheme="minorHAnsi"/>
        </w:rPr>
        <w:t xml:space="preserve"> chemického vojska bude dle </w:t>
      </w:r>
      <w:r w:rsidR="00EF7D15" w:rsidRPr="00501B23">
        <w:rPr>
          <w:rFonts w:cstheme="minorHAnsi"/>
        </w:rPr>
        <w:t xml:space="preserve">KVAČR </w:t>
      </w:r>
      <w:r w:rsidR="00D457AE" w:rsidRPr="00501B23">
        <w:rPr>
          <w:rFonts w:cstheme="minorHAnsi"/>
        </w:rPr>
        <w:t xml:space="preserve">2030, </w:t>
      </w:r>
      <w:proofErr w:type="spellStart"/>
      <w:r w:rsidR="00EF7D15" w:rsidRPr="00501B23">
        <w:rPr>
          <w:rFonts w:cstheme="minorHAnsi"/>
        </w:rPr>
        <w:t>KVPozS</w:t>
      </w:r>
      <w:proofErr w:type="spellEnd"/>
      <w:r w:rsidR="00D457AE" w:rsidRPr="00501B23">
        <w:rPr>
          <w:rFonts w:cstheme="minorHAnsi"/>
        </w:rPr>
        <w:t xml:space="preserve"> 2020</w:t>
      </w:r>
      <w:r w:rsidR="00D457AE" w:rsidRPr="00501B23">
        <w:rPr>
          <w:rFonts w:cstheme="minorHAnsi"/>
          <w:i/>
        </w:rPr>
        <w:t xml:space="preserve"> </w:t>
      </w:r>
      <w:r w:rsidR="00D457AE" w:rsidRPr="00501B23">
        <w:rPr>
          <w:rFonts w:cstheme="minorHAnsi"/>
        </w:rPr>
        <w:t xml:space="preserve">a programu 107V08 vyhodnocován </w:t>
      </w:r>
      <w:r w:rsidR="00EC0B8C">
        <w:rPr>
          <w:rFonts w:cstheme="minorHAnsi"/>
        </w:rPr>
        <w:t>Ministerstvem obrany</w:t>
      </w:r>
      <w:r w:rsidR="00D457AE" w:rsidRPr="00501B23">
        <w:rPr>
          <w:rFonts w:cstheme="minorHAnsi"/>
        </w:rPr>
        <w:t xml:space="preserve"> k milníku 2025. </w:t>
      </w:r>
      <w:bookmarkStart w:id="23" w:name="_Hlk140858710"/>
      <w:bookmarkEnd w:id="21"/>
      <w:r w:rsidR="00EC0B8C" w:rsidRPr="00501B23">
        <w:rPr>
          <w:rFonts w:cstheme="minorHAnsi"/>
          <w:szCs w:val="26"/>
          <w:lang w:eastAsia="cs-CZ"/>
        </w:rPr>
        <w:t xml:space="preserve">MO </w:t>
      </w:r>
      <w:r w:rsidR="00EC0B8C">
        <w:rPr>
          <w:rFonts w:cstheme="minorHAnsi"/>
          <w:szCs w:val="26"/>
          <w:lang w:eastAsia="cs-CZ"/>
        </w:rPr>
        <w:t>n</w:t>
      </w:r>
      <w:r w:rsidR="00D457AE" w:rsidRPr="00501B23">
        <w:rPr>
          <w:rFonts w:cstheme="minorHAnsi"/>
          <w:szCs w:val="26"/>
          <w:lang w:eastAsia="cs-CZ"/>
        </w:rPr>
        <w:t xml:space="preserve">ěkteré projekty zrušilo (modernizaci informačního systému LR-130Ch, pořízení soupravy chemického pozorovatele SCHP-05), realizaci dalších odložilo až za horizont realizace programu </w:t>
      </w:r>
      <w:r w:rsidR="00D457AE" w:rsidRPr="00501B23">
        <w:rPr>
          <w:rFonts w:cstheme="minorHAnsi"/>
        </w:rPr>
        <w:t xml:space="preserve">107V08 </w:t>
      </w:r>
      <w:r w:rsidR="00D457AE" w:rsidRPr="00501B23">
        <w:rPr>
          <w:rFonts w:cstheme="minorHAnsi"/>
          <w:szCs w:val="26"/>
          <w:lang w:eastAsia="cs-CZ"/>
        </w:rPr>
        <w:t xml:space="preserve">(pořízení vozidel pro SIBCRA týmy, automobilů chemických rozstřikovacích ACHR-90, prostředků mobilní dekontaminace nebo ochranných masek). </w:t>
      </w:r>
      <w:bookmarkEnd w:id="23"/>
      <w:r w:rsidR="00F10765" w:rsidRPr="00501B23">
        <w:rPr>
          <w:rFonts w:cstheme="minorHAnsi"/>
          <w:lang w:eastAsia="cs-CZ"/>
        </w:rPr>
        <w:t xml:space="preserve">Plnění indikátorů programu 107V08 </w:t>
      </w:r>
      <w:r w:rsidR="00EC0B8C">
        <w:rPr>
          <w:rFonts w:cstheme="minorHAnsi"/>
          <w:lang w:eastAsia="cs-CZ"/>
        </w:rPr>
        <w:t xml:space="preserve">a </w:t>
      </w:r>
      <w:r w:rsidR="00F10765" w:rsidRPr="00501B23">
        <w:rPr>
          <w:rFonts w:cstheme="minorHAnsi"/>
          <w:lang w:eastAsia="cs-CZ"/>
        </w:rPr>
        <w:t>milníků koncepčních dokumentů resortu obrany je přitom klíčové</w:t>
      </w:r>
      <w:r w:rsidR="00EC0B8C">
        <w:rPr>
          <w:rFonts w:cstheme="minorHAnsi"/>
          <w:lang w:eastAsia="cs-CZ"/>
        </w:rPr>
        <w:t xml:space="preserve"> pro to</w:t>
      </w:r>
      <w:r w:rsidR="00F10765" w:rsidRPr="00501B23">
        <w:rPr>
          <w:rFonts w:cstheme="minorHAnsi"/>
          <w:lang w:eastAsia="cs-CZ"/>
        </w:rPr>
        <w:t xml:space="preserve">, aby </w:t>
      </w:r>
      <w:r w:rsidR="00F10765" w:rsidRPr="00501B23">
        <w:rPr>
          <w:rFonts w:cstheme="minorHAnsi"/>
          <w:szCs w:val="26"/>
          <w:lang w:eastAsia="cs-CZ"/>
        </w:rPr>
        <w:t>chemické vojsko dosahovalo požadovaných schopností zejména v</w:t>
      </w:r>
      <w:r w:rsidR="00CF1CFD">
        <w:rPr>
          <w:rFonts w:cstheme="minorHAnsi"/>
          <w:szCs w:val="26"/>
          <w:lang w:eastAsia="cs-CZ"/>
        </w:rPr>
        <w:t xml:space="preserve"> </w:t>
      </w:r>
      <w:r w:rsidR="00F10765" w:rsidRPr="00501B23">
        <w:rPr>
          <w:rFonts w:cstheme="minorHAnsi"/>
          <w:szCs w:val="26"/>
          <w:lang w:eastAsia="cs-CZ"/>
        </w:rPr>
        <w:t>oblasti detekce, identifikace</w:t>
      </w:r>
      <w:r w:rsidR="008026E1">
        <w:rPr>
          <w:rFonts w:cstheme="minorHAnsi"/>
          <w:szCs w:val="26"/>
          <w:lang w:eastAsia="cs-CZ"/>
        </w:rPr>
        <w:t xml:space="preserve"> </w:t>
      </w:r>
      <w:r w:rsidR="00F10765" w:rsidRPr="00501B23">
        <w:rPr>
          <w:rFonts w:cstheme="minorHAnsi"/>
          <w:szCs w:val="26"/>
          <w:lang w:eastAsia="cs-CZ"/>
        </w:rPr>
        <w:t>a</w:t>
      </w:r>
      <w:r w:rsidR="00EC0B8C">
        <w:rPr>
          <w:rFonts w:cstheme="minorHAnsi"/>
          <w:szCs w:val="26"/>
          <w:lang w:eastAsia="cs-CZ"/>
        </w:rPr>
        <w:t xml:space="preserve"> </w:t>
      </w:r>
      <w:r w:rsidR="00F10765" w:rsidRPr="00501B23">
        <w:rPr>
          <w:rFonts w:cstheme="minorHAnsi"/>
          <w:szCs w:val="26"/>
          <w:lang w:eastAsia="cs-CZ"/>
        </w:rPr>
        <w:t xml:space="preserve">monitorování </w:t>
      </w:r>
      <w:r w:rsidR="00EC0B8C">
        <w:rPr>
          <w:rFonts w:cstheme="minorHAnsi"/>
          <w:szCs w:val="26"/>
          <w:lang w:eastAsia="cs-CZ"/>
        </w:rPr>
        <w:t xml:space="preserve">či v oblasti </w:t>
      </w:r>
      <w:r w:rsidR="00F10765" w:rsidRPr="00501B23">
        <w:rPr>
          <w:rFonts w:cstheme="minorHAnsi"/>
          <w:szCs w:val="26"/>
          <w:lang w:eastAsia="cs-CZ"/>
        </w:rPr>
        <w:t>individuální a</w:t>
      </w:r>
      <w:r w:rsidR="00EC0B8C">
        <w:rPr>
          <w:rFonts w:cstheme="minorHAnsi"/>
          <w:szCs w:val="26"/>
          <w:lang w:eastAsia="cs-CZ"/>
        </w:rPr>
        <w:t xml:space="preserve"> </w:t>
      </w:r>
      <w:r w:rsidR="00F10765" w:rsidRPr="00501B23">
        <w:rPr>
          <w:rFonts w:cstheme="minorHAnsi"/>
          <w:szCs w:val="26"/>
          <w:lang w:eastAsia="cs-CZ"/>
        </w:rPr>
        <w:t>kolektivní ochrany a</w:t>
      </w:r>
      <w:r w:rsidR="00EC0B8C">
        <w:rPr>
          <w:rFonts w:cstheme="minorHAnsi"/>
          <w:szCs w:val="26"/>
          <w:lang w:eastAsia="cs-CZ"/>
        </w:rPr>
        <w:t xml:space="preserve"> </w:t>
      </w:r>
      <w:r w:rsidR="00EC0B8C" w:rsidRPr="00501B23">
        <w:rPr>
          <w:rFonts w:cstheme="minorHAnsi"/>
          <w:szCs w:val="26"/>
          <w:lang w:eastAsia="cs-CZ"/>
        </w:rPr>
        <w:t xml:space="preserve">mohlo </w:t>
      </w:r>
      <w:r w:rsidR="00EC0B8C">
        <w:rPr>
          <w:rFonts w:cstheme="minorHAnsi"/>
          <w:szCs w:val="26"/>
          <w:lang w:eastAsia="cs-CZ"/>
        </w:rPr>
        <w:t>díky tomu</w:t>
      </w:r>
      <w:r w:rsidR="00F10765" w:rsidRPr="00501B23">
        <w:rPr>
          <w:rFonts w:cstheme="minorHAnsi"/>
          <w:szCs w:val="26"/>
          <w:lang w:eastAsia="cs-CZ"/>
        </w:rPr>
        <w:t xml:space="preserve"> </w:t>
      </w:r>
      <w:r w:rsidR="00F10765" w:rsidRPr="00345425">
        <w:rPr>
          <w:rFonts w:cstheme="minorHAnsi"/>
          <w:lang w:eastAsia="cs-CZ"/>
        </w:rPr>
        <w:t>komplexně podporovat činnost bojových jednotek</w:t>
      </w:r>
      <w:r w:rsidR="00FB63F2">
        <w:rPr>
          <w:rFonts w:cstheme="minorHAnsi"/>
          <w:lang w:eastAsia="cs-CZ"/>
        </w:rPr>
        <w:t xml:space="preserve"> AČR</w:t>
      </w:r>
      <w:r w:rsidR="00F10765" w:rsidRPr="00345425">
        <w:rPr>
          <w:rFonts w:cstheme="minorHAnsi"/>
          <w:lang w:eastAsia="cs-CZ"/>
        </w:rPr>
        <w:t>.</w:t>
      </w:r>
    </w:p>
    <w:p w14:paraId="0E3B1712" w14:textId="1D4BDACA" w:rsidR="00AA38E2" w:rsidRPr="006A3B0D" w:rsidRDefault="00AA38E2" w:rsidP="00290877">
      <w:pPr>
        <w:spacing w:before="120"/>
        <w:rPr>
          <w:rFonts w:cstheme="minorHAnsi"/>
        </w:rPr>
      </w:pPr>
    </w:p>
    <w:p w14:paraId="45666FD5" w14:textId="6655988F" w:rsidR="004E7D4E" w:rsidRPr="00D755DB" w:rsidRDefault="00C95E6B" w:rsidP="003060FA">
      <w:pPr>
        <w:pStyle w:val="Odstavecseseznamem"/>
        <w:numPr>
          <w:ilvl w:val="0"/>
          <w:numId w:val="38"/>
        </w:numPr>
        <w:pBdr>
          <w:bottom w:val="single" w:sz="4" w:space="1" w:color="auto"/>
        </w:pBdr>
        <w:spacing w:after="0"/>
        <w:ind w:left="426" w:hanging="426"/>
        <w:jc w:val="left"/>
        <w:rPr>
          <w:b/>
          <w:i/>
        </w:rPr>
      </w:pPr>
      <w:bookmarkStart w:id="24" w:name="_Toc141018453"/>
      <w:r>
        <w:rPr>
          <w:b/>
          <w:i/>
        </w:rPr>
        <w:t>MO n</w:t>
      </w:r>
      <w:r w:rsidR="00D457AE" w:rsidRPr="00D755DB">
        <w:rPr>
          <w:b/>
          <w:i/>
        </w:rPr>
        <w:t>erealiz</w:t>
      </w:r>
      <w:r>
        <w:rPr>
          <w:b/>
          <w:i/>
        </w:rPr>
        <w:t>uje</w:t>
      </w:r>
      <w:r w:rsidR="00D457AE" w:rsidRPr="00D755DB">
        <w:rPr>
          <w:b/>
          <w:i/>
        </w:rPr>
        <w:t xml:space="preserve"> akc</w:t>
      </w:r>
      <w:r>
        <w:rPr>
          <w:b/>
          <w:i/>
        </w:rPr>
        <w:t>e</w:t>
      </w:r>
      <w:r w:rsidR="00D457AE" w:rsidRPr="00D755DB">
        <w:rPr>
          <w:b/>
          <w:i/>
        </w:rPr>
        <w:t xml:space="preserve"> v plánovaných termínech </w:t>
      </w:r>
      <w:r w:rsidR="004E7D4E" w:rsidRPr="004E7D4E">
        <w:rPr>
          <w:b/>
          <w:i/>
        </w:rPr>
        <w:t>a rozsahu</w:t>
      </w:r>
      <w:r>
        <w:rPr>
          <w:b/>
          <w:i/>
        </w:rPr>
        <w:t>, což</w:t>
      </w:r>
      <w:r w:rsidR="004E7D4E" w:rsidRPr="004E7D4E">
        <w:rPr>
          <w:b/>
          <w:i/>
        </w:rPr>
        <w:t xml:space="preserve"> </w:t>
      </w:r>
      <w:r w:rsidR="00AA4F6A">
        <w:rPr>
          <w:b/>
          <w:i/>
        </w:rPr>
        <w:t xml:space="preserve">mimo jiné </w:t>
      </w:r>
      <w:r w:rsidR="00942102">
        <w:rPr>
          <w:b/>
          <w:i/>
        </w:rPr>
        <w:t xml:space="preserve">způsobuje </w:t>
      </w:r>
      <w:r w:rsidR="004E7D4E">
        <w:rPr>
          <w:b/>
          <w:i/>
        </w:rPr>
        <w:t xml:space="preserve">pouze </w:t>
      </w:r>
      <w:r w:rsidR="004E7D4E" w:rsidRPr="00D755DB">
        <w:rPr>
          <w:b/>
          <w:i/>
        </w:rPr>
        <w:t>částečné plnění některých cílů výstavby schopností sil NATO</w:t>
      </w:r>
      <w:r w:rsidR="004E7D4E">
        <w:rPr>
          <w:b/>
          <w:i/>
        </w:rPr>
        <w:t xml:space="preserve"> </w:t>
      </w:r>
    </w:p>
    <w:p w14:paraId="05DD2B41" w14:textId="4FC7146A" w:rsidR="00E855D5" w:rsidRDefault="00D457AE" w:rsidP="00290877">
      <w:pPr>
        <w:pStyle w:val="Odstavecseseznamem"/>
        <w:numPr>
          <w:ilvl w:val="1"/>
          <w:numId w:val="34"/>
        </w:numPr>
        <w:spacing w:before="120" w:after="0"/>
        <w:ind w:left="0" w:firstLine="0"/>
        <w:contextualSpacing w:val="0"/>
        <w:rPr>
          <w:rFonts w:cstheme="minorHAnsi"/>
          <w:lang w:eastAsia="cs-CZ"/>
        </w:rPr>
      </w:pPr>
      <w:r w:rsidRPr="005265B2">
        <w:rPr>
          <w:rFonts w:cstheme="minorHAnsi"/>
          <w:lang w:eastAsia="cs-CZ"/>
        </w:rPr>
        <w:t xml:space="preserve">Cíle výstavby schopností sil NATO </w:t>
      </w:r>
      <w:r w:rsidR="005372A8" w:rsidRPr="005265B2">
        <w:rPr>
          <w:rFonts w:cstheme="minorHAnsi"/>
          <w:lang w:eastAsia="cs-CZ"/>
        </w:rPr>
        <w:t>stanov</w:t>
      </w:r>
      <w:r w:rsidR="006A475A">
        <w:rPr>
          <w:rFonts w:cstheme="minorHAnsi"/>
          <w:lang w:eastAsia="cs-CZ"/>
        </w:rPr>
        <w:t>il d</w:t>
      </w:r>
      <w:r w:rsidRPr="005265B2">
        <w:rPr>
          <w:rFonts w:cstheme="minorHAnsi"/>
          <w:lang w:eastAsia="cs-CZ"/>
        </w:rPr>
        <w:t xml:space="preserve">okument </w:t>
      </w:r>
      <w:r w:rsidRPr="005265B2">
        <w:rPr>
          <w:rFonts w:cstheme="minorHAnsi"/>
          <w:i/>
          <w:lang w:eastAsia="cs-CZ"/>
        </w:rPr>
        <w:t xml:space="preserve">NATO </w:t>
      </w:r>
      <w:r w:rsidRPr="0069720D">
        <w:rPr>
          <w:rFonts w:cstheme="minorHAnsi"/>
          <w:i/>
          <w:lang w:val="en-GB" w:eastAsia="cs-CZ"/>
        </w:rPr>
        <w:t>Capability Targets</w:t>
      </w:r>
      <w:r w:rsidRPr="005265B2">
        <w:rPr>
          <w:rFonts w:cstheme="minorHAnsi"/>
          <w:i/>
          <w:lang w:eastAsia="cs-CZ"/>
        </w:rPr>
        <w:t xml:space="preserve"> </w:t>
      </w:r>
      <w:r w:rsidRPr="005265B2">
        <w:rPr>
          <w:rFonts w:cstheme="minorHAnsi"/>
          <w:lang w:eastAsia="cs-CZ"/>
        </w:rPr>
        <w:t xml:space="preserve">se čtyřletou frekvencí aktualizace (2013, 2017 a 2021). MO </w:t>
      </w:r>
      <w:r w:rsidR="006A475A">
        <w:rPr>
          <w:rFonts w:cstheme="minorHAnsi"/>
          <w:lang w:eastAsia="cs-CZ"/>
        </w:rPr>
        <w:t>se</w:t>
      </w:r>
      <w:r w:rsidRPr="00501B23">
        <w:rPr>
          <w:rFonts w:cstheme="minorHAnsi"/>
          <w:lang w:eastAsia="cs-CZ"/>
        </w:rPr>
        <w:t xml:space="preserve"> k plnění </w:t>
      </w:r>
      <w:r w:rsidR="006A475A">
        <w:rPr>
          <w:rFonts w:cstheme="minorHAnsi"/>
          <w:lang w:eastAsia="cs-CZ"/>
        </w:rPr>
        <w:t xml:space="preserve">cílů </w:t>
      </w:r>
      <w:r w:rsidR="007F61CC">
        <w:rPr>
          <w:rFonts w:cstheme="minorHAnsi"/>
          <w:lang w:eastAsia="cs-CZ"/>
        </w:rPr>
        <w:t xml:space="preserve">zavázalo </w:t>
      </w:r>
      <w:r w:rsidRPr="00501B23">
        <w:rPr>
          <w:rFonts w:cstheme="minorHAnsi"/>
          <w:lang w:eastAsia="cs-CZ"/>
        </w:rPr>
        <w:t>v rámci procesu obranného plánování NATO</w:t>
      </w:r>
      <w:r w:rsidR="003068A6">
        <w:rPr>
          <w:rFonts w:cstheme="minorHAnsi"/>
          <w:lang w:eastAsia="cs-CZ"/>
        </w:rPr>
        <w:t xml:space="preserve"> a </w:t>
      </w:r>
      <w:r w:rsidR="008936D1">
        <w:rPr>
          <w:rFonts w:cstheme="minorHAnsi"/>
          <w:lang w:eastAsia="cs-CZ"/>
        </w:rPr>
        <w:t xml:space="preserve">cíle </w:t>
      </w:r>
      <w:r w:rsidR="007F61CC">
        <w:rPr>
          <w:rFonts w:cstheme="minorHAnsi"/>
          <w:lang w:eastAsia="cs-CZ"/>
        </w:rPr>
        <w:t xml:space="preserve">pravidelně </w:t>
      </w:r>
      <w:bookmarkEnd w:id="24"/>
      <w:r w:rsidRPr="00501B23">
        <w:rPr>
          <w:rFonts w:cstheme="minorHAnsi"/>
          <w:lang w:eastAsia="cs-CZ"/>
        </w:rPr>
        <w:t>půlročně vyhodnocuje – uvádí zejména důvody neplnění a přijímá opatření.</w:t>
      </w:r>
      <w:r w:rsidR="00D5501C">
        <w:rPr>
          <w:rFonts w:cstheme="minorHAnsi"/>
          <w:lang w:eastAsia="cs-CZ"/>
        </w:rPr>
        <w:t xml:space="preserve"> </w:t>
      </w:r>
      <w:r w:rsidRPr="00501B23">
        <w:rPr>
          <w:rFonts w:cstheme="minorHAnsi"/>
          <w:lang w:eastAsia="cs-CZ"/>
        </w:rPr>
        <w:t xml:space="preserve">Plnění </w:t>
      </w:r>
      <w:r w:rsidR="007F61CC">
        <w:rPr>
          <w:rFonts w:cstheme="minorHAnsi"/>
          <w:lang w:eastAsia="cs-CZ"/>
        </w:rPr>
        <w:t xml:space="preserve">cílů </w:t>
      </w:r>
      <w:r w:rsidRPr="00501B23">
        <w:rPr>
          <w:rFonts w:cstheme="minorHAnsi"/>
          <w:lang w:eastAsia="cs-CZ"/>
        </w:rPr>
        <w:t xml:space="preserve">vyžadovalo </w:t>
      </w:r>
      <w:r w:rsidR="003068A6">
        <w:rPr>
          <w:rFonts w:cstheme="minorHAnsi"/>
          <w:lang w:eastAsia="cs-CZ"/>
        </w:rPr>
        <w:t xml:space="preserve">mimo jiné </w:t>
      </w:r>
      <w:r w:rsidRPr="00501B23">
        <w:rPr>
          <w:rFonts w:cstheme="minorHAnsi"/>
          <w:lang w:eastAsia="cs-CZ"/>
        </w:rPr>
        <w:t>realiz</w:t>
      </w:r>
      <w:r w:rsidR="00B60A5F">
        <w:rPr>
          <w:rFonts w:cstheme="minorHAnsi"/>
          <w:lang w:eastAsia="cs-CZ"/>
        </w:rPr>
        <w:t>ovat</w:t>
      </w:r>
      <w:r w:rsidR="007F61CC">
        <w:rPr>
          <w:rFonts w:cstheme="minorHAnsi"/>
          <w:lang w:eastAsia="cs-CZ"/>
        </w:rPr>
        <w:t xml:space="preserve"> </w:t>
      </w:r>
      <w:r w:rsidRPr="00501B23">
        <w:rPr>
          <w:rFonts w:cstheme="minorHAnsi"/>
          <w:lang w:eastAsia="cs-CZ"/>
        </w:rPr>
        <w:t>akc</w:t>
      </w:r>
      <w:r w:rsidR="00B60A5F">
        <w:rPr>
          <w:rFonts w:cstheme="minorHAnsi"/>
          <w:lang w:eastAsia="cs-CZ"/>
        </w:rPr>
        <w:t>e</w:t>
      </w:r>
      <w:r w:rsidRPr="00501B23">
        <w:rPr>
          <w:rFonts w:cstheme="minorHAnsi"/>
          <w:lang w:eastAsia="cs-CZ"/>
        </w:rPr>
        <w:t xml:space="preserve"> z</w:t>
      </w:r>
      <w:r w:rsidR="003068A6">
        <w:rPr>
          <w:rFonts w:cstheme="minorHAnsi"/>
          <w:lang w:eastAsia="cs-CZ"/>
        </w:rPr>
        <w:t> </w:t>
      </w:r>
      <w:r w:rsidRPr="00501B23">
        <w:rPr>
          <w:rFonts w:cstheme="minorHAnsi"/>
          <w:lang w:eastAsia="cs-CZ"/>
        </w:rPr>
        <w:t xml:space="preserve">programů </w:t>
      </w:r>
      <w:r w:rsidR="007F61CC">
        <w:rPr>
          <w:rFonts w:cstheme="minorHAnsi"/>
          <w:lang w:eastAsia="cs-CZ"/>
        </w:rPr>
        <w:t xml:space="preserve">reprodukce majetku. </w:t>
      </w:r>
      <w:r w:rsidRPr="00501B23">
        <w:rPr>
          <w:rFonts w:cstheme="minorHAnsi"/>
          <w:lang w:eastAsia="cs-CZ"/>
        </w:rPr>
        <w:t>MO proto zařadilo do dokumentac</w:t>
      </w:r>
      <w:r w:rsidR="00B60A5F">
        <w:rPr>
          <w:rFonts w:cstheme="minorHAnsi"/>
          <w:lang w:eastAsia="cs-CZ"/>
        </w:rPr>
        <w:t>í</w:t>
      </w:r>
      <w:r w:rsidRPr="00501B23">
        <w:rPr>
          <w:rFonts w:cstheme="minorHAnsi"/>
          <w:lang w:eastAsia="cs-CZ"/>
        </w:rPr>
        <w:t xml:space="preserve"> těchto programů např. akc</w:t>
      </w:r>
      <w:r w:rsidR="00B60A5F">
        <w:rPr>
          <w:rFonts w:cstheme="minorHAnsi"/>
          <w:lang w:eastAsia="cs-CZ"/>
        </w:rPr>
        <w:t>e zaměřené na nákup</w:t>
      </w:r>
      <w:r w:rsidRPr="00501B23">
        <w:rPr>
          <w:rFonts w:cstheme="minorHAnsi"/>
          <w:lang w:eastAsia="cs-CZ"/>
        </w:rPr>
        <w:t xml:space="preserve"> materiál</w:t>
      </w:r>
      <w:r w:rsidR="00B60A5F">
        <w:rPr>
          <w:rFonts w:cstheme="minorHAnsi"/>
          <w:lang w:eastAsia="cs-CZ"/>
        </w:rPr>
        <w:t>u</w:t>
      </w:r>
      <w:r w:rsidRPr="00501B23">
        <w:rPr>
          <w:rFonts w:cstheme="minorHAnsi"/>
          <w:lang w:eastAsia="cs-CZ"/>
        </w:rPr>
        <w:t xml:space="preserve"> k dosažení cíle E6201N dle CT 2013 (příklad č.</w:t>
      </w:r>
      <w:r w:rsidR="00FF40E1" w:rsidRPr="00501B23">
        <w:rPr>
          <w:rFonts w:cstheme="minorHAnsi"/>
          <w:lang w:eastAsia="cs-CZ"/>
        </w:rPr>
        <w:t xml:space="preserve"> </w:t>
      </w:r>
      <w:r w:rsidR="00FB683F">
        <w:rPr>
          <w:rFonts w:cstheme="minorHAnsi"/>
          <w:lang w:eastAsia="cs-CZ"/>
        </w:rPr>
        <w:t>1</w:t>
      </w:r>
      <w:r w:rsidRPr="00501B23">
        <w:rPr>
          <w:rFonts w:cstheme="minorHAnsi"/>
          <w:lang w:eastAsia="cs-CZ"/>
        </w:rPr>
        <w:t xml:space="preserve">). </w:t>
      </w:r>
    </w:p>
    <w:p w14:paraId="308AECB6" w14:textId="553470F4" w:rsidR="00AA38E2" w:rsidRDefault="00AA38E2" w:rsidP="00E04281">
      <w:pPr>
        <w:spacing w:after="0"/>
        <w:rPr>
          <w:rFonts w:cstheme="minorHAnsi"/>
          <w:lang w:eastAsia="cs-CZ"/>
        </w:rPr>
      </w:pPr>
    </w:p>
    <w:p w14:paraId="3EF2F912" w14:textId="351483B9" w:rsidR="005C0E3D" w:rsidRPr="00501B23" w:rsidRDefault="00D457AE" w:rsidP="0009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autoSpaceDE w:val="0"/>
        <w:autoSpaceDN w:val="0"/>
        <w:adjustRightInd w:val="0"/>
        <w:spacing w:after="0"/>
        <w:rPr>
          <w:rFonts w:cstheme="minorHAnsi"/>
          <w:b/>
          <w:lang w:eastAsia="cs-CZ"/>
        </w:rPr>
      </w:pPr>
      <w:r w:rsidRPr="00501B23">
        <w:rPr>
          <w:rFonts w:cstheme="minorHAnsi"/>
          <w:b/>
          <w:lang w:eastAsia="cs-CZ"/>
        </w:rPr>
        <w:t>Příklad č.</w:t>
      </w:r>
      <w:r w:rsidR="00CD481F" w:rsidRPr="00501B23">
        <w:rPr>
          <w:rFonts w:cstheme="minorHAnsi"/>
          <w:b/>
          <w:lang w:eastAsia="cs-CZ"/>
        </w:rPr>
        <w:t xml:space="preserve"> </w:t>
      </w:r>
      <w:r w:rsidR="00FB683F">
        <w:rPr>
          <w:rFonts w:cstheme="minorHAnsi"/>
          <w:b/>
          <w:lang w:eastAsia="cs-CZ"/>
        </w:rPr>
        <w:t>1</w:t>
      </w:r>
      <w:r w:rsidR="00CD481F" w:rsidRPr="00501B23">
        <w:rPr>
          <w:rFonts w:cstheme="minorHAnsi"/>
          <w:b/>
          <w:lang w:eastAsia="cs-CZ"/>
        </w:rPr>
        <w:t xml:space="preserve"> – </w:t>
      </w:r>
      <w:r w:rsidR="003060FA">
        <w:rPr>
          <w:rFonts w:cstheme="minorHAnsi"/>
          <w:b/>
          <w:lang w:eastAsia="cs-CZ"/>
        </w:rPr>
        <w:t>„</w:t>
      </w:r>
      <w:r w:rsidR="003060FA" w:rsidRPr="001A5766">
        <w:rPr>
          <w:rFonts w:cstheme="minorHAnsi"/>
          <w:b/>
          <w:i/>
          <w:lang w:eastAsia="cs-CZ"/>
        </w:rPr>
        <w:t>P</w:t>
      </w:r>
      <w:r w:rsidRPr="001A5766">
        <w:rPr>
          <w:rFonts w:cstheme="minorHAnsi"/>
          <w:b/>
          <w:i/>
          <w:lang w:eastAsia="cs-CZ"/>
        </w:rPr>
        <w:t>ořízení</w:t>
      </w:r>
      <w:r w:rsidR="00CD481F" w:rsidRPr="001A5766">
        <w:rPr>
          <w:rFonts w:cstheme="minorHAnsi"/>
          <w:b/>
          <w:i/>
          <w:lang w:eastAsia="cs-CZ"/>
        </w:rPr>
        <w:t xml:space="preserve"> </w:t>
      </w:r>
      <w:r w:rsidRPr="001A5766">
        <w:rPr>
          <w:rFonts w:cstheme="minorHAnsi"/>
          <w:b/>
          <w:i/>
          <w:lang w:eastAsia="cs-CZ"/>
        </w:rPr>
        <w:t>materiálu k dosažení cíle E6201N dle CT 2013</w:t>
      </w:r>
      <w:r w:rsidR="003060FA">
        <w:rPr>
          <w:rFonts w:cstheme="minorHAnsi"/>
          <w:b/>
          <w:lang w:eastAsia="cs-CZ"/>
        </w:rPr>
        <w:t>“</w:t>
      </w:r>
    </w:p>
    <w:p w14:paraId="0A4A0833" w14:textId="54CC74E6" w:rsidR="00FC051F" w:rsidRDefault="00D457AE" w:rsidP="00F1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autoSpaceDE w:val="0"/>
        <w:autoSpaceDN w:val="0"/>
        <w:adjustRightInd w:val="0"/>
        <w:spacing w:before="120"/>
        <w:rPr>
          <w:rFonts w:cstheme="minorHAnsi"/>
          <w:bCs/>
        </w:rPr>
      </w:pPr>
      <w:r w:rsidRPr="004C2DEB">
        <w:rPr>
          <w:rFonts w:cstheme="minorHAnsi"/>
        </w:rPr>
        <w:t>MO plánovalo pořídit 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období </w:t>
      </w:r>
      <w:r w:rsidR="00B60A5F">
        <w:rPr>
          <w:rFonts w:cstheme="minorHAnsi"/>
        </w:rPr>
        <w:t xml:space="preserve">let </w:t>
      </w:r>
      <w:r w:rsidRPr="004C2DEB">
        <w:rPr>
          <w:rFonts w:cstheme="minorHAnsi"/>
        </w:rPr>
        <w:t>2016</w:t>
      </w:r>
      <w:r w:rsidR="00257FEC">
        <w:rPr>
          <w:rFonts w:cstheme="minorHAnsi"/>
        </w:rPr>
        <w:t>–</w:t>
      </w:r>
      <w:r w:rsidRPr="004C2DEB">
        <w:rPr>
          <w:rFonts w:cstheme="minorHAnsi"/>
        </w:rPr>
        <w:t xml:space="preserve">2020 </w:t>
      </w:r>
      <w:r w:rsidR="00B60A5F">
        <w:rPr>
          <w:rFonts w:cstheme="minorHAnsi"/>
        </w:rPr>
        <w:t xml:space="preserve">prostřednictvím </w:t>
      </w:r>
      <w:r w:rsidR="00B60A5F" w:rsidRPr="004C2DEB">
        <w:rPr>
          <w:rFonts w:cstheme="minorHAnsi"/>
        </w:rPr>
        <w:t xml:space="preserve">programu 107V68 </w:t>
      </w:r>
      <w:r w:rsidRPr="004C2DEB">
        <w:rPr>
          <w:rFonts w:cstheme="minorHAnsi"/>
        </w:rPr>
        <w:t xml:space="preserve">celkem </w:t>
      </w:r>
      <w:r w:rsidR="0019436C">
        <w:rPr>
          <w:rFonts w:cstheme="minorHAnsi"/>
        </w:rPr>
        <w:br/>
      </w:r>
      <w:r w:rsidRPr="004C2DEB">
        <w:rPr>
          <w:rFonts w:cstheme="minorHAnsi"/>
        </w:rPr>
        <w:t>50</w:t>
      </w:r>
      <w:r w:rsidR="0019436C">
        <w:rPr>
          <w:rFonts w:cstheme="minorHAnsi"/>
        </w:rPr>
        <w:t xml:space="preserve"> </w:t>
      </w:r>
      <w:r w:rsidRPr="004C2DEB">
        <w:rPr>
          <w:rFonts w:cstheme="minorHAnsi"/>
        </w:rPr>
        <w:t>kusů materiálu, konkrétně základní a pokro</w:t>
      </w:r>
      <w:r w:rsidRPr="004C2DEB">
        <w:rPr>
          <w:rFonts w:cstheme="minorHAnsi" w:hint="eastAsia"/>
        </w:rPr>
        <w:t>č</w:t>
      </w:r>
      <w:r w:rsidRPr="004C2DEB">
        <w:rPr>
          <w:rFonts w:cstheme="minorHAnsi"/>
        </w:rPr>
        <w:t>ilé ochrany proti zbraním hromadného ni</w:t>
      </w:r>
      <w:r w:rsidRPr="004C2DEB">
        <w:rPr>
          <w:rFonts w:cstheme="minorHAnsi" w:hint="eastAsia"/>
        </w:rPr>
        <w:t>č</w:t>
      </w:r>
      <w:r w:rsidRPr="004C2DEB">
        <w:rPr>
          <w:rFonts w:cstheme="minorHAnsi"/>
        </w:rPr>
        <w:t>ení. MO materiál pořizovalo postupně. 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>roce</w:t>
      </w:r>
      <w:r w:rsidR="00015E05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2016 </w:t>
      </w:r>
      <w:r w:rsidR="00B60A5F">
        <w:rPr>
          <w:rFonts w:cstheme="minorHAnsi"/>
        </w:rPr>
        <w:t>koupilo</w:t>
      </w:r>
      <w:r w:rsidR="00015E05">
        <w:rPr>
          <w:rFonts w:cstheme="minorHAnsi"/>
        </w:rPr>
        <w:t xml:space="preserve"> s</w:t>
      </w:r>
      <w:r w:rsidRPr="004C2DEB">
        <w:rPr>
          <w:rFonts w:cstheme="minorHAnsi"/>
        </w:rPr>
        <w:t>edm kusů 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>rámci akce č.</w:t>
      </w:r>
      <w:r w:rsidR="00015E05">
        <w:rPr>
          <w:rFonts w:cstheme="minorHAnsi"/>
        </w:rPr>
        <w:t> </w:t>
      </w:r>
      <w:r w:rsidRPr="004C2DEB">
        <w:rPr>
          <w:rFonts w:cstheme="minorHAnsi"/>
        </w:rPr>
        <w:t>107V682001607</w:t>
      </w:r>
      <w:r>
        <w:rPr>
          <w:rStyle w:val="Znakapoznpodarou"/>
          <w:rFonts w:cstheme="minorHAnsi"/>
        </w:rPr>
        <w:footnoteReference w:id="38"/>
      </w:r>
      <w:r w:rsidR="00015E05">
        <w:rPr>
          <w:rFonts w:cstheme="minorHAnsi"/>
        </w:rPr>
        <w:t xml:space="preserve"> a</w:t>
      </w:r>
      <w:r w:rsidR="00B60A5F">
        <w:rPr>
          <w:rFonts w:cstheme="minorHAnsi"/>
        </w:rPr>
        <w:t xml:space="preserve"> </w:t>
      </w:r>
      <w:r w:rsidR="00015E05">
        <w:rPr>
          <w:rFonts w:cstheme="minorHAnsi"/>
        </w:rPr>
        <w:t>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>roce</w:t>
      </w:r>
      <w:r w:rsidR="00015E05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2017 </w:t>
      </w:r>
      <w:r w:rsidR="003068A6">
        <w:rPr>
          <w:rFonts w:cstheme="minorHAnsi"/>
        </w:rPr>
        <w:t xml:space="preserve">také </w:t>
      </w:r>
      <w:r w:rsidRPr="004C2DEB">
        <w:rPr>
          <w:rFonts w:cstheme="minorHAnsi"/>
        </w:rPr>
        <w:t>sedm kusů 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>rámci akce č.</w:t>
      </w:r>
      <w:r w:rsidR="00F1425D">
        <w:rPr>
          <w:rFonts w:cstheme="minorHAnsi"/>
        </w:rPr>
        <w:t> </w:t>
      </w:r>
      <w:r w:rsidRPr="004C2DEB">
        <w:rPr>
          <w:rFonts w:cstheme="minorHAnsi"/>
        </w:rPr>
        <w:t>107V682001708</w:t>
      </w:r>
      <w:r>
        <w:rPr>
          <w:rStyle w:val="Znakapoznpodarou"/>
          <w:rFonts w:cstheme="minorHAnsi"/>
        </w:rPr>
        <w:footnoteReference w:id="39"/>
      </w:r>
      <w:r w:rsidRPr="004C2DEB">
        <w:rPr>
          <w:rFonts w:cstheme="minorHAnsi"/>
        </w:rPr>
        <w:t xml:space="preserve">. </w:t>
      </w:r>
      <w:r w:rsidR="00015E05">
        <w:rPr>
          <w:rFonts w:cstheme="minorHAnsi"/>
        </w:rPr>
        <w:t xml:space="preserve">Za </w:t>
      </w:r>
      <w:r w:rsidRPr="004C2DEB">
        <w:rPr>
          <w:rFonts w:cstheme="minorHAnsi"/>
        </w:rPr>
        <w:t xml:space="preserve">období 2016–2017 </w:t>
      </w:r>
      <w:r w:rsidR="00015E05">
        <w:rPr>
          <w:rFonts w:cstheme="minorHAnsi"/>
        </w:rPr>
        <w:t xml:space="preserve">tak </w:t>
      </w:r>
      <w:r w:rsidR="00502EC0">
        <w:rPr>
          <w:rFonts w:cstheme="minorHAnsi"/>
        </w:rPr>
        <w:t xml:space="preserve">MO </w:t>
      </w:r>
      <w:r w:rsidRPr="004C2DEB">
        <w:rPr>
          <w:rFonts w:cstheme="minorHAnsi"/>
        </w:rPr>
        <w:t>pořídilo v</w:t>
      </w:r>
      <w:r w:rsidR="00B60A5F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programu 107V68 </w:t>
      </w:r>
      <w:r w:rsidR="00015E05">
        <w:rPr>
          <w:rFonts w:cstheme="minorHAnsi"/>
        </w:rPr>
        <w:t xml:space="preserve">celkem </w:t>
      </w:r>
      <w:r w:rsidRPr="004C2DEB">
        <w:rPr>
          <w:rFonts w:cstheme="minorHAnsi"/>
          <w:bCs/>
        </w:rPr>
        <w:t xml:space="preserve">14 kusů </w:t>
      </w:r>
      <w:r w:rsidR="00015E05">
        <w:rPr>
          <w:rFonts w:cstheme="minorHAnsi"/>
          <w:bCs/>
        </w:rPr>
        <w:t>materiálu</w:t>
      </w:r>
      <w:r w:rsidR="00502EC0">
        <w:rPr>
          <w:rFonts w:cstheme="minorHAnsi"/>
          <w:bCs/>
        </w:rPr>
        <w:t xml:space="preserve">. </w:t>
      </w:r>
      <w:r w:rsidR="003068A6">
        <w:rPr>
          <w:rFonts w:cstheme="minorHAnsi"/>
          <w:bCs/>
        </w:rPr>
        <w:t xml:space="preserve">Stanovený cíl </w:t>
      </w:r>
      <w:r w:rsidR="000B7326">
        <w:rPr>
          <w:rFonts w:cstheme="minorHAnsi"/>
          <w:bCs/>
        </w:rPr>
        <w:t xml:space="preserve">50 kusů </w:t>
      </w:r>
      <w:r w:rsidR="00AC363E">
        <w:rPr>
          <w:rFonts w:cstheme="minorHAnsi"/>
          <w:bCs/>
        </w:rPr>
        <w:t>MO ne</w:t>
      </w:r>
      <w:r w:rsidR="003068A6">
        <w:rPr>
          <w:rFonts w:cstheme="minorHAnsi"/>
          <w:bCs/>
        </w:rPr>
        <w:t>splnilo</w:t>
      </w:r>
      <w:r w:rsidR="00AC363E">
        <w:rPr>
          <w:rFonts w:cstheme="minorHAnsi"/>
          <w:bCs/>
        </w:rPr>
        <w:t>.</w:t>
      </w:r>
      <w:r w:rsidRPr="004C2DEB">
        <w:rPr>
          <w:rFonts w:cstheme="minorHAnsi"/>
          <w:bCs/>
        </w:rPr>
        <w:t xml:space="preserve"> </w:t>
      </w:r>
      <w:r w:rsidR="000B7326">
        <w:rPr>
          <w:rFonts w:cstheme="minorHAnsi"/>
          <w:bCs/>
        </w:rPr>
        <w:t>MO v</w:t>
      </w:r>
      <w:r w:rsidRPr="004C2DEB">
        <w:rPr>
          <w:rFonts w:cstheme="minorHAnsi"/>
          <w:bCs/>
        </w:rPr>
        <w:t> nákupech pokračovalo i v</w:t>
      </w:r>
      <w:r w:rsidR="00015E05">
        <w:rPr>
          <w:rFonts w:cstheme="minorHAnsi"/>
          <w:bCs/>
        </w:rPr>
        <w:t> </w:t>
      </w:r>
      <w:r w:rsidRPr="004C2DEB">
        <w:rPr>
          <w:rFonts w:cstheme="minorHAnsi"/>
          <w:bCs/>
        </w:rPr>
        <w:t>navazující</w:t>
      </w:r>
      <w:r w:rsidR="00015E05">
        <w:rPr>
          <w:rFonts w:cstheme="minorHAnsi"/>
          <w:bCs/>
        </w:rPr>
        <w:t>m p</w:t>
      </w:r>
      <w:r w:rsidRPr="004C2DEB">
        <w:rPr>
          <w:rFonts w:cstheme="minorHAnsi"/>
          <w:bCs/>
        </w:rPr>
        <w:t xml:space="preserve">rogramu </w:t>
      </w:r>
      <w:r w:rsidRPr="004C2DEB">
        <w:rPr>
          <w:rFonts w:cstheme="minorHAnsi"/>
          <w:bCs/>
          <w:iCs/>
        </w:rPr>
        <w:t>107V08</w:t>
      </w:r>
      <w:r w:rsidR="00015E05">
        <w:rPr>
          <w:rFonts w:cstheme="minorHAnsi"/>
          <w:bCs/>
          <w:iCs/>
        </w:rPr>
        <w:t xml:space="preserve">, </w:t>
      </w:r>
      <w:r w:rsidR="000B7326">
        <w:rPr>
          <w:rFonts w:cstheme="minorHAnsi"/>
          <w:bCs/>
          <w:iCs/>
        </w:rPr>
        <w:t xml:space="preserve">od roku 2017 </w:t>
      </w:r>
      <w:r w:rsidRPr="004C2DEB">
        <w:rPr>
          <w:rFonts w:cstheme="minorHAnsi"/>
          <w:bCs/>
          <w:iCs/>
        </w:rPr>
        <w:t xml:space="preserve">do konce roku 2022 </w:t>
      </w:r>
      <w:r w:rsidR="008D114A">
        <w:rPr>
          <w:rFonts w:cstheme="minorHAnsi"/>
          <w:bCs/>
          <w:iCs/>
        </w:rPr>
        <w:t xml:space="preserve">mělo nakoupit </w:t>
      </w:r>
      <w:r w:rsidRPr="004C2DEB">
        <w:rPr>
          <w:rFonts w:cstheme="minorHAnsi"/>
          <w:bCs/>
          <w:iCs/>
        </w:rPr>
        <w:t>60</w:t>
      </w:r>
      <w:r w:rsidR="00F1425D">
        <w:rPr>
          <w:rFonts w:cstheme="minorHAnsi"/>
          <w:bCs/>
          <w:iCs/>
        </w:rPr>
        <w:t> </w:t>
      </w:r>
      <w:r w:rsidRPr="004C2DEB">
        <w:rPr>
          <w:rFonts w:cstheme="minorHAnsi"/>
          <w:bCs/>
          <w:iCs/>
        </w:rPr>
        <w:t>k</w:t>
      </w:r>
      <w:r w:rsidR="00015E05">
        <w:rPr>
          <w:rFonts w:cstheme="minorHAnsi"/>
          <w:bCs/>
          <w:iCs/>
        </w:rPr>
        <w:t xml:space="preserve">usů </w:t>
      </w:r>
      <w:r w:rsidRPr="004C2DEB">
        <w:rPr>
          <w:rFonts w:cstheme="minorHAnsi"/>
          <w:bCs/>
          <w:iCs/>
        </w:rPr>
        <w:t xml:space="preserve">materiálu. </w:t>
      </w:r>
      <w:r w:rsidRPr="004C2DEB">
        <w:rPr>
          <w:rFonts w:cstheme="minorHAnsi"/>
        </w:rPr>
        <w:t xml:space="preserve">MO materiál </w:t>
      </w:r>
      <w:r w:rsidR="00B60A5F" w:rsidRPr="004C2DEB">
        <w:rPr>
          <w:rFonts w:cstheme="minorHAnsi"/>
        </w:rPr>
        <w:t xml:space="preserve">opět </w:t>
      </w:r>
      <w:r w:rsidRPr="004C2DEB">
        <w:rPr>
          <w:rFonts w:cstheme="minorHAnsi"/>
        </w:rPr>
        <w:t>pořizovalo postupně.</w:t>
      </w:r>
      <w:r w:rsidRPr="004C2DEB">
        <w:rPr>
          <w:rFonts w:cstheme="minorHAnsi"/>
          <w:bCs/>
          <w:iCs/>
        </w:rPr>
        <w:t xml:space="preserve"> </w:t>
      </w:r>
      <w:r w:rsidRPr="004C2DEB">
        <w:rPr>
          <w:rFonts w:cstheme="minorHAnsi"/>
        </w:rPr>
        <w:t>V</w:t>
      </w:r>
      <w:r w:rsidR="00751347">
        <w:rPr>
          <w:rFonts w:cstheme="minorHAnsi"/>
        </w:rPr>
        <w:t xml:space="preserve"> </w:t>
      </w:r>
      <w:r w:rsidRPr="004C2DEB">
        <w:rPr>
          <w:rFonts w:cstheme="minorHAnsi"/>
        </w:rPr>
        <w:t>roce 2018</w:t>
      </w:r>
      <w:r w:rsidR="00502EC0">
        <w:rPr>
          <w:rFonts w:cstheme="minorHAnsi"/>
        </w:rPr>
        <w:t xml:space="preserve"> </w:t>
      </w:r>
      <w:r w:rsidRPr="004C2DEB">
        <w:rPr>
          <w:rFonts w:cstheme="minorHAnsi"/>
        </w:rPr>
        <w:t>pořídilo dva</w:t>
      </w:r>
      <w:r w:rsidR="00015E05">
        <w:rPr>
          <w:rFonts w:cstheme="minorHAnsi"/>
        </w:rPr>
        <w:t xml:space="preserve"> kusy v </w:t>
      </w:r>
      <w:r w:rsidRPr="004C2DEB">
        <w:rPr>
          <w:rFonts w:cstheme="minorHAnsi"/>
        </w:rPr>
        <w:t>rámci akce č.</w:t>
      </w:r>
      <w:r w:rsidR="008D0EB0" w:rsidRPr="004C2DEB">
        <w:rPr>
          <w:rFonts w:cstheme="minorHAnsi"/>
        </w:rPr>
        <w:t> </w:t>
      </w:r>
      <w:r w:rsidRPr="004C2DEB">
        <w:rPr>
          <w:rFonts w:cstheme="minorHAnsi"/>
        </w:rPr>
        <w:t>107V081001801</w:t>
      </w:r>
      <w:r>
        <w:rPr>
          <w:rStyle w:val="Znakapoznpodarou"/>
          <w:rFonts w:cstheme="minorHAnsi"/>
        </w:rPr>
        <w:footnoteReference w:id="40"/>
      </w:r>
      <w:r w:rsidR="00015E05">
        <w:rPr>
          <w:rFonts w:cstheme="minorHAnsi"/>
        </w:rPr>
        <w:t>, v roce 2019 tři kusy v</w:t>
      </w:r>
      <w:r w:rsidR="00751347">
        <w:rPr>
          <w:rFonts w:cstheme="minorHAnsi"/>
        </w:rPr>
        <w:t xml:space="preserve"> </w:t>
      </w:r>
      <w:r w:rsidR="00015E05">
        <w:rPr>
          <w:rFonts w:cstheme="minorHAnsi"/>
        </w:rPr>
        <w:t xml:space="preserve">rámci akce </w:t>
      </w:r>
      <w:r w:rsidRPr="004C2DEB">
        <w:rPr>
          <w:rFonts w:cstheme="minorHAnsi"/>
        </w:rPr>
        <w:t>č.</w:t>
      </w:r>
      <w:r w:rsidR="00965CFA">
        <w:rPr>
          <w:rFonts w:cstheme="minorHAnsi"/>
        </w:rPr>
        <w:t xml:space="preserve"> </w:t>
      </w:r>
      <w:r w:rsidRPr="004C2DEB">
        <w:rPr>
          <w:rFonts w:cstheme="minorHAnsi"/>
        </w:rPr>
        <w:t>107V081001832</w:t>
      </w:r>
      <w:r>
        <w:rPr>
          <w:rStyle w:val="Znakapoznpodarou"/>
          <w:rFonts w:cstheme="minorHAnsi"/>
        </w:rPr>
        <w:footnoteReference w:id="41"/>
      </w:r>
      <w:r w:rsidR="00015E05">
        <w:rPr>
          <w:rFonts w:cstheme="minorHAnsi"/>
        </w:rPr>
        <w:t xml:space="preserve"> a v</w:t>
      </w:r>
      <w:r w:rsidR="00751347">
        <w:rPr>
          <w:rFonts w:cstheme="minorHAnsi"/>
        </w:rPr>
        <w:t xml:space="preserve"> </w:t>
      </w:r>
      <w:r w:rsidR="00015E05">
        <w:rPr>
          <w:rFonts w:cstheme="minorHAnsi"/>
        </w:rPr>
        <w:t xml:space="preserve">roce 2020 </w:t>
      </w:r>
      <w:r w:rsidR="003068A6">
        <w:rPr>
          <w:rFonts w:cstheme="minorHAnsi"/>
        </w:rPr>
        <w:t xml:space="preserve">dvanáct </w:t>
      </w:r>
      <w:r w:rsidR="00015E05">
        <w:rPr>
          <w:rFonts w:cstheme="minorHAnsi"/>
        </w:rPr>
        <w:t xml:space="preserve">kusů v rámci akce </w:t>
      </w:r>
      <w:r w:rsidRPr="004C2DEB">
        <w:rPr>
          <w:rFonts w:cstheme="minorHAnsi"/>
        </w:rPr>
        <w:t>č.</w:t>
      </w:r>
      <w:r w:rsidR="00751347">
        <w:rPr>
          <w:rFonts w:cstheme="minorHAnsi"/>
        </w:rPr>
        <w:t xml:space="preserve"> </w:t>
      </w:r>
      <w:r w:rsidRPr="004C2DEB">
        <w:rPr>
          <w:rFonts w:cstheme="minorHAnsi"/>
        </w:rPr>
        <w:t>107V081001920</w:t>
      </w:r>
      <w:r>
        <w:rPr>
          <w:rStyle w:val="Znakapoznpodarou"/>
          <w:rFonts w:cstheme="minorHAnsi"/>
        </w:rPr>
        <w:footnoteReference w:id="42"/>
      </w:r>
      <w:r w:rsidRPr="004C2DEB">
        <w:rPr>
          <w:rFonts w:cstheme="minorHAnsi"/>
        </w:rPr>
        <w:t>. Za období 2018 až 2022 tak MO v</w:t>
      </w:r>
      <w:r w:rsidR="00751347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rámci programu 107V08 nakoupilo </w:t>
      </w:r>
      <w:r w:rsidRPr="004C2DEB">
        <w:rPr>
          <w:rFonts w:cstheme="minorHAnsi"/>
          <w:bCs/>
        </w:rPr>
        <w:t xml:space="preserve">17 </w:t>
      </w:r>
      <w:r w:rsidR="002C22EF">
        <w:rPr>
          <w:rFonts w:cstheme="minorHAnsi"/>
          <w:bCs/>
        </w:rPr>
        <w:t xml:space="preserve">kusů materiálu. </w:t>
      </w:r>
      <w:r w:rsidR="003068A6">
        <w:rPr>
          <w:rFonts w:cstheme="minorHAnsi"/>
          <w:bCs/>
        </w:rPr>
        <w:t>Stanovený c</w:t>
      </w:r>
      <w:r w:rsidRPr="004C2DEB">
        <w:rPr>
          <w:rFonts w:cstheme="minorHAnsi"/>
          <w:bCs/>
        </w:rPr>
        <w:t xml:space="preserve">íl </w:t>
      </w:r>
      <w:r w:rsidR="000B7326">
        <w:rPr>
          <w:rFonts w:cstheme="minorHAnsi"/>
          <w:bCs/>
        </w:rPr>
        <w:t xml:space="preserve">60 kusů </w:t>
      </w:r>
      <w:r w:rsidR="00751347">
        <w:rPr>
          <w:rFonts w:cstheme="minorHAnsi"/>
        </w:rPr>
        <w:t>Ministerstvo obrany</w:t>
      </w:r>
      <w:r w:rsidR="00AC363E">
        <w:rPr>
          <w:rFonts w:cstheme="minorHAnsi"/>
          <w:bCs/>
        </w:rPr>
        <w:t xml:space="preserve"> opět ne</w:t>
      </w:r>
      <w:r w:rsidRPr="004C2DEB">
        <w:rPr>
          <w:rFonts w:cstheme="minorHAnsi"/>
          <w:bCs/>
        </w:rPr>
        <w:t>splnilo</w:t>
      </w:r>
      <w:r w:rsidR="00AC363E">
        <w:rPr>
          <w:rFonts w:cstheme="minorHAnsi"/>
          <w:bCs/>
        </w:rPr>
        <w:t>.</w:t>
      </w:r>
      <w:r w:rsidR="000B7326">
        <w:rPr>
          <w:rFonts w:cstheme="minorHAnsi"/>
          <w:bCs/>
        </w:rPr>
        <w:t xml:space="preserve"> </w:t>
      </w:r>
    </w:p>
    <w:p w14:paraId="55294C24" w14:textId="655FC6FA" w:rsidR="005C0E3D" w:rsidRPr="004C2DEB" w:rsidRDefault="00D457AE" w:rsidP="0029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autoSpaceDE w:val="0"/>
        <w:autoSpaceDN w:val="0"/>
        <w:adjustRightInd w:val="0"/>
        <w:spacing w:before="120" w:after="0"/>
        <w:rPr>
          <w:rFonts w:cstheme="minorHAnsi"/>
          <w:bCs/>
        </w:rPr>
      </w:pPr>
      <w:r w:rsidRPr="004C2DEB">
        <w:rPr>
          <w:rFonts w:cstheme="minorHAnsi"/>
          <w:bCs/>
        </w:rPr>
        <w:t xml:space="preserve">MO mělo podle dokumentací programů 107V68 </w:t>
      </w:r>
      <w:r w:rsidR="00751347">
        <w:rPr>
          <w:rFonts w:cstheme="minorHAnsi"/>
          <w:bCs/>
        </w:rPr>
        <w:t xml:space="preserve">a </w:t>
      </w:r>
      <w:r w:rsidRPr="004C2DEB">
        <w:rPr>
          <w:rFonts w:cstheme="minorHAnsi"/>
          <w:bCs/>
        </w:rPr>
        <w:t>107V08 pořídit v</w:t>
      </w:r>
      <w:r w:rsidR="00751347">
        <w:rPr>
          <w:rFonts w:cstheme="minorHAnsi"/>
          <w:bCs/>
        </w:rPr>
        <w:t xml:space="preserve"> </w:t>
      </w:r>
      <w:r w:rsidRPr="004C2DEB">
        <w:rPr>
          <w:rFonts w:cstheme="minorHAnsi"/>
          <w:bCs/>
        </w:rPr>
        <w:t xml:space="preserve">období 2016–2022 celkem </w:t>
      </w:r>
      <w:r w:rsidR="000B7326">
        <w:rPr>
          <w:rFonts w:cstheme="minorHAnsi"/>
          <w:bCs/>
        </w:rPr>
        <w:t>8</w:t>
      </w:r>
      <w:r w:rsidRPr="004C2DEB">
        <w:rPr>
          <w:rFonts w:cstheme="minorHAnsi"/>
          <w:bCs/>
        </w:rPr>
        <w:t xml:space="preserve">0 kusů materiálu. NKÚ zjistil, že </w:t>
      </w:r>
      <w:r w:rsidR="00751347">
        <w:rPr>
          <w:rFonts w:cstheme="minorHAnsi"/>
          <w:bCs/>
        </w:rPr>
        <w:t xml:space="preserve">ve </w:t>
      </w:r>
      <w:r w:rsidRPr="004C2DEB">
        <w:rPr>
          <w:rFonts w:cstheme="minorHAnsi"/>
          <w:bCs/>
        </w:rPr>
        <w:t>skutečn</w:t>
      </w:r>
      <w:r w:rsidR="00751347">
        <w:rPr>
          <w:rFonts w:cstheme="minorHAnsi"/>
          <w:bCs/>
        </w:rPr>
        <w:t>osti</w:t>
      </w:r>
      <w:r w:rsidRPr="004C2DEB">
        <w:rPr>
          <w:rFonts w:cstheme="minorHAnsi"/>
          <w:bCs/>
        </w:rPr>
        <w:t xml:space="preserve"> pořídilo v</w:t>
      </w:r>
      <w:r w:rsidR="0019436C">
        <w:rPr>
          <w:rFonts w:cstheme="minorHAnsi"/>
          <w:bCs/>
        </w:rPr>
        <w:t xml:space="preserve"> </w:t>
      </w:r>
      <w:r w:rsidRPr="004C2DEB">
        <w:rPr>
          <w:rFonts w:cstheme="minorHAnsi"/>
          <w:bCs/>
        </w:rPr>
        <w:t>rámci pěti akcí pouze 31</w:t>
      </w:r>
      <w:r w:rsidR="00751347">
        <w:rPr>
          <w:rFonts w:cstheme="minorHAnsi"/>
          <w:bCs/>
        </w:rPr>
        <w:t> </w:t>
      </w:r>
      <w:r w:rsidRPr="004C2DEB">
        <w:rPr>
          <w:rFonts w:cstheme="minorHAnsi"/>
          <w:bCs/>
        </w:rPr>
        <w:t xml:space="preserve">kusů, tedy </w:t>
      </w:r>
      <w:r w:rsidR="000B7326">
        <w:rPr>
          <w:rFonts w:cstheme="minorHAnsi"/>
          <w:bCs/>
        </w:rPr>
        <w:t>39</w:t>
      </w:r>
      <w:r w:rsidRPr="004C2DEB">
        <w:rPr>
          <w:rFonts w:cstheme="minorHAnsi"/>
          <w:bCs/>
        </w:rPr>
        <w:t xml:space="preserve"> %. Materiál k dosažení cíle E6201N dle CT 2013 není ani po sedmi letech od zahájení </w:t>
      </w:r>
      <w:r w:rsidR="00942102">
        <w:rPr>
          <w:rFonts w:cstheme="minorHAnsi"/>
          <w:bCs/>
        </w:rPr>
        <w:t xml:space="preserve">jeho </w:t>
      </w:r>
      <w:r w:rsidRPr="004C2DEB">
        <w:rPr>
          <w:rFonts w:cstheme="minorHAnsi"/>
          <w:bCs/>
        </w:rPr>
        <w:t xml:space="preserve">pořizování nakoupen </w:t>
      </w:r>
      <w:r w:rsidR="00942102">
        <w:rPr>
          <w:rFonts w:cstheme="minorHAnsi"/>
          <w:bCs/>
        </w:rPr>
        <w:t>ani z</w:t>
      </w:r>
      <w:r w:rsidR="00751347">
        <w:rPr>
          <w:rFonts w:cstheme="minorHAnsi"/>
          <w:bCs/>
        </w:rPr>
        <w:t xml:space="preserve"> </w:t>
      </w:r>
      <w:r w:rsidRPr="004C2DEB">
        <w:rPr>
          <w:rFonts w:cstheme="minorHAnsi"/>
          <w:bCs/>
        </w:rPr>
        <w:t xml:space="preserve">poloviny plánovaného počtu kusů. </w:t>
      </w:r>
      <w:r w:rsidR="002D5E59">
        <w:rPr>
          <w:rFonts w:cstheme="minorHAnsi"/>
          <w:bCs/>
        </w:rPr>
        <w:t>C</w:t>
      </w:r>
      <w:r w:rsidRPr="004C2DEB">
        <w:rPr>
          <w:rFonts w:cstheme="minorHAnsi"/>
          <w:bCs/>
        </w:rPr>
        <w:t xml:space="preserve">íl E6201N </w:t>
      </w:r>
      <w:r w:rsidR="00E06349">
        <w:rPr>
          <w:rFonts w:cstheme="minorHAnsi"/>
          <w:bCs/>
        </w:rPr>
        <w:t xml:space="preserve">tak </w:t>
      </w:r>
      <w:r w:rsidR="002D5E59">
        <w:rPr>
          <w:rFonts w:cstheme="minorHAnsi"/>
          <w:bCs/>
        </w:rPr>
        <w:t>byl</w:t>
      </w:r>
      <w:r w:rsidRPr="004C2DEB">
        <w:rPr>
          <w:rFonts w:cstheme="minorHAnsi"/>
          <w:bCs/>
        </w:rPr>
        <w:t xml:space="preserve"> </w:t>
      </w:r>
      <w:r w:rsidR="00751347">
        <w:rPr>
          <w:rFonts w:cstheme="minorHAnsi"/>
        </w:rPr>
        <w:t>Ministerstvem obrany</w:t>
      </w:r>
      <w:r w:rsidR="0005076E">
        <w:rPr>
          <w:rFonts w:cstheme="minorHAnsi"/>
          <w:bCs/>
        </w:rPr>
        <w:t xml:space="preserve"> </w:t>
      </w:r>
      <w:r w:rsidRPr="004C2DEB">
        <w:rPr>
          <w:rFonts w:cstheme="minorHAnsi"/>
          <w:bCs/>
        </w:rPr>
        <w:t>plněn s omezením, resp. částečně.</w:t>
      </w:r>
      <w:r w:rsidR="00942102">
        <w:rPr>
          <w:rFonts w:cstheme="minorHAnsi"/>
          <w:bCs/>
        </w:rPr>
        <w:t xml:space="preserve"> </w:t>
      </w:r>
    </w:p>
    <w:p w14:paraId="76E386C0" w14:textId="77777777" w:rsidR="009D5198" w:rsidRPr="00290877" w:rsidRDefault="009D5198" w:rsidP="00290877">
      <w:pPr>
        <w:spacing w:after="0"/>
        <w:rPr>
          <w:rFonts w:cstheme="minorHAnsi"/>
          <w:lang w:eastAsia="cs-CZ"/>
        </w:rPr>
      </w:pPr>
    </w:p>
    <w:p w14:paraId="11F148C7" w14:textId="1260E22B" w:rsidR="005265B2" w:rsidRPr="00345425" w:rsidRDefault="00AE3CED" w:rsidP="00290877">
      <w:pPr>
        <w:pStyle w:val="Odstavecseseznamem"/>
        <w:numPr>
          <w:ilvl w:val="1"/>
          <w:numId w:val="34"/>
        </w:numPr>
        <w:ind w:left="0" w:firstLine="0"/>
        <w:contextualSpacing w:val="0"/>
        <w:rPr>
          <w:rFonts w:eastAsia="Calibri" w:cstheme="minorHAnsi"/>
        </w:rPr>
      </w:pPr>
      <w:r>
        <w:rPr>
          <w:rFonts w:eastAsia="Calibri" w:cstheme="minorHAnsi"/>
        </w:rPr>
        <w:t>Dle z</w:t>
      </w:r>
      <w:r w:rsidR="00D457AE" w:rsidRPr="004609D0">
        <w:rPr>
          <w:rFonts w:eastAsia="Calibri" w:cstheme="minorHAnsi"/>
        </w:rPr>
        <w:t>ákon</w:t>
      </w:r>
      <w:r>
        <w:rPr>
          <w:rFonts w:eastAsia="Calibri" w:cstheme="minorHAnsi"/>
        </w:rPr>
        <w:t>a</w:t>
      </w:r>
      <w:r w:rsidR="00D457AE" w:rsidRPr="004609D0">
        <w:rPr>
          <w:rFonts w:eastAsia="Calibri" w:cstheme="minorHAnsi"/>
        </w:rPr>
        <w:t xml:space="preserve"> č. 219/1999 Sb</w:t>
      </w:r>
      <w:r w:rsidR="00A84975" w:rsidRPr="004609D0">
        <w:rPr>
          <w:rFonts w:eastAsia="Calibri" w:cstheme="minorHAnsi"/>
        </w:rPr>
        <w:t>.</w:t>
      </w:r>
      <w:r w:rsidR="00D457AE" w:rsidRPr="004609D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může </w:t>
      </w:r>
      <w:r w:rsidR="00D457AE" w:rsidRPr="004609D0">
        <w:rPr>
          <w:rFonts w:eastAsia="Calibri" w:cstheme="minorHAnsi"/>
        </w:rPr>
        <w:t>AČR nasa</w:t>
      </w:r>
      <w:r>
        <w:rPr>
          <w:rFonts w:eastAsia="Calibri" w:cstheme="minorHAnsi"/>
        </w:rPr>
        <w:t>dit</w:t>
      </w:r>
      <w:r w:rsidR="00D457AE" w:rsidRPr="004609D0">
        <w:rPr>
          <w:rFonts w:eastAsia="Calibri" w:cstheme="minorHAnsi"/>
        </w:rPr>
        <w:t xml:space="preserve"> prostředk</w:t>
      </w:r>
      <w:r>
        <w:rPr>
          <w:rFonts w:eastAsia="Calibri" w:cstheme="minorHAnsi"/>
        </w:rPr>
        <w:t>y</w:t>
      </w:r>
      <w:r w:rsidR="00D457AE" w:rsidRPr="004609D0">
        <w:rPr>
          <w:rFonts w:eastAsia="Calibri" w:cstheme="minorHAnsi"/>
        </w:rPr>
        <w:t xml:space="preserve"> ve prospěch </w:t>
      </w:r>
      <w:r w:rsidR="00D457AE" w:rsidRPr="005265B2">
        <w:rPr>
          <w:rFonts w:eastAsia="Calibri" w:cstheme="minorHAnsi"/>
        </w:rPr>
        <w:t xml:space="preserve">IZS, např. k provádění záchranných a likvidačních prací při </w:t>
      </w:r>
      <w:r w:rsidR="000B2D30">
        <w:rPr>
          <w:rFonts w:eastAsia="Calibri" w:cstheme="minorHAnsi"/>
        </w:rPr>
        <w:t xml:space="preserve">živelních </w:t>
      </w:r>
      <w:r w:rsidR="00D457AE" w:rsidRPr="005265B2">
        <w:rPr>
          <w:rFonts w:eastAsia="Calibri" w:cstheme="minorHAnsi"/>
        </w:rPr>
        <w:t>pohromách a mimořádných událostech nebo při monitorování radiační a</w:t>
      </w:r>
      <w:r w:rsidR="00751347">
        <w:rPr>
          <w:rFonts w:eastAsia="Calibri" w:cstheme="minorHAnsi"/>
        </w:rPr>
        <w:t xml:space="preserve"> </w:t>
      </w:r>
      <w:r w:rsidR="00D457AE" w:rsidRPr="005265B2">
        <w:rPr>
          <w:rFonts w:eastAsia="Calibri" w:cstheme="minorHAnsi"/>
        </w:rPr>
        <w:t xml:space="preserve">chemické situace. </w:t>
      </w:r>
      <w:r w:rsidR="00D457AE" w:rsidRPr="005265B2">
        <w:rPr>
          <w:rFonts w:eastAsia="Calibri" w:cstheme="minorHAnsi"/>
          <w:color w:val="000000"/>
        </w:rPr>
        <w:t xml:space="preserve">Vyčleněné </w:t>
      </w:r>
      <w:r w:rsidR="00D457AE" w:rsidRPr="00412403">
        <w:rPr>
          <w:rFonts w:eastAsia="Calibri" w:cstheme="minorHAnsi"/>
          <w:color w:val="000000"/>
        </w:rPr>
        <w:t xml:space="preserve">prostředky jsou </w:t>
      </w:r>
      <w:r w:rsidR="00212067" w:rsidRPr="00412403">
        <w:rPr>
          <w:rFonts w:eastAsia="Calibri" w:cstheme="minorHAnsi"/>
        </w:rPr>
        <w:t>po</w:t>
      </w:r>
      <w:r w:rsidR="00D457AE" w:rsidRPr="00B00B8F">
        <w:rPr>
          <w:rFonts w:eastAsia="Calibri" w:cstheme="minorHAnsi"/>
        </w:rPr>
        <w:t>dle § 4 odst. 2 zákona č. 239/2000 Sb. jednou z ostatních složek IZS</w:t>
      </w:r>
      <w:r w:rsidR="00D457AE" w:rsidRPr="00412403">
        <w:rPr>
          <w:rFonts w:eastAsia="Calibri" w:cstheme="minorHAnsi"/>
          <w:vertAlign w:val="superscript"/>
        </w:rPr>
        <w:footnoteReference w:id="43"/>
      </w:r>
      <w:r w:rsidR="00D457AE" w:rsidRPr="00412403">
        <w:rPr>
          <w:rFonts w:eastAsia="Calibri" w:cstheme="minorHAnsi"/>
        </w:rPr>
        <w:t xml:space="preserve"> a v</w:t>
      </w:r>
      <w:r w:rsidR="00965CFA">
        <w:rPr>
          <w:rFonts w:eastAsia="Calibri" w:cstheme="minorHAnsi"/>
        </w:rPr>
        <w:t xml:space="preserve"> </w:t>
      </w:r>
      <w:r w:rsidR="00D457AE" w:rsidRPr="00412403">
        <w:rPr>
          <w:rFonts w:eastAsia="Calibri" w:cstheme="minorHAnsi"/>
        </w:rPr>
        <w:t>tomto smyslu poskytují pomoc na vyžádání formou</w:t>
      </w:r>
      <w:r w:rsidR="00D457AE" w:rsidRPr="00B00B8F">
        <w:rPr>
          <w:rFonts w:eastAsia="Calibri" w:cstheme="minorHAnsi"/>
        </w:rPr>
        <w:t xml:space="preserve"> odřadů. </w:t>
      </w:r>
      <w:r w:rsidR="00212067" w:rsidRPr="00B00B8F">
        <w:rPr>
          <w:rFonts w:eastAsia="Calibri" w:cstheme="minorHAnsi"/>
        </w:rPr>
        <w:t xml:space="preserve">Na </w:t>
      </w:r>
      <w:r w:rsidR="00D457AE" w:rsidRPr="00B00B8F">
        <w:rPr>
          <w:rFonts w:eastAsia="Calibri" w:cstheme="minorHAnsi"/>
        </w:rPr>
        <w:t>radiační, chemickou a</w:t>
      </w:r>
      <w:r w:rsidR="00212067" w:rsidRPr="00A479A9">
        <w:rPr>
          <w:rFonts w:eastAsia="Calibri" w:cstheme="minorHAnsi"/>
        </w:rPr>
        <w:t xml:space="preserve"> </w:t>
      </w:r>
      <w:r w:rsidR="00D457AE" w:rsidRPr="006D6166">
        <w:rPr>
          <w:rFonts w:eastAsia="Calibri" w:cstheme="minorHAnsi"/>
        </w:rPr>
        <w:t xml:space="preserve">biologickou ochranu vyčleňuje </w:t>
      </w:r>
      <w:r w:rsidR="00751347" w:rsidRPr="006D6166">
        <w:rPr>
          <w:rFonts w:eastAsia="Calibri" w:cstheme="minorHAnsi"/>
        </w:rPr>
        <w:t xml:space="preserve">AČR </w:t>
      </w:r>
      <w:r w:rsidR="00D457AE" w:rsidRPr="006D6166">
        <w:rPr>
          <w:rFonts w:eastAsia="Calibri" w:cstheme="minorHAnsi"/>
        </w:rPr>
        <w:t>a) odřady pro dekontaminaci techniky a osob, b) speciální a průzkumný mobilní biologický tým</w:t>
      </w:r>
      <w:r w:rsidR="00751347">
        <w:rPr>
          <w:rFonts w:eastAsia="Calibri" w:cstheme="minorHAnsi"/>
        </w:rPr>
        <w:t>,</w:t>
      </w:r>
      <w:r w:rsidR="00D457AE" w:rsidRPr="006D6166">
        <w:rPr>
          <w:rFonts w:eastAsia="Calibri" w:cstheme="minorHAnsi"/>
        </w:rPr>
        <w:t xml:space="preserve"> c) specializovanou infekční nemocnici (CBO Těchonín). </w:t>
      </w:r>
      <w:r w:rsidR="00D457AE" w:rsidRPr="008749D2">
        <w:rPr>
          <w:rFonts w:eastAsia="Calibri" w:cstheme="minorHAnsi"/>
        </w:rPr>
        <w:t xml:space="preserve">Vyčleněné </w:t>
      </w:r>
      <w:r w:rsidR="00D457AE" w:rsidRPr="008749D2">
        <w:rPr>
          <w:rFonts w:eastAsia="Calibri" w:cstheme="minorHAnsi"/>
          <w:color w:val="000000"/>
        </w:rPr>
        <w:t>prostředky</w:t>
      </w:r>
      <w:r w:rsidR="00D457AE" w:rsidRPr="008749D2">
        <w:rPr>
          <w:rFonts w:eastAsia="Calibri" w:cstheme="minorHAnsi"/>
        </w:rPr>
        <w:t xml:space="preserve"> jsou konkretizová</w:t>
      </w:r>
      <w:r w:rsidR="00D457AE" w:rsidRPr="0009277D">
        <w:rPr>
          <w:rFonts w:eastAsia="Calibri" w:cstheme="minorHAnsi"/>
        </w:rPr>
        <w:t xml:space="preserve">ny vnitřními předpisy MO a dohodami mezi </w:t>
      </w:r>
      <w:r w:rsidR="00F1425D" w:rsidRPr="00345425">
        <w:rPr>
          <w:rFonts w:eastAsia="Calibri" w:cstheme="minorHAnsi"/>
        </w:rPr>
        <w:t xml:space="preserve">Ministerstvem obrany a </w:t>
      </w:r>
      <w:r w:rsidR="00D457AE" w:rsidRPr="00345425">
        <w:rPr>
          <w:rFonts w:eastAsia="Calibri" w:cstheme="minorHAnsi"/>
        </w:rPr>
        <w:t>Ministerstvem vnitra (</w:t>
      </w:r>
      <w:r w:rsidR="00751347">
        <w:rPr>
          <w:rFonts w:eastAsia="Calibri" w:cstheme="minorHAnsi"/>
        </w:rPr>
        <w:t>a</w:t>
      </w:r>
      <w:r w:rsidR="00E04281">
        <w:rPr>
          <w:rFonts w:eastAsia="Calibri" w:cstheme="minorHAnsi"/>
        </w:rPr>
        <w:t>)</w:t>
      </w:r>
      <w:r w:rsidR="00D457AE" w:rsidRPr="00345425">
        <w:rPr>
          <w:rFonts w:eastAsia="Calibri" w:cstheme="minorHAnsi"/>
        </w:rPr>
        <w:t>, resp. Ministerstvem zdravotnictví (</w:t>
      </w:r>
      <w:r w:rsidR="00751347">
        <w:rPr>
          <w:rFonts w:eastAsia="Calibri" w:cstheme="minorHAnsi"/>
        </w:rPr>
        <w:t>b, c</w:t>
      </w:r>
      <w:r w:rsidR="00D457AE" w:rsidRPr="00345425">
        <w:rPr>
          <w:rFonts w:eastAsia="Calibri" w:cstheme="minorHAnsi"/>
        </w:rPr>
        <w:t xml:space="preserve">). </w:t>
      </w:r>
    </w:p>
    <w:p w14:paraId="5E561E90" w14:textId="476904A6" w:rsidR="00010BF6" w:rsidRPr="00010BF6" w:rsidRDefault="00D457AE" w:rsidP="00010BF6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eastAsia="Calibri" w:cstheme="minorHAnsi"/>
        </w:rPr>
      </w:pPr>
      <w:r w:rsidRPr="00010BF6">
        <w:rPr>
          <w:rFonts w:eastAsia="Calibri" w:cstheme="minorHAnsi"/>
        </w:rPr>
        <w:t>Odřady pro dekontaminaci techniky a osob od biologických, chemických a</w:t>
      </w:r>
      <w:r w:rsidR="00F1425D" w:rsidRPr="00010BF6">
        <w:rPr>
          <w:rFonts w:eastAsia="Calibri" w:cstheme="minorHAnsi"/>
        </w:rPr>
        <w:t> </w:t>
      </w:r>
      <w:r w:rsidRPr="00010BF6">
        <w:rPr>
          <w:rFonts w:eastAsia="Calibri" w:cstheme="minorHAnsi"/>
        </w:rPr>
        <w:t xml:space="preserve">radioaktivních látek zahrnují zejména automobil chemický rozstřikovací (ACHR), nákladní automobily, soupravu dekontaminace osob, </w:t>
      </w:r>
      <w:r w:rsidR="008938C8" w:rsidRPr="00010BF6">
        <w:rPr>
          <w:rFonts w:eastAsia="Calibri" w:cstheme="minorHAnsi"/>
        </w:rPr>
        <w:t>l</w:t>
      </w:r>
      <w:r w:rsidRPr="00010BF6">
        <w:rPr>
          <w:rFonts w:eastAsia="Calibri" w:cstheme="minorHAnsi"/>
        </w:rPr>
        <w:t>inku L-82</w:t>
      </w:r>
      <w:r>
        <w:rPr>
          <w:rStyle w:val="Znakapoznpodarou"/>
          <w:rFonts w:eastAsia="Calibri" w:cstheme="minorHAnsi"/>
        </w:rPr>
        <w:footnoteReference w:id="44"/>
      </w:r>
      <w:r w:rsidRPr="00010BF6">
        <w:rPr>
          <w:rFonts w:eastAsia="Calibri" w:cstheme="minorHAnsi"/>
        </w:rPr>
        <w:t xml:space="preserve"> a automobily UAZ 469 CH. MO plánovalo v letech 2022–2023 pořídit sedm vozidel ACHR-90 v rámci programu 107V08. NKÚ zjistil, že akci odsunulo o šest let až na roky 2028–2030</w:t>
      </w:r>
      <w:r w:rsidR="00751347">
        <w:rPr>
          <w:rFonts w:eastAsia="Calibri" w:cstheme="minorHAnsi"/>
        </w:rPr>
        <w:t>,</w:t>
      </w:r>
      <w:r w:rsidRPr="00010BF6">
        <w:rPr>
          <w:rFonts w:eastAsia="Calibri" w:cstheme="minorHAnsi"/>
        </w:rPr>
        <w:t xml:space="preserve"> a to i přes</w:t>
      </w:r>
      <w:r w:rsidR="00751347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 xml:space="preserve">to, že některé útvary AČR vyčleňují </w:t>
      </w:r>
      <w:r w:rsidR="00751347">
        <w:rPr>
          <w:rFonts w:eastAsia="Calibri" w:cstheme="minorHAnsi"/>
        </w:rPr>
        <w:t>(</w:t>
      </w:r>
      <w:r w:rsidR="00212067" w:rsidRPr="00010BF6">
        <w:rPr>
          <w:rFonts w:eastAsia="Calibri" w:cstheme="minorHAnsi"/>
        </w:rPr>
        <w:t>po</w:t>
      </w:r>
      <w:r w:rsidR="009A640D" w:rsidRPr="00010BF6">
        <w:rPr>
          <w:rFonts w:eastAsia="Calibri" w:cstheme="minorHAnsi"/>
        </w:rPr>
        <w:t>dle zákon</w:t>
      </w:r>
      <w:r w:rsidR="00CD67A8" w:rsidRPr="00010BF6">
        <w:rPr>
          <w:rFonts w:eastAsia="Calibri" w:cstheme="minorHAnsi"/>
        </w:rPr>
        <w:t>a č. 239/2000 Sb.</w:t>
      </w:r>
      <w:r w:rsidR="00751347">
        <w:rPr>
          <w:rFonts w:eastAsia="Calibri" w:cstheme="minorHAnsi"/>
        </w:rPr>
        <w:t>)</w:t>
      </w:r>
      <w:r w:rsidR="00010BF6" w:rsidRPr="00010BF6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 xml:space="preserve">pro IZS místo </w:t>
      </w:r>
      <w:r w:rsidR="008938C8" w:rsidRPr="00010BF6">
        <w:rPr>
          <w:rFonts w:eastAsia="Calibri" w:cstheme="minorHAnsi"/>
        </w:rPr>
        <w:t xml:space="preserve">vozidel </w:t>
      </w:r>
      <w:r w:rsidRPr="00010BF6">
        <w:rPr>
          <w:rFonts w:eastAsia="Calibri" w:cstheme="minorHAnsi"/>
        </w:rPr>
        <w:t xml:space="preserve">ACHR-90 dokonce </w:t>
      </w:r>
      <w:r w:rsidR="008938C8" w:rsidRPr="00010BF6">
        <w:rPr>
          <w:rFonts w:eastAsia="Calibri" w:cstheme="minorHAnsi"/>
        </w:rPr>
        <w:t xml:space="preserve">starší </w:t>
      </w:r>
      <w:r w:rsidRPr="00010BF6">
        <w:rPr>
          <w:rFonts w:eastAsia="Calibri" w:cstheme="minorHAnsi"/>
        </w:rPr>
        <w:t xml:space="preserve">automobily ARS-12M, kterým </w:t>
      </w:r>
      <w:r w:rsidR="00DF7550">
        <w:rPr>
          <w:rFonts w:eastAsia="Calibri" w:cstheme="minorHAnsi"/>
        </w:rPr>
        <w:t>skončila</w:t>
      </w:r>
      <w:r w:rsidRPr="00010BF6">
        <w:rPr>
          <w:rFonts w:eastAsia="Calibri" w:cstheme="minorHAnsi"/>
        </w:rPr>
        <w:t xml:space="preserve"> životnost již před několika desítkami let (</w:t>
      </w:r>
      <w:r w:rsidR="00010BF6" w:rsidRPr="00010BF6">
        <w:rPr>
          <w:rFonts w:eastAsia="Calibri" w:cstheme="minorHAnsi"/>
        </w:rPr>
        <w:t xml:space="preserve">byly </w:t>
      </w:r>
      <w:r w:rsidRPr="00010BF6">
        <w:rPr>
          <w:rFonts w:eastAsia="Calibri" w:cstheme="minorHAnsi"/>
        </w:rPr>
        <w:t>vyroben</w:t>
      </w:r>
      <w:r w:rsidR="00010BF6">
        <w:rPr>
          <w:rFonts w:eastAsia="Calibri" w:cstheme="minorHAnsi"/>
        </w:rPr>
        <w:t>y</w:t>
      </w:r>
      <w:r w:rsidRPr="00010BF6">
        <w:rPr>
          <w:rFonts w:eastAsia="Calibri" w:cstheme="minorHAnsi"/>
        </w:rPr>
        <w:t xml:space="preserve"> v</w:t>
      </w:r>
      <w:r w:rsidR="00345C59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 xml:space="preserve">letech 1961, 1965 a 1966). 31. </w:t>
      </w:r>
      <w:proofErr w:type="spellStart"/>
      <w:r w:rsidR="004609D0" w:rsidRPr="00010BF6">
        <w:rPr>
          <w:rFonts w:eastAsia="Calibri" w:cstheme="minorHAnsi"/>
        </w:rPr>
        <w:t>prchbo</w:t>
      </w:r>
      <w:proofErr w:type="spellEnd"/>
      <w:r w:rsidR="004609D0" w:rsidRPr="00010BF6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>měl v</w:t>
      </w:r>
      <w:r w:rsidR="00345C59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>době kontroly NKÚ k</w:t>
      </w:r>
      <w:r w:rsidR="00345C59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>dispozici 20</w:t>
      </w:r>
      <w:r w:rsidR="00212067" w:rsidRPr="00010BF6">
        <w:rPr>
          <w:rFonts w:eastAsia="Calibri" w:cstheme="minorHAnsi"/>
        </w:rPr>
        <w:t> </w:t>
      </w:r>
      <w:r w:rsidRPr="00010BF6">
        <w:rPr>
          <w:rFonts w:eastAsia="Calibri" w:cstheme="minorHAnsi"/>
        </w:rPr>
        <w:t xml:space="preserve">vozidel ACHR-90, z toho čtyři byla po </w:t>
      </w:r>
      <w:r w:rsidR="00942102">
        <w:rPr>
          <w:rFonts w:eastAsia="Calibri" w:cstheme="minorHAnsi"/>
        </w:rPr>
        <w:t xml:space="preserve">skončení </w:t>
      </w:r>
      <w:r w:rsidRPr="00010BF6">
        <w:rPr>
          <w:rFonts w:eastAsia="Calibri" w:cstheme="minorHAnsi"/>
        </w:rPr>
        <w:t>životnosti a</w:t>
      </w:r>
      <w:r w:rsidR="00345C59">
        <w:rPr>
          <w:rFonts w:eastAsia="Calibri" w:cstheme="minorHAnsi"/>
        </w:rPr>
        <w:t xml:space="preserve"> </w:t>
      </w:r>
      <w:r w:rsidR="000B7674">
        <w:rPr>
          <w:rFonts w:eastAsia="Calibri" w:cstheme="minorHAnsi"/>
        </w:rPr>
        <w:t xml:space="preserve">dalším </w:t>
      </w:r>
      <w:r w:rsidRPr="00010BF6">
        <w:rPr>
          <w:rFonts w:eastAsia="Calibri" w:cstheme="minorHAnsi"/>
        </w:rPr>
        <w:t xml:space="preserve">deseti </w:t>
      </w:r>
      <w:r w:rsidR="00875E26">
        <w:rPr>
          <w:rFonts w:eastAsia="Calibri" w:cstheme="minorHAnsi"/>
        </w:rPr>
        <w:t>s</w:t>
      </w:r>
      <w:r w:rsidRPr="00010BF6">
        <w:rPr>
          <w:rFonts w:eastAsia="Calibri" w:cstheme="minorHAnsi"/>
        </w:rPr>
        <w:t xml:space="preserve">končí životnost v roce 2023. Nákladní automobily a soupravy dekontaminace osob vyčleňované </w:t>
      </w:r>
      <w:r w:rsidR="008938C8" w:rsidRPr="00010BF6">
        <w:rPr>
          <w:rFonts w:eastAsia="Calibri" w:cstheme="minorHAnsi"/>
        </w:rPr>
        <w:t xml:space="preserve">31. </w:t>
      </w:r>
      <w:r w:rsidR="00345C59">
        <w:rPr>
          <w:rFonts w:eastAsia="Calibri" w:cstheme="minorHAnsi"/>
        </w:rPr>
        <w:t>plukem radiační, chemické a biologické ochrany</w:t>
      </w:r>
      <w:r w:rsidR="008938C8" w:rsidRPr="00010BF6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 xml:space="preserve">nebyly po </w:t>
      </w:r>
      <w:r w:rsidR="00942102">
        <w:rPr>
          <w:rFonts w:eastAsia="Calibri" w:cstheme="minorHAnsi"/>
        </w:rPr>
        <w:t xml:space="preserve">skončení </w:t>
      </w:r>
      <w:r w:rsidRPr="00010BF6">
        <w:rPr>
          <w:rFonts w:eastAsia="Calibri" w:cstheme="minorHAnsi"/>
        </w:rPr>
        <w:t xml:space="preserve">životnosti, na rozdíl od čtyř linek L-82, u kterých životnost </w:t>
      </w:r>
      <w:r w:rsidR="00DF7550">
        <w:rPr>
          <w:rFonts w:eastAsia="Calibri" w:cstheme="minorHAnsi"/>
        </w:rPr>
        <w:t>skončila</w:t>
      </w:r>
      <w:r w:rsidRPr="00010BF6">
        <w:rPr>
          <w:rFonts w:eastAsia="Calibri" w:cstheme="minorHAnsi"/>
        </w:rPr>
        <w:t xml:space="preserve"> již v</w:t>
      </w:r>
      <w:r w:rsidR="00345C59">
        <w:rPr>
          <w:rFonts w:eastAsia="Calibri" w:cstheme="minorHAnsi"/>
        </w:rPr>
        <w:t xml:space="preserve"> </w:t>
      </w:r>
      <w:r w:rsidRPr="00010BF6">
        <w:rPr>
          <w:rFonts w:eastAsia="Calibri" w:cstheme="minorHAnsi"/>
        </w:rPr>
        <w:t>letech 2009</w:t>
      </w:r>
      <w:r w:rsidRPr="00010BF6">
        <w:rPr>
          <w:rFonts w:cstheme="minorHAnsi"/>
        </w:rPr>
        <w:t>–</w:t>
      </w:r>
      <w:r w:rsidRPr="00010BF6">
        <w:rPr>
          <w:rFonts w:eastAsia="Calibri" w:cstheme="minorHAnsi"/>
        </w:rPr>
        <w:t xml:space="preserve">2012. Přitom akci </w:t>
      </w:r>
      <w:r w:rsidR="00751347" w:rsidRPr="00345C59">
        <w:rPr>
          <w:rFonts w:eastAsia="Calibri" w:cstheme="minorHAnsi"/>
          <w:i/>
        </w:rPr>
        <w:t>Z</w:t>
      </w:r>
      <w:r w:rsidRPr="00010BF6">
        <w:rPr>
          <w:rFonts w:eastAsia="Calibri" w:cstheme="minorHAnsi"/>
          <w:i/>
        </w:rPr>
        <w:t>ařízení pro dekontaminaci bojové techniky – LINKA 08</w:t>
      </w:r>
      <w:r w:rsidRPr="00010BF6">
        <w:rPr>
          <w:rFonts w:eastAsia="Calibri" w:cstheme="minorHAnsi"/>
        </w:rPr>
        <w:t xml:space="preserve"> mělo MO realizovat v programu 107V68 </w:t>
      </w:r>
      <w:r w:rsidR="008938C8" w:rsidRPr="00010BF6">
        <w:rPr>
          <w:rFonts w:eastAsia="Calibri" w:cstheme="minorHAnsi"/>
        </w:rPr>
        <w:t xml:space="preserve">již </w:t>
      </w:r>
      <w:r w:rsidRPr="00010BF6">
        <w:rPr>
          <w:rFonts w:eastAsia="Calibri" w:cstheme="minorHAnsi"/>
        </w:rPr>
        <w:t>v roce 2020. Automobily UAZ 469 CH jsou v</w:t>
      </w:r>
      <w:r w:rsidR="004C2DEB" w:rsidRPr="00010BF6">
        <w:rPr>
          <w:rFonts w:eastAsia="Calibri" w:cstheme="minorHAnsi"/>
        </w:rPr>
        <w:t xml:space="preserve"> současnosti </w:t>
      </w:r>
      <w:r w:rsidR="00EA4BD6" w:rsidRPr="00010BF6">
        <w:rPr>
          <w:rFonts w:eastAsia="Calibri" w:cstheme="minorHAnsi"/>
        </w:rPr>
        <w:t xml:space="preserve">nahrazovány </w:t>
      </w:r>
      <w:r w:rsidR="008938C8" w:rsidRPr="00010BF6">
        <w:rPr>
          <w:rFonts w:eastAsia="Calibri" w:cstheme="minorHAnsi"/>
        </w:rPr>
        <w:t xml:space="preserve">lehkými obrněnými </w:t>
      </w:r>
      <w:r w:rsidRPr="00010BF6">
        <w:rPr>
          <w:rFonts w:eastAsia="Calibri" w:cstheme="minorHAnsi"/>
        </w:rPr>
        <w:t>vozidly.</w:t>
      </w:r>
      <w:r w:rsidR="00BD4F5C" w:rsidRPr="00010BF6">
        <w:rPr>
          <w:rFonts w:eastAsia="Calibri" w:cstheme="minorHAnsi"/>
        </w:rPr>
        <w:t xml:space="preserve"> </w:t>
      </w:r>
    </w:p>
    <w:p w14:paraId="3A7E2A08" w14:textId="7CB00899" w:rsidR="005265B2" w:rsidRPr="000B7674" w:rsidRDefault="00D457AE" w:rsidP="000B7674">
      <w:pPr>
        <w:pStyle w:val="Odstavecseseznamem"/>
        <w:numPr>
          <w:ilvl w:val="1"/>
          <w:numId w:val="34"/>
        </w:numPr>
        <w:spacing w:before="120" w:after="0"/>
        <w:ind w:left="0" w:firstLine="0"/>
        <w:contextualSpacing w:val="0"/>
        <w:rPr>
          <w:rFonts w:cstheme="minorHAnsi"/>
        </w:rPr>
      </w:pPr>
      <w:r w:rsidRPr="005265B2">
        <w:rPr>
          <w:rFonts w:eastAsia="Calibri" w:cstheme="minorHAnsi"/>
        </w:rPr>
        <w:t>MO vyčleňuje pro průzkum a</w:t>
      </w:r>
      <w:r w:rsidR="00AA38E2">
        <w:rPr>
          <w:rFonts w:eastAsia="Calibri" w:cstheme="minorHAnsi"/>
        </w:rPr>
        <w:t xml:space="preserve"> </w:t>
      </w:r>
      <w:r w:rsidRPr="005265B2">
        <w:rPr>
          <w:rFonts w:eastAsia="Calibri" w:cstheme="minorHAnsi"/>
        </w:rPr>
        <w:t>detekci látek CBRN speciální a průzkumný mobilní biologický tým. Odřady zahrnují zejména speciální zásahová vozidla BIOMASTER, BIOSCAM a</w:t>
      </w:r>
      <w:r w:rsidR="009E406D">
        <w:rPr>
          <w:rFonts w:eastAsia="Calibri" w:cstheme="minorHAnsi"/>
        </w:rPr>
        <w:t> </w:t>
      </w:r>
      <w:r w:rsidRPr="005265B2">
        <w:rPr>
          <w:rFonts w:eastAsia="Calibri" w:cstheme="minorHAnsi"/>
        </w:rPr>
        <w:t>BIOROVER a protichemické oděvy. NKÚ zjistil, že vyčleňovan</w:t>
      </w:r>
      <w:r w:rsidR="00345C59">
        <w:rPr>
          <w:rFonts w:eastAsia="Calibri" w:cstheme="minorHAnsi"/>
        </w:rPr>
        <w:t>ým</w:t>
      </w:r>
      <w:r w:rsidRPr="005265B2">
        <w:rPr>
          <w:rFonts w:eastAsia="Calibri" w:cstheme="minorHAnsi"/>
        </w:rPr>
        <w:t xml:space="preserve"> vozidl</w:t>
      </w:r>
      <w:r w:rsidR="00345C59">
        <w:rPr>
          <w:rFonts w:eastAsia="Calibri" w:cstheme="minorHAnsi"/>
        </w:rPr>
        <w:t>ům</w:t>
      </w:r>
      <w:r w:rsidRPr="005265B2">
        <w:rPr>
          <w:rFonts w:eastAsia="Calibri" w:cstheme="minorHAnsi"/>
        </w:rPr>
        <w:t xml:space="preserve"> </w:t>
      </w:r>
      <w:r w:rsidR="00345C59">
        <w:rPr>
          <w:rFonts w:eastAsia="Calibri" w:cstheme="minorHAnsi"/>
        </w:rPr>
        <w:t>skončila doba</w:t>
      </w:r>
      <w:r w:rsidRPr="005265B2">
        <w:rPr>
          <w:rFonts w:eastAsia="Calibri" w:cstheme="minorHAnsi"/>
        </w:rPr>
        <w:t xml:space="preserve"> životnosti (vyrobena byla v</w:t>
      </w:r>
      <w:r w:rsidR="0019436C">
        <w:rPr>
          <w:rFonts w:eastAsia="Calibri" w:cstheme="minorHAnsi"/>
        </w:rPr>
        <w:t xml:space="preserve"> </w:t>
      </w:r>
      <w:r w:rsidRPr="005265B2">
        <w:rPr>
          <w:rFonts w:eastAsia="Calibri" w:cstheme="minorHAnsi"/>
        </w:rPr>
        <w:t>letech 2001</w:t>
      </w:r>
      <w:r w:rsidRPr="005265B2">
        <w:rPr>
          <w:rFonts w:cstheme="minorHAnsi"/>
        </w:rPr>
        <w:t>–</w:t>
      </w:r>
      <w:r w:rsidRPr="005265B2">
        <w:rPr>
          <w:rFonts w:eastAsia="Calibri" w:cstheme="minorHAnsi"/>
        </w:rPr>
        <w:t>2007 s</w:t>
      </w:r>
      <w:r w:rsidR="0019436C">
        <w:rPr>
          <w:rFonts w:eastAsia="Calibri" w:cstheme="minorHAnsi"/>
        </w:rPr>
        <w:t xml:space="preserve"> </w:t>
      </w:r>
      <w:r w:rsidRPr="005265B2">
        <w:rPr>
          <w:rFonts w:eastAsia="Calibri" w:cstheme="minorHAnsi"/>
        </w:rPr>
        <w:t>životností 15</w:t>
      </w:r>
      <w:r w:rsidR="0019436C">
        <w:rPr>
          <w:rFonts w:eastAsia="Calibri" w:cstheme="minorHAnsi"/>
        </w:rPr>
        <w:t xml:space="preserve"> </w:t>
      </w:r>
      <w:r w:rsidRPr="005265B2">
        <w:rPr>
          <w:rFonts w:eastAsia="Calibri" w:cstheme="minorHAnsi"/>
        </w:rPr>
        <w:t xml:space="preserve">let). Morálně zastaralá vozidla mají např. pro potřeby SIBCRA týmu při plnění odborných úkolů nebo </w:t>
      </w:r>
      <w:r w:rsidRPr="004609D0">
        <w:rPr>
          <w:rFonts w:eastAsia="Calibri" w:cstheme="minorHAnsi"/>
        </w:rPr>
        <w:t>výcviku omezené využití.</w:t>
      </w:r>
      <w:r w:rsidRPr="004609D0">
        <w:rPr>
          <w:rFonts w:eastAsia="Calibri" w:cstheme="minorHAnsi"/>
          <w:i/>
        </w:rPr>
        <w:t xml:space="preserve"> </w:t>
      </w:r>
      <w:r w:rsidRPr="004609D0">
        <w:rPr>
          <w:rFonts w:eastAsia="Calibri" w:cstheme="minorHAnsi"/>
        </w:rPr>
        <w:t xml:space="preserve">Přitom akci </w:t>
      </w:r>
      <w:r w:rsidR="00BA101F" w:rsidRPr="003060FA">
        <w:rPr>
          <w:rFonts w:eastAsia="Calibri" w:cstheme="minorHAnsi"/>
          <w:i/>
        </w:rPr>
        <w:t>P</w:t>
      </w:r>
      <w:r w:rsidRPr="00BA101F">
        <w:rPr>
          <w:rFonts w:eastAsia="Calibri" w:cstheme="minorHAnsi"/>
          <w:i/>
        </w:rPr>
        <w:t>ořízení vozidel pro SIBCRA týmy</w:t>
      </w:r>
      <w:r w:rsidRPr="004609D0">
        <w:rPr>
          <w:rFonts w:eastAsia="Calibri" w:cstheme="minorHAnsi"/>
        </w:rPr>
        <w:t xml:space="preserve"> mělo MO provést v programu 107V08 </w:t>
      </w:r>
      <w:r w:rsidR="00345C59">
        <w:rPr>
          <w:rFonts w:eastAsia="Calibri" w:cstheme="minorHAnsi"/>
        </w:rPr>
        <w:t>v </w:t>
      </w:r>
      <w:r w:rsidRPr="004609D0">
        <w:rPr>
          <w:rFonts w:eastAsia="Calibri" w:cstheme="minorHAnsi"/>
        </w:rPr>
        <w:t>letech 2020</w:t>
      </w:r>
      <w:r w:rsidR="00345C59" w:rsidRPr="005265B2">
        <w:rPr>
          <w:rFonts w:cstheme="minorHAnsi"/>
        </w:rPr>
        <w:t>–</w:t>
      </w:r>
      <w:r w:rsidRPr="004609D0">
        <w:rPr>
          <w:rFonts w:eastAsia="Calibri" w:cstheme="minorHAnsi"/>
        </w:rPr>
        <w:t xml:space="preserve">2021 (v době ukončení kontroly plánovalo MO realizaci v letech 2028–2030). </w:t>
      </w:r>
      <w:r w:rsidR="00BA101F">
        <w:rPr>
          <w:rFonts w:eastAsia="Calibri" w:cstheme="minorHAnsi"/>
        </w:rPr>
        <w:t>Důsledkem</w:t>
      </w:r>
      <w:r w:rsidR="000B7674" w:rsidRPr="000B7674">
        <w:rPr>
          <w:rFonts w:eastAsia="Calibri" w:cstheme="minorHAnsi"/>
        </w:rPr>
        <w:t xml:space="preserve"> nerealizování nebo zpožďování akcí je stav, kdy </w:t>
      </w:r>
      <w:r w:rsidR="000B7674" w:rsidRPr="000B7674">
        <w:rPr>
          <w:rFonts w:cstheme="minorHAnsi"/>
        </w:rPr>
        <w:t>MO vyčleňuje častěji pro IZS část techniky a</w:t>
      </w:r>
      <w:r w:rsidR="001A5766">
        <w:rPr>
          <w:rFonts w:cstheme="minorHAnsi"/>
        </w:rPr>
        <w:t xml:space="preserve"> </w:t>
      </w:r>
      <w:r w:rsidR="000B7674" w:rsidRPr="000B7674">
        <w:rPr>
          <w:rFonts w:cstheme="minorHAnsi"/>
        </w:rPr>
        <w:t>materiálu AČR po skončení jejich životnosti s</w:t>
      </w:r>
      <w:r w:rsidR="001A5766">
        <w:rPr>
          <w:rFonts w:cstheme="minorHAnsi"/>
        </w:rPr>
        <w:t xml:space="preserve"> </w:t>
      </w:r>
      <w:r w:rsidR="000B7674" w:rsidRPr="000B7674">
        <w:rPr>
          <w:rFonts w:cstheme="minorHAnsi"/>
        </w:rPr>
        <w:t>dopadem omezeného využití při plnění úkolů.</w:t>
      </w:r>
      <w:r w:rsidR="000B7674">
        <w:rPr>
          <w:rFonts w:cstheme="minorHAnsi"/>
        </w:rPr>
        <w:t xml:space="preserve"> </w:t>
      </w:r>
      <w:r w:rsidRPr="000B7674">
        <w:rPr>
          <w:rFonts w:eastAsia="Calibri" w:cstheme="minorHAnsi"/>
        </w:rPr>
        <w:t xml:space="preserve">Několikaleté zpoždění v realizaci akce zjistil NKÚ i v případě nákupu oděvů </w:t>
      </w:r>
      <w:r w:rsidRPr="000B7674">
        <w:rPr>
          <w:rFonts w:cstheme="minorHAnsi"/>
        </w:rPr>
        <w:t xml:space="preserve">(akce </w:t>
      </w:r>
      <w:r w:rsidR="00BA101F">
        <w:rPr>
          <w:rFonts w:cstheme="minorHAnsi"/>
          <w:i/>
        </w:rPr>
        <w:t>P</w:t>
      </w:r>
      <w:r w:rsidRPr="000B7674">
        <w:rPr>
          <w:rFonts w:cstheme="minorHAnsi"/>
          <w:i/>
        </w:rPr>
        <w:t xml:space="preserve">rovětrávaný protichemický izolační oděv </w:t>
      </w:r>
      <w:r w:rsidRPr="00BA101F">
        <w:rPr>
          <w:rFonts w:cstheme="minorHAnsi"/>
          <w:i/>
        </w:rPr>
        <w:t>OPCH-05</w:t>
      </w:r>
      <w:r w:rsidRPr="003060FA">
        <w:rPr>
          <w:rFonts w:cstheme="minorHAnsi"/>
          <w:i/>
        </w:rPr>
        <w:t xml:space="preserve"> –</w:t>
      </w:r>
      <w:r w:rsidR="00BA101F" w:rsidRPr="003060FA">
        <w:rPr>
          <w:rFonts w:cstheme="minorHAnsi"/>
          <w:i/>
        </w:rPr>
        <w:t xml:space="preserve"> nákup</w:t>
      </w:r>
      <w:r w:rsidR="00BA101F">
        <w:rPr>
          <w:rFonts w:cstheme="minorHAnsi"/>
        </w:rPr>
        <w:t>,</w:t>
      </w:r>
      <w:r w:rsidRPr="000B7674">
        <w:rPr>
          <w:rFonts w:cstheme="minorHAnsi"/>
        </w:rPr>
        <w:t xml:space="preserve"> viz příklad č.</w:t>
      </w:r>
      <w:r w:rsidR="00B7608A" w:rsidRPr="000B7674">
        <w:rPr>
          <w:rFonts w:cstheme="minorHAnsi"/>
        </w:rPr>
        <w:t xml:space="preserve"> </w:t>
      </w:r>
      <w:r w:rsidR="00FB683F" w:rsidRPr="000B7674">
        <w:rPr>
          <w:rFonts w:cstheme="minorHAnsi"/>
        </w:rPr>
        <w:t>2</w:t>
      </w:r>
      <w:r w:rsidRPr="000B7674">
        <w:rPr>
          <w:rFonts w:cstheme="minorHAnsi"/>
        </w:rPr>
        <w:t xml:space="preserve">). </w:t>
      </w:r>
    </w:p>
    <w:p w14:paraId="11F33EBE" w14:textId="5EFF469A" w:rsidR="009D5198" w:rsidRPr="004609D0" w:rsidRDefault="009D5198" w:rsidP="00290877">
      <w:pPr>
        <w:spacing w:after="0"/>
        <w:rPr>
          <w:rFonts w:cstheme="minorHAnsi"/>
          <w:lang w:eastAsia="cs-CZ"/>
        </w:rPr>
      </w:pPr>
    </w:p>
    <w:p w14:paraId="6C2B51EB" w14:textId="70F89691" w:rsidR="00315287" w:rsidRPr="00352A1F" w:rsidRDefault="00D457AE" w:rsidP="0029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4609D0">
        <w:rPr>
          <w:b/>
          <w:lang w:eastAsia="cs-CZ"/>
        </w:rPr>
        <w:t>Příklad č.</w:t>
      </w:r>
      <w:r w:rsidR="00CD481F" w:rsidRPr="004609D0">
        <w:rPr>
          <w:b/>
          <w:lang w:eastAsia="cs-CZ"/>
        </w:rPr>
        <w:t xml:space="preserve"> </w:t>
      </w:r>
      <w:r w:rsidR="00FB683F">
        <w:rPr>
          <w:b/>
          <w:lang w:eastAsia="cs-CZ"/>
        </w:rPr>
        <w:t>2</w:t>
      </w:r>
      <w:r w:rsidR="00CD481F" w:rsidRPr="004609D0">
        <w:rPr>
          <w:b/>
          <w:lang w:eastAsia="cs-CZ"/>
        </w:rPr>
        <w:t xml:space="preserve"> – </w:t>
      </w:r>
      <w:r w:rsidR="00BA101F" w:rsidRPr="009809BF">
        <w:rPr>
          <w:b/>
          <w:lang w:eastAsia="cs-CZ"/>
        </w:rPr>
        <w:t xml:space="preserve">nákup </w:t>
      </w:r>
      <w:r w:rsidR="00352A1F">
        <w:rPr>
          <w:b/>
        </w:rPr>
        <w:t>p</w:t>
      </w:r>
      <w:r w:rsidRPr="00352A1F">
        <w:rPr>
          <w:b/>
        </w:rPr>
        <w:t>rovětrávaný</w:t>
      </w:r>
      <w:r w:rsidR="00BA101F" w:rsidRPr="00352A1F">
        <w:rPr>
          <w:b/>
        </w:rPr>
        <w:t>ch</w:t>
      </w:r>
      <w:r w:rsidR="00CD481F" w:rsidRPr="00352A1F">
        <w:rPr>
          <w:b/>
        </w:rPr>
        <w:t xml:space="preserve"> </w:t>
      </w:r>
      <w:r w:rsidRPr="00352A1F">
        <w:rPr>
          <w:b/>
        </w:rPr>
        <w:t>protichemický</w:t>
      </w:r>
      <w:r w:rsidR="00BA101F" w:rsidRPr="00352A1F">
        <w:rPr>
          <w:b/>
        </w:rPr>
        <w:t>ch</w:t>
      </w:r>
      <w:r w:rsidRPr="00352A1F">
        <w:rPr>
          <w:b/>
        </w:rPr>
        <w:t xml:space="preserve"> izolační</w:t>
      </w:r>
      <w:r w:rsidR="00BA101F" w:rsidRPr="00352A1F">
        <w:rPr>
          <w:b/>
        </w:rPr>
        <w:t>ch</w:t>
      </w:r>
      <w:r w:rsidRPr="00352A1F">
        <w:rPr>
          <w:b/>
        </w:rPr>
        <w:t xml:space="preserve"> oděv</w:t>
      </w:r>
      <w:r w:rsidR="00BA101F" w:rsidRPr="00352A1F">
        <w:rPr>
          <w:b/>
        </w:rPr>
        <w:t>ů</w:t>
      </w:r>
      <w:r w:rsidRPr="00352A1F">
        <w:rPr>
          <w:b/>
        </w:rPr>
        <w:t xml:space="preserve"> OPCH-05</w:t>
      </w:r>
    </w:p>
    <w:p w14:paraId="7BB1AC5F" w14:textId="695D30AD" w:rsidR="00AD3ADC" w:rsidRDefault="00D457AE" w:rsidP="00FB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before="120"/>
        <w:rPr>
          <w:rFonts w:cstheme="minorHAnsi"/>
        </w:rPr>
      </w:pPr>
      <w:r w:rsidRPr="004C2DEB">
        <w:rPr>
          <w:rFonts w:cstheme="minorHAnsi"/>
        </w:rPr>
        <w:t>Cílem akce</w:t>
      </w:r>
      <w:r w:rsidR="009A640D">
        <w:rPr>
          <w:rFonts w:cstheme="minorHAnsi"/>
        </w:rPr>
        <w:t xml:space="preserve"> měla být </w:t>
      </w:r>
      <w:r w:rsidRPr="004C2DEB">
        <w:rPr>
          <w:rFonts w:cstheme="minorHAnsi"/>
          <w:bCs/>
          <w:iCs/>
        </w:rPr>
        <w:t xml:space="preserve">obměna a doplnění </w:t>
      </w:r>
      <w:r w:rsidRPr="004C2DEB">
        <w:rPr>
          <w:rFonts w:cstheme="minorHAnsi"/>
        </w:rPr>
        <w:t>oděvů k ochraně specialistů chemického vojska při práci s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>toxickými, agresivními kapalinami a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vysoce toxickými výpary. Důvodem </w:t>
      </w:r>
      <w:r w:rsidR="009A640D">
        <w:rPr>
          <w:rFonts w:cstheme="minorHAnsi"/>
        </w:rPr>
        <w:t>plánované o</w:t>
      </w:r>
      <w:r w:rsidRPr="004C2DEB">
        <w:rPr>
          <w:rFonts w:cstheme="minorHAnsi"/>
        </w:rPr>
        <w:t>bměny byla omezená doba životnost</w:t>
      </w:r>
      <w:r w:rsidR="00EA4BD6" w:rsidRPr="004C2DEB">
        <w:rPr>
          <w:rFonts w:cstheme="minorHAnsi"/>
        </w:rPr>
        <w:t>i</w:t>
      </w:r>
      <w:r w:rsidRPr="004C2DEB">
        <w:rPr>
          <w:rFonts w:cstheme="minorHAnsi"/>
        </w:rPr>
        <w:t xml:space="preserve"> oděvu </w:t>
      </w:r>
      <w:r w:rsidR="00BA101F">
        <w:rPr>
          <w:rFonts w:cstheme="minorHAnsi"/>
        </w:rPr>
        <w:t>(</w:t>
      </w:r>
      <w:r w:rsidRPr="004C2DEB">
        <w:rPr>
          <w:rFonts w:cstheme="minorHAnsi"/>
        </w:rPr>
        <w:t>10 let</w:t>
      </w:r>
      <w:r w:rsidR="00BA101F">
        <w:rPr>
          <w:rFonts w:cstheme="minorHAnsi"/>
        </w:rPr>
        <w:t>)</w:t>
      </w:r>
      <w:r w:rsidRPr="004C2DEB">
        <w:rPr>
          <w:rFonts w:cstheme="minorHAnsi"/>
        </w:rPr>
        <w:t xml:space="preserve"> a pokles zásob z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důvodu spotřeby </w:t>
      </w:r>
      <w:r w:rsidR="001A5766">
        <w:rPr>
          <w:rFonts w:cstheme="minorHAnsi"/>
        </w:rPr>
        <w:br/>
      </w:r>
      <w:r w:rsidRPr="004C2DEB">
        <w:rPr>
          <w:rFonts w:cstheme="minorHAnsi"/>
        </w:rPr>
        <w:t>v</w:t>
      </w:r>
      <w:r w:rsidR="001A5766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rámci výcviku. MO plánovalo akci již v </w:t>
      </w:r>
      <w:r w:rsidRPr="004C2DEB">
        <w:rPr>
          <w:rFonts w:cstheme="minorHAnsi"/>
          <w:bCs/>
          <w:iCs/>
          <w:color w:val="000000" w:themeColor="text1"/>
        </w:rPr>
        <w:t>programu 107V68 s</w:t>
      </w:r>
      <w:r w:rsidR="00BA101F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>tím, že v</w:t>
      </w:r>
      <w:r w:rsidR="00BA101F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 xml:space="preserve">roce 2016 nakoupí </w:t>
      </w:r>
      <w:r w:rsidR="001A5766">
        <w:rPr>
          <w:rFonts w:cstheme="minorHAnsi"/>
          <w:bCs/>
          <w:iCs/>
          <w:color w:val="000000" w:themeColor="text1"/>
        </w:rPr>
        <w:br/>
      </w:r>
      <w:r w:rsidRPr="004C2DEB">
        <w:rPr>
          <w:rFonts w:cstheme="minorHAnsi"/>
          <w:bCs/>
          <w:iCs/>
          <w:color w:val="000000" w:themeColor="text1"/>
        </w:rPr>
        <w:t>85</w:t>
      </w:r>
      <w:r w:rsidR="001A5766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>ks oděvů a v</w:t>
      </w:r>
      <w:r w:rsidR="00BA101F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>roce 2018</w:t>
      </w:r>
      <w:r w:rsidR="00440174" w:rsidRPr="004C2DEB">
        <w:rPr>
          <w:rFonts w:cstheme="minorHAnsi"/>
          <w:bCs/>
          <w:iCs/>
          <w:color w:val="000000" w:themeColor="text1"/>
        </w:rPr>
        <w:t xml:space="preserve"> nakoupí </w:t>
      </w:r>
      <w:r w:rsidRPr="004C2DEB">
        <w:rPr>
          <w:rFonts w:cstheme="minorHAnsi"/>
          <w:bCs/>
          <w:iCs/>
          <w:color w:val="000000" w:themeColor="text1"/>
        </w:rPr>
        <w:t xml:space="preserve">80 ks oděvů, tj. celkem 165 ks. </w:t>
      </w:r>
      <w:r w:rsidRPr="004C2DEB">
        <w:rPr>
          <w:rFonts w:cstheme="minorHAnsi"/>
        </w:rPr>
        <w:t>MO však akci nerealizovalo. V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návaznosti na </w:t>
      </w:r>
      <w:proofErr w:type="spellStart"/>
      <w:r w:rsidR="00A57B01">
        <w:rPr>
          <w:rFonts w:cstheme="minorHAnsi"/>
          <w:bCs/>
          <w:iCs/>
          <w:color w:val="000000" w:themeColor="text1"/>
        </w:rPr>
        <w:t>KVPozS</w:t>
      </w:r>
      <w:proofErr w:type="spellEnd"/>
      <w:r w:rsidR="00A57B01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 xml:space="preserve">2017 zařadilo </w:t>
      </w:r>
      <w:r w:rsidR="00BA101F" w:rsidRPr="004C2DEB">
        <w:rPr>
          <w:rFonts w:cstheme="minorHAnsi"/>
          <w:bCs/>
          <w:iCs/>
          <w:color w:val="000000" w:themeColor="text1"/>
        </w:rPr>
        <w:t xml:space="preserve">nově </w:t>
      </w:r>
      <w:r w:rsidRPr="004C2DEB">
        <w:rPr>
          <w:rFonts w:cstheme="minorHAnsi"/>
          <w:bCs/>
          <w:iCs/>
          <w:color w:val="000000" w:themeColor="text1"/>
        </w:rPr>
        <w:t>do programu 107V08 pořízení 360</w:t>
      </w:r>
      <w:r w:rsidR="009A640D">
        <w:rPr>
          <w:rFonts w:cstheme="minorHAnsi"/>
          <w:bCs/>
          <w:iCs/>
          <w:color w:val="000000" w:themeColor="text1"/>
        </w:rPr>
        <w:t> </w:t>
      </w:r>
      <w:r w:rsidRPr="004C2DEB">
        <w:rPr>
          <w:rFonts w:cstheme="minorHAnsi"/>
          <w:bCs/>
          <w:iCs/>
          <w:color w:val="000000" w:themeColor="text1"/>
        </w:rPr>
        <w:t xml:space="preserve">kusů </w:t>
      </w:r>
      <w:r w:rsidR="00BA101F">
        <w:rPr>
          <w:rFonts w:cstheme="minorHAnsi"/>
          <w:bCs/>
          <w:iCs/>
          <w:color w:val="000000" w:themeColor="text1"/>
        </w:rPr>
        <w:t xml:space="preserve">těchto </w:t>
      </w:r>
      <w:r w:rsidRPr="004C2DEB">
        <w:rPr>
          <w:rFonts w:cstheme="minorHAnsi"/>
          <w:bCs/>
          <w:iCs/>
          <w:color w:val="000000" w:themeColor="text1"/>
        </w:rPr>
        <w:t>oděvů v</w:t>
      </w:r>
      <w:r w:rsidR="001A5766">
        <w:rPr>
          <w:rFonts w:cstheme="minorHAnsi"/>
          <w:bCs/>
          <w:iCs/>
          <w:color w:val="000000" w:themeColor="text1"/>
        </w:rPr>
        <w:t xml:space="preserve"> </w:t>
      </w:r>
      <w:r w:rsidRPr="004C2DEB">
        <w:rPr>
          <w:rFonts w:cstheme="minorHAnsi"/>
          <w:bCs/>
          <w:iCs/>
          <w:color w:val="000000" w:themeColor="text1"/>
        </w:rPr>
        <w:t>období 2021</w:t>
      </w:r>
      <w:r w:rsidR="00BA101F" w:rsidRPr="005265B2">
        <w:rPr>
          <w:rFonts w:cstheme="minorHAnsi"/>
        </w:rPr>
        <w:t>–</w:t>
      </w:r>
      <w:r w:rsidRPr="004C2DEB">
        <w:rPr>
          <w:rFonts w:cstheme="minorHAnsi"/>
          <w:bCs/>
          <w:iCs/>
          <w:color w:val="000000" w:themeColor="text1"/>
        </w:rPr>
        <w:t xml:space="preserve">2023. </w:t>
      </w:r>
      <w:r w:rsidRPr="004C2DEB">
        <w:rPr>
          <w:rFonts w:cstheme="minorHAnsi"/>
        </w:rPr>
        <w:t>Nákup byl zároveň jedním z</w:t>
      </w:r>
      <w:r w:rsidR="001A5766">
        <w:rPr>
          <w:rFonts w:cstheme="minorHAnsi"/>
        </w:rPr>
        <w:t xml:space="preserve"> </w:t>
      </w:r>
      <w:r w:rsidRPr="004C2DEB">
        <w:rPr>
          <w:rFonts w:cstheme="minorHAnsi"/>
        </w:rPr>
        <w:t>indikátorů splnění cíle tohoto programu v rámci I. etapy (202</w:t>
      </w:r>
      <w:r w:rsidR="00A57B01">
        <w:rPr>
          <w:rFonts w:cstheme="minorHAnsi"/>
        </w:rPr>
        <w:t>0</w:t>
      </w:r>
      <w:r w:rsidR="00300D28">
        <w:rPr>
          <w:rFonts w:cstheme="minorHAnsi"/>
        </w:rPr>
        <w:t>)</w:t>
      </w:r>
      <w:r w:rsidR="00AD3ADC">
        <w:rPr>
          <w:rFonts w:cstheme="minorHAnsi"/>
        </w:rPr>
        <w:t>.</w:t>
      </w:r>
    </w:p>
    <w:p w14:paraId="6A2EA681" w14:textId="125DF70A" w:rsidR="005265B2" w:rsidRPr="004C2DEB" w:rsidRDefault="00D457AE" w:rsidP="0029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before="120" w:after="0"/>
        <w:rPr>
          <w:rFonts w:cstheme="minorHAnsi"/>
        </w:rPr>
      </w:pPr>
      <w:r w:rsidRPr="004C2DEB">
        <w:rPr>
          <w:rFonts w:cstheme="minorHAnsi"/>
        </w:rPr>
        <w:t>MO začalo akci připravovat v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>roce 2019</w:t>
      </w:r>
      <w:r w:rsidR="00BA101F">
        <w:rPr>
          <w:rFonts w:cstheme="minorHAnsi"/>
        </w:rPr>
        <w:t>,</w:t>
      </w:r>
      <w:r w:rsidR="00300D28">
        <w:rPr>
          <w:rFonts w:cstheme="minorHAnsi"/>
        </w:rPr>
        <w:t xml:space="preserve"> neboť</w:t>
      </w:r>
      <w:r w:rsidRPr="004C2DEB">
        <w:rPr>
          <w:rFonts w:cstheme="minorHAnsi"/>
        </w:rPr>
        <w:t xml:space="preserve"> držba tohoto majetku </w:t>
      </w:r>
      <w:r w:rsidR="00300D28">
        <w:rPr>
          <w:rFonts w:cstheme="minorHAnsi"/>
        </w:rPr>
        <w:t>byla</w:t>
      </w:r>
      <w:r w:rsidR="00300D28" w:rsidRPr="004C2DEB">
        <w:rPr>
          <w:rFonts w:cstheme="minorHAnsi"/>
        </w:rPr>
        <w:t xml:space="preserve"> </w:t>
      </w:r>
      <w:r w:rsidRPr="004C2DEB">
        <w:rPr>
          <w:rFonts w:cstheme="minorHAnsi"/>
        </w:rPr>
        <w:t>nezbytnou podmínkou úspěšné certifikace jednotek AČR vyčleňovaných do pohotovostních sborů NATO a pro udržení schopností deklarovaných v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>CT. V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>případě nepořízení mělo dojít k</w:t>
      </w:r>
      <w:r w:rsidR="001A5766">
        <w:rPr>
          <w:rFonts w:cstheme="minorHAnsi"/>
        </w:rPr>
        <w:t xml:space="preserve"> </w:t>
      </w:r>
      <w:r w:rsidRPr="004C2DEB">
        <w:rPr>
          <w:rFonts w:cstheme="minorHAnsi"/>
        </w:rPr>
        <w:t>ohrožení plnění úkolů chemického vojska, zdravotnické služby a hygienicko</w:t>
      </w:r>
      <w:r w:rsidR="004A1E29" w:rsidRPr="004C2DEB">
        <w:rPr>
          <w:rFonts w:cstheme="minorHAnsi"/>
        </w:rPr>
        <w:t>-</w:t>
      </w:r>
      <w:r w:rsidRPr="004C2DEB">
        <w:rPr>
          <w:rFonts w:cstheme="minorHAnsi"/>
        </w:rPr>
        <w:t>epidemiologických pracovišť. V</w:t>
      </w:r>
      <w:r w:rsidR="001A5766">
        <w:rPr>
          <w:rFonts w:cstheme="minorHAnsi"/>
        </w:rPr>
        <w:t xml:space="preserve"> </w:t>
      </w:r>
      <w:r w:rsidRPr="004C2DEB">
        <w:rPr>
          <w:rFonts w:cstheme="minorHAnsi"/>
        </w:rPr>
        <w:t xml:space="preserve">roce 2020 snížilo MO počet </w:t>
      </w:r>
      <w:r w:rsidRPr="004C2DEB">
        <w:rPr>
          <w:rFonts w:cstheme="minorHAnsi"/>
          <w:lang w:eastAsia="uk-UA" w:bidi="uk-UA"/>
        </w:rPr>
        <w:t>pořizovaných oděvů na 120</w:t>
      </w:r>
      <w:r w:rsidR="00BA101F">
        <w:rPr>
          <w:rFonts w:cstheme="minorHAnsi"/>
          <w:lang w:eastAsia="uk-UA" w:bidi="uk-UA"/>
        </w:rPr>
        <w:t xml:space="preserve"> </w:t>
      </w:r>
      <w:r w:rsidRPr="004C2DEB">
        <w:rPr>
          <w:rFonts w:cstheme="minorHAnsi"/>
          <w:lang w:eastAsia="uk-UA" w:bidi="uk-UA"/>
        </w:rPr>
        <w:t>ks, následně zahájené zadávací řízení v</w:t>
      </w:r>
      <w:r w:rsidR="00BA101F">
        <w:rPr>
          <w:rFonts w:cstheme="minorHAnsi"/>
          <w:lang w:eastAsia="uk-UA" w:bidi="uk-UA"/>
        </w:rPr>
        <w:t xml:space="preserve"> </w:t>
      </w:r>
      <w:r w:rsidRPr="004C2DEB">
        <w:rPr>
          <w:rFonts w:cstheme="minorHAnsi"/>
          <w:lang w:eastAsia="uk-UA" w:bidi="uk-UA"/>
        </w:rPr>
        <w:t xml:space="preserve">roce 2021 zrušilo, neboť </w:t>
      </w:r>
      <w:r w:rsidRPr="004C2DEB">
        <w:rPr>
          <w:rFonts w:cstheme="minorHAnsi"/>
        </w:rPr>
        <w:t>odchylky technických parametrů oděvů v</w:t>
      </w:r>
      <w:r w:rsidR="00BA101F">
        <w:rPr>
          <w:rFonts w:cstheme="minorHAnsi"/>
        </w:rPr>
        <w:t xml:space="preserve"> </w:t>
      </w:r>
      <w:r w:rsidRPr="004C2DEB">
        <w:rPr>
          <w:rFonts w:cstheme="minorHAnsi"/>
        </w:rPr>
        <w:t>jediné předložené nabídce by vyžadovaly změnu technických podmínek a</w:t>
      </w:r>
      <w:r w:rsidR="00BA101F">
        <w:rPr>
          <w:rFonts w:cstheme="minorHAnsi"/>
        </w:rPr>
        <w:t xml:space="preserve"> </w:t>
      </w:r>
      <w:r w:rsidR="00A57B01">
        <w:rPr>
          <w:rFonts w:cstheme="minorHAnsi"/>
        </w:rPr>
        <w:t xml:space="preserve">novou </w:t>
      </w:r>
      <w:r w:rsidRPr="004C2DEB">
        <w:rPr>
          <w:rFonts w:cstheme="minorHAnsi"/>
        </w:rPr>
        <w:t xml:space="preserve">certifikaci akreditovanými zkušebnami. </w:t>
      </w:r>
      <w:r w:rsidR="00300D28">
        <w:rPr>
          <w:rFonts w:cstheme="minorHAnsi"/>
        </w:rPr>
        <w:t>MO v</w:t>
      </w:r>
      <w:r w:rsidR="00BA101F">
        <w:rPr>
          <w:rFonts w:cstheme="minorHAnsi"/>
        </w:rPr>
        <w:t xml:space="preserve"> </w:t>
      </w:r>
      <w:r w:rsidRPr="004C2DEB">
        <w:rPr>
          <w:rFonts w:eastAsia="Calibri" w:cstheme="minorHAnsi"/>
        </w:rPr>
        <w:t>době ukončení kontroly NKÚ uvedlo, že akce bude realizována v období 2023</w:t>
      </w:r>
      <w:r w:rsidR="00BA101F" w:rsidRPr="005265B2">
        <w:rPr>
          <w:rFonts w:cstheme="minorHAnsi"/>
        </w:rPr>
        <w:t>–</w:t>
      </w:r>
      <w:r w:rsidRPr="004C2DEB">
        <w:rPr>
          <w:rFonts w:eastAsia="Calibri" w:cstheme="minorHAnsi"/>
        </w:rPr>
        <w:t xml:space="preserve">2025. </w:t>
      </w:r>
      <w:r w:rsidRPr="004C2DEB">
        <w:rPr>
          <w:rFonts w:cstheme="minorHAnsi"/>
        </w:rPr>
        <w:t>MO tak majetek, který je mj. nezbytný pro zabezpečení výcviku, činnosti ve prospěch IZS, vedení operací i</w:t>
      </w:r>
      <w:r w:rsidR="001A5766">
        <w:rPr>
          <w:rFonts w:cstheme="minorHAnsi"/>
        </w:rPr>
        <w:t xml:space="preserve"> </w:t>
      </w:r>
      <w:r w:rsidRPr="004C2DEB">
        <w:rPr>
          <w:rFonts w:cstheme="minorHAnsi"/>
        </w:rPr>
        <w:t>udržení schopností deklarovaných v CT, ani po sedmi letech nepořídilo.</w:t>
      </w:r>
    </w:p>
    <w:p w14:paraId="7AB7F797" w14:textId="77777777" w:rsidR="009D5198" w:rsidRDefault="009D5198" w:rsidP="009D5198">
      <w:pPr>
        <w:pStyle w:val="Odstavecseseznamem"/>
        <w:spacing w:after="0"/>
        <w:ind w:left="0"/>
        <w:rPr>
          <w:rFonts w:cstheme="minorHAnsi"/>
        </w:rPr>
      </w:pPr>
    </w:p>
    <w:p w14:paraId="69952C20" w14:textId="21D23BDF" w:rsidR="005265B2" w:rsidRPr="00501B23" w:rsidRDefault="00D457AE" w:rsidP="009C4C03">
      <w:pPr>
        <w:pStyle w:val="Odstavecseseznamem"/>
        <w:numPr>
          <w:ilvl w:val="1"/>
          <w:numId w:val="34"/>
        </w:numPr>
        <w:spacing w:after="0"/>
        <w:ind w:left="0" w:firstLine="0"/>
        <w:rPr>
          <w:rFonts w:cstheme="minorHAnsi"/>
        </w:rPr>
      </w:pPr>
      <w:r w:rsidRPr="005265B2">
        <w:rPr>
          <w:rFonts w:cstheme="minorHAnsi"/>
        </w:rPr>
        <w:t xml:space="preserve">NKÚ dále </w:t>
      </w:r>
      <w:r w:rsidR="00BA101F">
        <w:rPr>
          <w:rFonts w:cstheme="minorHAnsi"/>
        </w:rPr>
        <w:t>zjistil</w:t>
      </w:r>
      <w:r w:rsidRPr="005265B2">
        <w:rPr>
          <w:rFonts w:cstheme="minorHAnsi"/>
        </w:rPr>
        <w:t xml:space="preserve">, že v období </w:t>
      </w:r>
      <w:r w:rsidR="00BA101F">
        <w:rPr>
          <w:rFonts w:cstheme="minorHAnsi"/>
        </w:rPr>
        <w:t xml:space="preserve">let </w:t>
      </w:r>
      <w:r w:rsidRPr="005265B2">
        <w:rPr>
          <w:rFonts w:cstheme="minorHAnsi"/>
        </w:rPr>
        <w:t xml:space="preserve">2014–2022 nebyl </w:t>
      </w:r>
      <w:r w:rsidR="00BA101F">
        <w:rPr>
          <w:rFonts w:cstheme="minorHAnsi"/>
        </w:rPr>
        <w:t>ze strany</w:t>
      </w:r>
      <w:r w:rsidRPr="005265B2">
        <w:rPr>
          <w:rFonts w:cstheme="minorHAnsi"/>
        </w:rPr>
        <w:t xml:space="preserve"> Ministerstva zdravotnictví </w:t>
      </w:r>
      <w:r w:rsidR="00BA101F">
        <w:rPr>
          <w:rFonts w:cstheme="minorHAnsi"/>
        </w:rPr>
        <w:t xml:space="preserve">vznesen </w:t>
      </w:r>
      <w:r w:rsidRPr="005265B2">
        <w:rPr>
          <w:rFonts w:cstheme="minorHAnsi"/>
        </w:rPr>
        <w:t>požadavek na aktivaci specializované infekční nemocnic</w:t>
      </w:r>
      <w:r w:rsidR="009D219D">
        <w:rPr>
          <w:rFonts w:cstheme="minorHAnsi"/>
        </w:rPr>
        <w:t>e</w:t>
      </w:r>
      <w:r w:rsidRPr="005265B2">
        <w:rPr>
          <w:rFonts w:cstheme="minorHAnsi"/>
        </w:rPr>
        <w:t xml:space="preserve"> CBO Těchonín a</w:t>
      </w:r>
      <w:r w:rsidR="00FB683F">
        <w:rPr>
          <w:rFonts w:cstheme="minorHAnsi"/>
        </w:rPr>
        <w:t> </w:t>
      </w:r>
      <w:r w:rsidRPr="005265B2">
        <w:rPr>
          <w:rFonts w:cstheme="minorHAnsi"/>
        </w:rPr>
        <w:t xml:space="preserve">v zařízení </w:t>
      </w:r>
      <w:r w:rsidRPr="00501B23">
        <w:rPr>
          <w:rFonts w:cstheme="minorHAnsi"/>
        </w:rPr>
        <w:t>nebyl v</w:t>
      </w:r>
      <w:r w:rsidR="00E20A2B">
        <w:rPr>
          <w:rFonts w:cstheme="minorHAnsi"/>
        </w:rPr>
        <w:t xml:space="preserve"> </w:t>
      </w:r>
      <w:r w:rsidRPr="00501B23">
        <w:rPr>
          <w:rFonts w:cstheme="minorHAnsi"/>
        </w:rPr>
        <w:t xml:space="preserve">uvedeném období hospitalizován žádný pacient (viz část </w:t>
      </w:r>
      <w:r w:rsidR="00B66CBA" w:rsidRPr="00501B23">
        <w:rPr>
          <w:rFonts w:cstheme="minorHAnsi"/>
        </w:rPr>
        <w:t>IV.</w:t>
      </w:r>
      <w:r w:rsidR="00D73283">
        <w:rPr>
          <w:rFonts w:cstheme="minorHAnsi"/>
        </w:rPr>
        <w:t xml:space="preserve"> písm. </w:t>
      </w:r>
      <w:r w:rsidR="00300D28">
        <w:rPr>
          <w:rFonts w:cstheme="minorHAnsi"/>
        </w:rPr>
        <w:t>D</w:t>
      </w:r>
      <w:r w:rsidR="00BA101F">
        <w:rPr>
          <w:rFonts w:cstheme="minorHAnsi"/>
        </w:rPr>
        <w:t xml:space="preserve"> tohoto</w:t>
      </w:r>
      <w:r w:rsidR="00B66CBA" w:rsidRPr="00501B23">
        <w:rPr>
          <w:rFonts w:cstheme="minorHAnsi"/>
        </w:rPr>
        <w:t xml:space="preserve"> </w:t>
      </w:r>
      <w:r w:rsidRPr="00501B23">
        <w:rPr>
          <w:rFonts w:cstheme="minorHAnsi"/>
        </w:rPr>
        <w:t xml:space="preserve">kontrolního závěru). </w:t>
      </w:r>
    </w:p>
    <w:p w14:paraId="1ACAADE8" w14:textId="228128B5" w:rsidR="00E04281" w:rsidRPr="00290877" w:rsidRDefault="00E04281" w:rsidP="00290877">
      <w:pPr>
        <w:spacing w:before="120"/>
        <w:rPr>
          <w:rFonts w:cstheme="minorHAnsi"/>
        </w:rPr>
      </w:pPr>
    </w:p>
    <w:p w14:paraId="6C7E4E6F" w14:textId="3C3DF2C5" w:rsidR="00300D28" w:rsidRPr="00D755DB" w:rsidRDefault="00300D28" w:rsidP="00041C4C">
      <w:pPr>
        <w:pStyle w:val="Odstavecseseznamem"/>
        <w:numPr>
          <w:ilvl w:val="0"/>
          <w:numId w:val="38"/>
        </w:numPr>
        <w:pBdr>
          <w:bottom w:val="single" w:sz="4" w:space="1" w:color="auto"/>
        </w:pBdr>
        <w:spacing w:after="0"/>
        <w:ind w:left="426" w:hanging="426"/>
        <w:jc w:val="left"/>
        <w:rPr>
          <w:rFonts w:cstheme="minorHAnsi"/>
          <w:b/>
          <w:i/>
        </w:rPr>
      </w:pPr>
      <w:bookmarkStart w:id="25" w:name="_Hlk144366206"/>
      <w:r w:rsidRPr="00D755DB">
        <w:rPr>
          <w:rFonts w:cstheme="minorHAnsi"/>
          <w:b/>
          <w:i/>
        </w:rPr>
        <w:t>MO při poř</w:t>
      </w:r>
      <w:r w:rsidR="00E20A2B">
        <w:rPr>
          <w:rFonts w:cstheme="minorHAnsi"/>
          <w:b/>
          <w:i/>
        </w:rPr>
        <w:t>izování</w:t>
      </w:r>
      <w:r w:rsidRPr="00D755DB">
        <w:rPr>
          <w:rFonts w:cstheme="minorHAnsi"/>
          <w:b/>
          <w:i/>
        </w:rPr>
        <w:t xml:space="preserve"> lehkých obrněných vozidel nepostupovalo v souladu se zákonem č.</w:t>
      </w:r>
      <w:r w:rsidR="00AA38E2">
        <w:rPr>
          <w:rFonts w:cstheme="minorHAnsi"/>
          <w:b/>
          <w:i/>
        </w:rPr>
        <w:t> </w:t>
      </w:r>
      <w:r w:rsidRPr="00D755DB">
        <w:rPr>
          <w:rFonts w:cstheme="minorHAnsi"/>
          <w:b/>
          <w:i/>
        </w:rPr>
        <w:t>218/2000 Sb. a zákonem č. 320/2001 Sb.</w:t>
      </w:r>
    </w:p>
    <w:p w14:paraId="76D85CA8" w14:textId="60C7D830" w:rsidR="007C4E79" w:rsidRDefault="00D457AE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MO plánovalo pořídit l</w:t>
      </w:r>
      <w:r w:rsidRPr="00501B23">
        <w:rPr>
          <w:rFonts w:cstheme="minorHAnsi"/>
        </w:rPr>
        <w:t>ehk</w:t>
      </w:r>
      <w:r w:rsidR="00B22F84">
        <w:rPr>
          <w:rFonts w:cstheme="minorHAnsi"/>
        </w:rPr>
        <w:t>á</w:t>
      </w:r>
      <w:r w:rsidRPr="00501B23">
        <w:rPr>
          <w:rFonts w:cstheme="minorHAnsi"/>
        </w:rPr>
        <w:t xml:space="preserve"> </w:t>
      </w:r>
      <w:r w:rsidR="00B22F84" w:rsidRPr="00501B23">
        <w:rPr>
          <w:rFonts w:cstheme="minorHAnsi"/>
        </w:rPr>
        <w:t>obrněn</w:t>
      </w:r>
      <w:r w:rsidR="00B22F84">
        <w:rPr>
          <w:rFonts w:cstheme="minorHAnsi"/>
        </w:rPr>
        <w:t>á</w:t>
      </w:r>
      <w:r w:rsidR="00B22F84" w:rsidRPr="00501B23">
        <w:rPr>
          <w:rFonts w:cstheme="minorHAnsi"/>
        </w:rPr>
        <w:t xml:space="preserve"> vozidl</w:t>
      </w:r>
      <w:r w:rsidR="00B22F84">
        <w:rPr>
          <w:rFonts w:cstheme="minorHAnsi"/>
        </w:rPr>
        <w:t>a</w:t>
      </w:r>
      <w:r w:rsidR="00B22F84" w:rsidRPr="00501B23">
        <w:rPr>
          <w:rFonts w:cstheme="minorHAnsi"/>
        </w:rPr>
        <w:t xml:space="preserve"> </w:t>
      </w:r>
      <w:r w:rsidRPr="00501B23">
        <w:rPr>
          <w:rFonts w:cstheme="minorHAnsi"/>
        </w:rPr>
        <w:t>na základě prototypu</w:t>
      </w:r>
      <w:r w:rsidR="00A02DAF">
        <w:rPr>
          <w:rFonts w:cstheme="minorHAnsi"/>
        </w:rPr>
        <w:t xml:space="preserve">, </w:t>
      </w:r>
      <w:r w:rsidRPr="00501B23">
        <w:rPr>
          <w:rFonts w:cstheme="minorHAnsi"/>
        </w:rPr>
        <w:t xml:space="preserve">který byl výsledkem projektu obranného experimentálního vývoje realizovaného v letech 2009–2013. </w:t>
      </w:r>
      <w:r w:rsidR="00E20A2B">
        <w:rPr>
          <w:rFonts w:cstheme="minorHAnsi"/>
        </w:rPr>
        <w:t>D</w:t>
      </w:r>
      <w:r w:rsidR="00E20A2B" w:rsidRPr="00501B23">
        <w:rPr>
          <w:rFonts w:cstheme="minorHAnsi"/>
        </w:rPr>
        <w:t>le dokumentace programu 107V68</w:t>
      </w:r>
      <w:r w:rsidR="00E20A2B">
        <w:rPr>
          <w:rFonts w:cstheme="minorHAnsi"/>
        </w:rPr>
        <w:t xml:space="preserve"> Ministerstvo obrany původně plánovalo </w:t>
      </w:r>
      <w:r w:rsidR="00E20A2B" w:rsidRPr="00501B23">
        <w:rPr>
          <w:rFonts w:cstheme="minorHAnsi"/>
        </w:rPr>
        <w:t>p</w:t>
      </w:r>
      <w:r w:rsidR="00E20A2B">
        <w:rPr>
          <w:rFonts w:cstheme="minorHAnsi"/>
        </w:rPr>
        <w:t>ořídit</w:t>
      </w:r>
      <w:r w:rsidR="00E20A2B" w:rsidRPr="00501B23">
        <w:rPr>
          <w:rFonts w:cstheme="minorHAnsi"/>
        </w:rPr>
        <w:t xml:space="preserve"> </w:t>
      </w:r>
      <w:r w:rsidRPr="00501B23">
        <w:rPr>
          <w:rFonts w:cstheme="minorHAnsi"/>
        </w:rPr>
        <w:t xml:space="preserve">v letech 2017–2020 </w:t>
      </w:r>
      <w:r w:rsidR="00E20A2B">
        <w:rPr>
          <w:rFonts w:cstheme="minorHAnsi"/>
        </w:rPr>
        <w:t xml:space="preserve">celkem </w:t>
      </w:r>
      <w:r w:rsidRPr="00501B23">
        <w:rPr>
          <w:rFonts w:cstheme="minorHAnsi"/>
        </w:rPr>
        <w:t>14</w:t>
      </w:r>
      <w:r w:rsidR="00E20A2B">
        <w:rPr>
          <w:rFonts w:cstheme="minorHAnsi"/>
        </w:rPr>
        <w:t xml:space="preserve"> </w:t>
      </w:r>
      <w:r w:rsidRPr="00501B23">
        <w:rPr>
          <w:rFonts w:cstheme="minorHAnsi"/>
        </w:rPr>
        <w:t>kusů vozidel za 860</w:t>
      </w:r>
      <w:r w:rsidR="001A5766">
        <w:rPr>
          <w:rFonts w:cstheme="minorHAnsi"/>
        </w:rPr>
        <w:t xml:space="preserve"> </w:t>
      </w:r>
      <w:r w:rsidRPr="00501B23">
        <w:rPr>
          <w:rFonts w:cstheme="minorHAnsi"/>
        </w:rPr>
        <w:t xml:space="preserve">mil. Kč. </w:t>
      </w:r>
      <w:r>
        <w:rPr>
          <w:rFonts w:cstheme="minorHAnsi"/>
        </w:rPr>
        <w:t xml:space="preserve">Na </w:t>
      </w:r>
      <w:r w:rsidRPr="00501B23">
        <w:rPr>
          <w:rFonts w:cstheme="minorHAnsi"/>
        </w:rPr>
        <w:t>realizaci akce ale</w:t>
      </w:r>
      <w:r>
        <w:rPr>
          <w:rFonts w:cstheme="minorHAnsi"/>
        </w:rPr>
        <w:t xml:space="preserve"> </w:t>
      </w:r>
      <w:r w:rsidRPr="00501B23">
        <w:rPr>
          <w:rFonts w:cstheme="minorHAnsi"/>
        </w:rPr>
        <w:t>nevyčlenilo peněžní prostředky</w:t>
      </w:r>
      <w:r>
        <w:rPr>
          <w:rFonts w:cstheme="minorHAnsi"/>
        </w:rPr>
        <w:t>, a</w:t>
      </w:r>
      <w:r w:rsidR="00E20A2B">
        <w:rPr>
          <w:rFonts w:cstheme="minorHAnsi"/>
        </w:rPr>
        <w:t xml:space="preserve"> </w:t>
      </w:r>
      <w:r>
        <w:rPr>
          <w:rFonts w:cstheme="minorHAnsi"/>
        </w:rPr>
        <w:t xml:space="preserve">proto ji </w:t>
      </w:r>
      <w:r w:rsidRPr="00501B23">
        <w:rPr>
          <w:rFonts w:cstheme="minorHAnsi"/>
        </w:rPr>
        <w:t xml:space="preserve">přesunulo do navazujícího programu 107V08, avšak </w:t>
      </w:r>
      <w:r w:rsidR="00E20A2B">
        <w:rPr>
          <w:rFonts w:cstheme="minorHAnsi"/>
        </w:rPr>
        <w:t xml:space="preserve">se </w:t>
      </w:r>
      <w:r w:rsidRPr="00501B23">
        <w:rPr>
          <w:rFonts w:cstheme="minorHAnsi"/>
        </w:rPr>
        <w:t>zcela jiný</w:t>
      </w:r>
      <w:r w:rsidR="00E20A2B">
        <w:rPr>
          <w:rFonts w:cstheme="minorHAnsi"/>
        </w:rPr>
        <w:t>mi</w:t>
      </w:r>
      <w:r w:rsidRPr="00501B23">
        <w:rPr>
          <w:rFonts w:cstheme="minorHAnsi"/>
        </w:rPr>
        <w:t xml:space="preserve"> parametr</w:t>
      </w:r>
      <w:r w:rsidR="00E20A2B">
        <w:rPr>
          <w:rFonts w:cstheme="minorHAnsi"/>
        </w:rPr>
        <w:t>y</w:t>
      </w:r>
      <w:r w:rsidRPr="00501B23">
        <w:rPr>
          <w:rFonts w:cstheme="minorHAnsi"/>
        </w:rPr>
        <w:t xml:space="preserve">. </w:t>
      </w:r>
      <w:r>
        <w:rPr>
          <w:rFonts w:cstheme="minorHAnsi"/>
        </w:rPr>
        <w:t>MO</w:t>
      </w:r>
      <w:r w:rsidR="00E20A2B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501B23">
        <w:rPr>
          <w:rFonts w:cstheme="minorHAnsi"/>
        </w:rPr>
        <w:t>ově plánovalo v</w:t>
      </w:r>
      <w:r w:rsidR="001A5766">
        <w:rPr>
          <w:rFonts w:cstheme="minorHAnsi"/>
        </w:rPr>
        <w:t xml:space="preserve"> </w:t>
      </w:r>
      <w:r w:rsidRPr="00501B23">
        <w:rPr>
          <w:rFonts w:cstheme="minorHAnsi"/>
        </w:rPr>
        <w:t>letech 2019</w:t>
      </w:r>
      <w:r w:rsidR="00E20A2B" w:rsidRPr="001A25F5">
        <w:t>–</w:t>
      </w:r>
      <w:r w:rsidRPr="00501B23">
        <w:rPr>
          <w:rFonts w:cstheme="minorHAnsi"/>
        </w:rPr>
        <w:t xml:space="preserve">2022 pořídit 40 párů vozidel (kromě </w:t>
      </w:r>
      <w:r>
        <w:rPr>
          <w:rFonts w:cstheme="minorHAnsi"/>
        </w:rPr>
        <w:t xml:space="preserve">hlavní soupravy </w:t>
      </w:r>
      <w:r w:rsidRPr="00501B23">
        <w:rPr>
          <w:rFonts w:cstheme="minorHAnsi"/>
        </w:rPr>
        <w:t xml:space="preserve">S-LOV-CBRN také druhé </w:t>
      </w:r>
      <w:r>
        <w:rPr>
          <w:rFonts w:cstheme="minorHAnsi"/>
        </w:rPr>
        <w:t xml:space="preserve">párové </w:t>
      </w:r>
      <w:r w:rsidRPr="00501B23">
        <w:rPr>
          <w:rFonts w:cstheme="minorHAnsi"/>
        </w:rPr>
        <w:t>vozidlo LOV-CBRN II) za 5</w:t>
      </w:r>
      <w:r w:rsidR="001A5766">
        <w:rPr>
          <w:rFonts w:cstheme="minorHAnsi"/>
        </w:rPr>
        <w:t xml:space="preserve"> </w:t>
      </w:r>
      <w:r w:rsidRPr="00501B23">
        <w:rPr>
          <w:rFonts w:cstheme="minorHAnsi"/>
        </w:rPr>
        <w:t>35</w:t>
      </w:r>
      <w:r w:rsidR="00550DE7">
        <w:rPr>
          <w:rFonts w:cstheme="minorHAnsi"/>
        </w:rPr>
        <w:t>2</w:t>
      </w:r>
      <w:r w:rsidRPr="00501B23">
        <w:rPr>
          <w:rFonts w:cstheme="minorHAnsi"/>
        </w:rPr>
        <w:t xml:space="preserve"> mil. Kč. MO </w:t>
      </w:r>
      <w:r>
        <w:rPr>
          <w:rFonts w:cstheme="minorHAnsi"/>
        </w:rPr>
        <w:t xml:space="preserve">nárůst potřeby ze 14 vozidel na 80 ks </w:t>
      </w:r>
      <w:r w:rsidR="00A02DAF">
        <w:rPr>
          <w:rFonts w:cstheme="minorHAnsi"/>
        </w:rPr>
        <w:t xml:space="preserve">(resp. 40 párů </w:t>
      </w:r>
      <w:r>
        <w:rPr>
          <w:rFonts w:cstheme="minorHAnsi"/>
        </w:rPr>
        <w:t xml:space="preserve">vozidel) </w:t>
      </w:r>
      <w:r w:rsidR="00E20A2B">
        <w:rPr>
          <w:rFonts w:cstheme="minorHAnsi"/>
        </w:rPr>
        <w:t xml:space="preserve">a </w:t>
      </w:r>
      <w:r>
        <w:rPr>
          <w:rFonts w:cstheme="minorHAnsi"/>
        </w:rPr>
        <w:t>zvýšení investice z</w:t>
      </w:r>
      <w:r w:rsidR="0031062F">
        <w:rPr>
          <w:rFonts w:cstheme="minorHAnsi"/>
        </w:rPr>
        <w:t xml:space="preserve"> </w:t>
      </w:r>
      <w:r>
        <w:rPr>
          <w:rFonts w:cstheme="minorHAnsi"/>
        </w:rPr>
        <w:t xml:space="preserve">860 mil. </w:t>
      </w:r>
      <w:r w:rsidRPr="009F60A7">
        <w:rPr>
          <w:rFonts w:cstheme="minorHAnsi"/>
        </w:rPr>
        <w:t xml:space="preserve">Kč na </w:t>
      </w:r>
      <w:r w:rsidR="001A5766">
        <w:rPr>
          <w:rFonts w:cstheme="minorHAnsi"/>
        </w:rPr>
        <w:br/>
      </w:r>
      <w:r w:rsidRPr="009F60A7">
        <w:rPr>
          <w:rFonts w:cstheme="minorHAnsi"/>
        </w:rPr>
        <w:t>5</w:t>
      </w:r>
      <w:r w:rsidR="001A5766">
        <w:rPr>
          <w:rFonts w:cstheme="minorHAnsi"/>
        </w:rPr>
        <w:t xml:space="preserve"> </w:t>
      </w:r>
      <w:r w:rsidRPr="009F60A7">
        <w:rPr>
          <w:rFonts w:cstheme="minorHAnsi"/>
        </w:rPr>
        <w:t>35</w:t>
      </w:r>
      <w:r w:rsidR="00565689" w:rsidRPr="009F60A7">
        <w:rPr>
          <w:rFonts w:cstheme="minorHAnsi"/>
        </w:rPr>
        <w:t>2</w:t>
      </w:r>
      <w:r w:rsidRPr="009F60A7">
        <w:rPr>
          <w:rFonts w:cstheme="minorHAnsi"/>
        </w:rPr>
        <w:t xml:space="preserve"> mil. Kč (o</w:t>
      </w:r>
      <w:r w:rsidR="0031062F">
        <w:rPr>
          <w:rFonts w:cstheme="minorHAnsi"/>
        </w:rPr>
        <w:t xml:space="preserve"> </w:t>
      </w:r>
      <w:r w:rsidRPr="009F60A7">
        <w:rPr>
          <w:rFonts w:cstheme="minorHAnsi"/>
        </w:rPr>
        <w:t>522 %) nezdůvodnilo</w:t>
      </w:r>
      <w:r w:rsidR="00300D28" w:rsidRPr="009F60A7">
        <w:rPr>
          <w:rFonts w:cstheme="minorHAnsi"/>
        </w:rPr>
        <w:t>.</w:t>
      </w:r>
      <w:r w:rsidRPr="009F60A7">
        <w:rPr>
          <w:rFonts w:cstheme="minorHAnsi"/>
        </w:rPr>
        <w:t xml:space="preserve"> </w:t>
      </w:r>
      <w:r w:rsidR="00300D28" w:rsidRPr="009F60A7">
        <w:rPr>
          <w:rFonts w:cstheme="minorHAnsi"/>
        </w:rPr>
        <w:t>Např. i</w:t>
      </w:r>
      <w:r w:rsidRPr="009F60A7">
        <w:rPr>
          <w:rFonts w:cstheme="minorHAnsi"/>
        </w:rPr>
        <w:t xml:space="preserve">nvestiční záměr </w:t>
      </w:r>
      <w:r w:rsidR="00300D28" w:rsidRPr="009F60A7">
        <w:rPr>
          <w:rFonts w:cstheme="minorHAnsi"/>
        </w:rPr>
        <w:t xml:space="preserve">akce </w:t>
      </w:r>
      <w:r w:rsidRPr="009F60A7">
        <w:rPr>
          <w:rFonts w:cstheme="minorHAnsi"/>
        </w:rPr>
        <w:t xml:space="preserve">přitom obsahoval část </w:t>
      </w:r>
      <w:r w:rsidRPr="009F60A7">
        <w:rPr>
          <w:rFonts w:cstheme="minorHAnsi"/>
          <w:i/>
        </w:rPr>
        <w:t>Hodnocení efektivnosti vynaložených prostředků</w:t>
      </w:r>
      <w:r w:rsidRPr="009F60A7">
        <w:rPr>
          <w:rFonts w:cstheme="minorHAnsi"/>
        </w:rPr>
        <w:t xml:space="preserve">, ve které mělo MO povinnost vyhodnotit dosažení nejvýše možného rozsahu, kvality a přínosu plněných úkolů </w:t>
      </w:r>
      <w:r w:rsidR="00A92A4D" w:rsidRPr="009F60A7">
        <w:rPr>
          <w:rFonts w:cstheme="minorHAnsi"/>
        </w:rPr>
        <w:t xml:space="preserve">chemického vojska pořizovanými vozidly </w:t>
      </w:r>
      <w:r w:rsidRPr="009F60A7">
        <w:rPr>
          <w:rFonts w:cstheme="minorHAnsi"/>
        </w:rPr>
        <w:t xml:space="preserve">ve srovnání s objemem prostředků vynaložených na jejich plnění. </w:t>
      </w:r>
    </w:p>
    <w:p w14:paraId="32A27A2B" w14:textId="72D80159" w:rsidR="00ED7694" w:rsidRPr="00ED7694" w:rsidRDefault="00ED7694" w:rsidP="00ED7694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 w:rsidRPr="00ED7694">
        <w:rPr>
          <w:rFonts w:cstheme="minorHAnsi"/>
        </w:rPr>
        <w:t xml:space="preserve">MO vybralo dodavatele </w:t>
      </w:r>
      <w:r>
        <w:rPr>
          <w:rFonts w:cstheme="minorHAnsi"/>
        </w:rPr>
        <w:t xml:space="preserve">vozidel </w:t>
      </w:r>
      <w:r w:rsidRPr="00ED7694">
        <w:rPr>
          <w:rFonts w:cstheme="minorHAnsi"/>
        </w:rPr>
        <w:t>(</w:t>
      </w:r>
      <w:r w:rsidRPr="00ED7694">
        <w:rPr>
          <w:rFonts w:eastAsia="Calibri" w:cstheme="minorHAnsi"/>
        </w:rPr>
        <w:t>Vojenský výzkumný ústav, s. p.)</w:t>
      </w:r>
      <w:r>
        <w:rPr>
          <w:rFonts w:cstheme="minorHAnsi"/>
        </w:rPr>
        <w:t xml:space="preserve"> </w:t>
      </w:r>
      <w:r w:rsidRPr="00ED7694">
        <w:rPr>
          <w:rFonts w:cstheme="minorHAnsi"/>
        </w:rPr>
        <w:t>bez soutěže na základě ustanovení o vertikální spolupráci podle</w:t>
      </w:r>
      <w:r w:rsidR="00373986">
        <w:rPr>
          <w:rFonts w:cstheme="minorHAnsi"/>
        </w:rPr>
        <w:t xml:space="preserve"> </w:t>
      </w:r>
      <w:r w:rsidRPr="00ED7694">
        <w:rPr>
          <w:rFonts w:cstheme="minorHAnsi"/>
        </w:rPr>
        <w:t xml:space="preserve">§ 189 zákona č. 134/2016 Sb. </w:t>
      </w:r>
      <w:r w:rsidRPr="00ED7694">
        <w:rPr>
          <w:rFonts w:eastAsia="Calibri" w:cstheme="minorHAnsi"/>
        </w:rPr>
        <w:t xml:space="preserve">MO uzavřelo </w:t>
      </w:r>
      <w:r w:rsidR="001A5766">
        <w:rPr>
          <w:rFonts w:eastAsia="Calibri" w:cstheme="minorHAnsi"/>
        </w:rPr>
        <w:br/>
      </w:r>
      <w:r w:rsidRPr="00ED7694">
        <w:rPr>
          <w:rFonts w:eastAsia="Calibri" w:cstheme="minorHAnsi"/>
        </w:rPr>
        <w:t>s</w:t>
      </w:r>
      <w:r w:rsidR="001A5766">
        <w:rPr>
          <w:rFonts w:eastAsia="Calibri" w:cstheme="minorHAnsi"/>
        </w:rPr>
        <w:t xml:space="preserve"> </w:t>
      </w:r>
      <w:r w:rsidRPr="00ED7694">
        <w:rPr>
          <w:rFonts w:eastAsia="Calibri" w:cstheme="minorHAnsi"/>
        </w:rPr>
        <w:t xml:space="preserve">dodavatelem do doby ukončení kontroly NKÚ celkem sedm dodatků ke kupní smlouvě, které obsahovaly </w:t>
      </w:r>
      <w:r w:rsidRPr="00ED7694">
        <w:rPr>
          <w:rFonts w:cstheme="minorHAnsi"/>
        </w:rPr>
        <w:t>zejména změny harmonogramu dodání zboží, navýšení záloh a</w:t>
      </w:r>
      <w:r w:rsidR="0031062F">
        <w:rPr>
          <w:rFonts w:cstheme="minorHAnsi"/>
        </w:rPr>
        <w:t xml:space="preserve"> </w:t>
      </w:r>
      <w:r w:rsidR="009D219D">
        <w:rPr>
          <w:rFonts w:cstheme="minorHAnsi"/>
        </w:rPr>
        <w:t xml:space="preserve">změny </w:t>
      </w:r>
      <w:r w:rsidRPr="00ED7694">
        <w:rPr>
          <w:rFonts w:cstheme="minorHAnsi"/>
        </w:rPr>
        <w:t>harmonogramu vyúčtovávání záloh. Při uzavření dvou dodatků (č. 2 a č. 5) nepostupovalo MO v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>souladu s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>ustanovením §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>26 zákona č.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>320/2001 Sb. a s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>ustanoveními §</w:t>
      </w:r>
      <w:r w:rsidR="0031062F">
        <w:rPr>
          <w:rFonts w:cstheme="minorHAnsi"/>
        </w:rPr>
        <w:t xml:space="preserve"> </w:t>
      </w:r>
      <w:r w:rsidRPr="00ED7694">
        <w:rPr>
          <w:rFonts w:cstheme="minorHAnsi"/>
        </w:rPr>
        <w:t xml:space="preserve">10 a § 13 vyhlášky č. 416/2004 Sb., </w:t>
      </w:r>
      <w:r w:rsidR="0031062F">
        <w:rPr>
          <w:rFonts w:cstheme="minorHAnsi"/>
        </w:rPr>
        <w:t>neboť</w:t>
      </w:r>
      <w:r w:rsidRPr="00ED7694">
        <w:rPr>
          <w:rFonts w:cstheme="minorHAnsi"/>
        </w:rPr>
        <w:t xml:space="preserve"> neprovedlo předběžnou říd</w:t>
      </w:r>
      <w:r w:rsidR="0031062F">
        <w:rPr>
          <w:rFonts w:cstheme="minorHAnsi"/>
        </w:rPr>
        <w:t>i</w:t>
      </w:r>
      <w:r w:rsidRPr="00ED7694">
        <w:rPr>
          <w:rFonts w:cstheme="minorHAnsi"/>
        </w:rPr>
        <w:t xml:space="preserve">cí kontrolu před vznikem závazku, ale až po podepsání těchto dodatků. </w:t>
      </w:r>
    </w:p>
    <w:p w14:paraId="76672673" w14:textId="7CC4A251" w:rsidR="00BB4C3D" w:rsidRDefault="00D457AE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  <w:color w:val="000000"/>
        </w:rPr>
      </w:pPr>
      <w:r>
        <w:rPr>
          <w:rFonts w:eastAsia="Calibri" w:cstheme="minorHAnsi"/>
        </w:rPr>
        <w:t xml:space="preserve">MO </w:t>
      </w:r>
      <w:r w:rsidR="00906987">
        <w:rPr>
          <w:rFonts w:eastAsia="Calibri" w:cstheme="minorHAnsi"/>
        </w:rPr>
        <w:t xml:space="preserve">mohlo poskytnout </w:t>
      </w:r>
      <w:r w:rsidR="00D91887">
        <w:rPr>
          <w:rFonts w:eastAsia="Calibri" w:cstheme="minorHAnsi"/>
        </w:rPr>
        <w:t>dodavateli</w:t>
      </w:r>
      <w:r>
        <w:rPr>
          <w:rFonts w:eastAsia="Calibri" w:cstheme="minorHAnsi"/>
        </w:rPr>
        <w:t xml:space="preserve"> na realizaci </w:t>
      </w:r>
      <w:r w:rsidR="00A64829">
        <w:rPr>
          <w:rFonts w:eastAsia="Calibri" w:cstheme="minorHAnsi"/>
        </w:rPr>
        <w:t xml:space="preserve">dodávek vozidel </w:t>
      </w:r>
      <w:r>
        <w:rPr>
          <w:rFonts w:eastAsia="Calibri" w:cstheme="minorHAnsi"/>
        </w:rPr>
        <w:t>zálohy</w:t>
      </w:r>
      <w:r w:rsidR="001D3A0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za podmínky doložení ekonomické výhodnosti</w:t>
      </w:r>
      <w:r w:rsidRPr="006B1419">
        <w:rPr>
          <w:rFonts w:eastAsia="Calibri" w:cstheme="minorHAnsi"/>
        </w:rPr>
        <w:t>. V letech 2018</w:t>
      </w:r>
      <w:r w:rsidR="006B1419" w:rsidRPr="006B1419">
        <w:rPr>
          <w:rFonts w:eastAsia="Calibri" w:cstheme="minorHAnsi"/>
        </w:rPr>
        <w:t>–</w:t>
      </w:r>
      <w:r w:rsidRPr="006B1419">
        <w:rPr>
          <w:rFonts w:eastAsia="Calibri" w:cstheme="minorHAnsi"/>
        </w:rPr>
        <w:t xml:space="preserve">2019 poskytlo </w:t>
      </w:r>
      <w:r w:rsidR="00A92A4D">
        <w:rPr>
          <w:rFonts w:eastAsia="Calibri" w:cstheme="minorHAnsi"/>
        </w:rPr>
        <w:t xml:space="preserve">MO první </w:t>
      </w:r>
      <w:r w:rsidRPr="006B1419">
        <w:rPr>
          <w:rFonts w:eastAsia="Calibri" w:cstheme="minorHAnsi"/>
        </w:rPr>
        <w:t>zálohu ve výši</w:t>
      </w:r>
      <w:r w:rsidR="00DF17C2">
        <w:rPr>
          <w:rFonts w:eastAsia="Calibri" w:cstheme="minorHAnsi"/>
        </w:rPr>
        <w:t xml:space="preserve"> </w:t>
      </w:r>
      <w:r w:rsidRPr="006B1419">
        <w:rPr>
          <w:rFonts w:eastAsia="Calibri" w:cstheme="minorHAnsi"/>
        </w:rPr>
        <w:t>2</w:t>
      </w:r>
      <w:r w:rsidR="009D5198">
        <w:rPr>
          <w:rFonts w:eastAsia="Calibri" w:cstheme="minorHAnsi"/>
        </w:rPr>
        <w:t> </w:t>
      </w:r>
      <w:r w:rsidRPr="006B1419">
        <w:rPr>
          <w:rFonts w:eastAsia="Calibri" w:cstheme="minorHAnsi"/>
        </w:rPr>
        <w:t xml:space="preserve">000 mil. Kč, </w:t>
      </w:r>
      <w:r w:rsidR="000B2D30">
        <w:rPr>
          <w:rFonts w:eastAsia="Calibri" w:cstheme="minorHAnsi"/>
        </w:rPr>
        <w:t xml:space="preserve">jejíž </w:t>
      </w:r>
      <w:r w:rsidRPr="006B1419">
        <w:rPr>
          <w:rFonts w:eastAsia="Calibri" w:cstheme="minorHAnsi"/>
        </w:rPr>
        <w:t xml:space="preserve">ekonomická výhodnost spočívala </w:t>
      </w:r>
      <w:r w:rsidR="00856B85">
        <w:rPr>
          <w:rFonts w:eastAsia="Calibri" w:cstheme="minorHAnsi"/>
        </w:rPr>
        <w:t xml:space="preserve">ve </w:t>
      </w:r>
      <w:r w:rsidRPr="006B1419">
        <w:rPr>
          <w:rFonts w:eastAsia="Calibri" w:cstheme="minorHAnsi"/>
        </w:rPr>
        <w:t xml:space="preserve">slevě </w:t>
      </w:r>
      <w:r w:rsidR="00856B85">
        <w:rPr>
          <w:rFonts w:eastAsia="Calibri" w:cstheme="minorHAnsi"/>
        </w:rPr>
        <w:t xml:space="preserve">oproti nabídkové ceně poskytnuté </w:t>
      </w:r>
      <w:r w:rsidR="00906987">
        <w:rPr>
          <w:rFonts w:eastAsia="Calibri" w:cstheme="minorHAnsi"/>
        </w:rPr>
        <w:t xml:space="preserve">dodavatelem </w:t>
      </w:r>
      <w:r w:rsidRPr="006B1419">
        <w:rPr>
          <w:rFonts w:eastAsia="Calibri" w:cstheme="minorHAnsi"/>
        </w:rPr>
        <w:t>ve výši</w:t>
      </w:r>
      <w:r w:rsidR="00DF17C2">
        <w:rPr>
          <w:rFonts w:eastAsia="Calibri" w:cstheme="minorHAnsi"/>
        </w:rPr>
        <w:t xml:space="preserve"> </w:t>
      </w:r>
      <w:r w:rsidRPr="006B1419">
        <w:rPr>
          <w:rFonts w:eastAsia="Calibri" w:cstheme="minorHAnsi"/>
        </w:rPr>
        <w:t>147</w:t>
      </w:r>
      <w:r w:rsidR="006B1419">
        <w:rPr>
          <w:rFonts w:eastAsia="Calibri" w:cstheme="minorHAnsi"/>
        </w:rPr>
        <w:t xml:space="preserve"> </w:t>
      </w:r>
      <w:r w:rsidRPr="006B1419">
        <w:rPr>
          <w:rFonts w:eastAsia="Calibri" w:cstheme="minorHAnsi"/>
        </w:rPr>
        <w:t>mil. Kč</w:t>
      </w:r>
      <w:r w:rsidR="00856B85">
        <w:rPr>
          <w:rFonts w:eastAsia="Calibri" w:cstheme="minorHAnsi"/>
        </w:rPr>
        <w:t xml:space="preserve">. </w:t>
      </w:r>
      <w:r w:rsidRPr="006B1419">
        <w:rPr>
          <w:rFonts w:cstheme="minorHAnsi"/>
        </w:rPr>
        <w:t>V letech 2021</w:t>
      </w:r>
      <w:r w:rsidR="006B1419">
        <w:rPr>
          <w:rFonts w:cstheme="minorHAnsi"/>
        </w:rPr>
        <w:t>–</w:t>
      </w:r>
      <w:r w:rsidRPr="006B1419">
        <w:rPr>
          <w:rFonts w:cstheme="minorHAnsi"/>
        </w:rPr>
        <w:t xml:space="preserve">2022 poskytlo MO </w:t>
      </w:r>
      <w:r w:rsidR="00A92A4D">
        <w:rPr>
          <w:rFonts w:cstheme="minorHAnsi"/>
        </w:rPr>
        <w:t xml:space="preserve">druhou </w:t>
      </w:r>
      <w:r w:rsidR="006B1419">
        <w:rPr>
          <w:rFonts w:cstheme="minorHAnsi"/>
        </w:rPr>
        <w:t xml:space="preserve">zálohu </w:t>
      </w:r>
      <w:r w:rsidRPr="006B1419">
        <w:rPr>
          <w:rFonts w:cstheme="minorHAnsi"/>
        </w:rPr>
        <w:t>ve výši</w:t>
      </w:r>
      <w:r w:rsidR="00DF17C2">
        <w:rPr>
          <w:rFonts w:cstheme="minorHAnsi"/>
        </w:rPr>
        <w:t> </w:t>
      </w:r>
      <w:r w:rsidRPr="006B1419">
        <w:rPr>
          <w:rFonts w:cstheme="minorHAnsi"/>
        </w:rPr>
        <w:t>2</w:t>
      </w:r>
      <w:r w:rsidR="006B1419">
        <w:rPr>
          <w:rFonts w:cstheme="minorHAnsi"/>
        </w:rPr>
        <w:t> </w:t>
      </w:r>
      <w:r w:rsidRPr="006B1419">
        <w:rPr>
          <w:rFonts w:cstheme="minorHAnsi"/>
        </w:rPr>
        <w:t>54</w:t>
      </w:r>
      <w:r w:rsidR="006B1419">
        <w:rPr>
          <w:rFonts w:cstheme="minorHAnsi"/>
        </w:rPr>
        <w:t xml:space="preserve">7 </w:t>
      </w:r>
      <w:r w:rsidRPr="006B1419">
        <w:rPr>
          <w:rFonts w:cstheme="minorHAnsi"/>
        </w:rPr>
        <w:t>mil. Kč</w:t>
      </w:r>
      <w:r w:rsidR="00A92A4D">
        <w:rPr>
          <w:rFonts w:cstheme="minorHAnsi"/>
        </w:rPr>
        <w:t xml:space="preserve">, v tomto případě však </w:t>
      </w:r>
      <w:r w:rsidRPr="006B1419">
        <w:rPr>
          <w:rFonts w:cstheme="minorHAnsi"/>
        </w:rPr>
        <w:t>bez poskytnutí slevy</w:t>
      </w:r>
      <w:r w:rsidR="006B1419">
        <w:rPr>
          <w:rFonts w:cstheme="minorHAnsi"/>
        </w:rPr>
        <w:t xml:space="preserve"> ze strany dodavatele</w:t>
      </w:r>
      <w:r w:rsidRPr="006B1419">
        <w:rPr>
          <w:rFonts w:cstheme="minorHAnsi"/>
        </w:rPr>
        <w:t xml:space="preserve">, resp. bez doložení </w:t>
      </w:r>
      <w:r w:rsidR="00906987">
        <w:rPr>
          <w:rFonts w:cstheme="minorHAnsi"/>
        </w:rPr>
        <w:t xml:space="preserve">její </w:t>
      </w:r>
      <w:r w:rsidRPr="006B1419">
        <w:rPr>
          <w:rFonts w:cstheme="minorHAnsi"/>
        </w:rPr>
        <w:t xml:space="preserve">ekonomické výhodnosti. MO </w:t>
      </w:r>
      <w:r w:rsidRPr="006B1419">
        <w:rPr>
          <w:rFonts w:cstheme="minorHAnsi"/>
          <w:bCs/>
        </w:rPr>
        <w:t xml:space="preserve">nepostupovalo v souladu s ustanovením </w:t>
      </w:r>
      <w:r w:rsidR="0031062F">
        <w:rPr>
          <w:rFonts w:cstheme="minorHAnsi"/>
          <w:bCs/>
        </w:rPr>
        <w:br/>
      </w:r>
      <w:r w:rsidRPr="006B1419">
        <w:rPr>
          <w:rFonts w:cstheme="minorHAnsi"/>
          <w:bCs/>
        </w:rPr>
        <w:t>§</w:t>
      </w:r>
      <w:r w:rsidR="0031062F">
        <w:rPr>
          <w:rFonts w:cstheme="minorHAnsi"/>
          <w:bCs/>
        </w:rPr>
        <w:t xml:space="preserve"> </w:t>
      </w:r>
      <w:r w:rsidRPr="006B1419">
        <w:rPr>
          <w:rFonts w:cstheme="minorHAnsi"/>
          <w:bCs/>
        </w:rPr>
        <w:t>39</w:t>
      </w:r>
      <w:r w:rsidR="0031062F">
        <w:rPr>
          <w:rFonts w:cstheme="minorHAnsi"/>
          <w:bCs/>
        </w:rPr>
        <w:t xml:space="preserve"> </w:t>
      </w:r>
      <w:r w:rsidRPr="006B1419">
        <w:rPr>
          <w:rFonts w:cstheme="minorHAnsi"/>
          <w:bCs/>
        </w:rPr>
        <w:t>odst</w:t>
      </w:r>
      <w:r w:rsidRPr="00BB4C3D">
        <w:rPr>
          <w:rFonts w:cstheme="minorHAnsi"/>
          <w:bCs/>
        </w:rPr>
        <w:t>. 3 zákona č.</w:t>
      </w:r>
      <w:r w:rsidR="0031062F">
        <w:rPr>
          <w:rFonts w:cstheme="minorHAnsi"/>
          <w:bCs/>
        </w:rPr>
        <w:t xml:space="preserve"> </w:t>
      </w:r>
      <w:r w:rsidRPr="00BB4C3D">
        <w:rPr>
          <w:rFonts w:cstheme="minorHAnsi"/>
          <w:bCs/>
        </w:rPr>
        <w:t>218/2000 Sb.</w:t>
      </w:r>
      <w:r w:rsidRPr="00BB4C3D">
        <w:rPr>
          <w:rFonts w:cstheme="minorHAnsi"/>
        </w:rPr>
        <w:t xml:space="preserve">, neboť </w:t>
      </w:r>
      <w:r w:rsidR="0031062F">
        <w:rPr>
          <w:rFonts w:cstheme="minorHAnsi"/>
        </w:rPr>
        <w:t xml:space="preserve">nesplnilo svou povinnost </w:t>
      </w:r>
      <w:r w:rsidRPr="00BB4C3D">
        <w:rPr>
          <w:rFonts w:cstheme="minorHAnsi"/>
        </w:rPr>
        <w:t>soustavně sledova</w:t>
      </w:r>
      <w:r w:rsidR="0031062F">
        <w:rPr>
          <w:rFonts w:cstheme="minorHAnsi"/>
        </w:rPr>
        <w:t>t</w:t>
      </w:r>
      <w:r w:rsidRPr="00BB4C3D">
        <w:rPr>
          <w:rFonts w:cstheme="minorHAnsi"/>
        </w:rPr>
        <w:t xml:space="preserve"> a</w:t>
      </w:r>
      <w:r w:rsidR="00856B85">
        <w:rPr>
          <w:rFonts w:cstheme="minorHAnsi"/>
        </w:rPr>
        <w:t> </w:t>
      </w:r>
      <w:r w:rsidRPr="00BB4C3D">
        <w:rPr>
          <w:rFonts w:cstheme="minorHAnsi"/>
        </w:rPr>
        <w:t>vyhodnocova</w:t>
      </w:r>
      <w:r w:rsidR="0031062F">
        <w:rPr>
          <w:rFonts w:cstheme="minorHAnsi"/>
        </w:rPr>
        <w:t>t</w:t>
      </w:r>
      <w:r w:rsidRPr="00BB4C3D">
        <w:rPr>
          <w:rFonts w:cstheme="minorHAnsi"/>
        </w:rPr>
        <w:t xml:space="preserve"> efektivnost vynakládání </w:t>
      </w:r>
      <w:r w:rsidR="00906987" w:rsidRPr="005513A4">
        <w:rPr>
          <w:rFonts w:cstheme="minorHAnsi"/>
        </w:rPr>
        <w:t>peněžních prostředků</w:t>
      </w:r>
      <w:r w:rsidR="00906987">
        <w:rPr>
          <w:rFonts w:cstheme="minorHAnsi"/>
        </w:rPr>
        <w:t xml:space="preserve"> státního rozpočtu</w:t>
      </w:r>
      <w:r w:rsidRPr="00BB4C3D">
        <w:rPr>
          <w:rFonts w:cstheme="minorHAnsi"/>
        </w:rPr>
        <w:t>.</w:t>
      </w:r>
      <w:r w:rsidRPr="006B1419">
        <w:rPr>
          <w:rFonts w:cstheme="minorHAnsi"/>
          <w:color w:val="000000"/>
        </w:rPr>
        <w:t xml:space="preserve"> </w:t>
      </w:r>
      <w:r w:rsidR="001D3A0D">
        <w:rPr>
          <w:rFonts w:cstheme="minorHAnsi"/>
          <w:color w:val="000000"/>
        </w:rPr>
        <w:t>C</w:t>
      </w:r>
      <w:r w:rsidR="00A92A4D">
        <w:rPr>
          <w:rFonts w:cstheme="minorHAnsi"/>
          <w:color w:val="000000"/>
        </w:rPr>
        <w:t xml:space="preserve">elkem </w:t>
      </w:r>
      <w:r w:rsidR="001D3A0D" w:rsidRPr="006B1419">
        <w:rPr>
          <w:rFonts w:cstheme="minorHAnsi"/>
          <w:color w:val="000000"/>
        </w:rPr>
        <w:t xml:space="preserve">MO </w:t>
      </w:r>
      <w:r w:rsidRPr="006B1419">
        <w:rPr>
          <w:rFonts w:cstheme="minorHAnsi"/>
          <w:color w:val="000000"/>
        </w:rPr>
        <w:t xml:space="preserve">poskytlo </w:t>
      </w:r>
      <w:r w:rsidR="00906987">
        <w:rPr>
          <w:rFonts w:cstheme="minorHAnsi"/>
          <w:color w:val="000000"/>
        </w:rPr>
        <w:t xml:space="preserve">dodavateli </w:t>
      </w:r>
      <w:r>
        <w:rPr>
          <w:rFonts w:cstheme="minorHAnsi"/>
          <w:color w:val="000000"/>
        </w:rPr>
        <w:t>zálohy v</w:t>
      </w:r>
      <w:r w:rsidR="00A92A4D">
        <w:rPr>
          <w:rFonts w:cstheme="minorHAnsi"/>
          <w:color w:val="000000"/>
        </w:rPr>
        <w:t xml:space="preserve">e </w:t>
      </w:r>
      <w:r>
        <w:rPr>
          <w:rFonts w:cstheme="minorHAnsi"/>
          <w:color w:val="000000"/>
        </w:rPr>
        <w:t>výši 4</w:t>
      </w:r>
      <w:r w:rsidR="00FB683F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547</w:t>
      </w:r>
      <w:r w:rsidR="00FB683F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>mil. Kč (tj. cca 89 % z</w:t>
      </w:r>
      <w:r w:rsidR="005866D0">
        <w:rPr>
          <w:rFonts w:cstheme="minorHAnsi"/>
          <w:color w:val="000000"/>
        </w:rPr>
        <w:t> kupní c</w:t>
      </w:r>
      <w:r>
        <w:rPr>
          <w:rFonts w:cstheme="minorHAnsi"/>
          <w:color w:val="000000"/>
        </w:rPr>
        <w:t>eny).</w:t>
      </w:r>
    </w:p>
    <w:p w14:paraId="6E3AF18D" w14:textId="6972B727" w:rsidR="007C4E79" w:rsidRPr="00FF17D7" w:rsidRDefault="00D457AE" w:rsidP="00FF17D7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eastAsia="Calibri" w:cstheme="minorHAnsi"/>
        </w:rPr>
      </w:pPr>
      <w:r>
        <w:rPr>
          <w:rFonts w:cstheme="minorHAnsi"/>
        </w:rPr>
        <w:t xml:space="preserve">Kupní smlouva </w:t>
      </w:r>
      <w:r w:rsidR="00090EDC">
        <w:rPr>
          <w:rFonts w:cstheme="minorHAnsi"/>
        </w:rPr>
        <w:t xml:space="preserve">uzavřená </w:t>
      </w:r>
      <w:r w:rsidR="00BD4F5C">
        <w:rPr>
          <w:rFonts w:cstheme="minorHAnsi"/>
        </w:rPr>
        <w:t>s dodavatelem</w:t>
      </w:r>
      <w:r w:rsidR="002B5D88">
        <w:rPr>
          <w:rFonts w:cstheme="minorHAnsi"/>
        </w:rPr>
        <w:t xml:space="preserve"> </w:t>
      </w:r>
      <w:r>
        <w:rPr>
          <w:rFonts w:cstheme="minorHAnsi"/>
        </w:rPr>
        <w:t>stanovila t</w:t>
      </w:r>
      <w:r w:rsidRPr="00BB4C3D">
        <w:rPr>
          <w:rFonts w:cstheme="minorHAnsi"/>
        </w:rPr>
        <w:t>ermíny pro vyúčtování záloh</w:t>
      </w:r>
      <w:r w:rsidR="006A2024">
        <w:rPr>
          <w:rFonts w:cstheme="minorHAnsi"/>
        </w:rPr>
        <w:t xml:space="preserve"> ve vazbě na </w:t>
      </w:r>
      <w:r w:rsidR="00A92A4D">
        <w:rPr>
          <w:rFonts w:cstheme="minorHAnsi"/>
        </w:rPr>
        <w:t xml:space="preserve">termíny </w:t>
      </w:r>
      <w:r w:rsidR="006A2024">
        <w:rPr>
          <w:rFonts w:cstheme="minorHAnsi"/>
        </w:rPr>
        <w:t xml:space="preserve">dodání vozidel. </w:t>
      </w:r>
      <w:r w:rsidR="00D91887">
        <w:rPr>
          <w:rFonts w:cstheme="minorHAnsi"/>
        </w:rPr>
        <w:t>Dodavatel</w:t>
      </w:r>
      <w:r w:rsidR="006A2024">
        <w:rPr>
          <w:rFonts w:cstheme="minorHAnsi"/>
        </w:rPr>
        <w:t xml:space="preserve"> </w:t>
      </w:r>
      <w:r w:rsidRPr="00BB4C3D">
        <w:rPr>
          <w:rFonts w:cstheme="minorHAnsi"/>
        </w:rPr>
        <w:t>nesplnil ve třech případech termíny dodávek (č.</w:t>
      </w:r>
      <w:r w:rsidR="009F60A7">
        <w:rPr>
          <w:rFonts w:cstheme="minorHAnsi"/>
        </w:rPr>
        <w:t> </w:t>
      </w:r>
      <w:r w:rsidRPr="00BB4C3D">
        <w:rPr>
          <w:rFonts w:cstheme="minorHAnsi"/>
        </w:rPr>
        <w:t>1, č. 2 a</w:t>
      </w:r>
      <w:r w:rsidR="00FB683F">
        <w:rPr>
          <w:rFonts w:cstheme="minorHAnsi"/>
        </w:rPr>
        <w:t> </w:t>
      </w:r>
      <w:r w:rsidRPr="00BB4C3D">
        <w:rPr>
          <w:rFonts w:cstheme="minorHAnsi"/>
        </w:rPr>
        <w:t>č.</w:t>
      </w:r>
      <w:r w:rsidR="00FB683F">
        <w:rPr>
          <w:rFonts w:cstheme="minorHAnsi"/>
        </w:rPr>
        <w:t> </w:t>
      </w:r>
      <w:r w:rsidRPr="00BB4C3D">
        <w:rPr>
          <w:rFonts w:cstheme="minorHAnsi"/>
        </w:rPr>
        <w:t>5). MO t</w:t>
      </w:r>
      <w:r w:rsidR="006A2024">
        <w:rPr>
          <w:rFonts w:cstheme="minorHAnsi"/>
        </w:rPr>
        <w:t>ím vznikl nárok na uplatnění s</w:t>
      </w:r>
      <w:r w:rsidR="00055F2B">
        <w:rPr>
          <w:rFonts w:cstheme="minorHAnsi"/>
        </w:rPr>
        <w:t xml:space="preserve">mluvních pokut </w:t>
      </w:r>
      <w:r w:rsidRPr="00BB4C3D">
        <w:rPr>
          <w:rFonts w:cstheme="minorHAnsi"/>
        </w:rPr>
        <w:t xml:space="preserve">za nevyúčtování </w:t>
      </w:r>
      <w:r w:rsidR="00A92A4D">
        <w:rPr>
          <w:rFonts w:cstheme="minorHAnsi"/>
        </w:rPr>
        <w:t xml:space="preserve">zálohy </w:t>
      </w:r>
      <w:r w:rsidR="006A2024">
        <w:rPr>
          <w:rFonts w:cstheme="minorHAnsi"/>
        </w:rPr>
        <w:t>za každé vozidlo nedodané včas</w:t>
      </w:r>
      <w:r w:rsidR="006E6DEC">
        <w:rPr>
          <w:rFonts w:cstheme="minorHAnsi"/>
        </w:rPr>
        <w:t xml:space="preserve"> </w:t>
      </w:r>
      <w:r w:rsidRPr="00BB4C3D">
        <w:rPr>
          <w:rFonts w:cstheme="minorHAnsi"/>
        </w:rPr>
        <w:t xml:space="preserve">v celkové výši 11 mil. Kč. MO do </w:t>
      </w:r>
      <w:r w:rsidR="005866D0">
        <w:rPr>
          <w:rFonts w:cstheme="minorHAnsi"/>
        </w:rPr>
        <w:t xml:space="preserve">doby ukončení kontroly </w:t>
      </w:r>
      <w:r w:rsidRPr="00BB4C3D">
        <w:rPr>
          <w:rFonts w:cstheme="minorHAnsi"/>
        </w:rPr>
        <w:t>NKÚ</w:t>
      </w:r>
      <w:r w:rsidR="00906987">
        <w:rPr>
          <w:rFonts w:cstheme="minorHAnsi"/>
        </w:rPr>
        <w:t xml:space="preserve"> </w:t>
      </w:r>
      <w:r w:rsidR="00055F2B">
        <w:rPr>
          <w:rFonts w:cstheme="minorHAnsi"/>
        </w:rPr>
        <w:t xml:space="preserve">smluvní pokuty </w:t>
      </w:r>
      <w:r w:rsidR="000B7674">
        <w:rPr>
          <w:rFonts w:cstheme="minorHAnsi"/>
        </w:rPr>
        <w:t>nepožadovalo</w:t>
      </w:r>
      <w:r w:rsidRPr="00BB4C3D">
        <w:rPr>
          <w:rFonts w:cstheme="minorHAnsi"/>
        </w:rPr>
        <w:t>, ačkoliv nárok na</w:t>
      </w:r>
      <w:r w:rsidR="00DF122F">
        <w:rPr>
          <w:rFonts w:cstheme="minorHAnsi"/>
        </w:rPr>
        <w:t xml:space="preserve"> část smluvní pokuty </w:t>
      </w:r>
      <w:r w:rsidRPr="00BB4C3D">
        <w:rPr>
          <w:rFonts w:cstheme="minorHAnsi"/>
        </w:rPr>
        <w:t xml:space="preserve">vznikl </w:t>
      </w:r>
      <w:r w:rsidR="00A92A4D">
        <w:rPr>
          <w:rFonts w:cstheme="minorHAnsi"/>
        </w:rPr>
        <w:t xml:space="preserve">již </w:t>
      </w:r>
      <w:r w:rsidRPr="00BB4C3D">
        <w:rPr>
          <w:rFonts w:cstheme="minorHAnsi"/>
        </w:rPr>
        <w:t xml:space="preserve">dne </w:t>
      </w:r>
      <w:r w:rsidR="006A2024">
        <w:rPr>
          <w:rFonts w:cstheme="minorHAnsi"/>
        </w:rPr>
        <w:t>16.</w:t>
      </w:r>
      <w:r w:rsidR="005866D0">
        <w:rPr>
          <w:rFonts w:cstheme="minorHAnsi"/>
        </w:rPr>
        <w:t> </w:t>
      </w:r>
      <w:r w:rsidR="0065376F">
        <w:rPr>
          <w:rFonts w:cstheme="minorHAnsi"/>
        </w:rPr>
        <w:t>prosince</w:t>
      </w:r>
      <w:r w:rsidR="006A2024">
        <w:rPr>
          <w:rFonts w:cstheme="minorHAnsi"/>
        </w:rPr>
        <w:t xml:space="preserve"> </w:t>
      </w:r>
      <w:r w:rsidRPr="00BB4C3D">
        <w:rPr>
          <w:rFonts w:cstheme="minorHAnsi"/>
        </w:rPr>
        <w:t xml:space="preserve">2021. </w:t>
      </w:r>
      <w:r w:rsidR="006A2024">
        <w:rPr>
          <w:rFonts w:cstheme="minorHAnsi"/>
        </w:rPr>
        <w:t>Zároveň t</w:t>
      </w:r>
      <w:r w:rsidRPr="00BB4C3D">
        <w:rPr>
          <w:rFonts w:cstheme="minorHAnsi"/>
        </w:rPr>
        <w:t xml:space="preserve">ím, že </w:t>
      </w:r>
      <w:r w:rsidR="006A2024">
        <w:rPr>
          <w:rFonts w:cstheme="minorHAnsi"/>
        </w:rPr>
        <w:t>dodavatel nedodal dodávky ve smluvně stanoveném termín</w:t>
      </w:r>
      <w:r w:rsidR="0043457B">
        <w:rPr>
          <w:rFonts w:cstheme="minorHAnsi"/>
        </w:rPr>
        <w:t>u</w:t>
      </w:r>
      <w:r w:rsidR="006A2024">
        <w:rPr>
          <w:rFonts w:cstheme="minorHAnsi"/>
        </w:rPr>
        <w:t>, vznikl MO nárok na</w:t>
      </w:r>
      <w:r w:rsidRPr="00BB4C3D">
        <w:rPr>
          <w:rFonts w:cstheme="minorHAnsi"/>
        </w:rPr>
        <w:t xml:space="preserve"> </w:t>
      </w:r>
      <w:r w:rsidR="00055F2B">
        <w:rPr>
          <w:rFonts w:cstheme="minorHAnsi"/>
        </w:rPr>
        <w:t xml:space="preserve">smluvní pokutu </w:t>
      </w:r>
      <w:r w:rsidRPr="00BB4C3D">
        <w:rPr>
          <w:rFonts w:cstheme="minorHAnsi"/>
        </w:rPr>
        <w:t>za pozdní dodání</w:t>
      </w:r>
      <w:r w:rsidR="006A2024">
        <w:rPr>
          <w:rFonts w:cstheme="minorHAnsi"/>
        </w:rPr>
        <w:t xml:space="preserve"> zboží ve výši </w:t>
      </w:r>
      <w:r w:rsidRPr="00BB4C3D">
        <w:rPr>
          <w:rFonts w:cstheme="minorHAnsi"/>
        </w:rPr>
        <w:t>22</w:t>
      </w:r>
      <w:r w:rsidR="003400C3">
        <w:rPr>
          <w:rFonts w:cstheme="minorHAnsi"/>
        </w:rPr>
        <w:t> </w:t>
      </w:r>
      <w:r w:rsidRPr="00BB4C3D">
        <w:rPr>
          <w:rFonts w:cstheme="minorHAnsi"/>
        </w:rPr>
        <w:t>mil. Kč. Ani tyto s</w:t>
      </w:r>
      <w:r w:rsidR="00055F2B">
        <w:rPr>
          <w:rFonts w:cstheme="minorHAnsi"/>
        </w:rPr>
        <w:t xml:space="preserve">mluvní pokuty </w:t>
      </w:r>
      <w:r w:rsidR="00FF17D7">
        <w:rPr>
          <w:rFonts w:cstheme="minorHAnsi"/>
        </w:rPr>
        <w:t xml:space="preserve">však </w:t>
      </w:r>
      <w:r w:rsidRPr="00BB4C3D">
        <w:rPr>
          <w:rFonts w:cstheme="minorHAnsi"/>
        </w:rPr>
        <w:t xml:space="preserve">MO do </w:t>
      </w:r>
      <w:r w:rsidR="005866D0">
        <w:rPr>
          <w:rFonts w:cstheme="minorHAnsi"/>
        </w:rPr>
        <w:t xml:space="preserve">doby ukončení kontroly </w:t>
      </w:r>
      <w:r w:rsidR="00FF17D7">
        <w:rPr>
          <w:rFonts w:cstheme="minorHAnsi"/>
        </w:rPr>
        <w:t>NKÚ</w:t>
      </w:r>
      <w:r w:rsidR="00906987">
        <w:rPr>
          <w:rFonts w:cstheme="minorHAnsi"/>
        </w:rPr>
        <w:t xml:space="preserve"> </w:t>
      </w:r>
      <w:r w:rsidR="000B7674">
        <w:rPr>
          <w:rFonts w:cstheme="minorHAnsi"/>
        </w:rPr>
        <w:t>nepožadovalo</w:t>
      </w:r>
      <w:r w:rsidRPr="00BB4C3D">
        <w:rPr>
          <w:rFonts w:cstheme="minorHAnsi"/>
        </w:rPr>
        <w:t>, ačkoliv</w:t>
      </w:r>
      <w:r w:rsidR="00906987">
        <w:rPr>
          <w:rFonts w:cstheme="minorHAnsi"/>
        </w:rPr>
        <w:t xml:space="preserve"> </w:t>
      </w:r>
      <w:r w:rsidRPr="00FF17D7">
        <w:rPr>
          <w:rFonts w:cstheme="minorHAnsi"/>
        </w:rPr>
        <w:t xml:space="preserve">nárok na </w:t>
      </w:r>
      <w:r w:rsidR="00DF122F">
        <w:rPr>
          <w:rFonts w:cstheme="minorHAnsi"/>
        </w:rPr>
        <w:t xml:space="preserve">část </w:t>
      </w:r>
      <w:r w:rsidR="00055F2B" w:rsidRPr="00FF17D7">
        <w:rPr>
          <w:rFonts w:cstheme="minorHAnsi"/>
        </w:rPr>
        <w:t>smluvní pokut</w:t>
      </w:r>
      <w:r w:rsidR="00DF122F">
        <w:rPr>
          <w:rFonts w:cstheme="minorHAnsi"/>
        </w:rPr>
        <w:t xml:space="preserve">y </w:t>
      </w:r>
      <w:r w:rsidRPr="00FF17D7">
        <w:rPr>
          <w:rFonts w:cstheme="minorHAnsi"/>
        </w:rPr>
        <w:t xml:space="preserve">vznikl </w:t>
      </w:r>
      <w:r w:rsidR="0008113F">
        <w:rPr>
          <w:rFonts w:cstheme="minorHAnsi"/>
        </w:rPr>
        <w:t>rovněž ke dni</w:t>
      </w:r>
      <w:r w:rsidRPr="00FF17D7">
        <w:rPr>
          <w:rFonts w:cstheme="minorHAnsi"/>
        </w:rPr>
        <w:t xml:space="preserve"> 16.</w:t>
      </w:r>
      <w:r w:rsidR="004609D0" w:rsidRPr="00FF17D7">
        <w:rPr>
          <w:rFonts w:cstheme="minorHAnsi"/>
        </w:rPr>
        <w:t> </w:t>
      </w:r>
      <w:r w:rsidR="0065376F" w:rsidRPr="00FF17D7">
        <w:rPr>
          <w:rFonts w:cstheme="minorHAnsi"/>
        </w:rPr>
        <w:t xml:space="preserve">prosince </w:t>
      </w:r>
      <w:r w:rsidRPr="00FF17D7">
        <w:rPr>
          <w:rFonts w:cstheme="minorHAnsi"/>
        </w:rPr>
        <w:t>2021.</w:t>
      </w:r>
      <w:r w:rsidR="004609D0" w:rsidRPr="00FF17D7">
        <w:rPr>
          <w:rFonts w:cstheme="minorHAnsi"/>
        </w:rPr>
        <w:t xml:space="preserve"> </w:t>
      </w:r>
      <w:r w:rsidR="006A2024" w:rsidRPr="00FF17D7">
        <w:rPr>
          <w:rFonts w:cstheme="minorHAnsi"/>
        </w:rPr>
        <w:t>MO stanovilo t</w:t>
      </w:r>
      <w:r w:rsidRPr="00FF17D7">
        <w:rPr>
          <w:rFonts w:cstheme="minorHAnsi"/>
        </w:rPr>
        <w:t xml:space="preserve">ermín ukončení realizace akce </w:t>
      </w:r>
      <w:r w:rsidR="0031062F">
        <w:rPr>
          <w:rFonts w:cstheme="minorHAnsi"/>
        </w:rPr>
        <w:t>na</w:t>
      </w:r>
      <w:r w:rsidRPr="00FF17D7">
        <w:rPr>
          <w:rFonts w:cstheme="minorHAnsi"/>
        </w:rPr>
        <w:t xml:space="preserve"> 31.</w:t>
      </w:r>
      <w:r w:rsidR="00FB683F" w:rsidRPr="00FF17D7">
        <w:rPr>
          <w:rFonts w:cstheme="minorHAnsi"/>
        </w:rPr>
        <w:t> </w:t>
      </w:r>
      <w:r w:rsidRPr="00FF17D7">
        <w:rPr>
          <w:rFonts w:cstheme="minorHAnsi"/>
        </w:rPr>
        <w:t>července 2023</w:t>
      </w:r>
      <w:r w:rsidR="00856B85">
        <w:rPr>
          <w:rFonts w:cstheme="minorHAnsi"/>
        </w:rPr>
        <w:t xml:space="preserve">, </w:t>
      </w:r>
      <w:r w:rsidR="0031062F">
        <w:rPr>
          <w:rFonts w:cstheme="minorHAnsi"/>
        </w:rPr>
        <w:t xml:space="preserve">do </w:t>
      </w:r>
      <w:r w:rsidRPr="00FF17D7">
        <w:rPr>
          <w:rFonts w:cstheme="minorHAnsi"/>
        </w:rPr>
        <w:t>konc</w:t>
      </w:r>
      <w:r w:rsidR="0031062F">
        <w:rPr>
          <w:rFonts w:cstheme="minorHAnsi"/>
        </w:rPr>
        <w:t>e</w:t>
      </w:r>
      <w:r w:rsidRPr="00FF17D7">
        <w:rPr>
          <w:rFonts w:cstheme="minorHAnsi"/>
        </w:rPr>
        <w:t xml:space="preserve"> června 2023 převzalo 35</w:t>
      </w:r>
      <w:r w:rsidR="001C6710" w:rsidRPr="00FF17D7">
        <w:rPr>
          <w:rFonts w:cstheme="minorHAnsi"/>
        </w:rPr>
        <w:t xml:space="preserve"> ze 40</w:t>
      </w:r>
      <w:r w:rsidRPr="00FF17D7">
        <w:rPr>
          <w:rFonts w:cstheme="minorHAnsi"/>
        </w:rPr>
        <w:t xml:space="preserve"> párů vozidel. </w:t>
      </w:r>
    </w:p>
    <w:p w14:paraId="66519E17" w14:textId="21197FA0" w:rsidR="007C4E79" w:rsidRDefault="0031062F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eastAsia="Calibri" w:cstheme="minorHAnsi"/>
        </w:rPr>
      </w:pPr>
      <w:r>
        <w:rPr>
          <w:rFonts w:eastAsia="Calibri" w:cstheme="minorHAnsi"/>
        </w:rPr>
        <w:t>Kontrola</w:t>
      </w:r>
      <w:r w:rsidR="00D457AE">
        <w:rPr>
          <w:rFonts w:eastAsia="Calibri" w:cstheme="minorHAnsi"/>
        </w:rPr>
        <w:t xml:space="preserve"> dále zjistil</w:t>
      </w:r>
      <w:r>
        <w:rPr>
          <w:rFonts w:eastAsia="Calibri" w:cstheme="minorHAnsi"/>
        </w:rPr>
        <w:t>a</w:t>
      </w:r>
      <w:r w:rsidR="00D457AE">
        <w:rPr>
          <w:rFonts w:eastAsia="Calibri" w:cstheme="minorHAnsi"/>
        </w:rPr>
        <w:t xml:space="preserve">, že MO nemělo ani po pěti letech </w:t>
      </w:r>
      <w:r w:rsidR="00B4061E">
        <w:rPr>
          <w:rFonts w:eastAsia="Calibri" w:cstheme="minorHAnsi"/>
        </w:rPr>
        <w:t xml:space="preserve">od </w:t>
      </w:r>
      <w:r w:rsidR="00D457AE">
        <w:rPr>
          <w:rFonts w:eastAsia="Calibri" w:cstheme="minorHAnsi"/>
        </w:rPr>
        <w:t>uzavření kupní smlouvy</w:t>
      </w:r>
      <w:r w:rsidR="00ED7694">
        <w:rPr>
          <w:rFonts w:eastAsia="Calibri" w:cstheme="minorHAnsi"/>
        </w:rPr>
        <w:t xml:space="preserve"> </w:t>
      </w:r>
      <w:r w:rsidR="00965CFA">
        <w:rPr>
          <w:rFonts w:eastAsia="Calibri" w:cstheme="minorHAnsi"/>
        </w:rPr>
        <w:br/>
      </w:r>
      <w:r w:rsidR="00ED7694">
        <w:rPr>
          <w:rFonts w:eastAsia="Calibri" w:cstheme="minorHAnsi"/>
        </w:rPr>
        <w:t>s</w:t>
      </w:r>
      <w:r w:rsidR="00965CFA">
        <w:rPr>
          <w:rFonts w:eastAsia="Calibri" w:cstheme="minorHAnsi"/>
        </w:rPr>
        <w:t xml:space="preserve"> </w:t>
      </w:r>
      <w:r w:rsidR="00ED7694">
        <w:rPr>
          <w:rFonts w:eastAsia="Calibri" w:cstheme="minorHAnsi"/>
        </w:rPr>
        <w:t>dodavatelem</w:t>
      </w:r>
      <w:r w:rsidR="00D457AE">
        <w:rPr>
          <w:rStyle w:val="Znakapoznpodarou"/>
          <w:rFonts w:eastAsia="Calibri" w:cstheme="minorHAnsi"/>
        </w:rPr>
        <w:footnoteReference w:id="45"/>
      </w:r>
      <w:r w:rsidR="00D457AE">
        <w:rPr>
          <w:rFonts w:eastAsia="Calibri" w:cstheme="minorHAnsi"/>
        </w:rPr>
        <w:t xml:space="preserve"> zabezpečen</w:t>
      </w:r>
      <w:r w:rsidR="00F775EC">
        <w:rPr>
          <w:rFonts w:eastAsia="Calibri" w:cstheme="minorHAnsi"/>
        </w:rPr>
        <w:t xml:space="preserve">y požadavky </w:t>
      </w:r>
      <w:r w:rsidR="00CF3589">
        <w:rPr>
          <w:rFonts w:eastAsia="Calibri" w:cstheme="minorHAnsi"/>
        </w:rPr>
        <w:t xml:space="preserve">na zajištění </w:t>
      </w:r>
      <w:r w:rsidR="00F775EC">
        <w:rPr>
          <w:rFonts w:eastAsia="Calibri" w:cstheme="minorHAnsi"/>
        </w:rPr>
        <w:t>životního</w:t>
      </w:r>
      <w:r w:rsidR="00D457AE">
        <w:rPr>
          <w:rFonts w:eastAsia="Calibri" w:cstheme="minorHAnsi"/>
        </w:rPr>
        <w:t xml:space="preserve"> cyklu pořizovaných vozidel, přestože již v</w:t>
      </w:r>
      <w:r w:rsidR="0081700C">
        <w:rPr>
          <w:rFonts w:eastAsia="Calibri" w:cstheme="minorHAnsi"/>
        </w:rPr>
        <w:t xml:space="preserve"> </w:t>
      </w:r>
      <w:r w:rsidR="00D457AE">
        <w:rPr>
          <w:rFonts w:eastAsia="Calibri" w:cstheme="minorHAnsi"/>
        </w:rPr>
        <w:t>roce 2016 v</w:t>
      </w:r>
      <w:r w:rsidR="0081700C">
        <w:rPr>
          <w:rFonts w:eastAsia="Calibri" w:cstheme="minorHAnsi"/>
        </w:rPr>
        <w:t xml:space="preserve"> </w:t>
      </w:r>
      <w:r w:rsidR="00D457AE">
        <w:rPr>
          <w:rFonts w:eastAsia="Calibri" w:cstheme="minorHAnsi"/>
        </w:rPr>
        <w:t xml:space="preserve">rámci </w:t>
      </w:r>
      <w:r w:rsidR="00D457AE">
        <w:rPr>
          <w:rFonts w:eastAsia="Calibri" w:cstheme="minorHAnsi"/>
          <w:i/>
          <w:iCs/>
        </w:rPr>
        <w:t>Strategie vyzbrojování a</w:t>
      </w:r>
      <w:r w:rsidR="00DF122F">
        <w:rPr>
          <w:rFonts w:eastAsia="Calibri" w:cstheme="minorHAnsi"/>
          <w:i/>
          <w:iCs/>
        </w:rPr>
        <w:t xml:space="preserve"> </w:t>
      </w:r>
      <w:r w:rsidR="00D457AE">
        <w:rPr>
          <w:rFonts w:eastAsia="Calibri" w:cstheme="minorHAnsi"/>
          <w:i/>
          <w:iCs/>
        </w:rPr>
        <w:t xml:space="preserve">podpory rozvoje obranného průmyslu </w:t>
      </w:r>
      <w:r w:rsidR="0081700C">
        <w:rPr>
          <w:rFonts w:eastAsia="Calibri" w:cstheme="minorHAnsi"/>
          <w:i/>
          <w:iCs/>
        </w:rPr>
        <w:t xml:space="preserve">České republiky do roku </w:t>
      </w:r>
      <w:r w:rsidR="00D457AE">
        <w:rPr>
          <w:rFonts w:eastAsia="Calibri" w:cstheme="minorHAnsi"/>
          <w:i/>
          <w:iCs/>
        </w:rPr>
        <w:t>2025</w:t>
      </w:r>
      <w:r w:rsidR="00D24024" w:rsidRPr="00092557">
        <w:rPr>
          <w:rStyle w:val="Znakapoznpodarou"/>
          <w:rFonts w:eastAsia="Calibri" w:cstheme="minorHAnsi"/>
          <w:iCs/>
        </w:rPr>
        <w:footnoteReference w:id="46"/>
      </w:r>
      <w:r w:rsidR="00D457AE" w:rsidRPr="00092557">
        <w:rPr>
          <w:rFonts w:eastAsia="Calibri" w:cstheme="minorHAnsi"/>
          <w:iCs/>
        </w:rPr>
        <w:t xml:space="preserve"> </w:t>
      </w:r>
      <w:r w:rsidR="00D457AE">
        <w:rPr>
          <w:rFonts w:eastAsia="Calibri" w:cstheme="minorHAnsi"/>
          <w:iCs/>
        </w:rPr>
        <w:t>deklarovalo</w:t>
      </w:r>
      <w:r w:rsidR="00B4061E">
        <w:rPr>
          <w:rFonts w:eastAsia="Calibri" w:cstheme="minorHAnsi"/>
          <w:iCs/>
        </w:rPr>
        <w:t xml:space="preserve">, že se bude zabývat životním cyklem techniky </w:t>
      </w:r>
      <w:r w:rsidR="00D457AE">
        <w:rPr>
          <w:rFonts w:eastAsia="Calibri" w:cstheme="minorHAnsi"/>
        </w:rPr>
        <w:t xml:space="preserve">a </w:t>
      </w:r>
      <w:r w:rsidR="00B4061E">
        <w:rPr>
          <w:rFonts w:eastAsia="Calibri" w:cstheme="minorHAnsi"/>
        </w:rPr>
        <w:t xml:space="preserve">bude uplatňovat </w:t>
      </w:r>
      <w:r w:rsidR="00D457AE">
        <w:rPr>
          <w:rFonts w:eastAsia="Calibri" w:cstheme="minorHAnsi"/>
        </w:rPr>
        <w:t>u</w:t>
      </w:r>
      <w:r>
        <w:rPr>
          <w:rFonts w:eastAsia="Calibri" w:cstheme="minorHAnsi"/>
        </w:rPr>
        <w:t xml:space="preserve"> </w:t>
      </w:r>
      <w:r w:rsidR="00D457AE">
        <w:rPr>
          <w:rFonts w:eastAsia="Calibri" w:cstheme="minorHAnsi"/>
        </w:rPr>
        <w:t xml:space="preserve">dodavatelů požadavky </w:t>
      </w:r>
      <w:r w:rsidR="00B4061E">
        <w:rPr>
          <w:rFonts w:eastAsia="Calibri" w:cstheme="minorHAnsi"/>
        </w:rPr>
        <w:t xml:space="preserve">na </w:t>
      </w:r>
      <w:r w:rsidR="00D457AE">
        <w:rPr>
          <w:rFonts w:eastAsia="Calibri" w:cstheme="minorHAnsi"/>
        </w:rPr>
        <w:t>garanc</w:t>
      </w:r>
      <w:r w:rsidR="00B4061E">
        <w:rPr>
          <w:rFonts w:eastAsia="Calibri" w:cstheme="minorHAnsi"/>
        </w:rPr>
        <w:t>i</w:t>
      </w:r>
      <w:r w:rsidR="00D457AE">
        <w:rPr>
          <w:rFonts w:eastAsia="Calibri" w:cstheme="minorHAnsi"/>
        </w:rPr>
        <w:t xml:space="preserve"> zabezpečení dodávek </w:t>
      </w:r>
      <w:r w:rsidR="00B4061E">
        <w:rPr>
          <w:rFonts w:eastAsia="Calibri" w:cstheme="minorHAnsi"/>
        </w:rPr>
        <w:t>náhradních dílů a</w:t>
      </w:r>
      <w:r w:rsidR="00216E31">
        <w:rPr>
          <w:rFonts w:eastAsia="Calibri" w:cstheme="minorHAnsi"/>
        </w:rPr>
        <w:t> </w:t>
      </w:r>
      <w:r w:rsidR="00B4061E">
        <w:rPr>
          <w:rFonts w:eastAsia="Calibri" w:cstheme="minorHAnsi"/>
        </w:rPr>
        <w:t xml:space="preserve">servisu </w:t>
      </w:r>
      <w:r w:rsidR="00D457AE">
        <w:rPr>
          <w:rFonts w:eastAsia="Calibri" w:cstheme="minorHAnsi"/>
        </w:rPr>
        <w:t xml:space="preserve">po celou dobu životního cyklu. </w:t>
      </w:r>
      <w:r w:rsidR="0065376F">
        <w:rPr>
          <w:rFonts w:eastAsia="Calibri" w:cstheme="minorHAnsi"/>
        </w:rPr>
        <w:t xml:space="preserve">NKÚ </w:t>
      </w:r>
      <w:r w:rsidR="00FD2580">
        <w:rPr>
          <w:rFonts w:eastAsia="Calibri" w:cstheme="minorHAnsi"/>
        </w:rPr>
        <w:t>zji</w:t>
      </w:r>
      <w:r>
        <w:rPr>
          <w:rFonts w:eastAsia="Calibri" w:cstheme="minorHAnsi"/>
        </w:rPr>
        <w:t>stil</w:t>
      </w:r>
      <w:r w:rsidR="00FD2580">
        <w:rPr>
          <w:rFonts w:eastAsia="Calibri" w:cstheme="minorHAnsi"/>
        </w:rPr>
        <w:t xml:space="preserve">, že od roku 2022 do doby </w:t>
      </w:r>
      <w:r w:rsidR="00D457AE">
        <w:rPr>
          <w:rFonts w:eastAsia="Calibri" w:cstheme="minorHAnsi"/>
        </w:rPr>
        <w:t xml:space="preserve">ukončení kontroly </w:t>
      </w:r>
      <w:r w:rsidR="00FD2580">
        <w:rPr>
          <w:rFonts w:eastAsia="Calibri" w:cstheme="minorHAnsi"/>
        </w:rPr>
        <w:t xml:space="preserve">bylo u 11 vozidel přidělených </w:t>
      </w:r>
      <w:r w:rsidR="00D457AE">
        <w:rPr>
          <w:rFonts w:eastAsia="Calibri" w:cstheme="minorHAnsi"/>
        </w:rPr>
        <w:t>31.</w:t>
      </w:r>
      <w:r w:rsidR="0081700C">
        <w:rPr>
          <w:rFonts w:eastAsia="Calibri" w:cstheme="minorHAnsi"/>
        </w:rPr>
        <w:t xml:space="preserve"> </w:t>
      </w:r>
      <w:proofErr w:type="spellStart"/>
      <w:r w:rsidR="00D457AE">
        <w:rPr>
          <w:rFonts w:eastAsia="Calibri" w:cstheme="minorHAnsi"/>
        </w:rPr>
        <w:t>prchbo</w:t>
      </w:r>
      <w:proofErr w:type="spellEnd"/>
      <w:r w:rsidR="00FD258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odhaleno</w:t>
      </w:r>
      <w:r w:rsidR="00FD2580">
        <w:rPr>
          <w:rFonts w:eastAsia="Calibri" w:cstheme="minorHAnsi"/>
        </w:rPr>
        <w:t xml:space="preserve"> celkem 149 závad, jež byly odstraňovány v rámci </w:t>
      </w:r>
      <w:r w:rsidR="00D457AE">
        <w:rPr>
          <w:rFonts w:cstheme="minorHAnsi"/>
        </w:rPr>
        <w:t>záručních</w:t>
      </w:r>
      <w:r w:rsidR="0065376F">
        <w:rPr>
          <w:rFonts w:cstheme="minorHAnsi"/>
        </w:rPr>
        <w:t xml:space="preserve"> podmínek</w:t>
      </w:r>
      <w:r w:rsidR="00D457AE">
        <w:rPr>
          <w:rFonts w:cstheme="minorHAnsi"/>
        </w:rPr>
        <w:t xml:space="preserve">. Rámcovou dohodu </w:t>
      </w:r>
      <w:r>
        <w:rPr>
          <w:rFonts w:cstheme="minorHAnsi"/>
        </w:rPr>
        <w:t>o</w:t>
      </w:r>
      <w:r w:rsidR="00D457AE">
        <w:rPr>
          <w:rFonts w:eastAsia="Calibri" w:cstheme="minorHAnsi"/>
        </w:rPr>
        <w:t xml:space="preserve"> oprav</w:t>
      </w:r>
      <w:r>
        <w:rPr>
          <w:rFonts w:eastAsia="Calibri" w:cstheme="minorHAnsi"/>
        </w:rPr>
        <w:t>ách</w:t>
      </w:r>
      <w:r w:rsidR="00D457AE">
        <w:rPr>
          <w:rFonts w:eastAsia="Calibri" w:cstheme="minorHAnsi"/>
        </w:rPr>
        <w:t xml:space="preserve"> a</w:t>
      </w:r>
      <w:r w:rsidR="009D61EE">
        <w:rPr>
          <w:rFonts w:eastAsia="Calibri" w:cstheme="minorHAnsi"/>
        </w:rPr>
        <w:t xml:space="preserve"> </w:t>
      </w:r>
      <w:r w:rsidR="00D457AE">
        <w:rPr>
          <w:rFonts w:eastAsia="Calibri" w:cstheme="minorHAnsi"/>
        </w:rPr>
        <w:t xml:space="preserve">udržování vozidel </w:t>
      </w:r>
      <w:r>
        <w:rPr>
          <w:rFonts w:eastAsia="Calibri" w:cstheme="minorHAnsi"/>
        </w:rPr>
        <w:t>Ministerstvo obrany</w:t>
      </w:r>
      <w:r w:rsidR="00FD2580">
        <w:rPr>
          <w:rFonts w:eastAsia="Calibri" w:cstheme="minorHAnsi"/>
        </w:rPr>
        <w:t xml:space="preserve"> v </w:t>
      </w:r>
      <w:r w:rsidR="00FD2580" w:rsidRPr="0037587C">
        <w:rPr>
          <w:rFonts w:eastAsia="Calibri" w:cstheme="minorHAnsi"/>
        </w:rPr>
        <w:t xml:space="preserve">průběhu kontroly NKÚ teprve připravovalo </w:t>
      </w:r>
      <w:r>
        <w:rPr>
          <w:rFonts w:eastAsia="Calibri" w:cstheme="minorHAnsi"/>
        </w:rPr>
        <w:t>a předpokládalo, že bude</w:t>
      </w:r>
      <w:r w:rsidR="00FD2580" w:rsidRPr="00872161">
        <w:rPr>
          <w:rFonts w:eastAsia="Calibri" w:cstheme="minorHAnsi"/>
        </w:rPr>
        <w:t xml:space="preserve"> </w:t>
      </w:r>
      <w:r w:rsidR="00D457AE" w:rsidRPr="00872161">
        <w:rPr>
          <w:rFonts w:eastAsia="Calibri" w:cstheme="minorHAnsi"/>
        </w:rPr>
        <w:t>uzavřen</w:t>
      </w:r>
      <w:r>
        <w:rPr>
          <w:rFonts w:eastAsia="Calibri" w:cstheme="minorHAnsi"/>
        </w:rPr>
        <w:t>a</w:t>
      </w:r>
      <w:r w:rsidR="00D457AE" w:rsidRPr="00872161">
        <w:rPr>
          <w:rFonts w:eastAsia="Calibri" w:cstheme="minorHAnsi"/>
        </w:rPr>
        <w:t xml:space="preserve"> </w:t>
      </w:r>
      <w:r w:rsidR="00FD2580" w:rsidRPr="00872161">
        <w:rPr>
          <w:rFonts w:eastAsia="Calibri" w:cstheme="minorHAnsi"/>
        </w:rPr>
        <w:t xml:space="preserve">nejdříve </w:t>
      </w:r>
      <w:r w:rsidR="00D457AE" w:rsidRPr="00872161">
        <w:rPr>
          <w:rFonts w:eastAsia="Calibri" w:cstheme="minorHAnsi"/>
        </w:rPr>
        <w:t>v prosinci 2023</w:t>
      </w:r>
      <w:r w:rsidR="00FD2580" w:rsidRPr="00872161">
        <w:rPr>
          <w:rFonts w:eastAsia="Calibri" w:cstheme="minorHAnsi"/>
        </w:rPr>
        <w:t>.</w:t>
      </w:r>
      <w:r w:rsidR="00C9043B" w:rsidRPr="00872161">
        <w:rPr>
          <w:rFonts w:eastAsia="Calibri" w:cstheme="minorHAnsi"/>
        </w:rPr>
        <w:t xml:space="preserve"> </w:t>
      </w:r>
      <w:r w:rsidR="00C9043B" w:rsidRPr="00BB6C8C">
        <w:rPr>
          <w:rFonts w:eastAsia="Calibri" w:cstheme="minorHAnsi"/>
        </w:rPr>
        <w:t>Účel</w:t>
      </w:r>
      <w:r w:rsidR="00BD53C9" w:rsidRPr="00D755DB">
        <w:rPr>
          <w:rFonts w:eastAsia="Calibri" w:cstheme="minorHAnsi"/>
        </w:rPr>
        <w:t xml:space="preserve"> </w:t>
      </w:r>
      <w:r w:rsidR="00C9043B" w:rsidRPr="0037587C">
        <w:rPr>
          <w:rFonts w:eastAsia="Calibri" w:cstheme="minorHAnsi"/>
        </w:rPr>
        <w:t>akce</w:t>
      </w:r>
      <w:r w:rsidR="00BD53C9" w:rsidRPr="00D755DB">
        <w:rPr>
          <w:rFonts w:eastAsia="Calibri" w:cstheme="minorHAnsi"/>
        </w:rPr>
        <w:t xml:space="preserve">, kterým bylo pořízení lehkých obrněných vozidel pro </w:t>
      </w:r>
      <w:r w:rsidR="00ED7694">
        <w:rPr>
          <w:rFonts w:eastAsia="Calibri" w:cstheme="minorHAnsi"/>
        </w:rPr>
        <w:t>jednotky</w:t>
      </w:r>
      <w:r w:rsidR="00BD53C9" w:rsidRPr="00D755DB">
        <w:rPr>
          <w:rFonts w:eastAsia="Calibri" w:cstheme="minorHAnsi"/>
        </w:rPr>
        <w:t xml:space="preserve"> radiačního, chemického a biologického průzkumu, </w:t>
      </w:r>
      <w:r w:rsidR="00C9043B" w:rsidRPr="0037587C">
        <w:rPr>
          <w:rFonts w:eastAsia="Calibri" w:cstheme="minorHAnsi"/>
        </w:rPr>
        <w:t xml:space="preserve">byl </w:t>
      </w:r>
      <w:r w:rsidR="00865618">
        <w:rPr>
          <w:rFonts w:eastAsia="Calibri" w:cstheme="minorHAnsi"/>
        </w:rPr>
        <w:t xml:space="preserve">nicméně </w:t>
      </w:r>
      <w:r w:rsidR="00C9043B" w:rsidRPr="0037587C">
        <w:rPr>
          <w:rFonts w:eastAsia="Calibri" w:cstheme="minorHAnsi"/>
        </w:rPr>
        <w:t>splněn</w:t>
      </w:r>
      <w:r w:rsidR="00BD53C9" w:rsidRPr="00D755DB">
        <w:rPr>
          <w:rFonts w:eastAsia="Calibri" w:cstheme="minorHAnsi"/>
        </w:rPr>
        <w:t xml:space="preserve">. Vozidla byla </w:t>
      </w:r>
      <w:r w:rsidR="0081700C">
        <w:rPr>
          <w:rFonts w:eastAsia="Calibri" w:cstheme="minorHAnsi"/>
        </w:rPr>
        <w:t xml:space="preserve">Ministerstvem obrany </w:t>
      </w:r>
      <w:r w:rsidR="00BD53C9" w:rsidRPr="00D755DB">
        <w:rPr>
          <w:rFonts w:eastAsia="Calibri" w:cstheme="minorHAnsi"/>
        </w:rPr>
        <w:t xml:space="preserve">přiřazena </w:t>
      </w:r>
      <w:r w:rsidR="00AA79EA" w:rsidRPr="00D755DB">
        <w:rPr>
          <w:rFonts w:eastAsia="Calibri" w:cstheme="minorHAnsi"/>
        </w:rPr>
        <w:t>k</w:t>
      </w:r>
      <w:r w:rsidR="003E5ED8" w:rsidRPr="00D755DB">
        <w:rPr>
          <w:rFonts w:eastAsia="Calibri" w:cstheme="minorHAnsi"/>
        </w:rPr>
        <w:t xml:space="preserve"> příslušným </w:t>
      </w:r>
      <w:r w:rsidR="00AA79EA" w:rsidRPr="00D755DB">
        <w:rPr>
          <w:rFonts w:eastAsia="Calibri" w:cstheme="minorHAnsi"/>
        </w:rPr>
        <w:t>útvarům</w:t>
      </w:r>
      <w:r w:rsidR="00BF0883" w:rsidRPr="00D755DB">
        <w:rPr>
          <w:rFonts w:eastAsia="Calibri" w:cstheme="minorHAnsi"/>
        </w:rPr>
        <w:t xml:space="preserve"> </w:t>
      </w:r>
      <w:r w:rsidR="003E5ED8" w:rsidRPr="00D755DB">
        <w:rPr>
          <w:rFonts w:eastAsia="Calibri" w:cstheme="minorHAnsi"/>
        </w:rPr>
        <w:t>AČR</w:t>
      </w:r>
      <w:r w:rsidR="003B045C" w:rsidRPr="00D755DB">
        <w:rPr>
          <w:rFonts w:eastAsia="Calibri" w:cstheme="minorHAnsi"/>
        </w:rPr>
        <w:t>.</w:t>
      </w:r>
    </w:p>
    <w:p w14:paraId="642AB989" w14:textId="564322EE" w:rsidR="007C4E79" w:rsidRDefault="00D457AE" w:rsidP="00D755DB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eastAsia="Calibri" w:cstheme="minorHAnsi"/>
        </w:rPr>
        <w:t>V</w:t>
      </w:r>
      <w:r w:rsidR="0081700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rámci kontroly dvou </w:t>
      </w:r>
      <w:r w:rsidR="00526111">
        <w:rPr>
          <w:rFonts w:eastAsia="Calibri" w:cstheme="minorHAnsi"/>
        </w:rPr>
        <w:t xml:space="preserve">vybraných </w:t>
      </w:r>
      <w:r>
        <w:rPr>
          <w:rFonts w:eastAsia="Calibri" w:cstheme="minorHAnsi"/>
        </w:rPr>
        <w:t xml:space="preserve">projektů obranného </w:t>
      </w:r>
      <w:r w:rsidR="00526111">
        <w:rPr>
          <w:rFonts w:eastAsia="Calibri" w:cstheme="minorHAnsi"/>
        </w:rPr>
        <w:t xml:space="preserve">výzkumu, </w:t>
      </w:r>
      <w:r>
        <w:rPr>
          <w:rFonts w:eastAsia="Calibri" w:cstheme="minorHAnsi"/>
        </w:rPr>
        <w:t xml:space="preserve">experimentálního vývoje </w:t>
      </w:r>
      <w:r w:rsidR="00526111">
        <w:rPr>
          <w:rFonts w:eastAsia="Calibri" w:cstheme="minorHAnsi"/>
        </w:rPr>
        <w:t xml:space="preserve">a inovací </w:t>
      </w:r>
      <w:r>
        <w:rPr>
          <w:rFonts w:eastAsia="Calibri" w:cstheme="minorHAnsi"/>
        </w:rPr>
        <w:t>(</w:t>
      </w:r>
      <w:bookmarkStart w:id="26" w:name="_Toc141018470"/>
      <w:r>
        <w:rPr>
          <w:rFonts w:eastAsia="Calibri" w:cstheme="minorHAnsi"/>
          <w:i/>
        </w:rPr>
        <w:t>DENPL-V – Náhrada přístroje pro vysoce citlivou detekci NPL GSA-12</w:t>
      </w:r>
      <w:bookmarkEnd w:id="26"/>
      <w:r>
        <w:rPr>
          <w:rFonts w:eastAsia="Calibri" w:cstheme="minorHAnsi"/>
          <w:i/>
        </w:rPr>
        <w:t xml:space="preserve"> </w:t>
      </w:r>
      <w:r w:rsidR="0081700C">
        <w:rPr>
          <w:rFonts w:eastAsia="Calibri" w:cstheme="minorHAnsi"/>
        </w:rPr>
        <w:br/>
      </w:r>
      <w:r w:rsidRPr="00041C4C">
        <w:rPr>
          <w:rFonts w:eastAsia="Calibri" w:cstheme="minorHAnsi"/>
        </w:rPr>
        <w:t xml:space="preserve">a </w:t>
      </w:r>
      <w:r>
        <w:rPr>
          <w:rFonts w:eastAsia="Calibri" w:cstheme="minorHAnsi"/>
          <w:i/>
        </w:rPr>
        <w:t>LOV-V – Vzorkovací a transportní vozidla pro tým SIBCRA</w:t>
      </w:r>
      <w:r>
        <w:rPr>
          <w:rFonts w:eastAsia="Calibri" w:cstheme="minorHAnsi"/>
        </w:rPr>
        <w:t xml:space="preserve">) NKÚ zjistil, že MO u obou projektů </w:t>
      </w:r>
      <w:r>
        <w:rPr>
          <w:rFonts w:cstheme="minorHAnsi"/>
        </w:rPr>
        <w:t xml:space="preserve">vyplatilo účelovou podporu </w:t>
      </w:r>
      <w:r w:rsidR="00CB2A06">
        <w:rPr>
          <w:rFonts w:cstheme="minorHAnsi"/>
        </w:rPr>
        <w:t>v</w:t>
      </w:r>
      <w:r w:rsidR="0081700C">
        <w:rPr>
          <w:rFonts w:cstheme="minorHAnsi"/>
        </w:rPr>
        <w:t xml:space="preserve"> </w:t>
      </w:r>
      <w:r w:rsidR="00CB2A06">
        <w:rPr>
          <w:rFonts w:cstheme="minorHAnsi"/>
        </w:rPr>
        <w:t xml:space="preserve">celkové výši 29 mil. Kč </w:t>
      </w:r>
      <w:r>
        <w:rPr>
          <w:rFonts w:cstheme="minorHAnsi"/>
        </w:rPr>
        <w:t>příjemc</w:t>
      </w:r>
      <w:r w:rsidR="00CB2A06">
        <w:rPr>
          <w:rFonts w:cstheme="minorHAnsi"/>
        </w:rPr>
        <w:t>ům</w:t>
      </w:r>
      <w:r w:rsidR="000979C0">
        <w:rPr>
          <w:rFonts w:cstheme="minorHAnsi"/>
        </w:rPr>
        <w:t xml:space="preserve"> </w:t>
      </w:r>
      <w:r w:rsidR="0081700C">
        <w:rPr>
          <w:rFonts w:cstheme="minorHAnsi"/>
        </w:rPr>
        <w:t>dříve</w:t>
      </w:r>
      <w:r>
        <w:rPr>
          <w:rFonts w:cstheme="minorHAnsi"/>
        </w:rPr>
        <w:t>, než byly schváleny průběžné zprávy o</w:t>
      </w:r>
      <w:r w:rsidR="0081700C">
        <w:rPr>
          <w:rFonts w:cstheme="minorHAnsi"/>
        </w:rPr>
        <w:t xml:space="preserve"> </w:t>
      </w:r>
      <w:r>
        <w:rPr>
          <w:rFonts w:cstheme="minorHAnsi"/>
        </w:rPr>
        <w:t>postupu řešení projektu a doklady o</w:t>
      </w:r>
      <w:r w:rsidR="0081700C">
        <w:rPr>
          <w:rFonts w:cstheme="minorHAnsi"/>
        </w:rPr>
        <w:t xml:space="preserve"> </w:t>
      </w:r>
      <w:r>
        <w:rPr>
          <w:rFonts w:cstheme="minorHAnsi"/>
        </w:rPr>
        <w:t xml:space="preserve">vynaložených </w:t>
      </w:r>
      <w:r w:rsidRPr="0009277D">
        <w:rPr>
          <w:rFonts w:cstheme="minorHAnsi"/>
        </w:rPr>
        <w:t>nákladech.</w:t>
      </w:r>
      <w:r w:rsidRPr="0009277D">
        <w:rPr>
          <w:rFonts w:eastAsia="Calibri" w:cstheme="minorHAnsi"/>
        </w:rPr>
        <w:t xml:space="preserve"> </w:t>
      </w:r>
      <w:r w:rsidR="008A09C5" w:rsidRPr="00345425">
        <w:rPr>
          <w:rFonts w:cstheme="minorHAnsi"/>
        </w:rPr>
        <w:t xml:space="preserve">MO </w:t>
      </w:r>
      <w:r w:rsidR="008B7311" w:rsidRPr="00345425">
        <w:rPr>
          <w:rFonts w:cstheme="minorHAnsi"/>
        </w:rPr>
        <w:t xml:space="preserve">tak </w:t>
      </w:r>
      <w:r w:rsidR="008A09C5" w:rsidRPr="00345425">
        <w:rPr>
          <w:rFonts w:cstheme="minorHAnsi"/>
        </w:rPr>
        <w:t>n</w:t>
      </w:r>
      <w:r w:rsidRPr="00345425">
        <w:rPr>
          <w:rFonts w:cstheme="minorHAnsi"/>
        </w:rPr>
        <w:t>epostupovalo v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souladu s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ustanovením § 26 zákona č. 320/2001 Sb. a ustanoveními §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10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a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§ 14 vyhlášky č.</w:t>
      </w:r>
      <w:r w:rsidR="0081700C">
        <w:rPr>
          <w:rFonts w:cstheme="minorHAnsi"/>
        </w:rPr>
        <w:t xml:space="preserve"> </w:t>
      </w:r>
      <w:r w:rsidRPr="00345425">
        <w:rPr>
          <w:rFonts w:cstheme="minorHAnsi"/>
        </w:rPr>
        <w:t>416/2004 Sb.</w:t>
      </w:r>
      <w:r w:rsidR="007C4350" w:rsidRPr="00345425">
        <w:rPr>
          <w:rFonts w:cstheme="minorHAnsi"/>
        </w:rPr>
        <w:t xml:space="preserve"> </w:t>
      </w:r>
      <w:r w:rsidR="008B7311" w:rsidRPr="00345425">
        <w:rPr>
          <w:rFonts w:cstheme="minorHAnsi"/>
        </w:rPr>
        <w:t xml:space="preserve">U vybraných projektů NKÚ nezjistil, že by docházelo k nehospodárnému </w:t>
      </w:r>
      <w:r w:rsidR="00205057" w:rsidRPr="00345425">
        <w:rPr>
          <w:rFonts w:cstheme="minorHAnsi"/>
        </w:rPr>
        <w:t xml:space="preserve">a neúčelnému </w:t>
      </w:r>
      <w:r w:rsidR="008B7311" w:rsidRPr="00345425">
        <w:rPr>
          <w:rFonts w:cstheme="minorHAnsi"/>
        </w:rPr>
        <w:t>vynakládání peněžních prostředků státního rozpočtu.</w:t>
      </w:r>
    </w:p>
    <w:p w14:paraId="151D5A2C" w14:textId="77777777" w:rsidR="00E93EDC" w:rsidRPr="00E93EDC" w:rsidRDefault="00E93EDC" w:rsidP="00C553CD">
      <w:pPr>
        <w:spacing w:before="120"/>
        <w:rPr>
          <w:rFonts w:cstheme="minorHAnsi"/>
        </w:rPr>
      </w:pPr>
    </w:p>
    <w:p w14:paraId="50900BE4" w14:textId="52C0D780" w:rsidR="007200E0" w:rsidRPr="00D755DB" w:rsidRDefault="007200E0" w:rsidP="00041C4C">
      <w:pPr>
        <w:pStyle w:val="Odstavecseseznamem"/>
        <w:numPr>
          <w:ilvl w:val="0"/>
          <w:numId w:val="38"/>
        </w:numPr>
        <w:pBdr>
          <w:bottom w:val="single" w:sz="4" w:space="1" w:color="auto"/>
        </w:pBdr>
        <w:spacing w:after="0"/>
        <w:ind w:left="426" w:hanging="426"/>
        <w:jc w:val="left"/>
        <w:rPr>
          <w:rFonts w:cstheme="minorHAnsi"/>
          <w:b/>
          <w:i/>
        </w:rPr>
      </w:pPr>
      <w:r w:rsidRPr="00D755DB">
        <w:rPr>
          <w:rFonts w:cstheme="minorHAnsi"/>
          <w:b/>
          <w:i/>
        </w:rPr>
        <w:t>MO do doby ukončení kontroly NKÚ nedobudovalo CBO Těchonín, vynaložené peněžní prostředky státního rozpočtu vyhodnotil NKÚ jako omezen</w:t>
      </w:r>
      <w:r w:rsidR="00CF3589">
        <w:rPr>
          <w:rFonts w:cstheme="minorHAnsi"/>
          <w:b/>
          <w:i/>
        </w:rPr>
        <w:t>ě</w:t>
      </w:r>
      <w:r w:rsidRPr="00D755DB">
        <w:rPr>
          <w:rFonts w:cstheme="minorHAnsi"/>
          <w:b/>
          <w:i/>
        </w:rPr>
        <w:t xml:space="preserve"> účelné</w:t>
      </w:r>
    </w:p>
    <w:bookmarkEnd w:id="25"/>
    <w:p w14:paraId="20A67A73" w14:textId="338BB268" w:rsidR="00554300" w:rsidRPr="00003DA4" w:rsidRDefault="0030517D" w:rsidP="009F60A7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  <w:lang w:eastAsia="cs-CZ"/>
        </w:rPr>
      </w:pPr>
      <w:r w:rsidRPr="001A25F5">
        <w:rPr>
          <w:lang w:eastAsia="cs-CZ"/>
        </w:rPr>
        <w:t>KVAČR</w:t>
      </w:r>
      <w:r>
        <w:rPr>
          <w:lang w:eastAsia="cs-CZ"/>
        </w:rPr>
        <w:t xml:space="preserve"> </w:t>
      </w:r>
      <w:r w:rsidRPr="001A25F5">
        <w:rPr>
          <w:lang w:eastAsia="cs-CZ"/>
        </w:rPr>
        <w:t>2025</w:t>
      </w:r>
      <w:r>
        <w:rPr>
          <w:vertAlign w:val="superscript"/>
          <w:lang w:eastAsia="cs-CZ"/>
        </w:rPr>
        <w:t xml:space="preserve"> </w:t>
      </w:r>
      <w:r>
        <w:rPr>
          <w:lang w:eastAsia="cs-CZ"/>
        </w:rPr>
        <w:t xml:space="preserve">a </w:t>
      </w:r>
      <w:r w:rsidRPr="001A25F5">
        <w:rPr>
          <w:lang w:eastAsia="cs-CZ"/>
        </w:rPr>
        <w:t>K</w:t>
      </w:r>
      <w:r>
        <w:rPr>
          <w:lang w:eastAsia="cs-CZ"/>
        </w:rPr>
        <w:t xml:space="preserve">VAČR 2030 </w:t>
      </w:r>
      <w:r w:rsidR="00D457AE" w:rsidRPr="00003DA4">
        <w:rPr>
          <w:rFonts w:cstheme="minorHAnsi"/>
        </w:rPr>
        <w:t>obsahují obecný závazek MO zajistit činnost biologické ochrany AČR včetně zajištění provozu CBO Těchonín.</w:t>
      </w:r>
      <w:r w:rsidR="00D457AE" w:rsidRPr="00003DA4">
        <w:rPr>
          <w:rStyle w:val="Styl1Char"/>
          <w:rFonts w:eastAsia="Arial" w:cstheme="minorHAnsi"/>
          <w:color w:val="000000" w:themeColor="text1"/>
        </w:rPr>
        <w:t xml:space="preserve"> </w:t>
      </w:r>
      <w:r w:rsidR="00D457AE" w:rsidRPr="00003DA4">
        <w:rPr>
          <w:rFonts w:cstheme="minorHAnsi"/>
          <w:lang w:eastAsia="cs-CZ"/>
        </w:rPr>
        <w:t>Konkrétní úkoly vymezilo MO v</w:t>
      </w:r>
      <w:r w:rsidR="009E406D" w:rsidRPr="00003DA4">
        <w:rPr>
          <w:rFonts w:cstheme="minorHAnsi"/>
          <w:lang w:eastAsia="cs-CZ"/>
        </w:rPr>
        <w:t> </w:t>
      </w:r>
      <w:r w:rsidR="00D457AE" w:rsidRPr="00856B85">
        <w:rPr>
          <w:rFonts w:cstheme="minorHAnsi"/>
          <w:i/>
          <w:lang w:eastAsia="cs-CZ"/>
        </w:rPr>
        <w:t>Koncepci rozvoje Vojenské zdravotnické služby</w:t>
      </w:r>
      <w:r w:rsidR="00D457AE">
        <w:rPr>
          <w:rStyle w:val="Znakapoznpodarou"/>
          <w:rFonts w:cstheme="minorHAnsi"/>
          <w:lang w:eastAsia="cs-CZ"/>
        </w:rPr>
        <w:footnoteReference w:id="47"/>
      </w:r>
      <w:r w:rsidR="00F23538">
        <w:rPr>
          <w:rFonts w:cstheme="minorHAnsi"/>
          <w:lang w:eastAsia="cs-CZ"/>
        </w:rPr>
        <w:t>,</w:t>
      </w:r>
      <w:r w:rsidR="00D457AE" w:rsidRPr="00003DA4">
        <w:rPr>
          <w:rFonts w:cstheme="minorHAnsi"/>
          <w:lang w:eastAsia="cs-CZ"/>
        </w:rPr>
        <w:t xml:space="preserve"> a to k milník</w:t>
      </w:r>
      <w:r w:rsidR="003A5837">
        <w:rPr>
          <w:rFonts w:cstheme="minorHAnsi"/>
          <w:lang w:eastAsia="cs-CZ"/>
        </w:rPr>
        <w:t>ům</w:t>
      </w:r>
      <w:r w:rsidR="00D457AE" w:rsidRPr="00003DA4">
        <w:rPr>
          <w:rFonts w:cstheme="minorHAnsi"/>
          <w:lang w:eastAsia="cs-CZ"/>
        </w:rPr>
        <w:t xml:space="preserve"> </w:t>
      </w:r>
      <w:r w:rsidR="003A5837">
        <w:rPr>
          <w:rFonts w:cstheme="minorHAnsi"/>
          <w:lang w:eastAsia="cs-CZ"/>
        </w:rPr>
        <w:t xml:space="preserve">let </w:t>
      </w:r>
      <w:r w:rsidR="00D457AE" w:rsidRPr="00003DA4">
        <w:rPr>
          <w:rFonts w:cstheme="minorHAnsi"/>
          <w:lang w:eastAsia="cs-CZ"/>
        </w:rPr>
        <w:t xml:space="preserve">2020 a 2025. K milníku 2020 </w:t>
      </w:r>
      <w:r w:rsidR="003A5837">
        <w:rPr>
          <w:rFonts w:eastAsia="Calibri" w:cstheme="minorHAnsi"/>
        </w:rPr>
        <w:t>Ministerstvo obrany</w:t>
      </w:r>
      <w:r w:rsidR="00921729">
        <w:rPr>
          <w:rFonts w:cstheme="minorHAnsi"/>
          <w:lang w:eastAsia="cs-CZ"/>
        </w:rPr>
        <w:t xml:space="preserve"> </w:t>
      </w:r>
      <w:r w:rsidR="00D457AE" w:rsidRPr="00003DA4">
        <w:rPr>
          <w:rFonts w:cstheme="minorHAnsi"/>
          <w:lang w:eastAsia="cs-CZ"/>
        </w:rPr>
        <w:t>mj. uvedlo, že bude plněno usnesení vlády ČR č. 665/2015 (viz dále) a</w:t>
      </w:r>
      <w:r w:rsidR="003A5837">
        <w:rPr>
          <w:rFonts w:cstheme="minorHAnsi"/>
          <w:lang w:eastAsia="cs-CZ"/>
        </w:rPr>
        <w:t xml:space="preserve"> </w:t>
      </w:r>
      <w:r w:rsidR="00D457AE" w:rsidRPr="00003DA4">
        <w:rPr>
          <w:rFonts w:cstheme="minorHAnsi"/>
          <w:lang w:eastAsia="cs-CZ"/>
        </w:rPr>
        <w:t>s</w:t>
      </w:r>
      <w:r w:rsidR="003A5837">
        <w:rPr>
          <w:rFonts w:cstheme="minorHAnsi"/>
          <w:lang w:eastAsia="cs-CZ"/>
        </w:rPr>
        <w:t xml:space="preserve"> </w:t>
      </w:r>
      <w:r w:rsidR="00D457AE" w:rsidRPr="00003DA4">
        <w:rPr>
          <w:rFonts w:cstheme="minorHAnsi"/>
          <w:lang w:eastAsia="cs-CZ"/>
        </w:rPr>
        <w:t xml:space="preserve">dostavbou objektu pro vědu a výzkum bude postupně navyšován počet laboratorních vědeckých pracovníků. </w:t>
      </w:r>
    </w:p>
    <w:p w14:paraId="2DB459AE" w14:textId="2281F08D" w:rsidR="00554300" w:rsidRDefault="003A5837" w:rsidP="009F60A7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eastAsia="Arial" w:cstheme="minorHAnsi"/>
          <w:iCs/>
          <w:color w:val="000000" w:themeColor="text1"/>
        </w:rPr>
        <w:t>V</w:t>
      </w:r>
      <w:r w:rsidRPr="00F264CF">
        <w:rPr>
          <w:rFonts w:eastAsia="Arial" w:cstheme="minorHAnsi"/>
          <w:iCs/>
          <w:color w:val="000000" w:themeColor="text1"/>
        </w:rPr>
        <w:t>láda</w:t>
      </w:r>
      <w:r>
        <w:rPr>
          <w:rFonts w:eastAsia="Arial" w:cstheme="minorHAnsi"/>
          <w:iCs/>
          <w:color w:val="000000" w:themeColor="text1"/>
        </w:rPr>
        <w:t xml:space="preserve"> ČR svým usnesením </w:t>
      </w:r>
      <w:r w:rsidRPr="003A5837">
        <w:rPr>
          <w:rFonts w:eastAsia="Arial" w:cstheme="minorHAnsi"/>
          <w:iCs/>
          <w:color w:val="000000" w:themeColor="text1"/>
        </w:rPr>
        <w:t>ze dne 20. srpna 2015 č. 665</w:t>
      </w:r>
      <w:r w:rsidR="00D457AE" w:rsidRPr="00F264CF">
        <w:rPr>
          <w:rFonts w:eastAsia="Arial" w:cstheme="minorHAnsi"/>
          <w:iCs/>
          <w:color w:val="000000" w:themeColor="text1"/>
        </w:rPr>
        <w:t xml:space="preserve"> mj. uložila</w:t>
      </w:r>
      <w:r w:rsidR="00D457AE" w:rsidRPr="00F264CF">
        <w:rPr>
          <w:rFonts w:cstheme="minorHAnsi"/>
        </w:rPr>
        <w:t xml:space="preserve"> ministru obrany zajistit další využívání CBO Těchonín a</w:t>
      </w:r>
      <w:r>
        <w:rPr>
          <w:rFonts w:cstheme="minorHAnsi"/>
        </w:rPr>
        <w:t xml:space="preserve"> </w:t>
      </w:r>
      <w:r w:rsidR="00D457AE" w:rsidRPr="00F264CF">
        <w:rPr>
          <w:rFonts w:cstheme="minorHAnsi"/>
        </w:rPr>
        <w:t xml:space="preserve">realizovat do 31. prosince 2016 opatření nezbytná pro řádné plnění úkolů CBO Těchonín. </w:t>
      </w:r>
      <w:r>
        <w:rPr>
          <w:rFonts w:cstheme="minorHAnsi"/>
        </w:rPr>
        <w:t>Zmíněnými úkoly</w:t>
      </w:r>
      <w:r w:rsidR="00D457AE" w:rsidRPr="00F264CF">
        <w:rPr>
          <w:rFonts w:cstheme="minorHAnsi"/>
        </w:rPr>
        <w:t xml:space="preserve"> </w:t>
      </w:r>
      <w:r w:rsidR="007200E0">
        <w:rPr>
          <w:rFonts w:cstheme="minorHAnsi"/>
        </w:rPr>
        <w:t>měly být</w:t>
      </w:r>
      <w:r w:rsidR="00D457AE" w:rsidRPr="00F264CF">
        <w:rPr>
          <w:rFonts w:cstheme="minorHAnsi"/>
        </w:rPr>
        <w:t xml:space="preserve"> mj. forenzní laboratorní diagnostika biologických látek</w:t>
      </w:r>
      <w:r w:rsidR="007200E0">
        <w:rPr>
          <w:rFonts w:cstheme="minorHAnsi"/>
        </w:rPr>
        <w:t xml:space="preserve"> </w:t>
      </w:r>
      <w:r w:rsidR="00D457AE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D457AE" w:rsidRPr="00F264CF">
        <w:rPr>
          <w:rFonts w:cstheme="minorHAnsi"/>
        </w:rPr>
        <w:t>provádění biologického obranného výzkumu, a to na nejvyšším stupni biologické bezpečnosti BSL-4</w:t>
      </w:r>
      <w:r>
        <w:rPr>
          <w:rFonts w:cstheme="minorHAnsi"/>
        </w:rPr>
        <w:t>.</w:t>
      </w:r>
      <w:r w:rsidR="00D457AE">
        <w:rPr>
          <w:rStyle w:val="Znakapoznpodarou"/>
          <w:rFonts w:cstheme="minorHAnsi"/>
        </w:rPr>
        <w:footnoteReference w:id="48"/>
      </w:r>
      <w:r w:rsidR="00D457AE" w:rsidRPr="00F264CF">
        <w:rPr>
          <w:rFonts w:cstheme="minorHAnsi"/>
        </w:rPr>
        <w:t xml:space="preserve"> </w:t>
      </w:r>
      <w:r w:rsidR="00D457AE" w:rsidRPr="00F264CF">
        <w:rPr>
          <w:rFonts w:cstheme="minorHAnsi"/>
          <w:color w:val="000000" w:themeColor="text1"/>
        </w:rPr>
        <w:t xml:space="preserve">Jelikož tyto úkoly nebyly plněny, </w:t>
      </w:r>
      <w:r w:rsidRPr="00F264CF">
        <w:rPr>
          <w:rFonts w:cstheme="minorHAnsi"/>
          <w:color w:val="000000" w:themeColor="text1"/>
        </w:rPr>
        <w:t xml:space="preserve">zavázalo </w:t>
      </w:r>
      <w:r w:rsidR="002C0354" w:rsidRPr="00F264CF">
        <w:rPr>
          <w:rFonts w:cstheme="minorHAnsi"/>
          <w:color w:val="000000" w:themeColor="text1"/>
        </w:rPr>
        <w:t xml:space="preserve">se </w:t>
      </w:r>
      <w:r w:rsidR="00D457AE" w:rsidRPr="00F264CF">
        <w:rPr>
          <w:rFonts w:cstheme="minorHAnsi"/>
          <w:color w:val="000000" w:themeColor="text1"/>
        </w:rPr>
        <w:t>MO k</w:t>
      </w:r>
      <w:r w:rsidR="004C2DEB">
        <w:rPr>
          <w:rFonts w:cstheme="minorHAnsi"/>
          <w:color w:val="000000" w:themeColor="text1"/>
        </w:rPr>
        <w:t> </w:t>
      </w:r>
      <w:r w:rsidR="00D457AE" w:rsidRPr="00F264CF">
        <w:rPr>
          <w:rFonts w:cstheme="minorHAnsi"/>
          <w:color w:val="000000" w:themeColor="text1"/>
        </w:rPr>
        <w:t xml:space="preserve">dobudování mj. </w:t>
      </w:r>
      <w:r w:rsidR="00D457AE">
        <w:rPr>
          <w:rFonts w:cstheme="minorHAnsi"/>
          <w:color w:val="000000" w:themeColor="text1"/>
        </w:rPr>
        <w:t xml:space="preserve">souvisejících </w:t>
      </w:r>
      <w:r w:rsidR="00D457AE" w:rsidRPr="00F264CF">
        <w:rPr>
          <w:rFonts w:cstheme="minorHAnsi"/>
          <w:color w:val="000000" w:themeColor="text1"/>
        </w:rPr>
        <w:t>forenzních a výzkumných biologických laboratoří, a</w:t>
      </w:r>
      <w:r w:rsidR="002C0354">
        <w:rPr>
          <w:rFonts w:cstheme="minorHAnsi"/>
          <w:color w:val="000000" w:themeColor="text1"/>
        </w:rPr>
        <w:t xml:space="preserve"> </w:t>
      </w:r>
      <w:r w:rsidR="00D457AE" w:rsidRPr="00F264CF">
        <w:rPr>
          <w:rFonts w:cstheme="minorHAnsi"/>
          <w:color w:val="000000" w:themeColor="text1"/>
        </w:rPr>
        <w:t>to také s</w:t>
      </w:r>
      <w:r w:rsidR="002C0354">
        <w:rPr>
          <w:rFonts w:cstheme="minorHAnsi"/>
          <w:color w:val="000000" w:themeColor="text1"/>
        </w:rPr>
        <w:t xml:space="preserve"> </w:t>
      </w:r>
      <w:r w:rsidR="00D457AE" w:rsidRPr="00F264CF">
        <w:rPr>
          <w:rFonts w:cstheme="minorHAnsi"/>
          <w:color w:val="000000" w:themeColor="text1"/>
        </w:rPr>
        <w:t>cílem rozšíř</w:t>
      </w:r>
      <w:r w:rsidR="002C0354">
        <w:rPr>
          <w:rFonts w:cstheme="minorHAnsi"/>
          <w:color w:val="000000" w:themeColor="text1"/>
        </w:rPr>
        <w:t>it</w:t>
      </w:r>
      <w:r w:rsidR="00D457AE" w:rsidRPr="00F264CF">
        <w:rPr>
          <w:rFonts w:cstheme="minorHAnsi"/>
          <w:color w:val="000000" w:themeColor="text1"/>
        </w:rPr>
        <w:t xml:space="preserve"> potenciál využití CBO Těchonín a</w:t>
      </w:r>
      <w:r w:rsidR="002C0354">
        <w:rPr>
          <w:rFonts w:cstheme="minorHAnsi"/>
          <w:color w:val="000000" w:themeColor="text1"/>
        </w:rPr>
        <w:t xml:space="preserve"> </w:t>
      </w:r>
      <w:r w:rsidR="00D457AE" w:rsidRPr="00F264CF">
        <w:rPr>
          <w:rFonts w:cstheme="minorHAnsi"/>
          <w:color w:val="000000" w:themeColor="text1"/>
        </w:rPr>
        <w:t>navýš</w:t>
      </w:r>
      <w:r w:rsidR="002C0354">
        <w:rPr>
          <w:rFonts w:cstheme="minorHAnsi"/>
          <w:color w:val="000000" w:themeColor="text1"/>
        </w:rPr>
        <w:t>it</w:t>
      </w:r>
      <w:r w:rsidR="00D457AE" w:rsidRPr="00F264CF">
        <w:rPr>
          <w:rFonts w:cstheme="minorHAnsi"/>
          <w:color w:val="000000" w:themeColor="text1"/>
        </w:rPr>
        <w:t xml:space="preserve"> příjm</w:t>
      </w:r>
      <w:r w:rsidR="002C0354">
        <w:rPr>
          <w:rFonts w:cstheme="minorHAnsi"/>
          <w:color w:val="000000" w:themeColor="text1"/>
        </w:rPr>
        <w:t>y</w:t>
      </w:r>
      <w:r w:rsidR="00D457AE" w:rsidRPr="00F264CF">
        <w:rPr>
          <w:rFonts w:cstheme="minorHAnsi"/>
          <w:color w:val="000000" w:themeColor="text1"/>
        </w:rPr>
        <w:t xml:space="preserve"> z</w:t>
      </w:r>
      <w:r w:rsidR="005E348D">
        <w:rPr>
          <w:rFonts w:cstheme="minorHAnsi"/>
          <w:color w:val="000000" w:themeColor="text1"/>
        </w:rPr>
        <w:t xml:space="preserve"> jeho </w:t>
      </w:r>
      <w:r w:rsidR="00D457AE" w:rsidRPr="00F264CF">
        <w:rPr>
          <w:rFonts w:cstheme="minorHAnsi"/>
          <w:color w:val="000000" w:themeColor="text1"/>
        </w:rPr>
        <w:t xml:space="preserve">činnosti. </w:t>
      </w:r>
      <w:r w:rsidR="00E93EDC">
        <w:rPr>
          <w:rFonts w:cstheme="minorHAnsi"/>
          <w:color w:val="000000" w:themeColor="text1"/>
        </w:rPr>
        <w:t>Další ro</w:t>
      </w:r>
      <w:r w:rsidR="00D457AE">
        <w:rPr>
          <w:rFonts w:cstheme="minorHAnsi"/>
        </w:rPr>
        <w:t>zvoj</w:t>
      </w:r>
      <w:r w:rsidR="00D457AE" w:rsidRPr="00F264CF">
        <w:rPr>
          <w:rFonts w:cstheme="minorHAnsi"/>
        </w:rPr>
        <w:t xml:space="preserve"> CBO Těchonín </w:t>
      </w:r>
      <w:r w:rsidR="005E348D">
        <w:rPr>
          <w:rFonts w:cstheme="minorHAnsi"/>
        </w:rPr>
        <w:t>pode</w:t>
      </w:r>
      <w:r w:rsidR="00D457AE" w:rsidRPr="00F264CF">
        <w:rPr>
          <w:rFonts w:cstheme="minorHAnsi"/>
        </w:rPr>
        <w:t xml:space="preserve">přelo MO </w:t>
      </w:r>
      <w:r w:rsidR="002C0354">
        <w:rPr>
          <w:rFonts w:cstheme="minorHAnsi"/>
        </w:rPr>
        <w:t>rovněž</w:t>
      </w:r>
      <w:r w:rsidR="00E93EDC">
        <w:rPr>
          <w:rFonts w:cstheme="minorHAnsi"/>
        </w:rPr>
        <w:t xml:space="preserve"> závazkem na </w:t>
      </w:r>
      <w:r w:rsidR="00D457AE" w:rsidRPr="00F264CF">
        <w:rPr>
          <w:rFonts w:cstheme="minorHAnsi"/>
        </w:rPr>
        <w:t>snížení</w:t>
      </w:r>
      <w:r w:rsidR="005E348D">
        <w:rPr>
          <w:rFonts w:cstheme="minorHAnsi"/>
        </w:rPr>
        <w:t xml:space="preserve"> </w:t>
      </w:r>
      <w:r w:rsidR="00D457AE" w:rsidRPr="00F264CF">
        <w:rPr>
          <w:rFonts w:cstheme="minorHAnsi"/>
        </w:rPr>
        <w:t xml:space="preserve">provozních výdajů. </w:t>
      </w:r>
    </w:p>
    <w:p w14:paraId="7AE1421F" w14:textId="16522856" w:rsidR="00554300" w:rsidRDefault="00D457AE" w:rsidP="00C7553F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 w:rsidRPr="00501B23">
        <w:rPr>
          <w:rFonts w:cstheme="minorHAnsi"/>
        </w:rPr>
        <w:t>Vývoj provozních výdajů (výdajů na energie, služby, opravy a udržování nehmotného majetku) CBO Těchonín v letech 2015–2022 je uveden v grafu č</w:t>
      </w:r>
      <w:r w:rsidR="00AF6C0D" w:rsidRPr="00501B23">
        <w:rPr>
          <w:rFonts w:cstheme="minorHAnsi"/>
        </w:rPr>
        <w:t>. 1</w:t>
      </w:r>
      <w:r w:rsidR="002C0354">
        <w:rPr>
          <w:rFonts w:cstheme="minorHAnsi"/>
        </w:rPr>
        <w:t>, ten zobrazuje</w:t>
      </w:r>
      <w:r w:rsidRPr="00501B23">
        <w:rPr>
          <w:rFonts w:cstheme="minorHAnsi"/>
        </w:rPr>
        <w:t xml:space="preserve"> jak výdaje MO, tak výdaje Armádní Servisní, p. o., která zajišťuje provoz </w:t>
      </w:r>
      <w:r w:rsidR="00856B85">
        <w:rPr>
          <w:rFonts w:cstheme="minorHAnsi"/>
        </w:rPr>
        <w:t>zařízení</w:t>
      </w:r>
      <w:r w:rsidRPr="00501B23">
        <w:rPr>
          <w:rFonts w:cstheme="minorHAnsi"/>
        </w:rPr>
        <w:t>. NKÚ zjistil, že se výdaje zvýšily z 45,2 mil. Kč</w:t>
      </w:r>
      <w:r w:rsidR="003965CE">
        <w:rPr>
          <w:rFonts w:cstheme="minorHAnsi"/>
        </w:rPr>
        <w:t xml:space="preserve"> (rok 2015)</w:t>
      </w:r>
      <w:r w:rsidRPr="00501B23">
        <w:rPr>
          <w:rFonts w:cstheme="minorHAnsi"/>
        </w:rPr>
        <w:t xml:space="preserve"> na bezmála 78 mil. Kč</w:t>
      </w:r>
      <w:r>
        <w:rPr>
          <w:rStyle w:val="Znakapoznpodarou"/>
          <w:rFonts w:cstheme="minorHAnsi"/>
        </w:rPr>
        <w:footnoteReference w:id="49"/>
      </w:r>
      <w:r w:rsidR="003965CE">
        <w:rPr>
          <w:rFonts w:cstheme="minorHAnsi"/>
        </w:rPr>
        <w:t xml:space="preserve"> (rok 2022)</w:t>
      </w:r>
      <w:r w:rsidRPr="00501B23">
        <w:rPr>
          <w:rFonts w:cstheme="minorHAnsi"/>
        </w:rPr>
        <w:t>, tj. o 72 %</w:t>
      </w:r>
      <w:r w:rsidR="00245D5A">
        <w:rPr>
          <w:rFonts w:cstheme="minorHAnsi"/>
        </w:rPr>
        <w:t>.</w:t>
      </w:r>
      <w:r w:rsidRPr="00501B23">
        <w:rPr>
          <w:rFonts w:cstheme="minorHAnsi"/>
        </w:rPr>
        <w:t xml:space="preserve"> MO </w:t>
      </w:r>
      <w:r w:rsidR="00E93EDC">
        <w:rPr>
          <w:rFonts w:cstheme="minorHAnsi"/>
        </w:rPr>
        <w:t xml:space="preserve">tak </w:t>
      </w:r>
      <w:r w:rsidRPr="00501B23">
        <w:rPr>
          <w:rFonts w:cstheme="minorHAnsi"/>
        </w:rPr>
        <w:t>závazek</w:t>
      </w:r>
      <w:r w:rsidR="006269D7">
        <w:rPr>
          <w:rFonts w:cstheme="minorHAnsi"/>
        </w:rPr>
        <w:t xml:space="preserve"> snížit provozní výdaje nesp</w:t>
      </w:r>
      <w:r w:rsidR="005A6284">
        <w:rPr>
          <w:rFonts w:cstheme="minorHAnsi"/>
        </w:rPr>
        <w:t>l</w:t>
      </w:r>
      <w:r w:rsidR="006269D7">
        <w:rPr>
          <w:rFonts w:cstheme="minorHAnsi"/>
        </w:rPr>
        <w:t xml:space="preserve">nilo. </w:t>
      </w:r>
    </w:p>
    <w:p w14:paraId="7DA97D71" w14:textId="0073F728" w:rsidR="00856B85" w:rsidRDefault="00856B85">
      <w:pPr>
        <w:spacing w:after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56E6C0D" w14:textId="77F86E54" w:rsidR="001B2093" w:rsidRPr="00501B23" w:rsidRDefault="00D457AE" w:rsidP="00390980">
      <w:pPr>
        <w:spacing w:after="0"/>
        <w:jc w:val="left"/>
        <w:rPr>
          <w:rFonts w:cstheme="minorHAnsi"/>
          <w:b/>
        </w:rPr>
      </w:pPr>
      <w:r w:rsidRPr="00501B23">
        <w:rPr>
          <w:rFonts w:cstheme="minorHAnsi"/>
          <w:b/>
        </w:rPr>
        <w:t xml:space="preserve">Graf č. </w:t>
      </w:r>
      <w:r w:rsidR="00AF6C0D" w:rsidRPr="00501B23">
        <w:rPr>
          <w:rFonts w:cstheme="minorHAnsi"/>
          <w:b/>
        </w:rPr>
        <w:t>1: P</w:t>
      </w:r>
      <w:r w:rsidRPr="00501B23">
        <w:rPr>
          <w:rFonts w:cstheme="minorHAnsi"/>
          <w:b/>
        </w:rPr>
        <w:t>rovozní výdaje CBO Těchonín v letech 2015</w:t>
      </w:r>
      <w:r w:rsidR="00F8566C">
        <w:rPr>
          <w:rFonts w:cstheme="minorHAnsi"/>
          <w:b/>
        </w:rPr>
        <w:t>–</w:t>
      </w:r>
      <w:r w:rsidRPr="00501B23">
        <w:rPr>
          <w:rFonts w:cstheme="minorHAnsi"/>
          <w:b/>
        </w:rPr>
        <w:t>2022</w:t>
      </w:r>
    </w:p>
    <w:p w14:paraId="4833DDED" w14:textId="77777777" w:rsidR="00554300" w:rsidRPr="00F264CF" w:rsidRDefault="00D457AE" w:rsidP="004B690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40431F88" wp14:editId="4DB8EA0B">
            <wp:extent cx="4469314" cy="2180869"/>
            <wp:effectExtent l="0" t="0" r="762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CF5D790-1977-4B69-9DFE-E45CF05CB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D5B793" w14:textId="31FAA77F" w:rsidR="00554300" w:rsidRPr="00041C4C" w:rsidRDefault="00D457AE" w:rsidP="004B6902">
      <w:pPr>
        <w:pStyle w:val="StylZarovnatdoblokuPrvndek125cmPed12bdko"/>
        <w:spacing w:before="0" w:line="240" w:lineRule="auto"/>
        <w:ind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41C4C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Zdroj: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</w:t>
      </w:r>
      <w:r w:rsidR="002C035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MO</w:t>
      </w:r>
      <w:r w:rsidR="002C035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 graficky zpracoval NKÚ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9F03A27" w14:textId="77777777" w:rsidR="006656C5" w:rsidRDefault="006656C5" w:rsidP="004B6902">
      <w:pPr>
        <w:pStyle w:val="StylZarovnatdoblokuPrvndek125cmPed12bdko"/>
        <w:spacing w:before="0" w:line="240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F3A309" w14:textId="1BB5BAAC" w:rsidR="00554300" w:rsidRDefault="00D457AE" w:rsidP="0016251E">
      <w:pPr>
        <w:pStyle w:val="Odstavecseseznamem"/>
        <w:numPr>
          <w:ilvl w:val="1"/>
          <w:numId w:val="34"/>
        </w:numPr>
        <w:ind w:left="0" w:firstLine="0"/>
        <w:contextualSpacing w:val="0"/>
        <w:rPr>
          <w:rFonts w:cstheme="minorHAnsi"/>
        </w:rPr>
      </w:pPr>
      <w:r w:rsidRPr="00F264CF">
        <w:rPr>
          <w:rFonts w:cstheme="minorHAnsi"/>
          <w:color w:val="000000" w:themeColor="text1"/>
        </w:rPr>
        <w:t>NKÚ v</w:t>
      </w:r>
      <w:r w:rsidR="00425365">
        <w:rPr>
          <w:rFonts w:cstheme="minorHAnsi"/>
          <w:color w:val="000000" w:themeColor="text1"/>
        </w:rPr>
        <w:t xml:space="preserve"> </w:t>
      </w:r>
      <w:r w:rsidRPr="00F264CF">
        <w:rPr>
          <w:rFonts w:cstheme="minorHAnsi"/>
          <w:color w:val="000000" w:themeColor="text1"/>
        </w:rPr>
        <w:t>kontrolním závěru z</w:t>
      </w:r>
      <w:r w:rsidR="00425365">
        <w:rPr>
          <w:rFonts w:cstheme="minorHAnsi"/>
          <w:color w:val="000000" w:themeColor="text1"/>
        </w:rPr>
        <w:t xml:space="preserve"> </w:t>
      </w:r>
      <w:r w:rsidRPr="00F264CF">
        <w:rPr>
          <w:rFonts w:cstheme="minorHAnsi"/>
          <w:color w:val="000000" w:themeColor="text1"/>
        </w:rPr>
        <w:t xml:space="preserve">KA č. 14/41 – </w:t>
      </w:r>
      <w:r w:rsidRPr="00F264CF">
        <w:rPr>
          <w:rFonts w:cstheme="minorHAnsi"/>
          <w:i/>
          <w:color w:val="000000" w:themeColor="text1"/>
        </w:rPr>
        <w:t xml:space="preserve">Peněžní prostředky vynakládané Ministerstvem obrany na zajištění úkolů biologické ochrany </w:t>
      </w:r>
      <w:r w:rsidRPr="00E6384C">
        <w:rPr>
          <w:rFonts w:cstheme="minorHAnsi"/>
          <w:color w:val="000000" w:themeColor="text1"/>
        </w:rPr>
        <w:t>mj.</w:t>
      </w:r>
      <w:r>
        <w:rPr>
          <w:rFonts w:cstheme="minorHAnsi"/>
          <w:i/>
          <w:color w:val="000000" w:themeColor="text1"/>
        </w:rPr>
        <w:t xml:space="preserve"> </w:t>
      </w:r>
      <w:r w:rsidRPr="00F264CF">
        <w:rPr>
          <w:rFonts w:cstheme="minorHAnsi"/>
        </w:rPr>
        <w:t xml:space="preserve">vyhodnotil, že CBO </w:t>
      </w:r>
      <w:r w:rsidRPr="00F264CF">
        <w:rPr>
          <w:rFonts w:cstheme="minorHAnsi"/>
          <w:color w:val="000000" w:themeColor="text1"/>
        </w:rPr>
        <w:t>Těchonín</w:t>
      </w:r>
      <w:r w:rsidRPr="00F264CF">
        <w:rPr>
          <w:rFonts w:cstheme="minorHAnsi"/>
        </w:rPr>
        <w:t xml:space="preserve"> nedosahuje plánovan</w:t>
      </w:r>
      <w:r w:rsidR="00425365">
        <w:rPr>
          <w:rFonts w:cstheme="minorHAnsi"/>
        </w:rPr>
        <w:t>ých</w:t>
      </w:r>
      <w:r w:rsidRPr="00F264CF">
        <w:rPr>
          <w:rFonts w:cstheme="minorHAnsi"/>
        </w:rPr>
        <w:t xml:space="preserve"> schopnost</w:t>
      </w:r>
      <w:r w:rsidR="00425365">
        <w:rPr>
          <w:rFonts w:cstheme="minorHAnsi"/>
        </w:rPr>
        <w:t>í</w:t>
      </w:r>
      <w:r w:rsidRPr="00F264CF">
        <w:rPr>
          <w:rFonts w:cstheme="minorHAnsi"/>
        </w:rPr>
        <w:t xml:space="preserve"> z důvod</w:t>
      </w:r>
      <w:r w:rsidR="00425365">
        <w:rPr>
          <w:rFonts w:cstheme="minorHAnsi"/>
        </w:rPr>
        <w:t>u</w:t>
      </w:r>
      <w:r w:rsidRPr="00F264CF">
        <w:rPr>
          <w:rFonts w:cstheme="minorHAnsi"/>
        </w:rPr>
        <w:t xml:space="preserve"> nedokončené výstavby. </w:t>
      </w:r>
      <w:r w:rsidR="00D22BD5">
        <w:rPr>
          <w:rFonts w:cstheme="minorHAnsi"/>
        </w:rPr>
        <w:t>V</w:t>
      </w:r>
      <w:r w:rsidR="00D22BD5" w:rsidRPr="00F264CF">
        <w:rPr>
          <w:rFonts w:cstheme="minorHAnsi"/>
        </w:rPr>
        <w:t xml:space="preserve">láda </w:t>
      </w:r>
      <w:r w:rsidR="00D22BD5">
        <w:rPr>
          <w:rFonts w:cstheme="minorHAnsi"/>
        </w:rPr>
        <w:t>proto s</w:t>
      </w:r>
      <w:r w:rsidR="00425365">
        <w:rPr>
          <w:rFonts w:cstheme="minorHAnsi"/>
        </w:rPr>
        <w:t>vým u</w:t>
      </w:r>
      <w:r w:rsidRPr="00F264CF">
        <w:rPr>
          <w:rFonts w:cstheme="minorHAnsi"/>
        </w:rPr>
        <w:t xml:space="preserve">snesením </w:t>
      </w:r>
      <w:r w:rsidR="00425365" w:rsidRPr="00425365">
        <w:rPr>
          <w:rFonts w:cstheme="minorHAnsi"/>
        </w:rPr>
        <w:t>ze dne 7. dubna 2016 č. 299</w:t>
      </w:r>
      <w:r w:rsidR="00E04281" w:rsidRPr="00E04281">
        <w:rPr>
          <w:rFonts w:cstheme="minorHAnsi"/>
          <w:vertAlign w:val="superscript"/>
        </w:rPr>
        <w:fldChar w:fldCharType="begin"/>
      </w:r>
      <w:r w:rsidR="00E04281" w:rsidRPr="00E04281">
        <w:rPr>
          <w:rFonts w:cstheme="minorHAnsi"/>
          <w:vertAlign w:val="superscript"/>
        </w:rPr>
        <w:instrText xml:space="preserve"> NOTEREF _Ref148015605 \h  \* MERGEFORMAT </w:instrText>
      </w:r>
      <w:r w:rsidR="00E04281" w:rsidRPr="00E04281">
        <w:rPr>
          <w:rFonts w:cstheme="minorHAnsi"/>
          <w:vertAlign w:val="superscript"/>
        </w:rPr>
      </w:r>
      <w:r w:rsidR="00E04281" w:rsidRPr="00E04281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10</w:t>
      </w:r>
      <w:r w:rsidR="00E04281" w:rsidRPr="00E04281">
        <w:rPr>
          <w:rFonts w:cstheme="minorHAnsi"/>
          <w:vertAlign w:val="superscript"/>
        </w:rPr>
        <w:fldChar w:fldCharType="end"/>
      </w:r>
      <w:r w:rsidRPr="00F264CF">
        <w:rPr>
          <w:rFonts w:cstheme="minorHAnsi"/>
        </w:rPr>
        <w:t xml:space="preserve"> mj. uložila ministru obrany realizovat opatření </w:t>
      </w:r>
      <w:r w:rsidRPr="00A324FB">
        <w:rPr>
          <w:rFonts w:eastAsiaTheme="minorHAnsi" w:cstheme="minorHAnsi"/>
          <w:color w:val="000000"/>
        </w:rPr>
        <w:t>obsažen</w:t>
      </w:r>
      <w:r w:rsidR="00425365">
        <w:rPr>
          <w:rFonts w:eastAsiaTheme="minorHAnsi" w:cstheme="minorHAnsi"/>
          <w:color w:val="000000"/>
        </w:rPr>
        <w:t>á</w:t>
      </w:r>
      <w:r w:rsidRPr="00F264CF">
        <w:rPr>
          <w:rFonts w:cstheme="minorHAnsi"/>
        </w:rPr>
        <w:t xml:space="preserve"> </w:t>
      </w:r>
      <w:r w:rsidR="00425365">
        <w:rPr>
          <w:rFonts w:cstheme="minorHAnsi"/>
        </w:rPr>
        <w:t>v</w:t>
      </w:r>
      <w:r w:rsidR="00942D45">
        <w:rPr>
          <w:rFonts w:cstheme="minorHAnsi"/>
        </w:rPr>
        <w:t xml:space="preserve"> </w:t>
      </w:r>
      <w:r w:rsidRPr="00A324FB">
        <w:rPr>
          <w:rFonts w:eastAsiaTheme="minorHAnsi" w:cstheme="minorHAnsi"/>
          <w:color w:val="000000"/>
        </w:rPr>
        <w:t>materiálu čj.</w:t>
      </w:r>
      <w:r w:rsidR="00942D45">
        <w:rPr>
          <w:rFonts w:eastAsiaTheme="minorHAnsi" w:cstheme="minorHAnsi"/>
          <w:color w:val="000000"/>
        </w:rPr>
        <w:t xml:space="preserve"> </w:t>
      </w:r>
      <w:r w:rsidRPr="00A324FB">
        <w:rPr>
          <w:rFonts w:eastAsiaTheme="minorHAnsi" w:cstheme="minorHAnsi"/>
          <w:color w:val="000000"/>
        </w:rPr>
        <w:t>1459/15</w:t>
      </w:r>
      <w:r w:rsidRPr="00F264CF">
        <w:rPr>
          <w:rFonts w:eastAsiaTheme="minorHAnsi" w:cstheme="minorHAnsi"/>
          <w:color w:val="000000"/>
        </w:rPr>
        <w:t xml:space="preserve"> </w:t>
      </w:r>
      <w:r w:rsidRPr="00F264CF">
        <w:rPr>
          <w:rFonts w:cstheme="minorHAnsi"/>
        </w:rPr>
        <w:t>k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>odstranění nedostatků zjištěných NKÚ. V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 xml:space="preserve">materiálu </w:t>
      </w:r>
      <w:r w:rsidR="00425365">
        <w:rPr>
          <w:rFonts w:cstheme="minorHAnsi"/>
        </w:rPr>
        <w:t>Ministerstvo obrany</w:t>
      </w:r>
      <w:r w:rsidRPr="00F264CF">
        <w:rPr>
          <w:rFonts w:cstheme="minorHAnsi"/>
        </w:rPr>
        <w:t xml:space="preserve"> mj. uvedlo, že přijetím usnesení vlády ČR </w:t>
      </w:r>
      <w:r w:rsidR="00587E35" w:rsidRPr="00587E35">
        <w:rPr>
          <w:rFonts w:cstheme="minorHAnsi"/>
        </w:rPr>
        <w:t>ze dne 20. srpna 2015 č. 665</w:t>
      </w:r>
      <w:r w:rsidRPr="00F264CF">
        <w:rPr>
          <w:rFonts w:cstheme="minorHAnsi"/>
        </w:rPr>
        <w:t xml:space="preserve"> a stanovením úkolů v</w:t>
      </w:r>
      <w:r w:rsidR="009A59E0">
        <w:rPr>
          <w:rFonts w:cstheme="minorHAnsi"/>
        </w:rPr>
        <w:t xml:space="preserve"> </w:t>
      </w:r>
      <w:r w:rsidRPr="00F264CF">
        <w:rPr>
          <w:rFonts w:cstheme="minorHAnsi"/>
        </w:rPr>
        <w:t xml:space="preserve">rámci usnesení vlády ČR </w:t>
      </w:r>
      <w:r w:rsidR="00425365" w:rsidRPr="00425365">
        <w:rPr>
          <w:rFonts w:cstheme="minorHAnsi"/>
        </w:rPr>
        <w:t>ze dne 7. dubna 2016 č. 299</w:t>
      </w:r>
      <w:r w:rsidR="00856B85">
        <w:rPr>
          <w:rFonts w:cstheme="minorHAnsi"/>
        </w:rPr>
        <w:t xml:space="preserve"> </w:t>
      </w:r>
      <w:r w:rsidRPr="00F264CF">
        <w:rPr>
          <w:rFonts w:cstheme="minorHAnsi"/>
        </w:rPr>
        <w:t>byly vytvořeny podmínky pro realizaci opatření v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>oblastech financování</w:t>
      </w:r>
      <w:r w:rsidR="00165A6F">
        <w:rPr>
          <w:rFonts w:cstheme="minorHAnsi"/>
        </w:rPr>
        <w:t xml:space="preserve"> nebo</w:t>
      </w:r>
      <w:r w:rsidRPr="00F264CF">
        <w:rPr>
          <w:rFonts w:cstheme="minorHAnsi"/>
        </w:rPr>
        <w:t xml:space="preserve"> rozvoje spolupráce se zahraničními i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>národními subjekty. V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 xml:space="preserve">oblasti zvýšení efektivity činnosti CBO Těchonín </w:t>
      </w:r>
      <w:r w:rsidR="00ED1EF3">
        <w:rPr>
          <w:rFonts w:cstheme="minorHAnsi"/>
        </w:rPr>
        <w:br/>
      </w:r>
      <w:r w:rsidRPr="00F264CF">
        <w:rPr>
          <w:rFonts w:cstheme="minorHAnsi"/>
        </w:rPr>
        <w:t>a</w:t>
      </w:r>
      <w:r w:rsidR="00ED1EF3">
        <w:rPr>
          <w:rFonts w:cstheme="minorHAnsi"/>
        </w:rPr>
        <w:t xml:space="preserve"> </w:t>
      </w:r>
      <w:r w:rsidRPr="00F264CF">
        <w:rPr>
          <w:rFonts w:cstheme="minorHAnsi"/>
        </w:rPr>
        <w:t xml:space="preserve">nabídky jím poskytovaných služeb se MO opět zavázalo dobudovat mj. forenzní </w:t>
      </w:r>
      <w:r w:rsidR="009A59E0">
        <w:rPr>
          <w:rFonts w:cstheme="minorHAnsi"/>
        </w:rPr>
        <w:br/>
      </w:r>
      <w:r w:rsidRPr="00F264CF">
        <w:rPr>
          <w:rFonts w:cstheme="minorHAnsi"/>
        </w:rPr>
        <w:t>a</w:t>
      </w:r>
      <w:r w:rsidR="009A59E0">
        <w:rPr>
          <w:rFonts w:cstheme="minorHAnsi"/>
        </w:rPr>
        <w:t xml:space="preserve"> </w:t>
      </w:r>
      <w:r w:rsidRPr="00F264CF">
        <w:rPr>
          <w:rFonts w:cstheme="minorHAnsi"/>
        </w:rPr>
        <w:t>výzkumné biologické laboratoře. Usnesením Kontrolního výboru Poslanecké sněmovny Parlamentu ČR ze dne 9.</w:t>
      </w:r>
      <w:r w:rsidR="00942D45">
        <w:rPr>
          <w:rFonts w:cstheme="minorHAnsi"/>
        </w:rPr>
        <w:t xml:space="preserve"> </w:t>
      </w:r>
      <w:r w:rsidRPr="00F264CF">
        <w:rPr>
          <w:rFonts w:cstheme="minorHAnsi"/>
        </w:rPr>
        <w:t xml:space="preserve">března 2017 </w:t>
      </w:r>
      <w:r w:rsidR="009809BF">
        <w:rPr>
          <w:rFonts w:cstheme="minorHAnsi"/>
        </w:rPr>
        <w:t xml:space="preserve">č. 251 </w:t>
      </w:r>
      <w:r w:rsidRPr="00F264CF">
        <w:rPr>
          <w:rFonts w:cstheme="minorHAnsi"/>
        </w:rPr>
        <w:t xml:space="preserve">ke </w:t>
      </w:r>
      <w:r w:rsidR="00425365">
        <w:rPr>
          <w:rFonts w:cstheme="minorHAnsi"/>
        </w:rPr>
        <w:t>k</w:t>
      </w:r>
      <w:r w:rsidRPr="00F264CF">
        <w:rPr>
          <w:rFonts w:cstheme="minorHAnsi"/>
        </w:rPr>
        <w:t xml:space="preserve">ontrolnímu závěru </w:t>
      </w:r>
      <w:r>
        <w:rPr>
          <w:rFonts w:cstheme="minorHAnsi"/>
        </w:rPr>
        <w:t>NKÚ</w:t>
      </w:r>
      <w:r w:rsidRPr="00F264CF">
        <w:rPr>
          <w:rFonts w:cstheme="minorHAnsi"/>
        </w:rPr>
        <w:t xml:space="preserve"> z </w:t>
      </w:r>
      <w:r>
        <w:rPr>
          <w:rFonts w:cstheme="minorHAnsi"/>
        </w:rPr>
        <w:t>KA</w:t>
      </w:r>
      <w:r w:rsidRPr="00F264CF">
        <w:rPr>
          <w:rFonts w:cstheme="minorHAnsi"/>
        </w:rPr>
        <w:t xml:space="preserve"> č. 14/41 požádal </w:t>
      </w:r>
      <w:r w:rsidR="00942D45">
        <w:rPr>
          <w:rFonts w:cstheme="minorHAnsi"/>
        </w:rPr>
        <w:t>K</w:t>
      </w:r>
      <w:r w:rsidR="00425365">
        <w:rPr>
          <w:rFonts w:cstheme="minorHAnsi"/>
        </w:rPr>
        <w:t xml:space="preserve">ontrolní </w:t>
      </w:r>
      <w:r w:rsidRPr="00F264CF">
        <w:rPr>
          <w:rFonts w:cstheme="minorHAnsi"/>
        </w:rPr>
        <w:t>výbor vládu, aby mj. uložila ministru obrany dokončit realizaci výstavby CBO Těchonín nejpozději do konce roku 2022.</w:t>
      </w:r>
    </w:p>
    <w:p w14:paraId="53F2C602" w14:textId="237E0D4E" w:rsidR="009A255A" w:rsidRPr="003174B2" w:rsidRDefault="00D457AE" w:rsidP="009A255A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 w:rsidRPr="00F264CF">
        <w:rPr>
          <w:rFonts w:cstheme="minorHAnsi"/>
        </w:rPr>
        <w:t>Informaci MO o vyhodnocení realizovaných opatření</w:t>
      </w:r>
      <w:r>
        <w:rPr>
          <w:rFonts w:cstheme="minorHAnsi"/>
        </w:rPr>
        <w:t xml:space="preserve"> </w:t>
      </w:r>
      <w:r w:rsidRPr="00F264CF">
        <w:rPr>
          <w:rFonts w:cstheme="minorHAnsi"/>
        </w:rPr>
        <w:t>k </w:t>
      </w:r>
      <w:r w:rsidR="0072613A">
        <w:rPr>
          <w:rFonts w:cstheme="minorHAnsi"/>
        </w:rPr>
        <w:t>odstranění</w:t>
      </w:r>
      <w:r w:rsidR="0072613A" w:rsidRPr="00F264CF">
        <w:rPr>
          <w:rFonts w:cstheme="minorHAnsi"/>
        </w:rPr>
        <w:t xml:space="preserve"> </w:t>
      </w:r>
      <w:r w:rsidR="00F964A4">
        <w:rPr>
          <w:rFonts w:cstheme="minorHAnsi"/>
        </w:rPr>
        <w:t>nedostatků</w:t>
      </w:r>
      <w:r w:rsidRPr="00F264CF">
        <w:rPr>
          <w:rFonts w:cstheme="minorHAnsi"/>
        </w:rPr>
        <w:t xml:space="preserve"> </w:t>
      </w:r>
      <w:r w:rsidR="00C02C77" w:rsidRPr="00F264CF">
        <w:rPr>
          <w:rFonts w:cstheme="minorHAnsi"/>
        </w:rPr>
        <w:t>zjištěn</w:t>
      </w:r>
      <w:r w:rsidR="00C02C77">
        <w:rPr>
          <w:rFonts w:cstheme="minorHAnsi"/>
        </w:rPr>
        <w:t>ých</w:t>
      </w:r>
      <w:r w:rsidR="00C02C77" w:rsidRPr="00F264CF">
        <w:rPr>
          <w:rFonts w:cstheme="minorHAnsi"/>
        </w:rPr>
        <w:t xml:space="preserve"> </w:t>
      </w:r>
      <w:r w:rsidRPr="00F264CF">
        <w:rPr>
          <w:rFonts w:cstheme="minorHAnsi"/>
        </w:rPr>
        <w:t>NKÚ</w:t>
      </w:r>
      <w:r>
        <w:rPr>
          <w:rStyle w:val="Znakapoznpodarou"/>
          <w:rFonts w:cstheme="minorHAnsi"/>
        </w:rPr>
        <w:footnoteReference w:id="50"/>
      </w:r>
      <w:r w:rsidRPr="00F264CF">
        <w:rPr>
          <w:rFonts w:cstheme="minorHAnsi"/>
        </w:rPr>
        <w:t xml:space="preserve"> projednala vláda dne 5. dubna 2017. MO mj. uvedlo, že kompletní dobudování CBO Těchonín do roku 2022 dle výše uvedeného návrhu </w:t>
      </w:r>
      <w:r>
        <w:rPr>
          <w:rFonts w:cstheme="minorHAnsi"/>
        </w:rPr>
        <w:t>K</w:t>
      </w:r>
      <w:r w:rsidRPr="00F264CF">
        <w:rPr>
          <w:rFonts w:cstheme="minorHAnsi"/>
        </w:rPr>
        <w:t xml:space="preserve">ontrolního výboru </w:t>
      </w:r>
      <w:r w:rsidR="001C6D4F">
        <w:rPr>
          <w:rFonts w:cstheme="minorHAnsi"/>
        </w:rPr>
        <w:t xml:space="preserve">Poslanecké sněmovny Parlamentu ČR </w:t>
      </w:r>
      <w:r w:rsidRPr="00F264CF">
        <w:rPr>
          <w:rFonts w:cstheme="minorHAnsi"/>
        </w:rPr>
        <w:t>není v rozporu s</w:t>
      </w:r>
      <w:r w:rsidR="00483354">
        <w:rPr>
          <w:rFonts w:cstheme="minorHAnsi"/>
        </w:rPr>
        <w:t xml:space="preserve"> jeho </w:t>
      </w:r>
      <w:r w:rsidRPr="00F264CF">
        <w:rPr>
          <w:rFonts w:cstheme="minorHAnsi"/>
        </w:rPr>
        <w:t xml:space="preserve">záměrem. NKÚ vyhodnotil </w:t>
      </w:r>
      <w:r>
        <w:rPr>
          <w:rFonts w:cstheme="minorHAnsi"/>
        </w:rPr>
        <w:t xml:space="preserve">dopad </w:t>
      </w:r>
      <w:r w:rsidR="001C6D4F">
        <w:rPr>
          <w:rFonts w:cstheme="minorHAnsi"/>
        </w:rPr>
        <w:t xml:space="preserve">realizovaných </w:t>
      </w:r>
      <w:r>
        <w:rPr>
          <w:rFonts w:cstheme="minorHAnsi"/>
        </w:rPr>
        <w:t>opatření MO a zjistil, že</w:t>
      </w:r>
      <w:r w:rsidR="009A255A">
        <w:rPr>
          <w:rFonts w:cstheme="minorHAnsi"/>
        </w:rPr>
        <w:t xml:space="preserve"> </w:t>
      </w:r>
      <w:r w:rsidR="009A255A" w:rsidRPr="003174B2">
        <w:rPr>
          <w:rFonts w:cstheme="minorHAnsi"/>
        </w:rPr>
        <w:t xml:space="preserve">u </w:t>
      </w:r>
      <w:r w:rsidR="009A255A">
        <w:rPr>
          <w:rFonts w:cstheme="minorHAnsi"/>
        </w:rPr>
        <w:t>čtyř</w:t>
      </w:r>
      <w:r w:rsidR="009A255A" w:rsidRPr="003174B2">
        <w:rPr>
          <w:rFonts w:cstheme="minorHAnsi"/>
        </w:rPr>
        <w:t xml:space="preserve"> ze sedmi </w:t>
      </w:r>
      <w:r w:rsidR="009A255A">
        <w:rPr>
          <w:rFonts w:cstheme="minorHAnsi"/>
        </w:rPr>
        <w:t>zjištění NKÚ</w:t>
      </w:r>
      <w:r w:rsidR="009A255A">
        <w:rPr>
          <w:rStyle w:val="Znakapoznpodarou"/>
          <w:rFonts w:cstheme="minorHAnsi"/>
        </w:rPr>
        <w:footnoteReference w:id="51"/>
      </w:r>
      <w:r w:rsidR="009A255A">
        <w:rPr>
          <w:rFonts w:cstheme="minorHAnsi"/>
        </w:rPr>
        <w:t xml:space="preserve"> ne</w:t>
      </w:r>
      <w:r w:rsidR="009A255A" w:rsidRPr="003174B2">
        <w:rPr>
          <w:rFonts w:cstheme="minorHAnsi"/>
        </w:rPr>
        <w:t xml:space="preserve">došlo </w:t>
      </w:r>
      <w:r w:rsidR="009A255A">
        <w:rPr>
          <w:rFonts w:cstheme="minorHAnsi"/>
        </w:rPr>
        <w:t>k odstranění nedostatků.</w:t>
      </w:r>
    </w:p>
    <w:p w14:paraId="218DC66D" w14:textId="25FA3A49" w:rsidR="009C4C03" w:rsidRDefault="00D457AE" w:rsidP="0016251E">
      <w:pPr>
        <w:pStyle w:val="Odstavecseseznamem"/>
        <w:numPr>
          <w:ilvl w:val="0"/>
          <w:numId w:val="19"/>
        </w:numPr>
        <w:spacing w:before="120" w:after="0"/>
        <w:ind w:left="850" w:hanging="425"/>
        <w:contextualSpacing w:val="0"/>
        <w:rPr>
          <w:rFonts w:eastAsiaTheme="minorHAnsi" w:cstheme="minorHAnsi"/>
          <w:color w:val="000000"/>
        </w:rPr>
      </w:pPr>
      <w:r w:rsidRPr="001A25F5">
        <w:rPr>
          <w:rFonts w:cstheme="minorHAnsi"/>
          <w:i/>
        </w:rPr>
        <w:t xml:space="preserve">MO nedokončilo výstavbu CBO Těchonín – </w:t>
      </w:r>
      <w:r w:rsidRPr="001A25F5">
        <w:rPr>
          <w:rFonts w:cstheme="minorHAnsi"/>
        </w:rPr>
        <w:t>výstavba začala v</w:t>
      </w:r>
      <w:r w:rsidR="009809BF">
        <w:rPr>
          <w:rFonts w:cstheme="minorHAnsi"/>
        </w:rPr>
        <w:t xml:space="preserve"> </w:t>
      </w:r>
      <w:r w:rsidRPr="001A25F5">
        <w:rPr>
          <w:rFonts w:cstheme="minorHAnsi"/>
        </w:rPr>
        <w:t xml:space="preserve">roce 2001 </w:t>
      </w:r>
      <w:r w:rsidR="009809BF">
        <w:rPr>
          <w:rFonts w:cstheme="minorHAnsi"/>
        </w:rPr>
        <w:t xml:space="preserve">a </w:t>
      </w:r>
      <w:r w:rsidRPr="001A25F5">
        <w:rPr>
          <w:rFonts w:cstheme="minorHAnsi"/>
        </w:rPr>
        <w:t>měla skončit v roce 2005, termín nebyl dodržen. MO poté stanovilo minimální rozsah akcí za účelem zprovoznění a plnění úkolů</w:t>
      </w:r>
      <w:r w:rsidR="001C6D4F">
        <w:rPr>
          <w:rFonts w:cstheme="minorHAnsi"/>
        </w:rPr>
        <w:t xml:space="preserve"> CBO Těchonín</w:t>
      </w:r>
      <w:r w:rsidRPr="001A25F5">
        <w:rPr>
          <w:rFonts w:cstheme="minorHAnsi"/>
        </w:rPr>
        <w:t>. Jednalo se o akce</w:t>
      </w:r>
      <w:r w:rsidR="009809BF">
        <w:rPr>
          <w:rFonts w:cstheme="minorHAnsi"/>
        </w:rPr>
        <w:t>:</w:t>
      </w:r>
      <w:r w:rsidRPr="001A25F5">
        <w:rPr>
          <w:rFonts w:cstheme="minorHAnsi"/>
        </w:rPr>
        <w:t xml:space="preserve"> </w:t>
      </w:r>
      <w:r w:rsidR="009A59E0">
        <w:rPr>
          <w:rFonts w:cstheme="minorHAnsi"/>
        </w:rPr>
        <w:br/>
      </w:r>
      <w:r w:rsidRPr="001A25F5">
        <w:rPr>
          <w:rFonts w:cstheme="minorHAnsi"/>
        </w:rPr>
        <w:t>a)</w:t>
      </w:r>
      <w:r w:rsidR="009A59E0">
        <w:rPr>
          <w:rFonts w:cstheme="minorHAnsi"/>
        </w:rPr>
        <w:t xml:space="preserve"> </w:t>
      </w:r>
      <w:r w:rsidRPr="001A25F5">
        <w:rPr>
          <w:rFonts w:cstheme="minorHAnsi"/>
        </w:rPr>
        <w:t xml:space="preserve">rekonstrukce vodního </w:t>
      </w:r>
      <w:r w:rsidRPr="0075474F">
        <w:rPr>
          <w:rFonts w:cstheme="minorHAnsi"/>
        </w:rPr>
        <w:t>hospodářství, b) výstavb</w:t>
      </w:r>
      <w:r w:rsidR="009809BF">
        <w:rPr>
          <w:rFonts w:cstheme="minorHAnsi"/>
        </w:rPr>
        <w:t>a</w:t>
      </w:r>
      <w:r w:rsidRPr="0075474F">
        <w:rPr>
          <w:rFonts w:cstheme="minorHAnsi"/>
        </w:rPr>
        <w:t xml:space="preserve"> objektu pro vědu a</w:t>
      </w:r>
      <w:r w:rsidR="009809BF">
        <w:rPr>
          <w:rFonts w:cstheme="minorHAnsi"/>
        </w:rPr>
        <w:t xml:space="preserve"> </w:t>
      </w:r>
      <w:r w:rsidRPr="0075474F">
        <w:rPr>
          <w:rFonts w:cstheme="minorHAnsi"/>
        </w:rPr>
        <w:t>výzkum</w:t>
      </w:r>
      <w:r w:rsidR="009809BF">
        <w:rPr>
          <w:rFonts w:cstheme="minorHAnsi"/>
        </w:rPr>
        <w:t>,</w:t>
      </w:r>
      <w:r w:rsidRPr="0075474F">
        <w:rPr>
          <w:rFonts w:cstheme="minorHAnsi"/>
        </w:rPr>
        <w:t xml:space="preserve"> </w:t>
      </w:r>
      <w:r w:rsidR="009A59E0">
        <w:rPr>
          <w:rFonts w:cstheme="minorHAnsi"/>
        </w:rPr>
        <w:br/>
      </w:r>
      <w:r w:rsidRPr="0075474F">
        <w:rPr>
          <w:rFonts w:cstheme="minorHAnsi"/>
        </w:rPr>
        <w:t>c)</w:t>
      </w:r>
      <w:r w:rsidR="009A59E0">
        <w:rPr>
          <w:rFonts w:cstheme="minorHAnsi"/>
        </w:rPr>
        <w:t xml:space="preserve"> </w:t>
      </w:r>
      <w:r w:rsidR="00F649D8">
        <w:rPr>
          <w:rFonts w:cstheme="minorHAnsi"/>
        </w:rPr>
        <w:t>v</w:t>
      </w:r>
      <w:r w:rsidRPr="0075474F">
        <w:rPr>
          <w:rFonts w:cstheme="minorHAnsi"/>
        </w:rPr>
        <w:t>ýstavb</w:t>
      </w:r>
      <w:r w:rsidR="009809BF">
        <w:rPr>
          <w:rFonts w:cstheme="minorHAnsi"/>
        </w:rPr>
        <w:t>a</w:t>
      </w:r>
      <w:r w:rsidRPr="0075474F">
        <w:rPr>
          <w:rFonts w:cstheme="minorHAnsi"/>
        </w:rPr>
        <w:t xml:space="preserve"> temperovaných garáží</w:t>
      </w:r>
      <w:r>
        <w:rPr>
          <w:rStyle w:val="Znakapoznpodarou"/>
          <w:rFonts w:cstheme="minorHAnsi"/>
        </w:rPr>
        <w:footnoteReference w:id="52"/>
      </w:r>
      <w:r w:rsidRPr="0075474F">
        <w:rPr>
          <w:rFonts w:cstheme="minorHAnsi"/>
        </w:rPr>
        <w:t xml:space="preserve">. NKÚ zjistil, že MO realizovalo pouze akce </w:t>
      </w:r>
      <w:r w:rsidR="00D50C5D">
        <w:rPr>
          <w:rFonts w:cstheme="minorHAnsi"/>
        </w:rPr>
        <w:br/>
      </w:r>
      <w:r w:rsidRPr="0075474F">
        <w:rPr>
          <w:rFonts w:cstheme="minorHAnsi"/>
        </w:rPr>
        <w:t>a) a</w:t>
      </w:r>
      <w:r w:rsidR="00D50C5D">
        <w:rPr>
          <w:rFonts w:cstheme="minorHAnsi"/>
        </w:rPr>
        <w:t xml:space="preserve"> </w:t>
      </w:r>
      <w:r w:rsidRPr="0075474F">
        <w:rPr>
          <w:rFonts w:cstheme="minorHAnsi"/>
        </w:rPr>
        <w:t>c)</w:t>
      </w:r>
      <w:r w:rsidR="00844A5F">
        <w:rPr>
          <w:rFonts w:cstheme="minorHAnsi"/>
        </w:rPr>
        <w:t xml:space="preserve">. </w:t>
      </w:r>
      <w:r w:rsidR="007401B7">
        <w:rPr>
          <w:rFonts w:cstheme="minorHAnsi"/>
        </w:rPr>
        <w:t>Akce b)</w:t>
      </w:r>
      <w:r w:rsidRPr="0075474F">
        <w:rPr>
          <w:rFonts w:cstheme="minorHAnsi"/>
        </w:rPr>
        <w:t xml:space="preserve"> výstavba objektu pro vědu a výzkum (viz příklad č.</w:t>
      </w:r>
      <w:r w:rsidR="00FB683F">
        <w:rPr>
          <w:rFonts w:cstheme="minorHAnsi"/>
        </w:rPr>
        <w:t> </w:t>
      </w:r>
      <w:r w:rsidR="0043272F">
        <w:rPr>
          <w:rFonts w:cstheme="minorHAnsi"/>
        </w:rPr>
        <w:t>3</w:t>
      </w:r>
      <w:r w:rsidRPr="0075474F">
        <w:rPr>
          <w:rFonts w:cstheme="minorHAnsi"/>
        </w:rPr>
        <w:t>) nebyla v době ukončení kontroly NKÚ dokončena</w:t>
      </w:r>
      <w:bookmarkStart w:id="27" w:name="_Hlk134168873"/>
      <w:r w:rsidRPr="0075474F">
        <w:rPr>
          <w:rFonts w:cstheme="minorHAnsi"/>
        </w:rPr>
        <w:t>,</w:t>
      </w:r>
      <w:r w:rsidR="004F4F60">
        <w:rPr>
          <w:rFonts w:cstheme="minorHAnsi"/>
        </w:rPr>
        <w:t xml:space="preserve"> </w:t>
      </w:r>
      <w:r w:rsidRPr="0075474F">
        <w:rPr>
          <w:rFonts w:cstheme="minorHAnsi"/>
        </w:rPr>
        <w:t xml:space="preserve">opatření MO </w:t>
      </w:r>
      <w:r w:rsidR="004F4F60">
        <w:rPr>
          <w:rFonts w:cstheme="minorHAnsi"/>
        </w:rPr>
        <w:t xml:space="preserve">tak </w:t>
      </w:r>
      <w:r w:rsidRPr="0075474F">
        <w:rPr>
          <w:rFonts w:cstheme="minorHAnsi"/>
        </w:rPr>
        <w:t>nejsou splněna. MO přitom uskutečnilo v</w:t>
      </w:r>
      <w:r w:rsidR="00165716" w:rsidRPr="0075474F">
        <w:rPr>
          <w:rFonts w:cstheme="minorHAnsi"/>
        </w:rPr>
        <w:t> </w:t>
      </w:r>
      <w:r w:rsidRPr="0075474F">
        <w:rPr>
          <w:rFonts w:cstheme="minorHAnsi"/>
        </w:rPr>
        <w:t>CBO Těchonín v letech 2014–2022 akce za bezmála 269</w:t>
      </w:r>
      <w:r w:rsidR="0016251E">
        <w:rPr>
          <w:rFonts w:cstheme="minorHAnsi"/>
        </w:rPr>
        <w:t> </w:t>
      </w:r>
      <w:r w:rsidRPr="0075474F">
        <w:rPr>
          <w:rFonts w:cstheme="minorHAnsi"/>
        </w:rPr>
        <w:t>mil. Kč</w:t>
      </w:r>
      <w:r w:rsidR="007401B7">
        <w:rPr>
          <w:rFonts w:cstheme="minorHAnsi"/>
        </w:rPr>
        <w:t xml:space="preserve"> (např. </w:t>
      </w:r>
      <w:r w:rsidR="005A6284">
        <w:rPr>
          <w:rFonts w:cstheme="minorHAnsi"/>
        </w:rPr>
        <w:t>rekonstrukce objektu pro ubytování, rekonstrukce velitelsko-štábní budovy)</w:t>
      </w:r>
      <w:r w:rsidRPr="0075474F">
        <w:rPr>
          <w:rFonts w:cstheme="minorHAnsi"/>
        </w:rPr>
        <w:t xml:space="preserve">. </w:t>
      </w:r>
      <w:r w:rsidRPr="001A25F5">
        <w:rPr>
          <w:rFonts w:cstheme="minorHAnsi"/>
        </w:rPr>
        <w:t>V </w:t>
      </w:r>
      <w:r w:rsidR="009809BF">
        <w:rPr>
          <w:rFonts w:cstheme="minorHAnsi"/>
        </w:rPr>
        <w:t>následujících</w:t>
      </w:r>
      <w:r w:rsidRPr="001A25F5">
        <w:rPr>
          <w:rFonts w:cstheme="minorHAnsi"/>
        </w:rPr>
        <w:t xml:space="preserve"> letech plánuje MO investovat do </w:t>
      </w:r>
      <w:r w:rsidR="00856B85">
        <w:rPr>
          <w:rFonts w:cstheme="minorHAnsi"/>
        </w:rPr>
        <w:t>zařízení</w:t>
      </w:r>
      <w:r w:rsidRPr="001A25F5">
        <w:rPr>
          <w:rFonts w:cstheme="minorHAnsi"/>
        </w:rPr>
        <w:t xml:space="preserve"> </w:t>
      </w:r>
      <w:r w:rsidR="004F4F60">
        <w:rPr>
          <w:rFonts w:cstheme="minorHAnsi"/>
        </w:rPr>
        <w:t xml:space="preserve">další </w:t>
      </w:r>
      <w:r w:rsidRPr="001A25F5">
        <w:rPr>
          <w:rFonts w:cstheme="minorHAnsi"/>
        </w:rPr>
        <w:t xml:space="preserve">stovky milionů korun (zejména </w:t>
      </w:r>
      <w:r w:rsidR="009809BF">
        <w:rPr>
          <w:rFonts w:cstheme="minorHAnsi"/>
        </w:rPr>
        <w:t>do</w:t>
      </w:r>
      <w:r w:rsidRPr="001A25F5">
        <w:rPr>
          <w:rFonts w:cstheme="minorHAnsi"/>
        </w:rPr>
        <w:t xml:space="preserve"> objekt</w:t>
      </w:r>
      <w:r w:rsidR="009809BF">
        <w:rPr>
          <w:rFonts w:cstheme="minorHAnsi"/>
        </w:rPr>
        <w:t>u</w:t>
      </w:r>
      <w:r w:rsidRPr="001A25F5">
        <w:rPr>
          <w:rFonts w:cstheme="minorHAnsi"/>
        </w:rPr>
        <w:t xml:space="preserve"> pro vědu a</w:t>
      </w:r>
      <w:r w:rsidR="003B0AAB">
        <w:rPr>
          <w:rFonts w:cstheme="minorHAnsi"/>
        </w:rPr>
        <w:t xml:space="preserve"> </w:t>
      </w:r>
      <w:r w:rsidRPr="001A25F5">
        <w:rPr>
          <w:rFonts w:cstheme="minorHAnsi"/>
        </w:rPr>
        <w:t xml:space="preserve">výzkum </w:t>
      </w:r>
      <w:r w:rsidR="009809BF">
        <w:rPr>
          <w:rFonts w:cstheme="minorHAnsi"/>
        </w:rPr>
        <w:t>a do</w:t>
      </w:r>
      <w:r w:rsidRPr="001A25F5">
        <w:rPr>
          <w:rFonts w:cstheme="minorHAnsi"/>
        </w:rPr>
        <w:t xml:space="preserve"> obměn</w:t>
      </w:r>
      <w:r w:rsidR="009809BF">
        <w:rPr>
          <w:rFonts w:cstheme="minorHAnsi"/>
        </w:rPr>
        <w:t>y</w:t>
      </w:r>
      <w:r w:rsidRPr="001A25F5">
        <w:rPr>
          <w:rFonts w:cstheme="minorHAnsi"/>
        </w:rPr>
        <w:t xml:space="preserve"> technologií</w:t>
      </w:r>
      <w:r w:rsidR="00927E3A">
        <w:rPr>
          <w:rFonts w:cstheme="minorHAnsi"/>
        </w:rPr>
        <w:t>)</w:t>
      </w:r>
      <w:r w:rsidRPr="001A25F5">
        <w:rPr>
          <w:rFonts w:cstheme="minorHAnsi"/>
        </w:rPr>
        <w:t xml:space="preserve">. </w:t>
      </w:r>
      <w:r w:rsidRPr="00F264CF">
        <w:rPr>
          <w:rFonts w:cstheme="minorHAnsi"/>
          <w:bCs/>
        </w:rPr>
        <w:t xml:space="preserve">Aktuálně platný investiční záměr </w:t>
      </w:r>
      <w:r w:rsidR="004F4F60">
        <w:rPr>
          <w:rFonts w:cstheme="minorHAnsi"/>
          <w:bCs/>
        </w:rPr>
        <w:t xml:space="preserve">objektu pro vědu a výzkum </w:t>
      </w:r>
      <w:r>
        <w:rPr>
          <w:rFonts w:cstheme="minorHAnsi"/>
          <w:bCs/>
        </w:rPr>
        <w:t xml:space="preserve">je </w:t>
      </w:r>
      <w:r w:rsidRPr="00F264CF">
        <w:rPr>
          <w:rFonts w:cstheme="minorHAnsi"/>
          <w:bCs/>
        </w:rPr>
        <w:t xml:space="preserve">z roku 2020, stavební povolení bylo vydáno </w:t>
      </w:r>
      <w:r>
        <w:rPr>
          <w:rFonts w:cstheme="minorHAnsi"/>
          <w:bCs/>
        </w:rPr>
        <w:t>rok poté</w:t>
      </w:r>
      <w:r w:rsidRPr="00F264CF">
        <w:rPr>
          <w:rFonts w:cstheme="minorHAnsi"/>
          <w:bCs/>
        </w:rPr>
        <w:t>, MO předpokládá výstavbu</w:t>
      </w:r>
      <w:r>
        <w:rPr>
          <w:rFonts w:cstheme="minorHAnsi"/>
          <w:bCs/>
        </w:rPr>
        <w:t xml:space="preserve"> </w:t>
      </w:r>
      <w:r w:rsidRPr="00F264CF">
        <w:rPr>
          <w:rFonts w:cstheme="minorHAnsi"/>
          <w:bCs/>
        </w:rPr>
        <w:t>v letech 2024–2027.</w:t>
      </w:r>
      <w:r w:rsidRPr="00F264CF">
        <w:rPr>
          <w:rFonts w:eastAsiaTheme="minorHAnsi" w:cstheme="minorHAnsi"/>
          <w:i/>
          <w:color w:val="000000"/>
        </w:rPr>
        <w:t xml:space="preserve"> </w:t>
      </w:r>
      <w:r w:rsidRPr="00F264CF">
        <w:rPr>
          <w:rFonts w:eastAsiaTheme="minorHAnsi" w:cstheme="minorHAnsi"/>
          <w:color w:val="000000"/>
        </w:rPr>
        <w:t>V době ukončení kontroly NKÚ běžela lhůta pro podání nabídek na zhotovitele</w:t>
      </w:r>
      <w:r w:rsidR="004F4F60">
        <w:rPr>
          <w:rFonts w:eastAsiaTheme="minorHAnsi" w:cstheme="minorHAnsi"/>
          <w:color w:val="000000"/>
        </w:rPr>
        <w:t xml:space="preserve"> stavby</w:t>
      </w:r>
      <w:r>
        <w:rPr>
          <w:rFonts w:eastAsiaTheme="minorHAnsi" w:cstheme="minorHAnsi"/>
          <w:color w:val="000000"/>
        </w:rPr>
        <w:t>.</w:t>
      </w:r>
    </w:p>
    <w:p w14:paraId="5701F7F9" w14:textId="77777777" w:rsidR="00D97E42" w:rsidRPr="00501B23" w:rsidRDefault="00D97E42" w:rsidP="00041C4C">
      <w:pPr>
        <w:rPr>
          <w:rFonts w:cstheme="minorHAnsi"/>
          <w:lang w:eastAsia="cs-CZ"/>
        </w:rPr>
      </w:pPr>
      <w:bookmarkStart w:id="28" w:name="_Toc120623108"/>
      <w:bookmarkEnd w:id="27"/>
    </w:p>
    <w:p w14:paraId="0192E407" w14:textId="7FA9C6F3" w:rsidR="00D365E6" w:rsidRPr="001A25F5" w:rsidRDefault="00D457AE" w:rsidP="00AC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rFonts w:cstheme="minorHAnsi"/>
          <w:b/>
          <w:lang w:eastAsia="cs-CZ"/>
        </w:rPr>
      </w:pPr>
      <w:r w:rsidRPr="001A25F5">
        <w:rPr>
          <w:rFonts w:cstheme="minorHAnsi"/>
          <w:b/>
          <w:lang w:eastAsia="cs-CZ"/>
        </w:rPr>
        <w:t xml:space="preserve">Příklad č. </w:t>
      </w:r>
      <w:r w:rsidR="00FB683F">
        <w:rPr>
          <w:rFonts w:cstheme="minorHAnsi"/>
          <w:b/>
          <w:lang w:eastAsia="cs-CZ"/>
        </w:rPr>
        <w:t>3</w:t>
      </w:r>
      <w:r w:rsidR="0043272F">
        <w:rPr>
          <w:rFonts w:cstheme="minorHAnsi"/>
          <w:b/>
          <w:lang w:eastAsia="cs-CZ"/>
        </w:rPr>
        <w:t xml:space="preserve"> –</w:t>
      </w:r>
      <w:r w:rsidR="00041C4C">
        <w:rPr>
          <w:rFonts w:cstheme="minorHAnsi"/>
          <w:b/>
          <w:lang w:eastAsia="cs-CZ"/>
        </w:rPr>
        <w:t xml:space="preserve"> „</w:t>
      </w:r>
      <w:r w:rsidR="00041C4C" w:rsidRPr="009A59E0">
        <w:rPr>
          <w:rFonts w:cstheme="minorHAnsi"/>
          <w:b/>
          <w:i/>
          <w:lang w:eastAsia="cs-CZ"/>
        </w:rPr>
        <w:t xml:space="preserve">Těchonín – výstavba objektu </w:t>
      </w:r>
      <w:r w:rsidRPr="009A59E0">
        <w:rPr>
          <w:rFonts w:cstheme="minorHAnsi"/>
          <w:b/>
          <w:i/>
          <w:lang w:eastAsia="cs-CZ"/>
        </w:rPr>
        <w:t>pro vědu a výzkum</w:t>
      </w:r>
      <w:r w:rsidR="00041C4C">
        <w:rPr>
          <w:rFonts w:cstheme="minorHAnsi"/>
          <w:b/>
          <w:lang w:eastAsia="cs-CZ"/>
        </w:rPr>
        <w:t>“</w:t>
      </w:r>
    </w:p>
    <w:p w14:paraId="7B42887A" w14:textId="0BE89737" w:rsidR="00D365E6" w:rsidRPr="004F4F60" w:rsidRDefault="00D457AE" w:rsidP="0016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MO </w:t>
      </w:r>
      <w:r w:rsidRPr="00501B23">
        <w:rPr>
          <w:rFonts w:cstheme="minorHAnsi"/>
          <w:bCs/>
        </w:rPr>
        <w:t xml:space="preserve">připisuje objektu </w:t>
      </w:r>
      <w:r>
        <w:rPr>
          <w:rFonts w:cstheme="minorHAnsi"/>
          <w:bCs/>
        </w:rPr>
        <w:t xml:space="preserve">pro vědu a výzkum </w:t>
      </w:r>
      <w:r w:rsidRPr="00501B23">
        <w:rPr>
          <w:rFonts w:cstheme="minorHAnsi"/>
          <w:bCs/>
        </w:rPr>
        <w:t xml:space="preserve">zásadní roli, neboť bez jeho výstavby nelze plnit statutární funkce (viz </w:t>
      </w:r>
      <w:r w:rsidR="003B0AAB">
        <w:rPr>
          <w:rFonts w:cstheme="minorHAnsi"/>
          <w:bCs/>
        </w:rPr>
        <w:t>níže odrážka č. 2</w:t>
      </w:r>
      <w:r w:rsidRPr="00501B23">
        <w:rPr>
          <w:rFonts w:cstheme="minorHAnsi"/>
          <w:bCs/>
        </w:rPr>
        <w:t>)</w:t>
      </w:r>
      <w:r w:rsidR="00856B85">
        <w:rPr>
          <w:rFonts w:cstheme="minorHAnsi"/>
          <w:bCs/>
        </w:rPr>
        <w:t xml:space="preserve"> CBO Těchonín</w:t>
      </w:r>
      <w:r w:rsidRPr="00501B23">
        <w:rPr>
          <w:rFonts w:cstheme="minorHAnsi"/>
          <w:bCs/>
        </w:rPr>
        <w:t xml:space="preserve">, rozšířit potenciál využití </w:t>
      </w:r>
      <w:r w:rsidR="003B0AAB">
        <w:rPr>
          <w:rFonts w:cstheme="minorHAnsi"/>
          <w:bCs/>
        </w:rPr>
        <w:t xml:space="preserve">centra </w:t>
      </w:r>
      <w:r w:rsidRPr="00501B23">
        <w:rPr>
          <w:rFonts w:cstheme="minorHAnsi"/>
          <w:bCs/>
        </w:rPr>
        <w:t>nebo dosáhnout navýšení příjmů z</w:t>
      </w:r>
      <w:r>
        <w:rPr>
          <w:rFonts w:cstheme="minorHAnsi"/>
          <w:bCs/>
        </w:rPr>
        <w:t xml:space="preserve"> jeho </w:t>
      </w:r>
      <w:r w:rsidRPr="00501B23">
        <w:rPr>
          <w:rFonts w:cstheme="minorHAnsi"/>
          <w:bCs/>
        </w:rPr>
        <w:t xml:space="preserve">činnosti. </w:t>
      </w:r>
      <w:r w:rsidR="006656C5">
        <w:rPr>
          <w:rFonts w:cstheme="minorHAnsi"/>
          <w:bCs/>
        </w:rPr>
        <w:t xml:space="preserve">Tento objekt měl být dobudován již v roce 2005. </w:t>
      </w:r>
      <w:r w:rsidR="00205B45">
        <w:rPr>
          <w:rFonts w:cstheme="minorHAnsi"/>
          <w:bCs/>
        </w:rPr>
        <w:t>Plánované</w:t>
      </w:r>
      <w:r w:rsidR="00205B45" w:rsidRPr="00501B23">
        <w:rPr>
          <w:rFonts w:cstheme="minorHAnsi"/>
        </w:rPr>
        <w:t xml:space="preserve"> </w:t>
      </w:r>
      <w:r w:rsidRPr="00501B23">
        <w:rPr>
          <w:rFonts w:cstheme="minorHAnsi"/>
        </w:rPr>
        <w:t>náklady výstavby mezitím vzrostly z</w:t>
      </w:r>
      <w:r w:rsidR="003B0AAB">
        <w:rPr>
          <w:rFonts w:cstheme="minorHAnsi"/>
        </w:rPr>
        <w:t>e</w:t>
      </w:r>
      <w:r w:rsidRPr="00501B23">
        <w:rPr>
          <w:rFonts w:cstheme="minorHAnsi"/>
        </w:rPr>
        <w:t xml:space="preserve"> </w:t>
      </w:r>
      <w:r w:rsidRPr="00501B23">
        <w:rPr>
          <w:rFonts w:cstheme="minorHAnsi"/>
          <w:bCs/>
        </w:rPr>
        <w:t xml:space="preserve">104,2 mil. Kč (2005) na </w:t>
      </w:r>
      <w:r w:rsidRPr="00501B23">
        <w:rPr>
          <w:rFonts w:eastAsiaTheme="minorHAnsi" w:cstheme="minorHAnsi"/>
          <w:bCs/>
        </w:rPr>
        <w:t>586,8 mil. K</w:t>
      </w:r>
      <w:r w:rsidRPr="00501B23">
        <w:rPr>
          <w:rFonts w:eastAsiaTheme="minorHAnsi" w:cstheme="minorHAnsi"/>
        </w:rPr>
        <w:t>č (2022)</w:t>
      </w:r>
      <w:r w:rsidR="003B0AAB">
        <w:rPr>
          <w:rFonts w:eastAsiaTheme="minorHAnsi" w:cstheme="minorHAnsi"/>
        </w:rPr>
        <w:t>,</w:t>
      </w:r>
      <w:r w:rsidRPr="00501B23">
        <w:rPr>
          <w:rFonts w:eastAsiaTheme="minorHAnsi" w:cstheme="minorHAnsi"/>
        </w:rPr>
        <w:t xml:space="preserve"> tj. na více než pětinásobek</w:t>
      </w:r>
      <w:r w:rsidR="001945CE">
        <w:rPr>
          <w:rFonts w:eastAsiaTheme="minorHAnsi" w:cstheme="minorHAnsi"/>
        </w:rPr>
        <w:t>.</w:t>
      </w:r>
      <w:r w:rsidRPr="00501B23">
        <w:rPr>
          <w:rFonts w:eastAsiaTheme="minorHAnsi" w:cstheme="minorHAnsi"/>
        </w:rPr>
        <w:t xml:space="preserve"> </w:t>
      </w:r>
    </w:p>
    <w:p w14:paraId="427AA968" w14:textId="77777777" w:rsidR="0056228A" w:rsidRDefault="0056228A" w:rsidP="00041C4C">
      <w:pPr>
        <w:jc w:val="left"/>
        <w:rPr>
          <w:rFonts w:eastAsiaTheme="minorHAnsi" w:cstheme="minorHAnsi"/>
        </w:rPr>
      </w:pPr>
    </w:p>
    <w:p w14:paraId="040F748F" w14:textId="2F4245F9" w:rsidR="0075474F" w:rsidRPr="00501B23" w:rsidRDefault="00D457AE" w:rsidP="00041C4C">
      <w:pPr>
        <w:tabs>
          <w:tab w:val="right" w:pos="9072"/>
        </w:tabs>
        <w:spacing w:after="240"/>
        <w:ind w:left="993" w:hanging="993"/>
        <w:jc w:val="left"/>
        <w:rPr>
          <w:rFonts w:eastAsiaTheme="minorHAnsi" w:cstheme="minorHAnsi"/>
          <w:b/>
        </w:rPr>
      </w:pPr>
      <w:r w:rsidRPr="00501B23">
        <w:rPr>
          <w:rFonts w:eastAsiaTheme="minorHAnsi" w:cstheme="minorHAnsi"/>
          <w:b/>
        </w:rPr>
        <w:t xml:space="preserve">Graf č. 2: </w:t>
      </w:r>
      <w:r w:rsidR="003B0AAB">
        <w:rPr>
          <w:rFonts w:eastAsiaTheme="minorHAnsi" w:cstheme="minorHAnsi"/>
          <w:b/>
        </w:rPr>
        <w:tab/>
      </w:r>
      <w:r w:rsidRPr="00501B23">
        <w:rPr>
          <w:rFonts w:eastAsiaTheme="minorHAnsi" w:cstheme="minorHAnsi"/>
          <w:b/>
        </w:rPr>
        <w:t xml:space="preserve">Růst plánovaných </w:t>
      </w:r>
      <w:r w:rsidR="0083622A">
        <w:rPr>
          <w:rFonts w:eastAsiaTheme="minorHAnsi" w:cstheme="minorHAnsi"/>
          <w:b/>
        </w:rPr>
        <w:t>nákladů</w:t>
      </w:r>
      <w:r w:rsidR="0083622A" w:rsidRPr="00501B23">
        <w:rPr>
          <w:rFonts w:eastAsiaTheme="minorHAnsi" w:cstheme="minorHAnsi"/>
          <w:b/>
        </w:rPr>
        <w:t xml:space="preserve"> </w:t>
      </w:r>
      <w:r w:rsidR="003B0AAB">
        <w:rPr>
          <w:rFonts w:eastAsiaTheme="minorHAnsi" w:cstheme="minorHAnsi"/>
          <w:b/>
        </w:rPr>
        <w:t xml:space="preserve">na </w:t>
      </w:r>
      <w:r w:rsidRPr="00501B23">
        <w:rPr>
          <w:rFonts w:eastAsiaTheme="minorHAnsi" w:cstheme="minorHAnsi"/>
          <w:b/>
        </w:rPr>
        <w:t>výstavb</w:t>
      </w:r>
      <w:r w:rsidR="003B0AAB">
        <w:rPr>
          <w:rFonts w:eastAsiaTheme="minorHAnsi" w:cstheme="minorHAnsi"/>
          <w:b/>
        </w:rPr>
        <w:t>u</w:t>
      </w:r>
      <w:r w:rsidRPr="00501B23">
        <w:rPr>
          <w:rFonts w:eastAsiaTheme="minorHAnsi" w:cstheme="minorHAnsi"/>
          <w:b/>
        </w:rPr>
        <w:t xml:space="preserve"> objektu pro vědu a výzkum </w:t>
      </w:r>
      <w:r w:rsidR="00A516B5">
        <w:rPr>
          <w:rFonts w:eastAsiaTheme="minorHAnsi" w:cstheme="minorHAnsi"/>
          <w:b/>
        </w:rPr>
        <w:t>v </w:t>
      </w:r>
      <w:r w:rsidRPr="00501B23">
        <w:rPr>
          <w:rFonts w:eastAsiaTheme="minorHAnsi" w:cstheme="minorHAnsi"/>
          <w:b/>
        </w:rPr>
        <w:t>CBO Těchonín v</w:t>
      </w:r>
      <w:r>
        <w:rPr>
          <w:rFonts w:eastAsiaTheme="minorHAnsi" w:cstheme="minorHAnsi"/>
          <w:b/>
        </w:rPr>
        <w:t> </w:t>
      </w:r>
      <w:r w:rsidRPr="00501B23">
        <w:rPr>
          <w:rFonts w:eastAsiaTheme="minorHAnsi" w:cstheme="minorHAnsi"/>
          <w:b/>
        </w:rPr>
        <w:t>letech 2005</w:t>
      </w:r>
      <w:r>
        <w:rPr>
          <w:rFonts w:eastAsiaTheme="minorHAnsi" w:cstheme="minorHAnsi"/>
          <w:b/>
        </w:rPr>
        <w:t>–</w:t>
      </w:r>
      <w:r w:rsidRPr="00501B23">
        <w:rPr>
          <w:rFonts w:eastAsiaTheme="minorHAnsi" w:cstheme="minorHAnsi"/>
          <w:b/>
        </w:rPr>
        <w:t>2022</w:t>
      </w:r>
      <w:r w:rsidR="003B0AAB">
        <w:rPr>
          <w:rFonts w:eastAsiaTheme="minorHAnsi" w:cstheme="minorHAnsi"/>
          <w:b/>
        </w:rPr>
        <w:t xml:space="preserve"> (v mil. Kč)</w:t>
      </w:r>
    </w:p>
    <w:p w14:paraId="5FF74E1D" w14:textId="77777777" w:rsidR="0075474F" w:rsidRPr="00F264CF" w:rsidRDefault="00D457AE" w:rsidP="00BC2061">
      <w:pPr>
        <w:spacing w:after="0"/>
        <w:jc w:val="center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09475FA4" wp14:editId="54E26F97">
            <wp:extent cx="5533200" cy="2646000"/>
            <wp:effectExtent l="0" t="0" r="0" b="25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26E18B6-E2FB-41DA-B077-F4AF9CE60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7CA945" w14:textId="1C83384D" w:rsidR="006656C5" w:rsidRPr="00041C4C" w:rsidRDefault="00D457AE" w:rsidP="0016251E">
      <w:pPr>
        <w:pStyle w:val="StylZarovnatdoblokuPrvndek125cmPed12bdko"/>
        <w:spacing w:before="0" w:line="240" w:lineRule="auto"/>
        <w:ind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41C4C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Zdroj: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</w:t>
      </w:r>
      <w:r w:rsidR="003B0A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MO</w:t>
      </w:r>
      <w:r w:rsidR="003B0A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 graficky zpracoval NKÚ</w:t>
      </w:r>
      <w:r w:rsidRPr="00041C4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227683C6" w14:textId="4F349EE8" w:rsidR="00BC2061" w:rsidRDefault="00BC2061">
      <w:pPr>
        <w:spacing w:after="0"/>
        <w:jc w:val="left"/>
        <w:rPr>
          <w:rFonts w:cstheme="minorHAnsi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br w:type="page"/>
      </w:r>
    </w:p>
    <w:p w14:paraId="37AA1640" w14:textId="4B27B395" w:rsidR="0075474F" w:rsidRDefault="00D457AE" w:rsidP="00C7553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contextualSpacing w:val="0"/>
        <w:rPr>
          <w:rFonts w:cstheme="minorHAnsi"/>
        </w:rPr>
      </w:pPr>
      <w:bookmarkStart w:id="29" w:name="_Hlk134517369"/>
      <w:bookmarkEnd w:id="28"/>
      <w:r w:rsidRPr="0075474F">
        <w:rPr>
          <w:rFonts w:cstheme="minorHAnsi"/>
          <w:i/>
        </w:rPr>
        <w:t>CBO Těchonín plnilo určené úkoly v</w:t>
      </w:r>
      <w:r w:rsidR="00227CE8">
        <w:rPr>
          <w:rFonts w:cstheme="minorHAnsi"/>
          <w:i/>
        </w:rPr>
        <w:t xml:space="preserve"> </w:t>
      </w:r>
      <w:r w:rsidRPr="0075474F">
        <w:rPr>
          <w:rFonts w:cstheme="minorHAnsi"/>
          <w:i/>
        </w:rPr>
        <w:t xml:space="preserve">omezené </w:t>
      </w:r>
      <w:bookmarkEnd w:id="29"/>
      <w:r w:rsidRPr="0075474F">
        <w:rPr>
          <w:rFonts w:cstheme="minorHAnsi"/>
          <w:i/>
        </w:rPr>
        <w:t xml:space="preserve">míře </w:t>
      </w:r>
      <w:r w:rsidRPr="0075474F">
        <w:rPr>
          <w:rFonts w:cstheme="minorHAnsi"/>
        </w:rPr>
        <w:t xml:space="preserve">– </w:t>
      </w:r>
      <w:r w:rsidRPr="0075474F">
        <w:rPr>
          <w:rFonts w:cstheme="minorHAnsi"/>
          <w:bCs/>
        </w:rPr>
        <w:t xml:space="preserve">úkoly stanovilo MO formou devíti statutárních funkcí. Funkce č. 1 – </w:t>
      </w:r>
      <w:r w:rsidR="00BC2061">
        <w:rPr>
          <w:rFonts w:cstheme="minorHAnsi"/>
          <w:bCs/>
          <w:i/>
        </w:rPr>
        <w:t>ř</w:t>
      </w:r>
      <w:r w:rsidRPr="0075474F">
        <w:rPr>
          <w:rFonts w:cstheme="minorHAnsi"/>
          <w:bCs/>
          <w:i/>
        </w:rPr>
        <w:t>ízení</w:t>
      </w:r>
      <w:r w:rsidRPr="0075474F">
        <w:rPr>
          <w:rFonts w:cstheme="minorHAnsi"/>
          <w:i/>
        </w:rPr>
        <w:t xml:space="preserve"> specifického obranného systému v boji proti bioterorismu a při ochraně vojsk před biologickými zbraněmi</w:t>
      </w:r>
      <w:r w:rsidRPr="0075474F">
        <w:rPr>
          <w:rFonts w:cstheme="minorHAnsi"/>
        </w:rPr>
        <w:t xml:space="preserve"> je plněna, CBO</w:t>
      </w:r>
      <w:r w:rsidR="00AC21E3">
        <w:rPr>
          <w:rFonts w:cstheme="minorHAnsi"/>
        </w:rPr>
        <w:t xml:space="preserve"> Těchonín</w:t>
      </w:r>
      <w:r w:rsidRPr="0075474F">
        <w:rPr>
          <w:rFonts w:cstheme="minorHAnsi"/>
        </w:rPr>
        <w:t xml:space="preserve"> je udržován</w:t>
      </w:r>
      <w:r w:rsidR="00BC2061">
        <w:rPr>
          <w:rFonts w:cstheme="minorHAnsi"/>
        </w:rPr>
        <w:t>o</w:t>
      </w:r>
      <w:r w:rsidRPr="0075474F">
        <w:rPr>
          <w:rFonts w:cstheme="minorHAnsi"/>
        </w:rPr>
        <w:t xml:space="preserve"> ve stavu nepřetržité pohotovosti. Aktivace je řešena </w:t>
      </w:r>
      <w:r w:rsidR="00BC2061" w:rsidRPr="00041C4C">
        <w:rPr>
          <w:rFonts w:cstheme="minorHAnsi"/>
        </w:rPr>
        <w:t>r</w:t>
      </w:r>
      <w:r w:rsidRPr="00041C4C">
        <w:rPr>
          <w:rFonts w:cstheme="minorHAnsi"/>
        </w:rPr>
        <w:t>ealizační dohodou Ministerstva obrany s</w:t>
      </w:r>
      <w:r w:rsidR="009A59E0">
        <w:rPr>
          <w:rFonts w:cstheme="minorHAnsi"/>
        </w:rPr>
        <w:t xml:space="preserve"> </w:t>
      </w:r>
      <w:r w:rsidRPr="00041C4C">
        <w:rPr>
          <w:rFonts w:cstheme="minorHAnsi"/>
        </w:rPr>
        <w:t>Ministerstvem zdravotnictví</w:t>
      </w:r>
      <w:r w:rsidRPr="0075474F">
        <w:rPr>
          <w:rFonts w:cstheme="minorHAnsi"/>
          <w:i/>
        </w:rPr>
        <w:t xml:space="preserve">. </w:t>
      </w:r>
      <w:r w:rsidRPr="0075474F">
        <w:rPr>
          <w:rFonts w:cstheme="minorHAnsi"/>
        </w:rPr>
        <w:t>NKÚ zjistil, že v</w:t>
      </w:r>
      <w:r w:rsidR="009A59E0">
        <w:rPr>
          <w:rFonts w:cstheme="minorHAnsi"/>
        </w:rPr>
        <w:t xml:space="preserve"> </w:t>
      </w:r>
      <w:r w:rsidRPr="0075474F">
        <w:rPr>
          <w:rFonts w:cstheme="minorHAnsi"/>
        </w:rPr>
        <w:t>kontrolovaném období nebyl Ministerstvem zdravotnictví</w:t>
      </w:r>
      <w:r w:rsidRPr="0075474F">
        <w:rPr>
          <w:rFonts w:cstheme="minorHAnsi"/>
          <w:i/>
        </w:rPr>
        <w:t xml:space="preserve"> </w:t>
      </w:r>
      <w:r w:rsidRPr="0075474F">
        <w:rPr>
          <w:rFonts w:cstheme="minorHAnsi"/>
        </w:rPr>
        <w:t xml:space="preserve">vznesen požadavek na aktivaci </w:t>
      </w:r>
      <w:r w:rsidRPr="0075474F">
        <w:rPr>
          <w:rFonts w:cstheme="minorHAnsi"/>
          <w:bCs/>
        </w:rPr>
        <w:t>CBO Těchonín</w:t>
      </w:r>
      <w:r w:rsidRPr="0075474F">
        <w:rPr>
          <w:rFonts w:cstheme="minorHAnsi"/>
        </w:rPr>
        <w:t>, a to ani v rámci pandemie covid</w:t>
      </w:r>
      <w:r w:rsidR="00BC2061">
        <w:rPr>
          <w:rFonts w:cstheme="minorHAnsi"/>
        </w:rPr>
        <w:t>u</w:t>
      </w:r>
      <w:r w:rsidRPr="0075474F">
        <w:rPr>
          <w:rFonts w:cstheme="minorHAnsi"/>
        </w:rPr>
        <w:t>-19. Také funkce č. 2, 3, 4 a 5</w:t>
      </w:r>
      <w:r>
        <w:rPr>
          <w:rStyle w:val="Znakapoznpodarou"/>
          <w:rFonts w:cstheme="minorHAnsi"/>
        </w:rPr>
        <w:footnoteReference w:id="53"/>
      </w:r>
      <w:r w:rsidRPr="0075474F">
        <w:rPr>
          <w:rFonts w:cstheme="minorHAnsi"/>
        </w:rPr>
        <w:t xml:space="preserve"> jsou plněny. Funkce č. 6</w:t>
      </w:r>
      <w:bookmarkStart w:id="30" w:name="bookmark7"/>
      <w:r w:rsidRPr="0075474F">
        <w:rPr>
          <w:rFonts w:cstheme="minorHAnsi"/>
        </w:rPr>
        <w:t xml:space="preserve"> </w:t>
      </w:r>
      <w:r w:rsidR="00BC2061" w:rsidRPr="0075474F">
        <w:rPr>
          <w:rFonts w:cstheme="minorHAnsi"/>
          <w:bCs/>
        </w:rPr>
        <w:t>–</w:t>
      </w:r>
      <w:r w:rsidRPr="0075474F">
        <w:rPr>
          <w:rFonts w:cstheme="minorHAnsi"/>
        </w:rPr>
        <w:t xml:space="preserve"> </w:t>
      </w:r>
      <w:r w:rsidR="00BC2061">
        <w:rPr>
          <w:rFonts w:cstheme="minorHAnsi"/>
          <w:i/>
        </w:rPr>
        <w:t>p</w:t>
      </w:r>
      <w:r w:rsidRPr="0075474F">
        <w:rPr>
          <w:rFonts w:cstheme="minorHAnsi"/>
          <w:i/>
        </w:rPr>
        <w:t>rovádění karanténních opatření u</w:t>
      </w:r>
      <w:r w:rsidR="009A59E0">
        <w:rPr>
          <w:rFonts w:cstheme="minorHAnsi"/>
          <w:i/>
        </w:rPr>
        <w:t xml:space="preserve"> </w:t>
      </w:r>
      <w:r w:rsidRPr="0075474F">
        <w:rPr>
          <w:rFonts w:cstheme="minorHAnsi"/>
          <w:i/>
        </w:rPr>
        <w:t>jednotek AČR vracejících se z epidemiologicky rizikových oblastí</w:t>
      </w:r>
      <w:bookmarkEnd w:id="30"/>
      <w:r w:rsidRPr="0075474F">
        <w:rPr>
          <w:rFonts w:cstheme="minorHAnsi"/>
        </w:rPr>
        <w:t xml:space="preserve"> je plněna, nicméně vlastní mikrobiologická vyšetření jsou z</w:t>
      </w:r>
      <w:r w:rsidR="009A59E0">
        <w:rPr>
          <w:rFonts w:cstheme="minorHAnsi"/>
        </w:rPr>
        <w:t xml:space="preserve"> </w:t>
      </w:r>
      <w:r w:rsidRPr="0075474F">
        <w:rPr>
          <w:rFonts w:cstheme="minorHAnsi"/>
        </w:rPr>
        <w:t xml:space="preserve">důvodu absence objektu pro vědu a výzkum </w:t>
      </w:r>
      <w:r w:rsidR="00D3596A">
        <w:rPr>
          <w:rFonts w:cstheme="minorHAnsi"/>
        </w:rPr>
        <w:br/>
      </w:r>
      <w:r w:rsidRPr="0075474F">
        <w:rPr>
          <w:rFonts w:cstheme="minorHAnsi"/>
        </w:rPr>
        <w:t>z</w:t>
      </w:r>
      <w:r w:rsidR="009A59E0">
        <w:rPr>
          <w:rFonts w:cstheme="minorHAnsi"/>
        </w:rPr>
        <w:t xml:space="preserve"> </w:t>
      </w:r>
      <w:r w:rsidRPr="0075474F">
        <w:rPr>
          <w:rFonts w:cstheme="minorHAnsi"/>
        </w:rPr>
        <w:t>části prováděna i mimo CBO Těchonín. V</w:t>
      </w:r>
      <w:r w:rsidR="008D63C6">
        <w:rPr>
          <w:rFonts w:cstheme="minorHAnsi"/>
        </w:rPr>
        <w:t xml:space="preserve"> </w:t>
      </w:r>
      <w:r w:rsidRPr="0075474F">
        <w:rPr>
          <w:rFonts w:cstheme="minorHAnsi"/>
        </w:rPr>
        <w:t>letech 2014–2022 prošlo vyšetřením v CBO Těchonín ročně průměrně 765 vojáků, zařízení bylo touto činností vytíženo ročně průměrně po dobu přibližně dvou a půl měsíce (78 dní), tj. zhruba pětinu roku.</w:t>
      </w:r>
      <w:bookmarkStart w:id="31" w:name="_Hlk136526013"/>
      <w:r w:rsidRPr="0075474F">
        <w:rPr>
          <w:rFonts w:cstheme="minorHAnsi"/>
        </w:rPr>
        <w:t xml:space="preserve"> Funkce č. 7</w:t>
      </w:r>
      <w:r w:rsidRPr="0075474F">
        <w:rPr>
          <w:rFonts w:cstheme="minorHAnsi"/>
          <w:i/>
        </w:rPr>
        <w:t xml:space="preserve"> </w:t>
      </w:r>
      <w:r w:rsidR="008D63C6" w:rsidRPr="0075474F">
        <w:rPr>
          <w:rFonts w:cstheme="minorHAnsi"/>
          <w:bCs/>
        </w:rPr>
        <w:t>–</w:t>
      </w:r>
      <w:r w:rsidRPr="0075474F">
        <w:rPr>
          <w:rFonts w:cstheme="minorHAnsi"/>
          <w:i/>
        </w:rPr>
        <w:t xml:space="preserve"> </w:t>
      </w:r>
      <w:r w:rsidR="008D63C6">
        <w:rPr>
          <w:rFonts w:cstheme="minorHAnsi"/>
          <w:i/>
        </w:rPr>
        <w:t>b</w:t>
      </w:r>
      <w:r w:rsidRPr="0075474F">
        <w:rPr>
          <w:rFonts w:cstheme="minorHAnsi"/>
          <w:i/>
        </w:rPr>
        <w:t>iologický obranný výzkum AČR</w:t>
      </w:r>
      <w:r w:rsidRPr="0075474F">
        <w:rPr>
          <w:rFonts w:cstheme="minorHAnsi"/>
        </w:rPr>
        <w:t xml:space="preserve"> je plněna pouze v</w:t>
      </w:r>
      <w:r w:rsidR="009A59E0">
        <w:rPr>
          <w:rFonts w:cstheme="minorHAnsi"/>
        </w:rPr>
        <w:t xml:space="preserve"> </w:t>
      </w:r>
      <w:r w:rsidRPr="0075474F">
        <w:rPr>
          <w:rFonts w:cstheme="minorHAnsi"/>
        </w:rPr>
        <w:t>omezené míře. Z</w:t>
      </w:r>
      <w:r w:rsidR="009A59E0">
        <w:rPr>
          <w:rFonts w:cstheme="minorHAnsi"/>
        </w:rPr>
        <w:t xml:space="preserve"> </w:t>
      </w:r>
      <w:r w:rsidRPr="0075474F">
        <w:rPr>
          <w:rFonts w:cstheme="minorHAnsi"/>
        </w:rPr>
        <w:t>důvodu absence objektu pro vědu a výzkum nelze mj. plně provádět výzkumn</w:t>
      </w:r>
      <w:r w:rsidR="008D63C6">
        <w:rPr>
          <w:rFonts w:cstheme="minorHAnsi"/>
        </w:rPr>
        <w:t>é</w:t>
      </w:r>
      <w:r w:rsidRPr="0075474F">
        <w:rPr>
          <w:rFonts w:cstheme="minorHAnsi"/>
        </w:rPr>
        <w:t xml:space="preserve"> projekt</w:t>
      </w:r>
      <w:r w:rsidR="008D63C6">
        <w:rPr>
          <w:rFonts w:cstheme="minorHAnsi"/>
        </w:rPr>
        <w:t>y</w:t>
      </w:r>
      <w:r w:rsidRPr="0075474F">
        <w:rPr>
          <w:rFonts w:cstheme="minorHAnsi"/>
        </w:rPr>
        <w:t xml:space="preserve"> zaměřen</w:t>
      </w:r>
      <w:r w:rsidR="008D63C6">
        <w:rPr>
          <w:rFonts w:cstheme="minorHAnsi"/>
        </w:rPr>
        <w:t>é</w:t>
      </w:r>
      <w:r w:rsidRPr="0075474F">
        <w:rPr>
          <w:rFonts w:cstheme="minorHAnsi"/>
        </w:rPr>
        <w:t xml:space="preserve"> na vysoce riziková biologická agens</w:t>
      </w:r>
      <w:r w:rsidR="008D63C6">
        <w:rPr>
          <w:rFonts w:cstheme="minorHAnsi"/>
        </w:rPr>
        <w:t>;</w:t>
      </w:r>
      <w:r w:rsidRPr="0075474F">
        <w:rPr>
          <w:rFonts w:cstheme="minorHAnsi"/>
        </w:rPr>
        <w:t xml:space="preserve"> v době ukončení kontroly NKÚ existovala v</w:t>
      </w:r>
      <w:r w:rsidR="00D3596A">
        <w:rPr>
          <w:rFonts w:cstheme="minorHAnsi"/>
        </w:rPr>
        <w:t xml:space="preserve"> </w:t>
      </w:r>
      <w:r w:rsidRPr="0075474F">
        <w:rPr>
          <w:rFonts w:cstheme="minorHAnsi"/>
        </w:rPr>
        <w:t xml:space="preserve">zařízení laboratoř na nejvyšším stupni biologické bezpečnosti pouze pro účely klinické, nikoliv </w:t>
      </w:r>
      <w:r w:rsidR="008D63C6">
        <w:rPr>
          <w:rFonts w:cstheme="minorHAnsi"/>
        </w:rPr>
        <w:t xml:space="preserve">pro </w:t>
      </w:r>
      <w:r w:rsidRPr="0075474F">
        <w:rPr>
          <w:rFonts w:cstheme="minorHAnsi"/>
        </w:rPr>
        <w:t>účely výzkumné</w:t>
      </w:r>
      <w:r>
        <w:rPr>
          <w:rStyle w:val="Znakapoznpodarou"/>
          <w:rFonts w:cstheme="minorHAnsi"/>
        </w:rPr>
        <w:footnoteReference w:id="54"/>
      </w:r>
      <w:r w:rsidRPr="0075474F">
        <w:rPr>
          <w:rFonts w:cstheme="minorHAnsi"/>
        </w:rPr>
        <w:t>. Také funkce č.</w:t>
      </w:r>
      <w:r w:rsidR="00D3596A">
        <w:rPr>
          <w:rFonts w:cstheme="minorHAnsi"/>
        </w:rPr>
        <w:t> </w:t>
      </w:r>
      <w:r w:rsidRPr="0075474F">
        <w:rPr>
          <w:rFonts w:cstheme="minorHAnsi"/>
        </w:rPr>
        <w:t>8</w:t>
      </w:r>
      <w:bookmarkStart w:id="32" w:name="_Hlk136500271"/>
      <w:bookmarkEnd w:id="31"/>
      <w:r w:rsidR="00D3596A">
        <w:rPr>
          <w:rFonts w:cstheme="minorHAnsi"/>
        </w:rPr>
        <w:t> </w:t>
      </w:r>
      <w:r w:rsidR="008D63C6" w:rsidRPr="0075474F">
        <w:rPr>
          <w:rFonts w:cstheme="minorHAnsi"/>
          <w:bCs/>
        </w:rPr>
        <w:t>–</w:t>
      </w:r>
      <w:r w:rsidRPr="0075474F">
        <w:rPr>
          <w:rFonts w:cstheme="minorHAnsi"/>
        </w:rPr>
        <w:t xml:space="preserve"> </w:t>
      </w:r>
      <w:r w:rsidR="008D63C6">
        <w:rPr>
          <w:rFonts w:cstheme="minorHAnsi"/>
          <w:i/>
        </w:rPr>
        <w:t>l</w:t>
      </w:r>
      <w:r w:rsidRPr="0075474F">
        <w:rPr>
          <w:rFonts w:cstheme="minorHAnsi"/>
          <w:i/>
        </w:rPr>
        <w:t>aboratorní diagnostika biologických agens zneužitelných k bioterorismu nebo k přípravě biologické zbraně</w:t>
      </w:r>
      <w:r w:rsidRPr="0075474F">
        <w:rPr>
          <w:rFonts w:cstheme="minorHAnsi"/>
        </w:rPr>
        <w:t xml:space="preserve"> je plněna pouze v</w:t>
      </w:r>
      <w:r w:rsidR="00D3596A">
        <w:rPr>
          <w:rFonts w:cstheme="minorHAnsi"/>
        </w:rPr>
        <w:t xml:space="preserve"> </w:t>
      </w:r>
      <w:r w:rsidRPr="0075474F">
        <w:rPr>
          <w:rFonts w:cstheme="minorHAnsi"/>
        </w:rPr>
        <w:t xml:space="preserve">omezené míře, </w:t>
      </w:r>
      <w:r w:rsidR="008D63C6">
        <w:rPr>
          <w:rFonts w:cstheme="minorHAnsi"/>
        </w:rPr>
        <w:t>a to z</w:t>
      </w:r>
      <w:r w:rsidR="00D3596A">
        <w:rPr>
          <w:rFonts w:cstheme="minorHAnsi"/>
        </w:rPr>
        <w:t xml:space="preserve"> </w:t>
      </w:r>
      <w:r w:rsidR="008D63C6">
        <w:rPr>
          <w:rFonts w:cstheme="minorHAnsi"/>
        </w:rPr>
        <w:t xml:space="preserve">důvodu </w:t>
      </w:r>
      <w:bookmarkStart w:id="33" w:name="_Hlk140439493"/>
      <w:r w:rsidRPr="0075474F">
        <w:rPr>
          <w:rFonts w:cstheme="minorHAnsi"/>
        </w:rPr>
        <w:t>absenc</w:t>
      </w:r>
      <w:r w:rsidR="008D63C6">
        <w:rPr>
          <w:rFonts w:cstheme="minorHAnsi"/>
        </w:rPr>
        <w:t>e</w:t>
      </w:r>
      <w:r w:rsidRPr="0075474F">
        <w:rPr>
          <w:rFonts w:cstheme="minorHAnsi"/>
        </w:rPr>
        <w:t xml:space="preserve"> plnohodnotné mikrobiologické laboratoře na nejvyšším stupni biologické bezpečnosti (taktéž součást plánovaného objektu pro vědu a výzkum) a</w:t>
      </w:r>
      <w:r w:rsidR="008D63C6">
        <w:rPr>
          <w:rFonts w:cstheme="minorHAnsi"/>
        </w:rPr>
        <w:t xml:space="preserve"> rovněž z důvodu </w:t>
      </w:r>
      <w:r w:rsidRPr="0075474F">
        <w:rPr>
          <w:rFonts w:cstheme="minorHAnsi"/>
        </w:rPr>
        <w:t>nedostatečn</w:t>
      </w:r>
      <w:r w:rsidR="008D63C6">
        <w:rPr>
          <w:rFonts w:cstheme="minorHAnsi"/>
        </w:rPr>
        <w:t>ého</w:t>
      </w:r>
      <w:r w:rsidRPr="0075474F">
        <w:rPr>
          <w:rFonts w:cstheme="minorHAnsi"/>
        </w:rPr>
        <w:t xml:space="preserve"> počt</w:t>
      </w:r>
      <w:r w:rsidR="008D63C6">
        <w:rPr>
          <w:rFonts w:cstheme="minorHAnsi"/>
        </w:rPr>
        <w:t>u</w:t>
      </w:r>
      <w:r w:rsidRPr="0075474F">
        <w:rPr>
          <w:rFonts w:cstheme="minorHAnsi"/>
        </w:rPr>
        <w:t xml:space="preserve"> laboratorních pracovníků. Předpoklady pro plnění funkce č. 9 </w:t>
      </w:r>
      <w:bookmarkStart w:id="34" w:name="bookmark11"/>
      <w:bookmarkEnd w:id="32"/>
      <w:bookmarkEnd w:id="33"/>
      <w:r w:rsidR="008D63C6" w:rsidRPr="0075474F">
        <w:rPr>
          <w:rFonts w:cstheme="minorHAnsi"/>
          <w:bCs/>
        </w:rPr>
        <w:t>–</w:t>
      </w:r>
      <w:r w:rsidRPr="0075474F">
        <w:rPr>
          <w:rFonts w:cstheme="minorHAnsi"/>
        </w:rPr>
        <w:t xml:space="preserve"> </w:t>
      </w:r>
      <w:r w:rsidR="008D63C6">
        <w:rPr>
          <w:rFonts w:cstheme="minorHAnsi"/>
          <w:i/>
        </w:rPr>
        <w:t>i</w:t>
      </w:r>
      <w:r w:rsidRPr="0075474F">
        <w:rPr>
          <w:rFonts w:cstheme="minorHAnsi"/>
          <w:i/>
        </w:rPr>
        <w:t>zolace a hospitalizace osob s</w:t>
      </w:r>
      <w:r w:rsidR="00D3596A">
        <w:rPr>
          <w:rFonts w:cstheme="minorHAnsi"/>
          <w:i/>
        </w:rPr>
        <w:t xml:space="preserve"> </w:t>
      </w:r>
      <w:r w:rsidRPr="0075474F">
        <w:rPr>
          <w:rFonts w:cstheme="minorHAnsi"/>
          <w:i/>
        </w:rPr>
        <w:t>vysoce nebezpečnými nákazami</w:t>
      </w:r>
      <w:bookmarkEnd w:id="34"/>
      <w:r w:rsidRPr="0075474F">
        <w:rPr>
          <w:rFonts w:cstheme="minorHAnsi"/>
        </w:rPr>
        <w:t xml:space="preserve"> jsou splněny, v CBO Těchonín je vyčleněno osm lůžek pro intenzivní péči, 20 lůžek pro standardní péči a 100 lůžek pro karanténu. V</w:t>
      </w:r>
      <w:r w:rsidR="00D3596A">
        <w:rPr>
          <w:rFonts w:cstheme="minorHAnsi"/>
        </w:rPr>
        <w:t xml:space="preserve"> </w:t>
      </w:r>
      <w:r w:rsidRPr="0075474F">
        <w:rPr>
          <w:rFonts w:cstheme="minorHAnsi"/>
        </w:rPr>
        <w:t>letech 2014–2022 nebyla v</w:t>
      </w:r>
      <w:r w:rsidR="00D3596A">
        <w:rPr>
          <w:rFonts w:cstheme="minorHAnsi"/>
        </w:rPr>
        <w:t xml:space="preserve"> </w:t>
      </w:r>
      <w:r w:rsidRPr="0075474F">
        <w:rPr>
          <w:rFonts w:cstheme="minorHAnsi"/>
        </w:rPr>
        <w:t>CBO</w:t>
      </w:r>
      <w:r w:rsidR="00D3596A">
        <w:rPr>
          <w:rFonts w:cstheme="minorHAnsi"/>
        </w:rPr>
        <w:t xml:space="preserve"> </w:t>
      </w:r>
      <w:r w:rsidRPr="0075474F">
        <w:rPr>
          <w:rFonts w:cstheme="minorHAnsi"/>
        </w:rPr>
        <w:t>Těchonín izolována ani hospitalizována ani jedna osoba s</w:t>
      </w:r>
      <w:r w:rsidR="00D50C5D">
        <w:rPr>
          <w:rFonts w:cstheme="minorHAnsi"/>
        </w:rPr>
        <w:t xml:space="preserve"> </w:t>
      </w:r>
      <w:r w:rsidRPr="0075474F">
        <w:rPr>
          <w:rFonts w:cstheme="minorHAnsi"/>
        </w:rPr>
        <w:t xml:space="preserve">vysoce nebezpečnou nákazou. </w:t>
      </w:r>
      <w:r w:rsidR="00B64795">
        <w:rPr>
          <w:rFonts w:cstheme="minorHAnsi"/>
        </w:rPr>
        <w:t>O</w:t>
      </w:r>
      <w:r w:rsidRPr="0075474F">
        <w:rPr>
          <w:rFonts w:cstheme="minorHAnsi"/>
        </w:rPr>
        <w:t xml:space="preserve">patření MO nejsou splněna, neboť dvě z devíti statutárních funkcí </w:t>
      </w:r>
      <w:r w:rsidR="00B64795">
        <w:rPr>
          <w:rFonts w:cstheme="minorHAnsi"/>
        </w:rPr>
        <w:t>nejsou plněny</w:t>
      </w:r>
      <w:r w:rsidRPr="0075474F">
        <w:rPr>
          <w:rFonts w:cstheme="minorHAnsi"/>
        </w:rPr>
        <w:t xml:space="preserve">. </w:t>
      </w:r>
    </w:p>
    <w:p w14:paraId="77AF980F" w14:textId="20008E45" w:rsidR="00554300" w:rsidRPr="00D50C5D" w:rsidRDefault="00D457AE" w:rsidP="00C7553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contextualSpacing w:val="0"/>
        <w:rPr>
          <w:rFonts w:cstheme="minorHAnsi"/>
        </w:rPr>
      </w:pPr>
      <w:r w:rsidRPr="00F264CF">
        <w:rPr>
          <w:rFonts w:cstheme="minorHAnsi"/>
          <w:bCs/>
          <w:i/>
        </w:rPr>
        <w:t xml:space="preserve">MO </w:t>
      </w:r>
      <w:r w:rsidRPr="00F264CF">
        <w:rPr>
          <w:rFonts w:eastAsiaTheme="minorHAnsi" w:cstheme="minorHAnsi"/>
          <w:i/>
          <w:iCs/>
          <w:color w:val="000000"/>
        </w:rPr>
        <w:t>nezajistilo personální kapacity pro pohotovostní ani pro plný provoz CBO</w:t>
      </w:r>
      <w:r w:rsidRPr="00F264CF">
        <w:rPr>
          <w:rFonts w:eastAsiaTheme="minorHAnsi" w:cstheme="minorHAnsi"/>
          <w:iCs/>
          <w:color w:val="000000"/>
        </w:rPr>
        <w:t xml:space="preserve"> –</w:t>
      </w:r>
      <w:r>
        <w:rPr>
          <w:rFonts w:eastAsiaTheme="minorHAnsi" w:cstheme="minorHAnsi"/>
          <w:iCs/>
          <w:color w:val="000000"/>
        </w:rPr>
        <w:t xml:space="preserve"> </w:t>
      </w:r>
      <w:r w:rsidRPr="00F264CF">
        <w:rPr>
          <w:rFonts w:cstheme="minorHAnsi"/>
          <w:bCs/>
        </w:rPr>
        <w:t xml:space="preserve">NKÚ zjistil, že ke dni </w:t>
      </w:r>
      <w:r w:rsidRPr="00F264CF">
        <w:rPr>
          <w:rFonts w:cstheme="minorHAnsi"/>
        </w:rPr>
        <w:t xml:space="preserve">1. 1. 2023 chyběli z 11 lékařů dle </w:t>
      </w:r>
      <w:r>
        <w:rPr>
          <w:rFonts w:cstheme="minorHAnsi"/>
        </w:rPr>
        <w:t xml:space="preserve">požadovaného </w:t>
      </w:r>
      <w:r w:rsidRPr="00F264CF">
        <w:rPr>
          <w:rFonts w:cstheme="minorHAnsi"/>
        </w:rPr>
        <w:t xml:space="preserve">tabulkového počtu dva lékaři pro mírový stav a tři lékaři pro válečný stav. MO dále </w:t>
      </w:r>
      <w:r w:rsidR="008D63C6">
        <w:rPr>
          <w:rFonts w:cstheme="minorHAnsi"/>
        </w:rPr>
        <w:t>vy</w:t>
      </w:r>
      <w:r w:rsidRPr="00F264CF">
        <w:rPr>
          <w:rFonts w:cstheme="minorHAnsi"/>
        </w:rPr>
        <w:t>členilo pro podporu činnosti CBO Těchonín jednotku aktivních záloh v</w:t>
      </w:r>
      <w:r w:rsidR="008D63C6">
        <w:rPr>
          <w:rFonts w:cstheme="minorHAnsi"/>
        </w:rPr>
        <w:t xml:space="preserve"> </w:t>
      </w:r>
      <w:r w:rsidRPr="00F264CF">
        <w:rPr>
          <w:rFonts w:cstheme="minorHAnsi"/>
        </w:rPr>
        <w:t>počtu 220</w:t>
      </w:r>
      <w:r w:rsidR="008D63C6">
        <w:rPr>
          <w:rFonts w:cstheme="minorHAnsi"/>
        </w:rPr>
        <w:t xml:space="preserve"> </w:t>
      </w:r>
      <w:r w:rsidRPr="00F264CF">
        <w:rPr>
          <w:rFonts w:cstheme="minorHAnsi"/>
        </w:rPr>
        <w:t>osob</w:t>
      </w:r>
      <w:r w:rsidR="008D63C6">
        <w:rPr>
          <w:rFonts w:cstheme="minorHAnsi"/>
        </w:rPr>
        <w:t>,</w:t>
      </w:r>
      <w:r w:rsidRPr="00F264CF">
        <w:rPr>
          <w:rFonts w:cstheme="minorHAnsi"/>
        </w:rPr>
        <w:t xml:space="preserve"> </w:t>
      </w:r>
      <w:r>
        <w:rPr>
          <w:rFonts w:cstheme="minorHAnsi"/>
        </w:rPr>
        <w:t xml:space="preserve">její </w:t>
      </w:r>
      <w:r w:rsidRPr="00F264CF">
        <w:rPr>
          <w:rFonts w:cstheme="minorHAnsi"/>
        </w:rPr>
        <w:t xml:space="preserve">naplněnost ke konci ledna 2023 činila 60 %. </w:t>
      </w:r>
      <w:r w:rsidR="00B64795">
        <w:rPr>
          <w:rFonts w:cstheme="minorHAnsi"/>
        </w:rPr>
        <w:t>O</w:t>
      </w:r>
      <w:r>
        <w:rPr>
          <w:rFonts w:cstheme="minorHAnsi"/>
        </w:rPr>
        <w:t>patření MO nejsou</w:t>
      </w:r>
      <w:r w:rsidRPr="00E7695C">
        <w:rPr>
          <w:rFonts w:cstheme="minorHAnsi"/>
        </w:rPr>
        <w:t xml:space="preserve"> splněn</w:t>
      </w:r>
      <w:r>
        <w:rPr>
          <w:rFonts w:cstheme="minorHAnsi"/>
        </w:rPr>
        <w:t xml:space="preserve">a. </w:t>
      </w:r>
    </w:p>
    <w:p w14:paraId="266971CF" w14:textId="24944768" w:rsidR="00554300" w:rsidRPr="00041C4C" w:rsidRDefault="00D457AE" w:rsidP="00C7553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contextualSpacing w:val="0"/>
        <w:rPr>
          <w:rFonts w:cstheme="minorHAnsi"/>
        </w:rPr>
      </w:pPr>
      <w:r w:rsidRPr="00F264CF">
        <w:rPr>
          <w:rFonts w:cstheme="minorHAnsi"/>
          <w:i/>
        </w:rPr>
        <w:t>MO neplnilo v</w:t>
      </w:r>
      <w:r w:rsidR="00D50C5D">
        <w:rPr>
          <w:rFonts w:cstheme="minorHAnsi"/>
          <w:i/>
        </w:rPr>
        <w:t xml:space="preserve"> </w:t>
      </w:r>
      <w:r w:rsidRPr="00F264CF">
        <w:rPr>
          <w:rFonts w:cstheme="minorHAnsi"/>
          <w:i/>
        </w:rPr>
        <w:t>plném rozsahu deklarované schopnosti v</w:t>
      </w:r>
      <w:r w:rsidR="00D50C5D">
        <w:rPr>
          <w:rFonts w:cstheme="minorHAnsi"/>
          <w:i/>
        </w:rPr>
        <w:t xml:space="preserve"> </w:t>
      </w:r>
      <w:r w:rsidRPr="00F264CF">
        <w:rPr>
          <w:rFonts w:cstheme="minorHAnsi"/>
          <w:i/>
        </w:rPr>
        <w:t xml:space="preserve">oblasti biologické </w:t>
      </w:r>
      <w:r w:rsidR="00D50C5D">
        <w:rPr>
          <w:rFonts w:cstheme="minorHAnsi"/>
          <w:i/>
        </w:rPr>
        <w:br/>
      </w:r>
      <w:r w:rsidRPr="00F264CF">
        <w:rPr>
          <w:rFonts w:cstheme="minorHAnsi"/>
          <w:i/>
        </w:rPr>
        <w:t xml:space="preserve">ochrany – </w:t>
      </w:r>
      <w:r w:rsidRPr="00F264CF">
        <w:rPr>
          <w:rFonts w:cstheme="minorHAnsi"/>
        </w:rPr>
        <w:t>opatření</w:t>
      </w:r>
      <w:r w:rsidRPr="00F264CF">
        <w:rPr>
          <w:rFonts w:cstheme="minorHAnsi"/>
          <w:bCs/>
        </w:rPr>
        <w:t xml:space="preserve"> </w:t>
      </w:r>
      <w:r>
        <w:rPr>
          <w:rFonts w:cstheme="minorHAnsi"/>
          <w:bCs/>
        </w:rPr>
        <w:t>MO nejsou splněna</w:t>
      </w:r>
      <w:r w:rsidR="00D3596A">
        <w:rPr>
          <w:rFonts w:cstheme="minorHAnsi"/>
          <w:bCs/>
        </w:rPr>
        <w:t>;</w:t>
      </w:r>
      <w:r>
        <w:rPr>
          <w:rFonts w:cstheme="minorHAnsi"/>
          <w:bCs/>
        </w:rPr>
        <w:t xml:space="preserve"> </w:t>
      </w:r>
      <w:r w:rsidR="00D3596A">
        <w:rPr>
          <w:rFonts w:cstheme="minorHAnsi"/>
          <w:bCs/>
        </w:rPr>
        <w:t>zejména bylo zjištěno</w:t>
      </w:r>
      <w:r w:rsidRPr="00F264CF">
        <w:rPr>
          <w:rFonts w:cstheme="minorHAnsi"/>
          <w:bCs/>
        </w:rPr>
        <w:t xml:space="preserve"> omezené plnění </w:t>
      </w:r>
      <w:r w:rsidR="00D50C5D">
        <w:rPr>
          <w:rFonts w:cstheme="minorHAnsi"/>
          <w:bCs/>
        </w:rPr>
        <w:br/>
      </w:r>
      <w:r w:rsidRPr="00F264CF">
        <w:rPr>
          <w:rFonts w:cstheme="minorHAnsi"/>
          <w:bCs/>
        </w:rPr>
        <w:t xml:space="preserve">dvou statutárních funkcí </w:t>
      </w:r>
      <w:r w:rsidR="00D3596A">
        <w:rPr>
          <w:rFonts w:cstheme="minorHAnsi"/>
          <w:bCs/>
        </w:rPr>
        <w:t xml:space="preserve">CBO Těchonín </w:t>
      </w:r>
      <w:r w:rsidRPr="00F264CF">
        <w:rPr>
          <w:rFonts w:cstheme="minorHAnsi"/>
          <w:bCs/>
        </w:rPr>
        <w:t>(viz</w:t>
      </w:r>
      <w:r w:rsidR="00D3596A">
        <w:rPr>
          <w:rFonts w:cstheme="minorHAnsi"/>
          <w:bCs/>
        </w:rPr>
        <w:t xml:space="preserve"> výše odrážka č. 2</w:t>
      </w:r>
      <w:r w:rsidRPr="00F264CF">
        <w:rPr>
          <w:rFonts w:cstheme="minorHAnsi"/>
          <w:bCs/>
        </w:rPr>
        <w:t xml:space="preserve">). </w:t>
      </w:r>
    </w:p>
    <w:p w14:paraId="051CC355" w14:textId="1499096B" w:rsidR="00064751" w:rsidRDefault="00D457AE" w:rsidP="00064751">
      <w:pPr>
        <w:pStyle w:val="Odstavecseseznamem"/>
        <w:numPr>
          <w:ilvl w:val="1"/>
          <w:numId w:val="34"/>
        </w:numPr>
        <w:spacing w:before="120"/>
        <w:ind w:left="0" w:firstLine="0"/>
        <w:contextualSpacing w:val="0"/>
        <w:rPr>
          <w:rFonts w:cstheme="minorHAnsi"/>
        </w:rPr>
      </w:pPr>
      <w:r w:rsidRPr="00F264CF">
        <w:rPr>
          <w:rFonts w:cstheme="minorHAnsi"/>
        </w:rPr>
        <w:t xml:space="preserve">Tím, že MO do doby ukončení kontroly NKÚ nedobudovalo </w:t>
      </w:r>
      <w:r w:rsidR="002A1022" w:rsidRPr="00C7553F">
        <w:rPr>
          <w:rFonts w:cstheme="minorHAnsi"/>
        </w:rPr>
        <w:t>CBO Těchonín</w:t>
      </w:r>
      <w:r w:rsidRPr="00F264CF">
        <w:rPr>
          <w:rFonts w:cstheme="minorHAnsi"/>
        </w:rPr>
        <w:t xml:space="preserve">, nepostupovalo v souladu </w:t>
      </w:r>
      <w:r w:rsidR="003558E4">
        <w:rPr>
          <w:rFonts w:cstheme="minorHAnsi"/>
        </w:rPr>
        <w:t xml:space="preserve">s ustanovením § 21 zákona </w:t>
      </w:r>
      <w:r w:rsidR="00FD3EA6">
        <w:rPr>
          <w:rFonts w:cstheme="minorHAnsi"/>
        </w:rPr>
        <w:t>České národní rady č</w:t>
      </w:r>
      <w:r w:rsidR="003558E4">
        <w:rPr>
          <w:rFonts w:cstheme="minorHAnsi"/>
        </w:rPr>
        <w:t>. 2/1969 Sb., když se neřídilo usneseními vlády ČR</w:t>
      </w:r>
      <w:r w:rsidR="000873D3" w:rsidRPr="000873D3">
        <w:rPr>
          <w:rFonts w:cstheme="minorHAnsi"/>
          <w:vertAlign w:val="superscript"/>
        </w:rPr>
        <w:fldChar w:fldCharType="begin"/>
      </w:r>
      <w:r w:rsidR="000873D3" w:rsidRPr="000873D3">
        <w:rPr>
          <w:rFonts w:cstheme="minorHAnsi"/>
          <w:vertAlign w:val="superscript"/>
        </w:rPr>
        <w:instrText xml:space="preserve"> NOTEREF _Ref148015605 \h  \* MERGEFORMAT </w:instrText>
      </w:r>
      <w:r w:rsidR="000873D3" w:rsidRPr="000873D3">
        <w:rPr>
          <w:rFonts w:cstheme="minorHAnsi"/>
          <w:vertAlign w:val="superscript"/>
        </w:rPr>
      </w:r>
      <w:r w:rsidR="000873D3" w:rsidRPr="000873D3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10</w:t>
      </w:r>
      <w:r w:rsidR="000873D3" w:rsidRPr="000873D3">
        <w:rPr>
          <w:rFonts w:cstheme="minorHAnsi"/>
          <w:vertAlign w:val="superscript"/>
        </w:rPr>
        <w:fldChar w:fldCharType="end"/>
      </w:r>
      <w:r w:rsidR="003558E4">
        <w:rPr>
          <w:rFonts w:cstheme="minorHAnsi"/>
        </w:rPr>
        <w:t xml:space="preserve">. </w:t>
      </w:r>
      <w:bookmarkStart w:id="35" w:name="_Hlk147925468"/>
      <w:r w:rsidRPr="00064751">
        <w:rPr>
          <w:rFonts w:cstheme="minorHAnsi"/>
        </w:rPr>
        <w:t>MO vynaložilo v letech 2001–2014 na výstavbu CBO Těchonín částku 2</w:t>
      </w:r>
      <w:r w:rsidR="00073011" w:rsidRPr="00064751">
        <w:rPr>
          <w:rFonts w:cstheme="minorHAnsi"/>
        </w:rPr>
        <w:t xml:space="preserve"> </w:t>
      </w:r>
      <w:r w:rsidRPr="00064751">
        <w:rPr>
          <w:rFonts w:cstheme="minorHAnsi"/>
        </w:rPr>
        <w:t>932 m</w:t>
      </w:r>
      <w:r w:rsidR="00073011" w:rsidRPr="00064751">
        <w:rPr>
          <w:rFonts w:cstheme="minorHAnsi"/>
        </w:rPr>
        <w:t>il</w:t>
      </w:r>
      <w:r w:rsidRPr="00064751">
        <w:rPr>
          <w:rFonts w:cstheme="minorHAnsi"/>
        </w:rPr>
        <w:t>. Kč</w:t>
      </w:r>
      <w:r w:rsidR="000873D3" w:rsidRPr="000873D3">
        <w:rPr>
          <w:rFonts w:cstheme="minorHAnsi"/>
          <w:vertAlign w:val="superscript"/>
        </w:rPr>
        <w:fldChar w:fldCharType="begin"/>
      </w:r>
      <w:r w:rsidR="000873D3" w:rsidRPr="000873D3">
        <w:rPr>
          <w:rFonts w:cstheme="minorHAnsi"/>
          <w:vertAlign w:val="superscript"/>
        </w:rPr>
        <w:instrText xml:space="preserve"> NOTEREF _Ref148949459 \h  \* MERGEFORMAT </w:instrText>
      </w:r>
      <w:r w:rsidR="000873D3" w:rsidRPr="000873D3">
        <w:rPr>
          <w:rFonts w:cstheme="minorHAnsi"/>
          <w:vertAlign w:val="superscript"/>
        </w:rPr>
      </w:r>
      <w:r w:rsidR="000873D3" w:rsidRPr="000873D3">
        <w:rPr>
          <w:rFonts w:cstheme="minorHAnsi"/>
          <w:vertAlign w:val="superscript"/>
        </w:rPr>
        <w:fldChar w:fldCharType="separate"/>
      </w:r>
      <w:r w:rsidR="00A10EC7">
        <w:rPr>
          <w:rFonts w:cstheme="minorHAnsi"/>
          <w:vertAlign w:val="superscript"/>
        </w:rPr>
        <w:t>4</w:t>
      </w:r>
      <w:r w:rsidR="000873D3" w:rsidRPr="000873D3">
        <w:rPr>
          <w:rFonts w:cstheme="minorHAnsi"/>
          <w:vertAlign w:val="superscript"/>
        </w:rPr>
        <w:fldChar w:fldCharType="end"/>
      </w:r>
      <w:r w:rsidRPr="00064751">
        <w:rPr>
          <w:rFonts w:cstheme="minorHAnsi"/>
        </w:rPr>
        <w:t>. Od roku 2015 do roku 2022 pak dalších 739 m</w:t>
      </w:r>
      <w:r w:rsidR="00073011" w:rsidRPr="00064751">
        <w:rPr>
          <w:rFonts w:cstheme="minorHAnsi"/>
        </w:rPr>
        <w:t>il</w:t>
      </w:r>
      <w:r w:rsidRPr="00064751">
        <w:rPr>
          <w:rFonts w:cstheme="minorHAnsi"/>
        </w:rPr>
        <w:t xml:space="preserve">. Kč, celkem </w:t>
      </w:r>
      <w:r w:rsidR="00A62C2A" w:rsidRPr="00064751">
        <w:rPr>
          <w:rFonts w:cstheme="minorHAnsi"/>
        </w:rPr>
        <w:t xml:space="preserve">tedy </w:t>
      </w:r>
      <w:r w:rsidRPr="00064751">
        <w:rPr>
          <w:rFonts w:cstheme="minorHAnsi"/>
        </w:rPr>
        <w:t>3</w:t>
      </w:r>
      <w:r w:rsidR="00073011" w:rsidRPr="00064751">
        <w:rPr>
          <w:rFonts w:cstheme="minorHAnsi"/>
        </w:rPr>
        <w:t> 671 mil</w:t>
      </w:r>
      <w:r w:rsidRPr="00064751">
        <w:rPr>
          <w:rFonts w:cstheme="minorHAnsi"/>
        </w:rPr>
        <w:t xml:space="preserve">. Kč. </w:t>
      </w:r>
      <w:bookmarkStart w:id="36" w:name="_Hlk145915263"/>
      <w:r w:rsidRPr="00064751">
        <w:rPr>
          <w:rFonts w:cstheme="minorHAnsi"/>
        </w:rPr>
        <w:t xml:space="preserve">Vynaložené peněžní prostředky státního rozpočtu vyhodnotil NKÚ v době ukončení kontroly jako omezeně účelné, </w:t>
      </w:r>
      <w:r w:rsidR="00533A63" w:rsidRPr="00064751">
        <w:rPr>
          <w:rFonts w:cstheme="minorHAnsi"/>
        </w:rPr>
        <w:t>neboť</w:t>
      </w:r>
      <w:r w:rsidRPr="00064751">
        <w:rPr>
          <w:rFonts w:cstheme="minorHAnsi"/>
        </w:rPr>
        <w:t xml:space="preserve"> CBO Těchonín </w:t>
      </w:r>
      <w:r w:rsidR="00533A63" w:rsidRPr="00064751">
        <w:rPr>
          <w:rFonts w:cstheme="minorHAnsi"/>
        </w:rPr>
        <w:t xml:space="preserve">nedisponuje </w:t>
      </w:r>
      <w:r w:rsidRPr="00064751">
        <w:rPr>
          <w:rFonts w:cstheme="minorHAnsi"/>
        </w:rPr>
        <w:t xml:space="preserve">unikátními schopnostmi stanovenými prostřednictvím </w:t>
      </w:r>
      <w:r w:rsidRPr="00064751">
        <w:rPr>
          <w:rFonts w:cstheme="minorHAnsi"/>
          <w:iCs/>
        </w:rPr>
        <w:t>statutárních funkcí (</w:t>
      </w:r>
      <w:r w:rsidR="00D3596A">
        <w:rPr>
          <w:rFonts w:cstheme="minorHAnsi"/>
          <w:iCs/>
        </w:rPr>
        <w:t>pouze omezeně plní funkci</w:t>
      </w:r>
      <w:r w:rsidRPr="00064751">
        <w:rPr>
          <w:rFonts w:cstheme="minorHAnsi"/>
        </w:rPr>
        <w:t xml:space="preserve"> biologického obranného výzkumu AČR </w:t>
      </w:r>
      <w:r w:rsidR="00D3596A">
        <w:rPr>
          <w:rFonts w:cstheme="minorHAnsi"/>
        </w:rPr>
        <w:t xml:space="preserve">i funkci </w:t>
      </w:r>
      <w:r w:rsidRPr="00064751">
        <w:rPr>
          <w:rFonts w:cstheme="minorHAnsi"/>
        </w:rPr>
        <w:t>laboratorní diagnostiky biologických agens</w:t>
      </w:r>
      <w:r w:rsidR="002A1022" w:rsidRPr="00064751">
        <w:rPr>
          <w:rFonts w:cstheme="minorHAnsi"/>
        </w:rPr>
        <w:t xml:space="preserve"> zneužitelných k</w:t>
      </w:r>
      <w:r w:rsidR="00AB30BA">
        <w:rPr>
          <w:rFonts w:cstheme="minorHAnsi"/>
        </w:rPr>
        <w:t xml:space="preserve"> </w:t>
      </w:r>
      <w:r w:rsidR="002A1022" w:rsidRPr="00064751">
        <w:rPr>
          <w:rFonts w:cstheme="minorHAnsi"/>
        </w:rPr>
        <w:t>bioterorismu nebo k</w:t>
      </w:r>
      <w:r w:rsidR="00AB30BA">
        <w:rPr>
          <w:rFonts w:cstheme="minorHAnsi"/>
        </w:rPr>
        <w:t xml:space="preserve"> </w:t>
      </w:r>
      <w:r w:rsidR="002A1022" w:rsidRPr="00064751">
        <w:rPr>
          <w:rFonts w:cstheme="minorHAnsi"/>
        </w:rPr>
        <w:t>přípravě biologické zbraně</w:t>
      </w:r>
      <w:r w:rsidRPr="00064751">
        <w:rPr>
          <w:rFonts w:cstheme="minorHAnsi"/>
        </w:rPr>
        <w:t>)</w:t>
      </w:r>
      <w:r w:rsidR="002A1022" w:rsidRPr="00064751">
        <w:rPr>
          <w:rFonts w:cstheme="minorHAnsi"/>
        </w:rPr>
        <w:t>,</w:t>
      </w:r>
      <w:r w:rsidR="00856B85">
        <w:rPr>
          <w:rFonts w:cstheme="minorHAnsi"/>
          <w:iCs/>
        </w:rPr>
        <w:t xml:space="preserve"> čímž </w:t>
      </w:r>
      <w:r w:rsidR="00533A63" w:rsidRPr="00064751">
        <w:rPr>
          <w:rFonts w:cstheme="minorHAnsi"/>
          <w:iCs/>
        </w:rPr>
        <w:t>netvoří</w:t>
      </w:r>
      <w:r w:rsidRPr="00064751">
        <w:rPr>
          <w:rFonts w:cstheme="minorHAnsi"/>
          <w:iCs/>
        </w:rPr>
        <w:t xml:space="preserve"> </w:t>
      </w:r>
      <w:r w:rsidRPr="00064751">
        <w:rPr>
          <w:rFonts w:cstheme="minorHAnsi"/>
        </w:rPr>
        <w:t>funkční celek zdravotnického zařízení</w:t>
      </w:r>
      <w:r w:rsidRPr="00064751">
        <w:rPr>
          <w:rFonts w:cstheme="minorHAnsi"/>
          <w:iCs/>
        </w:rPr>
        <w:t xml:space="preserve"> </w:t>
      </w:r>
      <w:r w:rsidRPr="00064751">
        <w:rPr>
          <w:rFonts w:cstheme="minorHAnsi"/>
        </w:rPr>
        <w:t>na nejvyšším stupni biologického zabezpečení BSL-4</w:t>
      </w:r>
      <w:r w:rsidR="002A1022" w:rsidRPr="00064751">
        <w:rPr>
          <w:rFonts w:cstheme="minorHAnsi"/>
        </w:rPr>
        <w:t xml:space="preserve"> a není tak plně využit</w:t>
      </w:r>
      <w:r w:rsidR="00205B45" w:rsidRPr="00064751">
        <w:rPr>
          <w:rFonts w:cstheme="minorHAnsi"/>
        </w:rPr>
        <w:t>o</w:t>
      </w:r>
      <w:r w:rsidR="002A1022" w:rsidRPr="00064751">
        <w:rPr>
          <w:rFonts w:cstheme="minorHAnsi"/>
        </w:rPr>
        <w:t xml:space="preserve">. </w:t>
      </w:r>
      <w:r w:rsidRPr="00064751">
        <w:rPr>
          <w:rFonts w:cstheme="minorHAnsi"/>
        </w:rPr>
        <w:t>V</w:t>
      </w:r>
      <w:r w:rsidR="00AB30BA">
        <w:rPr>
          <w:rFonts w:cstheme="minorHAnsi"/>
        </w:rPr>
        <w:t xml:space="preserve"> </w:t>
      </w:r>
      <w:r w:rsidRPr="00064751">
        <w:rPr>
          <w:rFonts w:cstheme="minorHAnsi"/>
        </w:rPr>
        <w:t xml:space="preserve">době ukončení kontroly </w:t>
      </w:r>
      <w:r w:rsidR="002A1022" w:rsidRPr="00064751">
        <w:rPr>
          <w:rFonts w:cstheme="minorHAnsi"/>
        </w:rPr>
        <w:t>plánovalo MO dobudování objektu pro vědu a výzkum v roce 2027, tj. 26 let od zahájení výstavby</w:t>
      </w:r>
      <w:r w:rsidR="002A1022">
        <w:rPr>
          <w:rStyle w:val="Znakapoznpodarou"/>
          <w:rFonts w:cstheme="minorHAnsi"/>
        </w:rPr>
        <w:footnoteReference w:id="55"/>
      </w:r>
      <w:r w:rsidR="002A1022" w:rsidRPr="00064751">
        <w:rPr>
          <w:rFonts w:cstheme="minorHAnsi"/>
        </w:rPr>
        <w:t xml:space="preserve"> CBO Těchonín.</w:t>
      </w:r>
      <w:bookmarkEnd w:id="35"/>
      <w:bookmarkEnd w:id="36"/>
    </w:p>
    <w:p w14:paraId="3E4155B3" w14:textId="6B81786F" w:rsidR="0033753C" w:rsidRDefault="0033753C">
      <w:pPr>
        <w:spacing w:after="0"/>
        <w:jc w:val="left"/>
      </w:pPr>
      <w:r>
        <w:br w:type="page"/>
      </w:r>
    </w:p>
    <w:p w14:paraId="232E1E6A" w14:textId="77777777" w:rsidR="001676C8" w:rsidRDefault="00D457AE" w:rsidP="004B6902">
      <w:pPr>
        <w:pStyle w:val="Nadpis1"/>
        <w:rPr>
          <w:rFonts w:cstheme="minorHAnsi"/>
          <w:szCs w:val="24"/>
        </w:rPr>
      </w:pPr>
      <w:r w:rsidRPr="00093076">
        <w:rPr>
          <w:rFonts w:cstheme="minorHAnsi"/>
          <w:szCs w:val="24"/>
        </w:rPr>
        <w:t>Seznam použitých zkratek</w:t>
      </w:r>
    </w:p>
    <w:p w14:paraId="3B519742" w14:textId="77777777" w:rsidR="00F8566C" w:rsidRPr="00F8566C" w:rsidRDefault="00F8566C" w:rsidP="004B6902">
      <w:pPr>
        <w:spacing w:after="0"/>
        <w:rPr>
          <w:lang w:eastAsia="cs-CZ"/>
        </w:rPr>
      </w:pPr>
    </w:p>
    <w:p w14:paraId="3593E9FE" w14:textId="77777777" w:rsidR="00BC1DE3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spellStart"/>
      <w:r>
        <w:rPr>
          <w:rFonts w:ascii="Calibri" w:hAnsi="Calibri" w:cs="Calibri"/>
        </w:rPr>
        <w:t>prchbo</w:t>
      </w:r>
      <w:proofErr w:type="spellEnd"/>
      <w:r>
        <w:rPr>
          <w:rFonts w:ascii="Calibri" w:hAnsi="Calibri" w:cs="Calibri"/>
        </w:rPr>
        <w:tab/>
        <w:t>31. pluk radiační, chemické a biologické ochrany</w:t>
      </w:r>
    </w:p>
    <w:p w14:paraId="068493B0" w14:textId="7777777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AČR</w:t>
      </w:r>
      <w:r>
        <w:rPr>
          <w:rFonts w:ascii="Calibri" w:hAnsi="Calibri" w:cs="Calibri"/>
        </w:rPr>
        <w:tab/>
      </w:r>
      <w:r w:rsidRPr="00F109D1">
        <w:rPr>
          <w:rFonts w:ascii="Calibri" w:hAnsi="Calibri" w:cs="Calibri"/>
        </w:rPr>
        <w:t>Armáda České republiky</w:t>
      </w:r>
    </w:p>
    <w:p w14:paraId="27227552" w14:textId="31ED1C6E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ACHR, ARS</w:t>
      </w:r>
      <w:r w:rsidRPr="00F109D1">
        <w:rPr>
          <w:rFonts w:ascii="Calibri" w:hAnsi="Calibri" w:cs="Calibri"/>
        </w:rPr>
        <w:tab/>
      </w:r>
      <w:r>
        <w:rPr>
          <w:rFonts w:ascii="Calibri" w:hAnsi="Calibri" w:cs="Calibri"/>
        </w:rPr>
        <w:t>a</w:t>
      </w:r>
      <w:r w:rsidRPr="00F109D1">
        <w:rPr>
          <w:rFonts w:ascii="Calibri" w:hAnsi="Calibri" w:cs="Calibri"/>
        </w:rPr>
        <w:t>utomobil chemický rozstřikovací</w:t>
      </w:r>
    </w:p>
    <w:p w14:paraId="6FFB8EF9" w14:textId="7777777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CBO</w:t>
      </w:r>
      <w:r>
        <w:rPr>
          <w:rFonts w:ascii="Calibri" w:hAnsi="Calibri" w:cs="Calibri"/>
        </w:rPr>
        <w:tab/>
      </w:r>
      <w:r w:rsidRPr="00F109D1">
        <w:rPr>
          <w:rFonts w:ascii="Calibri" w:hAnsi="Calibri" w:cs="Calibri"/>
        </w:rPr>
        <w:t>Centrum biologické ochrany Těchonín</w:t>
      </w:r>
    </w:p>
    <w:p w14:paraId="20A8CB8A" w14:textId="70687C7A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CBRN</w:t>
      </w:r>
      <w:r w:rsidRPr="00F109D1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</w:t>
      </w:r>
      <w:r w:rsidRPr="00F109D1">
        <w:rPr>
          <w:rFonts w:ascii="Calibri" w:hAnsi="Calibri" w:cs="Calibri"/>
        </w:rPr>
        <w:t>hemical</w:t>
      </w:r>
      <w:proofErr w:type="spellEnd"/>
      <w:r w:rsidRPr="00F109D1">
        <w:rPr>
          <w:rFonts w:ascii="Calibri" w:hAnsi="Calibri" w:cs="Calibri"/>
        </w:rPr>
        <w:t xml:space="preserve">, </w:t>
      </w:r>
      <w:proofErr w:type="spellStart"/>
      <w:r w:rsidRPr="00F109D1">
        <w:rPr>
          <w:rFonts w:ascii="Calibri" w:hAnsi="Calibri" w:cs="Calibri"/>
        </w:rPr>
        <w:t>biological</w:t>
      </w:r>
      <w:proofErr w:type="spellEnd"/>
      <w:r w:rsidRPr="00F109D1">
        <w:rPr>
          <w:rFonts w:ascii="Calibri" w:hAnsi="Calibri" w:cs="Calibri"/>
        </w:rPr>
        <w:t xml:space="preserve">, </w:t>
      </w:r>
      <w:proofErr w:type="spellStart"/>
      <w:r w:rsidRPr="00F109D1">
        <w:rPr>
          <w:rFonts w:ascii="Calibri" w:hAnsi="Calibri" w:cs="Calibri"/>
        </w:rPr>
        <w:t>radiological</w:t>
      </w:r>
      <w:proofErr w:type="spellEnd"/>
      <w:r w:rsidRPr="00F109D1">
        <w:rPr>
          <w:rFonts w:ascii="Calibri" w:hAnsi="Calibri" w:cs="Calibri"/>
        </w:rPr>
        <w:t xml:space="preserve"> and </w:t>
      </w:r>
      <w:proofErr w:type="spellStart"/>
      <w:r w:rsidRPr="00F109D1">
        <w:rPr>
          <w:rFonts w:ascii="Calibri" w:hAnsi="Calibri" w:cs="Calibri"/>
        </w:rPr>
        <w:t>nuclear</w:t>
      </w:r>
      <w:proofErr w:type="spellEnd"/>
      <w:r w:rsidRPr="00F109D1">
        <w:rPr>
          <w:rFonts w:ascii="Calibri" w:hAnsi="Calibri" w:cs="Calibri"/>
        </w:rPr>
        <w:t xml:space="preserve"> – chemické, biologické, radiologické a nukleární látky</w:t>
      </w:r>
    </w:p>
    <w:p w14:paraId="069521F6" w14:textId="737C5053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CT</w:t>
      </w:r>
      <w:r>
        <w:rPr>
          <w:rFonts w:ascii="Calibri" w:hAnsi="Calibri" w:cs="Calibri"/>
        </w:rPr>
        <w:tab/>
        <w:t xml:space="preserve">NATO </w:t>
      </w:r>
      <w:r w:rsidRPr="00255A81">
        <w:rPr>
          <w:rFonts w:ascii="Calibri" w:hAnsi="Calibri" w:cs="Calibri"/>
          <w:lang w:val="en-GB"/>
        </w:rPr>
        <w:t>Capab</w:t>
      </w:r>
      <w:r>
        <w:rPr>
          <w:rFonts w:ascii="Calibri" w:hAnsi="Calibri" w:cs="Calibri"/>
          <w:lang w:val="en-GB"/>
        </w:rPr>
        <w:t>i</w:t>
      </w:r>
      <w:r w:rsidRPr="00255A81">
        <w:rPr>
          <w:rFonts w:ascii="Calibri" w:hAnsi="Calibri" w:cs="Calibri"/>
          <w:lang w:val="en-GB"/>
        </w:rPr>
        <w:t>lity Targets</w:t>
      </w:r>
      <w:r w:rsidRPr="00F109D1">
        <w:rPr>
          <w:rFonts w:ascii="Calibri" w:hAnsi="Calibri" w:cs="Calibri"/>
        </w:rPr>
        <w:t xml:space="preserve"> – cíle výstavby schopností NATO</w:t>
      </w:r>
    </w:p>
    <w:p w14:paraId="22449005" w14:textId="77777777" w:rsidR="00BC1DE3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ČR</w:t>
      </w:r>
      <w:r>
        <w:rPr>
          <w:rFonts w:ascii="Calibri" w:hAnsi="Calibri" w:cs="Calibri"/>
        </w:rPr>
        <w:tab/>
        <w:t>Česká republika</w:t>
      </w:r>
      <w:r>
        <w:rPr>
          <w:rFonts w:ascii="Calibri" w:hAnsi="Calibri" w:cs="Calibri"/>
        </w:rPr>
        <w:tab/>
      </w:r>
    </w:p>
    <w:p w14:paraId="3B55C564" w14:textId="032271AC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DENPL</w:t>
      </w:r>
      <w:r>
        <w:rPr>
          <w:rFonts w:ascii="Calibri" w:hAnsi="Calibri" w:cs="Calibri"/>
        </w:rPr>
        <w:tab/>
        <w:t>d</w:t>
      </w:r>
      <w:r w:rsidRPr="00F109D1">
        <w:rPr>
          <w:rFonts w:ascii="Calibri" w:hAnsi="Calibri" w:cs="Calibri"/>
        </w:rPr>
        <w:t>etektor nervově paralytických látek</w:t>
      </w:r>
    </w:p>
    <w:p w14:paraId="6482624B" w14:textId="5B6F8E27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DPH</w:t>
      </w:r>
      <w:r>
        <w:rPr>
          <w:rFonts w:ascii="Calibri" w:hAnsi="Calibri" w:cs="Calibri"/>
        </w:rPr>
        <w:tab/>
        <w:t>d</w:t>
      </w:r>
      <w:r w:rsidRPr="003729C2">
        <w:rPr>
          <w:rFonts w:ascii="Calibri" w:hAnsi="Calibri" w:cs="Calibri"/>
        </w:rPr>
        <w:t>aň z přidané hodnoty</w:t>
      </w:r>
    </w:p>
    <w:p w14:paraId="7901D6B2" w14:textId="77777777" w:rsidR="00BC1DE3" w:rsidRDefault="00BC1DE3" w:rsidP="00255A81">
      <w:pPr>
        <w:spacing w:after="0"/>
        <w:ind w:left="2268" w:hanging="2268"/>
        <w:jc w:val="left"/>
        <w:rPr>
          <w:i/>
        </w:rPr>
      </w:pPr>
      <w:r>
        <w:t>E6201N</w:t>
      </w:r>
      <w:r>
        <w:tab/>
        <w:t xml:space="preserve">cíl výstavby schopností sil NATO: E6201N </w:t>
      </w:r>
      <w:r w:rsidRPr="006E0A2E">
        <w:t>–</w:t>
      </w:r>
      <w:r w:rsidRPr="00C32DEF">
        <w:rPr>
          <w:i/>
        </w:rPr>
        <w:t xml:space="preserve"> Základní a pokročilá ochrana před zbraněmi hromadného ničení</w:t>
      </w:r>
    </w:p>
    <w:p w14:paraId="569669BE" w14:textId="61AD50A0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>HDP</w:t>
      </w:r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h</w:t>
      </w:r>
      <w:r w:rsidRPr="003729C2">
        <w:rPr>
          <w:rFonts w:ascii="Calibri" w:hAnsi="Calibri" w:cs="Calibri"/>
        </w:rPr>
        <w:t>rubý domácí produkt</w:t>
      </w:r>
    </w:p>
    <w:p w14:paraId="63637A42" w14:textId="77777777" w:rsidR="00BC1DE3" w:rsidRDefault="00BC1DE3" w:rsidP="00255A81">
      <w:pPr>
        <w:spacing w:after="0"/>
        <w:ind w:left="2268" w:hanging="2268"/>
        <w:jc w:val="left"/>
      </w:pPr>
      <w:r>
        <w:t>chemické vojsko</w:t>
      </w:r>
      <w:r>
        <w:tab/>
      </w:r>
      <w:r w:rsidRPr="009E6CFE">
        <w:t>chemické vojsk</w:t>
      </w:r>
      <w:r>
        <w:t>o</w:t>
      </w:r>
      <w:r w:rsidRPr="009E6CFE">
        <w:t xml:space="preserve"> Armády České republiky</w:t>
      </w:r>
    </w:p>
    <w:p w14:paraId="7A5626D1" w14:textId="50FAEE87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>IZS</w:t>
      </w:r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i</w:t>
      </w:r>
      <w:r w:rsidRPr="003729C2">
        <w:rPr>
          <w:rFonts w:ascii="Calibri" w:hAnsi="Calibri" w:cs="Calibri"/>
        </w:rPr>
        <w:t xml:space="preserve">ntegrovaný záchranný systém </w:t>
      </w:r>
    </w:p>
    <w:p w14:paraId="561C0EE5" w14:textId="459D9A2B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 xml:space="preserve">JCBRN </w:t>
      </w:r>
      <w:proofErr w:type="spellStart"/>
      <w:r w:rsidRPr="003729C2">
        <w:rPr>
          <w:rFonts w:ascii="Calibri" w:hAnsi="Calibri" w:cs="Calibri"/>
        </w:rPr>
        <w:t>Defence</w:t>
      </w:r>
      <w:proofErr w:type="spellEnd"/>
      <w:r w:rsidRPr="003729C2">
        <w:rPr>
          <w:rFonts w:ascii="Calibri" w:hAnsi="Calibri" w:cs="Calibri"/>
        </w:rPr>
        <w:t xml:space="preserve"> COE</w:t>
      </w:r>
      <w:r w:rsidRPr="003729C2">
        <w:rPr>
          <w:rFonts w:ascii="Calibri" w:hAnsi="Calibri" w:cs="Calibri"/>
        </w:rPr>
        <w:tab/>
        <w:t xml:space="preserve">Joint </w:t>
      </w:r>
      <w:proofErr w:type="spellStart"/>
      <w:r w:rsidRPr="003729C2">
        <w:rPr>
          <w:rFonts w:ascii="Calibri" w:hAnsi="Calibri" w:cs="Calibri"/>
        </w:rPr>
        <w:t>Chemical</w:t>
      </w:r>
      <w:proofErr w:type="spellEnd"/>
      <w:r w:rsidRPr="003729C2">
        <w:rPr>
          <w:rFonts w:ascii="Calibri" w:hAnsi="Calibri" w:cs="Calibri"/>
        </w:rPr>
        <w:t xml:space="preserve">, </w:t>
      </w:r>
      <w:proofErr w:type="spellStart"/>
      <w:r w:rsidRPr="003729C2">
        <w:rPr>
          <w:rFonts w:ascii="Calibri" w:hAnsi="Calibri" w:cs="Calibri"/>
        </w:rPr>
        <w:t>Biological</w:t>
      </w:r>
      <w:proofErr w:type="spellEnd"/>
      <w:r w:rsidRPr="003729C2">
        <w:rPr>
          <w:rFonts w:ascii="Calibri" w:hAnsi="Calibri" w:cs="Calibri"/>
        </w:rPr>
        <w:t xml:space="preserve">, </w:t>
      </w:r>
      <w:proofErr w:type="spellStart"/>
      <w:r w:rsidRPr="003729C2">
        <w:rPr>
          <w:rFonts w:ascii="Calibri" w:hAnsi="Calibri" w:cs="Calibri"/>
        </w:rPr>
        <w:t>Radiological</w:t>
      </w:r>
      <w:proofErr w:type="spellEnd"/>
      <w:r w:rsidRPr="003729C2">
        <w:rPr>
          <w:rFonts w:ascii="Calibri" w:hAnsi="Calibri" w:cs="Calibri"/>
        </w:rPr>
        <w:t xml:space="preserve"> and </w:t>
      </w:r>
      <w:proofErr w:type="spellStart"/>
      <w:r w:rsidRPr="003729C2">
        <w:rPr>
          <w:rFonts w:ascii="Calibri" w:hAnsi="Calibri" w:cs="Calibri"/>
        </w:rPr>
        <w:t>Nuclear</w:t>
      </w:r>
      <w:proofErr w:type="spellEnd"/>
      <w:r w:rsidRPr="003729C2">
        <w:rPr>
          <w:rFonts w:ascii="Calibri" w:hAnsi="Calibri" w:cs="Calibri"/>
        </w:rPr>
        <w:t xml:space="preserve"> </w:t>
      </w:r>
      <w:proofErr w:type="spellStart"/>
      <w:r w:rsidRPr="003729C2">
        <w:rPr>
          <w:rFonts w:ascii="Calibri" w:hAnsi="Calibri" w:cs="Calibri"/>
        </w:rPr>
        <w:t>Defence</w:t>
      </w:r>
      <w:proofErr w:type="spellEnd"/>
      <w:r w:rsidRPr="003729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3729C2">
        <w:rPr>
          <w:rFonts w:ascii="Calibri" w:hAnsi="Calibri" w:cs="Calibri"/>
        </w:rPr>
        <w:t xml:space="preserve">Centre </w:t>
      </w:r>
      <w:proofErr w:type="spellStart"/>
      <w:r w:rsidRPr="003729C2">
        <w:rPr>
          <w:rFonts w:ascii="Calibri" w:hAnsi="Calibri" w:cs="Calibri"/>
        </w:rPr>
        <w:t>Of</w:t>
      </w:r>
      <w:proofErr w:type="spellEnd"/>
      <w:r w:rsidRPr="003729C2">
        <w:rPr>
          <w:rFonts w:ascii="Calibri" w:hAnsi="Calibri" w:cs="Calibri"/>
        </w:rPr>
        <w:t xml:space="preserve"> Excellence – Centrum ochrany proti zbraním </w:t>
      </w:r>
      <w:r>
        <w:rPr>
          <w:rFonts w:ascii="Calibri" w:hAnsi="Calibri" w:cs="Calibri"/>
        </w:rPr>
        <w:br/>
      </w:r>
      <w:r w:rsidRPr="003729C2">
        <w:rPr>
          <w:rFonts w:ascii="Calibri" w:hAnsi="Calibri" w:cs="Calibri"/>
        </w:rPr>
        <w:t>hromadného ničení Vyškov</w:t>
      </w:r>
    </w:p>
    <w:p w14:paraId="0D74417C" w14:textId="4A303764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>KA</w:t>
      </w:r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k</w:t>
      </w:r>
      <w:r w:rsidRPr="003729C2">
        <w:rPr>
          <w:rFonts w:ascii="Calibri" w:hAnsi="Calibri" w:cs="Calibri"/>
        </w:rPr>
        <w:t>ontrolní akce</w:t>
      </w:r>
    </w:p>
    <w:p w14:paraId="4000E0CD" w14:textId="36C9D404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>KVAČR</w:t>
      </w:r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k</w:t>
      </w:r>
      <w:r w:rsidRPr="003729C2">
        <w:rPr>
          <w:rFonts w:ascii="Calibri" w:hAnsi="Calibri" w:cs="Calibri"/>
        </w:rPr>
        <w:t xml:space="preserve">oncepce výstavby </w:t>
      </w:r>
      <w:r>
        <w:rPr>
          <w:rFonts w:ascii="Calibri" w:hAnsi="Calibri" w:cs="Calibri"/>
        </w:rPr>
        <w:t>A</w:t>
      </w:r>
      <w:r w:rsidRPr="003729C2">
        <w:rPr>
          <w:rFonts w:ascii="Calibri" w:hAnsi="Calibri" w:cs="Calibri"/>
        </w:rPr>
        <w:t>rmády České republiky</w:t>
      </w:r>
    </w:p>
    <w:p w14:paraId="7CBCFF7F" w14:textId="77D76B60" w:rsidR="00BC1DE3" w:rsidRPr="003729C2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proofErr w:type="spellStart"/>
      <w:r w:rsidRPr="003729C2">
        <w:rPr>
          <w:rFonts w:ascii="Calibri" w:hAnsi="Calibri" w:cs="Calibri"/>
        </w:rPr>
        <w:t>KVPozS</w:t>
      </w:r>
      <w:proofErr w:type="spellEnd"/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k</w:t>
      </w:r>
      <w:r w:rsidRPr="003729C2">
        <w:rPr>
          <w:rFonts w:ascii="Calibri" w:hAnsi="Calibri" w:cs="Calibri"/>
        </w:rPr>
        <w:t>oncepce výstavby pozemních sil Armády České republiky</w:t>
      </w:r>
    </w:p>
    <w:p w14:paraId="79A2A1F8" w14:textId="1E3F3E7C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3729C2">
        <w:rPr>
          <w:rFonts w:ascii="Calibri" w:hAnsi="Calibri" w:cs="Calibri"/>
        </w:rPr>
        <w:t>LOV CBRN</w:t>
      </w:r>
      <w:r w:rsidRPr="003729C2">
        <w:rPr>
          <w:rFonts w:ascii="Calibri" w:hAnsi="Calibri" w:cs="Calibri"/>
        </w:rPr>
        <w:tab/>
      </w:r>
      <w:r>
        <w:rPr>
          <w:rFonts w:ascii="Calibri" w:hAnsi="Calibri" w:cs="Calibri"/>
        </w:rPr>
        <w:t>l</w:t>
      </w:r>
      <w:r w:rsidRPr="003729C2">
        <w:rPr>
          <w:rFonts w:ascii="Calibri" w:hAnsi="Calibri" w:cs="Calibri"/>
        </w:rPr>
        <w:t>ehké obrněné</w:t>
      </w:r>
      <w:r w:rsidRPr="00F109D1">
        <w:rPr>
          <w:rFonts w:ascii="Calibri" w:hAnsi="Calibri" w:cs="Calibri"/>
        </w:rPr>
        <w:t xml:space="preserve"> vozidlo radiačního, chemického a biologického průzkumu</w:t>
      </w:r>
    </w:p>
    <w:p w14:paraId="6F2CAA97" w14:textId="7777777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LR</w:t>
      </w:r>
      <w:r>
        <w:rPr>
          <w:rFonts w:ascii="Calibri" w:hAnsi="Calibri" w:cs="Calibri"/>
        </w:rPr>
        <w:tab/>
      </w:r>
      <w:r w:rsidRPr="00F109D1">
        <w:rPr>
          <w:rFonts w:ascii="Calibri" w:hAnsi="Calibri" w:cs="Calibri"/>
        </w:rPr>
        <w:t>Land Rover</w:t>
      </w:r>
    </w:p>
    <w:p w14:paraId="1F995AAB" w14:textId="7B4CD13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MDA</w:t>
      </w:r>
      <w:r>
        <w:rPr>
          <w:rFonts w:ascii="Calibri" w:hAnsi="Calibri" w:cs="Calibri"/>
        </w:rPr>
        <w:tab/>
        <w:t>m</w:t>
      </w:r>
      <w:r w:rsidRPr="00F109D1">
        <w:rPr>
          <w:rFonts w:ascii="Calibri" w:hAnsi="Calibri" w:cs="Calibri"/>
        </w:rPr>
        <w:t>alý dekontaminační automobil</w:t>
      </w:r>
    </w:p>
    <w:p w14:paraId="593816AE" w14:textId="7777777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MO</w:t>
      </w:r>
      <w:r>
        <w:rPr>
          <w:rFonts w:ascii="Calibri" w:hAnsi="Calibri" w:cs="Calibri"/>
        </w:rPr>
        <w:tab/>
      </w:r>
      <w:r w:rsidRPr="00F109D1">
        <w:rPr>
          <w:rFonts w:ascii="Calibri" w:hAnsi="Calibri" w:cs="Calibri"/>
        </w:rPr>
        <w:t>Ministerstvo obrany</w:t>
      </w:r>
    </w:p>
    <w:p w14:paraId="57CAF2C4" w14:textId="7777777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NATO</w:t>
      </w:r>
      <w:r>
        <w:rPr>
          <w:rFonts w:ascii="Calibri" w:hAnsi="Calibri" w:cs="Calibri"/>
        </w:rPr>
        <w:tab/>
      </w:r>
      <w:r w:rsidRPr="00BC1DE3">
        <w:rPr>
          <w:rFonts w:ascii="Calibri" w:hAnsi="Calibri" w:cs="Calibri"/>
          <w:lang w:val="en-GB"/>
        </w:rPr>
        <w:t>North Atlantic Treaty Organization</w:t>
      </w:r>
      <w:r w:rsidRPr="00F109D1">
        <w:rPr>
          <w:rFonts w:ascii="Calibri" w:hAnsi="Calibri" w:cs="Calibri"/>
        </w:rPr>
        <w:t xml:space="preserve"> – Severoatlantická aliance</w:t>
      </w:r>
    </w:p>
    <w:p w14:paraId="1FD03614" w14:textId="77777777" w:rsidR="00BC1DE3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NKÚ</w:t>
      </w:r>
      <w:r>
        <w:rPr>
          <w:rFonts w:ascii="Calibri" w:hAnsi="Calibri" w:cs="Calibri"/>
        </w:rPr>
        <w:tab/>
      </w:r>
      <w:r w:rsidRPr="00F109D1">
        <w:rPr>
          <w:rFonts w:ascii="Calibri" w:hAnsi="Calibri" w:cs="Calibri"/>
        </w:rPr>
        <w:t>Nejvyšší kontrolní úřad</w:t>
      </w:r>
    </w:p>
    <w:p w14:paraId="40313FBD" w14:textId="3888D712" w:rsidR="00BC1DE3" w:rsidRPr="00083A25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083A25">
        <w:rPr>
          <w:rFonts w:ascii="Calibri" w:hAnsi="Calibri" w:cs="Calibri"/>
        </w:rPr>
        <w:t>OM</w:t>
      </w:r>
      <w:r w:rsidRPr="00083A25">
        <w:rPr>
          <w:rFonts w:ascii="Calibri" w:hAnsi="Calibri" w:cs="Calibri"/>
        </w:rPr>
        <w:tab/>
      </w:r>
      <w:r>
        <w:rPr>
          <w:rFonts w:ascii="Calibri" w:hAnsi="Calibri" w:cs="Calibri"/>
        </w:rPr>
        <w:t>o</w:t>
      </w:r>
      <w:r w:rsidRPr="00083A25">
        <w:rPr>
          <w:rFonts w:ascii="Calibri" w:hAnsi="Calibri" w:cs="Calibri"/>
        </w:rPr>
        <w:t>chrann</w:t>
      </w:r>
      <w:r w:rsidR="00F72E6C">
        <w:rPr>
          <w:rFonts w:ascii="Calibri" w:hAnsi="Calibri" w:cs="Calibri"/>
        </w:rPr>
        <w:t>á</w:t>
      </w:r>
      <w:r w:rsidRPr="00083A25">
        <w:rPr>
          <w:rFonts w:ascii="Calibri" w:hAnsi="Calibri" w:cs="Calibri"/>
        </w:rPr>
        <w:t xml:space="preserve"> mask</w:t>
      </w:r>
      <w:r w:rsidR="00F72E6C">
        <w:rPr>
          <w:rFonts w:ascii="Calibri" w:hAnsi="Calibri" w:cs="Calibri"/>
        </w:rPr>
        <w:t>a</w:t>
      </w:r>
    </w:p>
    <w:p w14:paraId="3C671651" w14:textId="74AF989D" w:rsidR="00BC1DE3" w:rsidRPr="00083A25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083A25">
        <w:rPr>
          <w:rFonts w:ascii="Calibri" w:hAnsi="Calibri" w:cs="Calibri"/>
        </w:rPr>
        <w:t>OPCH-05</w:t>
      </w:r>
      <w:r w:rsidRPr="00083A25">
        <w:rPr>
          <w:rFonts w:ascii="Calibri" w:hAnsi="Calibri" w:cs="Calibri"/>
        </w:rPr>
        <w:tab/>
      </w:r>
      <w:r>
        <w:rPr>
          <w:rFonts w:ascii="Calibri" w:hAnsi="Calibri" w:cs="Calibri"/>
        </w:rPr>
        <w:t>p</w:t>
      </w:r>
      <w:r w:rsidRPr="00083A25">
        <w:rPr>
          <w:rFonts w:ascii="Calibri" w:hAnsi="Calibri" w:cs="Calibri"/>
        </w:rPr>
        <w:t>rovětrávaný protichemický izolační oděv</w:t>
      </w:r>
    </w:p>
    <w:p w14:paraId="59D00767" w14:textId="0F7EBF64" w:rsidR="00BC1DE3" w:rsidRPr="00083A25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083A25">
        <w:rPr>
          <w:rFonts w:ascii="Calibri" w:hAnsi="Calibri" w:cs="Calibri"/>
        </w:rPr>
        <w:t>OPZHN</w:t>
      </w:r>
      <w:r w:rsidRPr="00083A25">
        <w:rPr>
          <w:rFonts w:ascii="Calibri" w:hAnsi="Calibri" w:cs="Calibri"/>
        </w:rPr>
        <w:tab/>
      </w:r>
      <w:r>
        <w:rPr>
          <w:rFonts w:ascii="Calibri" w:hAnsi="Calibri" w:cs="Calibri"/>
        </w:rPr>
        <w:t>o</w:t>
      </w:r>
      <w:r w:rsidRPr="00083A25">
        <w:rPr>
          <w:rFonts w:ascii="Calibri" w:hAnsi="Calibri" w:cs="Calibri"/>
        </w:rPr>
        <w:t>chrana před zbraněmi hromadného ničení</w:t>
      </w:r>
    </w:p>
    <w:p w14:paraId="1CB8DC6D" w14:textId="77777777" w:rsidR="00BC1DE3" w:rsidRDefault="00BC1DE3" w:rsidP="00255A81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program 107V08</w:t>
      </w:r>
      <w:r>
        <w:rPr>
          <w:rFonts w:ascii="Calibri" w:hAnsi="Calibri" w:cs="Calibri"/>
        </w:rPr>
        <w:tab/>
        <w:t xml:space="preserve">program </w:t>
      </w:r>
      <w:r w:rsidRPr="001A25F5">
        <w:t xml:space="preserve">107V08 – </w:t>
      </w:r>
      <w:r w:rsidRPr="00B22E23">
        <w:rPr>
          <w:i/>
        </w:rPr>
        <w:t>Strategický program pozemních sil AČR</w:t>
      </w:r>
    </w:p>
    <w:p w14:paraId="7AED0B8C" w14:textId="77777777" w:rsidR="00BC1DE3" w:rsidRDefault="00BC1DE3" w:rsidP="00255A81">
      <w:pPr>
        <w:spacing w:after="0"/>
        <w:ind w:left="2268" w:hanging="2268"/>
        <w:rPr>
          <w:rFonts w:cstheme="minorHAnsi"/>
          <w:highlight w:val="yellow"/>
        </w:rPr>
      </w:pPr>
      <w:r>
        <w:rPr>
          <w:rFonts w:ascii="Calibri" w:hAnsi="Calibri" w:cs="Calibri"/>
        </w:rPr>
        <w:t>program 107V490</w:t>
      </w:r>
      <w:r>
        <w:rPr>
          <w:rFonts w:ascii="Calibri" w:hAnsi="Calibri" w:cs="Calibri"/>
        </w:rPr>
        <w:tab/>
        <w:t xml:space="preserve">program </w:t>
      </w:r>
      <w:r w:rsidRPr="001A25F5">
        <w:t>107V49</w:t>
      </w:r>
      <w:r>
        <w:t>0</w:t>
      </w:r>
      <w:r w:rsidRPr="001A25F5">
        <w:t xml:space="preserve"> – </w:t>
      </w:r>
      <w:r w:rsidRPr="00B22E23">
        <w:rPr>
          <w:i/>
        </w:rPr>
        <w:t>Udržení a rozvoj schopností zdravotnické podpory</w:t>
      </w:r>
    </w:p>
    <w:p w14:paraId="72E104C6" w14:textId="77777777" w:rsidR="00BC1DE3" w:rsidRDefault="00BC1DE3" w:rsidP="00041C4C">
      <w:pPr>
        <w:spacing w:after="0"/>
        <w:ind w:left="2268" w:hanging="226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program 107V68</w:t>
      </w:r>
      <w:r>
        <w:rPr>
          <w:rFonts w:ascii="Calibri" w:hAnsi="Calibri" w:cs="Calibri"/>
        </w:rPr>
        <w:tab/>
        <w:t xml:space="preserve">program 107V68 </w:t>
      </w:r>
      <w:r w:rsidRPr="00F109D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Pr="00B22E23">
        <w:rPr>
          <w:i/>
        </w:rPr>
        <w:t>Udržení a rozvoj schopností pozemních sil AČR</w:t>
      </w:r>
      <w:r w:rsidRPr="003058E4">
        <w:t xml:space="preserve"> </w:t>
      </w:r>
    </w:p>
    <w:p w14:paraId="3D811724" w14:textId="0C8118A7" w:rsidR="00BC1DE3" w:rsidRPr="00083A25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083A25">
        <w:rPr>
          <w:rFonts w:ascii="Calibri" w:hAnsi="Calibri" w:cs="Calibri"/>
        </w:rPr>
        <w:t>PRS-A79, B76</w:t>
      </w:r>
      <w:r w:rsidRPr="00083A25">
        <w:rPr>
          <w:rFonts w:ascii="Calibri" w:hAnsi="Calibri" w:cs="Calibri"/>
        </w:rPr>
        <w:tab/>
      </w:r>
      <w:r>
        <w:rPr>
          <w:rFonts w:ascii="Calibri" w:hAnsi="Calibri" w:cs="Calibri"/>
        </w:rPr>
        <w:t>s</w:t>
      </w:r>
      <w:r w:rsidRPr="00083A25">
        <w:rPr>
          <w:rFonts w:ascii="Calibri" w:hAnsi="Calibri" w:cs="Calibri"/>
        </w:rPr>
        <w:t>tředisko radiační pojízdné A79, B76</w:t>
      </w:r>
    </w:p>
    <w:p w14:paraId="1C61999F" w14:textId="4F9B706B" w:rsidR="00BC1DE3" w:rsidRPr="00083A25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RCHPZ</w:t>
      </w:r>
      <w:r w:rsidRPr="00083A25">
        <w:rPr>
          <w:rFonts w:ascii="Calibri" w:hAnsi="Calibri" w:cs="Calibri"/>
        </w:rPr>
        <w:tab/>
      </w:r>
      <w:r>
        <w:rPr>
          <w:rFonts w:ascii="Calibri" w:hAnsi="Calibri" w:cs="Calibri"/>
        </w:rPr>
        <w:t>r</w:t>
      </w:r>
      <w:r w:rsidRPr="00083A25">
        <w:rPr>
          <w:rFonts w:ascii="Calibri" w:hAnsi="Calibri" w:cs="Calibri"/>
        </w:rPr>
        <w:t>adiační a chemický průzkum</w:t>
      </w:r>
    </w:p>
    <w:p w14:paraId="674F1E8F" w14:textId="1934AA17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SCHP</w:t>
      </w:r>
      <w:r>
        <w:rPr>
          <w:rFonts w:ascii="Calibri" w:hAnsi="Calibri" w:cs="Calibri"/>
        </w:rPr>
        <w:tab/>
        <w:t>s</w:t>
      </w:r>
      <w:r w:rsidRPr="00F109D1">
        <w:rPr>
          <w:rFonts w:ascii="Calibri" w:hAnsi="Calibri" w:cs="Calibri"/>
        </w:rPr>
        <w:t>ouprava chemického pozorovatele</w:t>
      </w:r>
    </w:p>
    <w:p w14:paraId="61543DD2" w14:textId="67A547B0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SIBCRA</w:t>
      </w:r>
      <w:r w:rsidRPr="00F109D1">
        <w:rPr>
          <w:rFonts w:ascii="Calibri" w:hAnsi="Calibri" w:cs="Calibri"/>
        </w:rPr>
        <w:tab/>
      </w:r>
      <w:proofErr w:type="spellStart"/>
      <w:r w:rsidRPr="00F109D1">
        <w:rPr>
          <w:rFonts w:ascii="Calibri" w:hAnsi="Calibri" w:cs="Calibri"/>
        </w:rPr>
        <w:t>Sampling</w:t>
      </w:r>
      <w:proofErr w:type="spellEnd"/>
      <w:r w:rsidRPr="00F109D1">
        <w:rPr>
          <w:rFonts w:ascii="Calibri" w:hAnsi="Calibri" w:cs="Calibri"/>
        </w:rPr>
        <w:t xml:space="preserve"> and </w:t>
      </w:r>
      <w:proofErr w:type="spellStart"/>
      <w:r w:rsidRPr="00F109D1">
        <w:rPr>
          <w:rFonts w:ascii="Calibri" w:hAnsi="Calibri" w:cs="Calibri"/>
        </w:rPr>
        <w:t>Identification</w:t>
      </w:r>
      <w:proofErr w:type="spellEnd"/>
      <w:r w:rsidRPr="00F109D1">
        <w:rPr>
          <w:rFonts w:ascii="Calibri" w:hAnsi="Calibri" w:cs="Calibri"/>
        </w:rPr>
        <w:t xml:space="preserve"> </w:t>
      </w:r>
      <w:proofErr w:type="spellStart"/>
      <w:r w:rsidRPr="00F109D1">
        <w:rPr>
          <w:rFonts w:ascii="Calibri" w:hAnsi="Calibri" w:cs="Calibri"/>
        </w:rPr>
        <w:t>of</w:t>
      </w:r>
      <w:proofErr w:type="spellEnd"/>
      <w:r w:rsidRPr="00F109D1">
        <w:rPr>
          <w:rFonts w:ascii="Calibri" w:hAnsi="Calibri" w:cs="Calibri"/>
        </w:rPr>
        <w:t xml:space="preserve"> </w:t>
      </w:r>
      <w:proofErr w:type="spellStart"/>
      <w:r w:rsidRPr="00F109D1">
        <w:rPr>
          <w:rFonts w:ascii="Calibri" w:hAnsi="Calibri" w:cs="Calibri"/>
        </w:rPr>
        <w:t>Biological</w:t>
      </w:r>
      <w:proofErr w:type="spellEnd"/>
      <w:r w:rsidRPr="00F109D1">
        <w:rPr>
          <w:rFonts w:ascii="Calibri" w:hAnsi="Calibri" w:cs="Calibri"/>
        </w:rPr>
        <w:t xml:space="preserve">, </w:t>
      </w:r>
      <w:proofErr w:type="spellStart"/>
      <w:r w:rsidRPr="00F109D1">
        <w:rPr>
          <w:rFonts w:ascii="Calibri" w:hAnsi="Calibri" w:cs="Calibri"/>
        </w:rPr>
        <w:t>Chemical</w:t>
      </w:r>
      <w:proofErr w:type="spellEnd"/>
      <w:r w:rsidRPr="00F109D1">
        <w:rPr>
          <w:rFonts w:ascii="Calibri" w:hAnsi="Calibri" w:cs="Calibri"/>
        </w:rPr>
        <w:t xml:space="preserve"> and </w:t>
      </w:r>
      <w:proofErr w:type="spellStart"/>
      <w:r w:rsidRPr="00F109D1">
        <w:rPr>
          <w:rFonts w:ascii="Calibri" w:hAnsi="Calibri" w:cs="Calibri"/>
        </w:rPr>
        <w:t>Radiological</w:t>
      </w:r>
      <w:proofErr w:type="spellEnd"/>
      <w:r w:rsidRPr="00F109D1">
        <w:rPr>
          <w:rFonts w:ascii="Calibri" w:hAnsi="Calibri" w:cs="Calibri"/>
        </w:rPr>
        <w:t xml:space="preserve"> </w:t>
      </w:r>
      <w:proofErr w:type="spellStart"/>
      <w:r w:rsidRPr="00F109D1">
        <w:rPr>
          <w:rFonts w:ascii="Calibri" w:hAnsi="Calibri" w:cs="Calibri"/>
        </w:rPr>
        <w:t>Agents</w:t>
      </w:r>
      <w:proofErr w:type="spellEnd"/>
      <w:r w:rsidRPr="00F109D1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o</w:t>
      </w:r>
      <w:r w:rsidRPr="00F109D1">
        <w:rPr>
          <w:rFonts w:ascii="Calibri" w:hAnsi="Calibri" w:cs="Calibri"/>
        </w:rPr>
        <w:t>dběr a identifikace biologických, chemických a</w:t>
      </w:r>
      <w:r>
        <w:rPr>
          <w:rFonts w:ascii="Calibri" w:hAnsi="Calibri" w:cs="Calibri"/>
        </w:rPr>
        <w:t> </w:t>
      </w:r>
      <w:r w:rsidRPr="00F109D1">
        <w:rPr>
          <w:rFonts w:ascii="Calibri" w:hAnsi="Calibri" w:cs="Calibri"/>
        </w:rPr>
        <w:t>radio</w:t>
      </w:r>
      <w:r w:rsidR="00041C4C">
        <w:rPr>
          <w:rFonts w:ascii="Calibri" w:hAnsi="Calibri" w:cs="Calibri"/>
        </w:rPr>
        <w:t>logických</w:t>
      </w:r>
      <w:r w:rsidRPr="00F109D1">
        <w:rPr>
          <w:rFonts w:ascii="Calibri" w:hAnsi="Calibri" w:cs="Calibri"/>
        </w:rPr>
        <w:t xml:space="preserve"> látek</w:t>
      </w:r>
    </w:p>
    <w:p w14:paraId="77D49460" w14:textId="146DF971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S-LOV-CBRN</w:t>
      </w:r>
      <w:r w:rsidRPr="00F109D1">
        <w:rPr>
          <w:rFonts w:ascii="Calibri" w:hAnsi="Calibri" w:cs="Calibri"/>
        </w:rPr>
        <w:tab/>
      </w:r>
      <w:r>
        <w:rPr>
          <w:rFonts w:ascii="Calibri" w:hAnsi="Calibri" w:cs="Calibri"/>
        </w:rPr>
        <w:t>s</w:t>
      </w:r>
      <w:r w:rsidRPr="00F109D1">
        <w:rPr>
          <w:rFonts w:ascii="Calibri" w:hAnsi="Calibri" w:cs="Calibri"/>
        </w:rPr>
        <w:t>ouprava lehkého obrněného vozidla CBRN</w:t>
      </w:r>
    </w:p>
    <w:p w14:paraId="314D2714" w14:textId="5A0729A8" w:rsidR="00BC1DE3" w:rsidRPr="00F109D1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SW</w:t>
      </w:r>
      <w:r>
        <w:rPr>
          <w:rFonts w:ascii="Calibri" w:hAnsi="Calibri" w:cs="Calibri"/>
        </w:rPr>
        <w:tab/>
        <w:t>s</w:t>
      </w:r>
      <w:r w:rsidRPr="00F109D1">
        <w:rPr>
          <w:rFonts w:ascii="Calibri" w:hAnsi="Calibri" w:cs="Calibri"/>
        </w:rPr>
        <w:t>oftware</w:t>
      </w:r>
    </w:p>
    <w:p w14:paraId="77E0FC02" w14:textId="5FD6086B" w:rsidR="00BC1DE3" w:rsidRDefault="00BC1DE3" w:rsidP="00255A81">
      <w:pPr>
        <w:spacing w:after="0"/>
        <w:ind w:left="2268" w:hanging="2268"/>
        <w:jc w:val="left"/>
        <w:rPr>
          <w:rFonts w:ascii="Calibri" w:hAnsi="Calibri" w:cs="Calibri"/>
        </w:rPr>
      </w:pPr>
      <w:r w:rsidRPr="00F109D1">
        <w:rPr>
          <w:rFonts w:ascii="Calibri" w:hAnsi="Calibri" w:cs="Calibri"/>
        </w:rPr>
        <w:t>VAP</w:t>
      </w:r>
      <w:r>
        <w:rPr>
          <w:rFonts w:ascii="Calibri" w:hAnsi="Calibri" w:cs="Calibri"/>
        </w:rPr>
        <w:tab/>
        <w:t>v</w:t>
      </w:r>
      <w:r w:rsidRPr="00F109D1">
        <w:rPr>
          <w:rFonts w:ascii="Calibri" w:hAnsi="Calibri" w:cs="Calibri"/>
        </w:rPr>
        <w:t>ýpočetně analytické pracoviště</w:t>
      </w:r>
    </w:p>
    <w:p w14:paraId="20F19E68" w14:textId="77777777" w:rsidR="001676C8" w:rsidRDefault="00D457AE" w:rsidP="004B6902">
      <w:pPr>
        <w:spacing w:after="0"/>
        <w:rPr>
          <w:rFonts w:cstheme="minorHAnsi"/>
          <w:highlight w:val="yellow"/>
        </w:rPr>
      </w:pPr>
      <w:r w:rsidRPr="00946806">
        <w:rPr>
          <w:rFonts w:cstheme="minorHAnsi"/>
          <w:highlight w:val="yellow"/>
        </w:rPr>
        <w:br w:type="page"/>
      </w:r>
    </w:p>
    <w:p w14:paraId="7056CF2C" w14:textId="77777777" w:rsidR="004A5F72" w:rsidRDefault="00D457AE" w:rsidP="009935A4">
      <w:pPr>
        <w:pStyle w:val="Nadpis1"/>
        <w:jc w:val="right"/>
      </w:pPr>
      <w:r w:rsidRPr="00570D8F">
        <w:t>Příloha č. 1</w:t>
      </w:r>
    </w:p>
    <w:p w14:paraId="4D56D18E" w14:textId="77777777" w:rsidR="00ED49F2" w:rsidRPr="009935A4" w:rsidRDefault="00ED49F2" w:rsidP="009935A4">
      <w:pPr>
        <w:spacing w:after="0"/>
        <w:rPr>
          <w:lang w:eastAsia="cs-CZ"/>
        </w:rPr>
      </w:pPr>
    </w:p>
    <w:p w14:paraId="788354C5" w14:textId="2AC80FB1" w:rsidR="004A5F72" w:rsidRPr="00041C4C" w:rsidRDefault="00D457AE" w:rsidP="00BC1DE3">
      <w:pPr>
        <w:pStyle w:val="Nzevtabulka"/>
        <w:numPr>
          <w:ilvl w:val="0"/>
          <w:numId w:val="0"/>
        </w:numPr>
        <w:tabs>
          <w:tab w:val="right" w:pos="9072"/>
        </w:tabs>
        <w:rPr>
          <w:rFonts w:cs="Calibri"/>
          <w:b/>
          <w:color w:val="000000"/>
        </w:rPr>
      </w:pPr>
      <w:r w:rsidRPr="009935A4">
        <w:rPr>
          <w:b/>
          <w:kern w:val="36"/>
        </w:rPr>
        <w:t>Rozpočet MO a jeho čerpání v letech 2018</w:t>
      </w:r>
      <w:r w:rsidR="00C12707" w:rsidRPr="009935A4">
        <w:rPr>
          <w:b/>
          <w:kern w:val="36"/>
        </w:rPr>
        <w:t>–</w:t>
      </w:r>
      <w:r w:rsidRPr="009935A4">
        <w:rPr>
          <w:b/>
          <w:kern w:val="36"/>
        </w:rPr>
        <w:t>202</w:t>
      </w:r>
      <w:r w:rsidR="00C12707" w:rsidRPr="009935A4">
        <w:rPr>
          <w:b/>
          <w:kern w:val="36"/>
        </w:rPr>
        <w:t>2</w:t>
      </w:r>
      <w:r w:rsidR="009B5E7C">
        <w:rPr>
          <w:rFonts w:cs="Calibri"/>
          <w:color w:val="000000"/>
        </w:rPr>
        <w:tab/>
      </w:r>
      <w:r w:rsidRPr="00041C4C">
        <w:rPr>
          <w:rFonts w:cs="Calibri"/>
          <w:b/>
          <w:color w:val="000000"/>
        </w:rPr>
        <w:t xml:space="preserve">(v </w:t>
      </w:r>
      <w:r w:rsidR="00C12707" w:rsidRPr="00041C4C">
        <w:rPr>
          <w:rFonts w:cs="Calibri"/>
          <w:b/>
          <w:color w:val="000000"/>
        </w:rPr>
        <w:t>mil</w:t>
      </w:r>
      <w:r w:rsidRPr="00041C4C">
        <w:rPr>
          <w:rFonts w:cs="Calibri"/>
          <w:b/>
          <w:color w:val="000000"/>
        </w:rPr>
        <w:t>. Kč)</w:t>
      </w:r>
    </w:p>
    <w:tbl>
      <w:tblPr>
        <w:tblStyle w:val="Mkatabulky"/>
        <w:tblW w:w="9065" w:type="dxa"/>
        <w:tblInd w:w="108" w:type="dxa"/>
        <w:tblLook w:val="04A0" w:firstRow="1" w:lastRow="0" w:firstColumn="1" w:lastColumn="0" w:noHBand="0" w:noVBand="1"/>
      </w:tblPr>
      <w:tblGrid>
        <w:gridCol w:w="880"/>
        <w:gridCol w:w="2097"/>
        <w:gridCol w:w="1474"/>
        <w:gridCol w:w="1474"/>
        <w:gridCol w:w="1474"/>
        <w:gridCol w:w="1666"/>
      </w:tblGrid>
      <w:tr w:rsidR="00326E27" w14:paraId="5EEE28EF" w14:textId="77777777" w:rsidTr="00041C4C">
        <w:trPr>
          <w:trHeight w:val="454"/>
        </w:trPr>
        <w:tc>
          <w:tcPr>
            <w:tcW w:w="880" w:type="dxa"/>
            <w:vMerge w:val="restart"/>
            <w:shd w:val="clear" w:color="auto" w:fill="E5F1FF"/>
            <w:vAlign w:val="center"/>
          </w:tcPr>
          <w:p w14:paraId="61580340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Rok</w:t>
            </w:r>
          </w:p>
        </w:tc>
        <w:tc>
          <w:tcPr>
            <w:tcW w:w="2097" w:type="dxa"/>
            <w:vMerge w:val="restart"/>
            <w:shd w:val="clear" w:color="auto" w:fill="E5F1FF"/>
            <w:vAlign w:val="center"/>
          </w:tcPr>
          <w:p w14:paraId="0881877E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 xml:space="preserve">Prostředky </w:t>
            </w:r>
            <w:r w:rsidRPr="002A308F">
              <w:rPr>
                <w:rFonts w:cstheme="minorHAnsi"/>
                <w:b/>
                <w:sz w:val="18"/>
                <w:szCs w:val="20"/>
              </w:rPr>
              <w:br/>
              <w:t>(oblast výdajů)</w:t>
            </w:r>
          </w:p>
        </w:tc>
        <w:tc>
          <w:tcPr>
            <w:tcW w:w="1474" w:type="dxa"/>
            <w:vMerge w:val="restart"/>
            <w:shd w:val="clear" w:color="auto" w:fill="E5F1FF"/>
            <w:vAlign w:val="center"/>
          </w:tcPr>
          <w:p w14:paraId="6C37AD0F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 xml:space="preserve">Schválený </w:t>
            </w:r>
            <w:r w:rsidRPr="002A308F">
              <w:rPr>
                <w:rFonts w:cstheme="minorHAnsi"/>
                <w:b/>
                <w:sz w:val="18"/>
                <w:szCs w:val="20"/>
              </w:rPr>
              <w:br/>
              <w:t>rozpočet</w:t>
            </w:r>
          </w:p>
        </w:tc>
        <w:tc>
          <w:tcPr>
            <w:tcW w:w="1474" w:type="dxa"/>
            <w:vMerge w:val="restart"/>
            <w:shd w:val="clear" w:color="auto" w:fill="E5F1FF"/>
            <w:vAlign w:val="center"/>
          </w:tcPr>
          <w:p w14:paraId="2EF712CF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 xml:space="preserve">Rozpočet </w:t>
            </w:r>
            <w:r w:rsidRPr="002A308F">
              <w:rPr>
                <w:rFonts w:cstheme="minorHAnsi"/>
                <w:b/>
                <w:sz w:val="18"/>
                <w:szCs w:val="20"/>
              </w:rPr>
              <w:br/>
              <w:t>po změnách</w:t>
            </w:r>
          </w:p>
        </w:tc>
        <w:tc>
          <w:tcPr>
            <w:tcW w:w="1474" w:type="dxa"/>
            <w:vMerge w:val="restart"/>
            <w:shd w:val="clear" w:color="auto" w:fill="E5F1FF"/>
            <w:vAlign w:val="center"/>
          </w:tcPr>
          <w:p w14:paraId="57995A80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Skutečnost</w:t>
            </w:r>
          </w:p>
        </w:tc>
        <w:tc>
          <w:tcPr>
            <w:tcW w:w="1666" w:type="dxa"/>
            <w:vMerge w:val="restart"/>
            <w:shd w:val="clear" w:color="auto" w:fill="E5F1FF"/>
            <w:vAlign w:val="center"/>
          </w:tcPr>
          <w:p w14:paraId="3131CF65" w14:textId="580EB11F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Výdaje vůči HDP</w:t>
            </w:r>
            <w:r w:rsidR="009935A4">
              <w:rPr>
                <w:rFonts w:cstheme="minorHAnsi"/>
                <w:b/>
                <w:sz w:val="18"/>
                <w:szCs w:val="20"/>
              </w:rPr>
              <w:br/>
            </w:r>
            <w:r w:rsidR="00BC1DE3">
              <w:rPr>
                <w:rFonts w:cstheme="minorHAnsi"/>
                <w:b/>
                <w:sz w:val="18"/>
                <w:szCs w:val="20"/>
              </w:rPr>
              <w:t>(</w:t>
            </w:r>
            <w:r w:rsidRPr="002A308F">
              <w:rPr>
                <w:rFonts w:cstheme="minorHAnsi"/>
                <w:b/>
                <w:sz w:val="18"/>
                <w:szCs w:val="20"/>
              </w:rPr>
              <w:t>v %</w:t>
            </w:r>
            <w:r w:rsidR="00BC1DE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326E27" w14:paraId="6CAEC1E6" w14:textId="77777777" w:rsidTr="00BC1DE3">
        <w:trPr>
          <w:trHeight w:val="220"/>
        </w:trPr>
        <w:tc>
          <w:tcPr>
            <w:tcW w:w="880" w:type="dxa"/>
            <w:vMerge/>
            <w:shd w:val="clear" w:color="auto" w:fill="E5F1FF"/>
            <w:vAlign w:val="center"/>
          </w:tcPr>
          <w:p w14:paraId="71A55175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Merge/>
            <w:shd w:val="clear" w:color="auto" w:fill="E5F1FF"/>
            <w:vAlign w:val="center"/>
          </w:tcPr>
          <w:p w14:paraId="6E32E046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E5F1FF"/>
            <w:vAlign w:val="center"/>
          </w:tcPr>
          <w:p w14:paraId="30D2D77D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E5F1FF"/>
            <w:vAlign w:val="center"/>
          </w:tcPr>
          <w:p w14:paraId="23A1AC35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E5F1FF"/>
            <w:vAlign w:val="center"/>
          </w:tcPr>
          <w:p w14:paraId="0C581FE9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66" w:type="dxa"/>
            <w:vMerge/>
            <w:shd w:val="clear" w:color="auto" w:fill="E5F1FF"/>
            <w:vAlign w:val="center"/>
          </w:tcPr>
          <w:p w14:paraId="2BCCD908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</w:p>
        </w:tc>
      </w:tr>
      <w:tr w:rsidR="00326E27" w14:paraId="5DD2D1A9" w14:textId="77777777" w:rsidTr="00041C4C">
        <w:trPr>
          <w:trHeight w:val="340"/>
        </w:trPr>
        <w:tc>
          <w:tcPr>
            <w:tcW w:w="880" w:type="dxa"/>
            <w:vMerge w:val="restart"/>
            <w:vAlign w:val="center"/>
          </w:tcPr>
          <w:p w14:paraId="07518507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2018</w:t>
            </w:r>
          </w:p>
        </w:tc>
        <w:tc>
          <w:tcPr>
            <w:tcW w:w="2097" w:type="dxa"/>
            <w:vAlign w:val="center"/>
          </w:tcPr>
          <w:p w14:paraId="5D690361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Běžné výdaje</w:t>
            </w:r>
          </w:p>
        </w:tc>
        <w:tc>
          <w:tcPr>
            <w:tcW w:w="1474" w:type="dxa"/>
            <w:vAlign w:val="center"/>
          </w:tcPr>
          <w:p w14:paraId="20B3960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50 907,41</w:t>
            </w:r>
          </w:p>
        </w:tc>
        <w:tc>
          <w:tcPr>
            <w:tcW w:w="1474" w:type="dxa"/>
            <w:vAlign w:val="center"/>
          </w:tcPr>
          <w:p w14:paraId="248F52B3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50 717,89</w:t>
            </w:r>
          </w:p>
        </w:tc>
        <w:tc>
          <w:tcPr>
            <w:tcW w:w="1474" w:type="dxa"/>
            <w:vAlign w:val="center"/>
          </w:tcPr>
          <w:p w14:paraId="296473CC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52 261,84</w:t>
            </w:r>
          </w:p>
        </w:tc>
        <w:tc>
          <w:tcPr>
            <w:tcW w:w="1666" w:type="dxa"/>
            <w:vMerge w:val="restart"/>
            <w:vAlign w:val="center"/>
          </w:tcPr>
          <w:p w14:paraId="0DBB19A0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1,13 %</w:t>
            </w:r>
          </w:p>
        </w:tc>
      </w:tr>
      <w:tr w:rsidR="00326E27" w14:paraId="09D81E53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7BC2259F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22A2DCF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Kapitálové výdaje</w:t>
            </w:r>
          </w:p>
        </w:tc>
        <w:tc>
          <w:tcPr>
            <w:tcW w:w="1474" w:type="dxa"/>
            <w:vAlign w:val="center"/>
          </w:tcPr>
          <w:p w14:paraId="072C5185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7 985,94</w:t>
            </w:r>
          </w:p>
        </w:tc>
        <w:tc>
          <w:tcPr>
            <w:tcW w:w="1474" w:type="dxa"/>
            <w:vAlign w:val="center"/>
          </w:tcPr>
          <w:p w14:paraId="4A3FFD55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8 294,04</w:t>
            </w:r>
          </w:p>
        </w:tc>
        <w:tc>
          <w:tcPr>
            <w:tcW w:w="1474" w:type="dxa"/>
            <w:vAlign w:val="center"/>
          </w:tcPr>
          <w:p w14:paraId="13E6918E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7 537,60</w:t>
            </w:r>
          </w:p>
        </w:tc>
        <w:tc>
          <w:tcPr>
            <w:tcW w:w="1666" w:type="dxa"/>
            <w:vMerge/>
            <w:vAlign w:val="center"/>
          </w:tcPr>
          <w:p w14:paraId="0F6AA8BD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</w:p>
        </w:tc>
      </w:tr>
      <w:tr w:rsidR="00326E27" w14:paraId="56C00AAB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43100A74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96DD5BC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65AD8614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58 893,35</w:t>
            </w:r>
          </w:p>
        </w:tc>
        <w:tc>
          <w:tcPr>
            <w:tcW w:w="1474" w:type="dxa"/>
            <w:vAlign w:val="center"/>
          </w:tcPr>
          <w:p w14:paraId="4CFDA5FA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59 011,93</w:t>
            </w:r>
          </w:p>
        </w:tc>
        <w:tc>
          <w:tcPr>
            <w:tcW w:w="1474" w:type="dxa"/>
            <w:vAlign w:val="center"/>
          </w:tcPr>
          <w:p w14:paraId="39D53333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59 799,44</w:t>
            </w:r>
          </w:p>
        </w:tc>
        <w:tc>
          <w:tcPr>
            <w:tcW w:w="1666" w:type="dxa"/>
            <w:vMerge/>
            <w:vAlign w:val="center"/>
          </w:tcPr>
          <w:p w14:paraId="4319FB07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</w:p>
        </w:tc>
      </w:tr>
      <w:tr w:rsidR="00326E27" w14:paraId="33899471" w14:textId="77777777" w:rsidTr="00041C4C">
        <w:trPr>
          <w:trHeight w:val="340"/>
        </w:trPr>
        <w:tc>
          <w:tcPr>
            <w:tcW w:w="880" w:type="dxa"/>
            <w:vMerge w:val="restart"/>
            <w:vAlign w:val="center"/>
          </w:tcPr>
          <w:p w14:paraId="206614C5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2019</w:t>
            </w:r>
          </w:p>
        </w:tc>
        <w:tc>
          <w:tcPr>
            <w:tcW w:w="2097" w:type="dxa"/>
            <w:vAlign w:val="center"/>
          </w:tcPr>
          <w:p w14:paraId="07378A75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Běžné výdaje</w:t>
            </w:r>
          </w:p>
        </w:tc>
        <w:tc>
          <w:tcPr>
            <w:tcW w:w="1474" w:type="dxa"/>
            <w:vAlign w:val="center"/>
          </w:tcPr>
          <w:p w14:paraId="78C76984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54 392,53</w:t>
            </w:r>
          </w:p>
        </w:tc>
        <w:tc>
          <w:tcPr>
            <w:tcW w:w="1474" w:type="dxa"/>
            <w:vAlign w:val="center"/>
          </w:tcPr>
          <w:p w14:paraId="1527E3F1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55 717,33</w:t>
            </w:r>
          </w:p>
        </w:tc>
        <w:tc>
          <w:tcPr>
            <w:tcW w:w="1474" w:type="dxa"/>
            <w:vAlign w:val="center"/>
          </w:tcPr>
          <w:p w14:paraId="3660591C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55 613,82</w:t>
            </w:r>
          </w:p>
        </w:tc>
        <w:tc>
          <w:tcPr>
            <w:tcW w:w="1666" w:type="dxa"/>
            <w:vMerge w:val="restart"/>
            <w:vAlign w:val="center"/>
          </w:tcPr>
          <w:p w14:paraId="294768BB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1,21 %</w:t>
            </w:r>
          </w:p>
        </w:tc>
      </w:tr>
      <w:tr w:rsidR="00326E27" w14:paraId="0234C47E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401089F8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589BD8B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Kapitálové výdaje</w:t>
            </w:r>
          </w:p>
        </w:tc>
        <w:tc>
          <w:tcPr>
            <w:tcW w:w="1474" w:type="dxa"/>
            <w:vAlign w:val="center"/>
          </w:tcPr>
          <w:p w14:paraId="20395E28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12 342,27</w:t>
            </w:r>
          </w:p>
        </w:tc>
        <w:tc>
          <w:tcPr>
            <w:tcW w:w="1474" w:type="dxa"/>
            <w:vAlign w:val="center"/>
          </w:tcPr>
          <w:p w14:paraId="53DDE425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11 552,76</w:t>
            </w:r>
          </w:p>
        </w:tc>
        <w:tc>
          <w:tcPr>
            <w:tcW w:w="1474" w:type="dxa"/>
            <w:vAlign w:val="center"/>
          </w:tcPr>
          <w:p w14:paraId="02864174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12 707,26</w:t>
            </w:r>
          </w:p>
        </w:tc>
        <w:tc>
          <w:tcPr>
            <w:tcW w:w="1666" w:type="dxa"/>
            <w:vMerge/>
            <w:vAlign w:val="center"/>
          </w:tcPr>
          <w:p w14:paraId="7389A2BB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</w:p>
        </w:tc>
      </w:tr>
      <w:tr w:rsidR="00326E27" w14:paraId="4A7BDC44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3D62D730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3E615DF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7CE1D6C9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66 734,80</w:t>
            </w:r>
          </w:p>
        </w:tc>
        <w:tc>
          <w:tcPr>
            <w:tcW w:w="1474" w:type="dxa"/>
            <w:vAlign w:val="center"/>
          </w:tcPr>
          <w:p w14:paraId="7EF9E7DC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67 270,09</w:t>
            </w:r>
          </w:p>
        </w:tc>
        <w:tc>
          <w:tcPr>
            <w:tcW w:w="1474" w:type="dxa"/>
            <w:vAlign w:val="center"/>
          </w:tcPr>
          <w:p w14:paraId="5440D31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68 321,08</w:t>
            </w:r>
          </w:p>
        </w:tc>
        <w:tc>
          <w:tcPr>
            <w:tcW w:w="1666" w:type="dxa"/>
            <w:vMerge/>
            <w:vAlign w:val="center"/>
          </w:tcPr>
          <w:p w14:paraId="55EEF00C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</w:p>
        </w:tc>
      </w:tr>
      <w:tr w:rsidR="00326E27" w14:paraId="34F48391" w14:textId="77777777" w:rsidTr="00041C4C">
        <w:trPr>
          <w:trHeight w:val="340"/>
        </w:trPr>
        <w:tc>
          <w:tcPr>
            <w:tcW w:w="880" w:type="dxa"/>
            <w:vMerge w:val="restart"/>
            <w:vAlign w:val="center"/>
          </w:tcPr>
          <w:p w14:paraId="0CBE09BA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2020</w:t>
            </w:r>
          </w:p>
        </w:tc>
        <w:tc>
          <w:tcPr>
            <w:tcW w:w="2097" w:type="dxa"/>
            <w:vAlign w:val="center"/>
          </w:tcPr>
          <w:p w14:paraId="7187E30F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Běžné výdaje</w:t>
            </w:r>
          </w:p>
        </w:tc>
        <w:tc>
          <w:tcPr>
            <w:tcW w:w="1474" w:type="dxa"/>
            <w:vAlign w:val="center"/>
          </w:tcPr>
          <w:p w14:paraId="051EA306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57 983,99</w:t>
            </w:r>
          </w:p>
        </w:tc>
        <w:tc>
          <w:tcPr>
            <w:tcW w:w="1474" w:type="dxa"/>
            <w:vAlign w:val="center"/>
          </w:tcPr>
          <w:p w14:paraId="0360D84D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58 563,69</w:t>
            </w:r>
          </w:p>
        </w:tc>
        <w:tc>
          <w:tcPr>
            <w:tcW w:w="1474" w:type="dxa"/>
            <w:vAlign w:val="center"/>
          </w:tcPr>
          <w:p w14:paraId="3556C183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58 353,41</w:t>
            </w:r>
          </w:p>
        </w:tc>
        <w:tc>
          <w:tcPr>
            <w:tcW w:w="1666" w:type="dxa"/>
            <w:vMerge w:val="restart"/>
            <w:vAlign w:val="center"/>
          </w:tcPr>
          <w:p w14:paraId="5C4A99A0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1,32 %</w:t>
            </w:r>
          </w:p>
        </w:tc>
      </w:tr>
      <w:tr w:rsidR="00326E27" w14:paraId="1C2AA227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23680F7E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A2728FE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Kapitálové výdaje</w:t>
            </w:r>
          </w:p>
        </w:tc>
        <w:tc>
          <w:tcPr>
            <w:tcW w:w="1474" w:type="dxa"/>
            <w:vAlign w:val="center"/>
          </w:tcPr>
          <w:p w14:paraId="7B5C786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14 616,37</w:t>
            </w:r>
          </w:p>
        </w:tc>
        <w:tc>
          <w:tcPr>
            <w:tcW w:w="1474" w:type="dxa"/>
            <w:vAlign w:val="center"/>
          </w:tcPr>
          <w:p w14:paraId="25840958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14 650,30</w:t>
            </w:r>
          </w:p>
        </w:tc>
        <w:tc>
          <w:tcPr>
            <w:tcW w:w="1474" w:type="dxa"/>
            <w:vAlign w:val="center"/>
          </w:tcPr>
          <w:p w14:paraId="55674D9C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15 957,18</w:t>
            </w:r>
          </w:p>
        </w:tc>
        <w:tc>
          <w:tcPr>
            <w:tcW w:w="1666" w:type="dxa"/>
            <w:vMerge/>
            <w:vAlign w:val="center"/>
          </w:tcPr>
          <w:p w14:paraId="77192EF0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20"/>
              </w:rPr>
            </w:pPr>
          </w:p>
        </w:tc>
      </w:tr>
      <w:tr w:rsidR="00326E27" w14:paraId="0AD7B04D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2A9B7A7A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9B658AA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53742A0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72 600,36</w:t>
            </w:r>
          </w:p>
        </w:tc>
        <w:tc>
          <w:tcPr>
            <w:tcW w:w="1474" w:type="dxa"/>
            <w:vAlign w:val="center"/>
          </w:tcPr>
          <w:p w14:paraId="2A7D3832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73 213,99</w:t>
            </w:r>
          </w:p>
        </w:tc>
        <w:tc>
          <w:tcPr>
            <w:tcW w:w="1474" w:type="dxa"/>
            <w:vAlign w:val="center"/>
          </w:tcPr>
          <w:p w14:paraId="20E18DFD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74 310,59</w:t>
            </w:r>
          </w:p>
        </w:tc>
        <w:tc>
          <w:tcPr>
            <w:tcW w:w="1666" w:type="dxa"/>
            <w:vMerge/>
            <w:vAlign w:val="center"/>
          </w:tcPr>
          <w:p w14:paraId="0810E2C1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</w:p>
        </w:tc>
      </w:tr>
      <w:tr w:rsidR="00326E27" w14:paraId="6ED03D53" w14:textId="77777777" w:rsidTr="00041C4C">
        <w:trPr>
          <w:trHeight w:val="340"/>
        </w:trPr>
        <w:tc>
          <w:tcPr>
            <w:tcW w:w="880" w:type="dxa"/>
            <w:vMerge w:val="restart"/>
            <w:vAlign w:val="center"/>
          </w:tcPr>
          <w:p w14:paraId="0F933791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2021</w:t>
            </w:r>
          </w:p>
        </w:tc>
        <w:tc>
          <w:tcPr>
            <w:tcW w:w="2097" w:type="dxa"/>
            <w:vAlign w:val="center"/>
          </w:tcPr>
          <w:p w14:paraId="1DC774FE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Běžné výdaje</w:t>
            </w:r>
          </w:p>
        </w:tc>
        <w:tc>
          <w:tcPr>
            <w:tcW w:w="1474" w:type="dxa"/>
            <w:vAlign w:val="center"/>
          </w:tcPr>
          <w:p w14:paraId="07DFFA69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52 824,37</w:t>
            </w:r>
          </w:p>
        </w:tc>
        <w:tc>
          <w:tcPr>
            <w:tcW w:w="1474" w:type="dxa"/>
            <w:vAlign w:val="center"/>
          </w:tcPr>
          <w:p w14:paraId="36964238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60 983,72</w:t>
            </w:r>
          </w:p>
        </w:tc>
        <w:tc>
          <w:tcPr>
            <w:tcW w:w="1474" w:type="dxa"/>
            <w:vAlign w:val="center"/>
          </w:tcPr>
          <w:p w14:paraId="3D774166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i/>
                <w:sz w:val="18"/>
                <w:szCs w:val="18"/>
              </w:rPr>
              <w:t>60 264,01</w:t>
            </w:r>
          </w:p>
        </w:tc>
        <w:tc>
          <w:tcPr>
            <w:tcW w:w="1666" w:type="dxa"/>
            <w:vMerge w:val="restart"/>
            <w:vAlign w:val="center"/>
          </w:tcPr>
          <w:p w14:paraId="2314C4D7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1,39 %</w:t>
            </w:r>
          </w:p>
        </w:tc>
      </w:tr>
      <w:tr w:rsidR="00326E27" w14:paraId="088FCD6B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45CD9575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AEB9087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Kapitálové výdaje</w:t>
            </w:r>
          </w:p>
        </w:tc>
        <w:tc>
          <w:tcPr>
            <w:tcW w:w="1474" w:type="dxa"/>
            <w:vAlign w:val="center"/>
          </w:tcPr>
          <w:p w14:paraId="3A1481E1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22 535,53</w:t>
            </w:r>
          </w:p>
        </w:tc>
        <w:tc>
          <w:tcPr>
            <w:tcW w:w="1474" w:type="dxa"/>
            <w:vAlign w:val="center"/>
          </w:tcPr>
          <w:p w14:paraId="3FC771E0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24 914,99</w:t>
            </w:r>
          </w:p>
        </w:tc>
        <w:tc>
          <w:tcPr>
            <w:tcW w:w="1474" w:type="dxa"/>
            <w:vAlign w:val="center"/>
          </w:tcPr>
          <w:p w14:paraId="61686FBF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i/>
                <w:sz w:val="18"/>
                <w:szCs w:val="18"/>
              </w:rPr>
              <w:t>24 680,45</w:t>
            </w:r>
          </w:p>
        </w:tc>
        <w:tc>
          <w:tcPr>
            <w:tcW w:w="1666" w:type="dxa"/>
            <w:vMerge/>
            <w:vAlign w:val="center"/>
          </w:tcPr>
          <w:p w14:paraId="7E93D643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6E27" w14:paraId="04196DD0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0FC825C4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0C5D83E8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7A9A1B7E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75 359,90</w:t>
            </w:r>
          </w:p>
        </w:tc>
        <w:tc>
          <w:tcPr>
            <w:tcW w:w="1474" w:type="dxa"/>
            <w:vAlign w:val="center"/>
          </w:tcPr>
          <w:p w14:paraId="051DA42B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20"/>
              </w:rPr>
              <w:t>85 898,71</w:t>
            </w:r>
          </w:p>
        </w:tc>
        <w:tc>
          <w:tcPr>
            <w:tcW w:w="1474" w:type="dxa"/>
            <w:vAlign w:val="center"/>
          </w:tcPr>
          <w:p w14:paraId="5D2FAE9B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A308F">
              <w:rPr>
                <w:rFonts w:cstheme="minorHAnsi"/>
                <w:b/>
                <w:color w:val="000000"/>
                <w:sz w:val="18"/>
                <w:szCs w:val="18"/>
              </w:rPr>
              <w:t>84 944,46</w:t>
            </w:r>
          </w:p>
        </w:tc>
        <w:tc>
          <w:tcPr>
            <w:tcW w:w="1666" w:type="dxa"/>
            <w:vMerge/>
            <w:vAlign w:val="center"/>
          </w:tcPr>
          <w:p w14:paraId="094A57DD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326E27" w14:paraId="3FF1BB53" w14:textId="77777777" w:rsidTr="00041C4C">
        <w:trPr>
          <w:trHeight w:val="340"/>
        </w:trPr>
        <w:tc>
          <w:tcPr>
            <w:tcW w:w="880" w:type="dxa"/>
            <w:vMerge w:val="restart"/>
            <w:vAlign w:val="center"/>
          </w:tcPr>
          <w:p w14:paraId="5E9684B3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2022</w:t>
            </w:r>
          </w:p>
        </w:tc>
        <w:tc>
          <w:tcPr>
            <w:tcW w:w="2097" w:type="dxa"/>
            <w:vAlign w:val="center"/>
          </w:tcPr>
          <w:p w14:paraId="4F6DB373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Běžné výdaje</w:t>
            </w:r>
          </w:p>
        </w:tc>
        <w:tc>
          <w:tcPr>
            <w:tcW w:w="1474" w:type="dxa"/>
            <w:vAlign w:val="center"/>
          </w:tcPr>
          <w:p w14:paraId="3E8A163F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65 109,70</w:t>
            </w:r>
          </w:p>
        </w:tc>
        <w:tc>
          <w:tcPr>
            <w:tcW w:w="1474" w:type="dxa"/>
            <w:vAlign w:val="center"/>
          </w:tcPr>
          <w:p w14:paraId="52845610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65 948,82</w:t>
            </w:r>
          </w:p>
        </w:tc>
        <w:tc>
          <w:tcPr>
            <w:tcW w:w="1474" w:type="dxa"/>
            <w:vAlign w:val="center"/>
          </w:tcPr>
          <w:p w14:paraId="39E68239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i/>
                <w:sz w:val="18"/>
                <w:szCs w:val="18"/>
              </w:rPr>
              <w:t>66 179,05</w:t>
            </w:r>
          </w:p>
        </w:tc>
        <w:tc>
          <w:tcPr>
            <w:tcW w:w="1666" w:type="dxa"/>
            <w:vMerge w:val="restart"/>
            <w:vAlign w:val="center"/>
          </w:tcPr>
          <w:p w14:paraId="5B1E9973" w14:textId="77777777" w:rsidR="00C12707" w:rsidRPr="002A308F" w:rsidRDefault="00D457AE" w:rsidP="009935A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1,35 %</w:t>
            </w:r>
          </w:p>
        </w:tc>
      </w:tr>
      <w:tr w:rsidR="00326E27" w14:paraId="2C119038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37AC443B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6C2668B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Kapitálové výdaje</w:t>
            </w:r>
          </w:p>
        </w:tc>
        <w:tc>
          <w:tcPr>
            <w:tcW w:w="1474" w:type="dxa"/>
            <w:vAlign w:val="center"/>
          </w:tcPr>
          <w:p w14:paraId="4AE4DDE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24 035,24</w:t>
            </w:r>
          </w:p>
        </w:tc>
        <w:tc>
          <w:tcPr>
            <w:tcW w:w="1474" w:type="dxa"/>
            <w:vAlign w:val="center"/>
          </w:tcPr>
          <w:p w14:paraId="4921C6FA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20"/>
              </w:rPr>
            </w:pPr>
            <w:r w:rsidRPr="002A308F">
              <w:rPr>
                <w:rFonts w:cstheme="minorHAnsi"/>
                <w:i/>
                <w:sz w:val="18"/>
                <w:szCs w:val="20"/>
              </w:rPr>
              <w:t>24 728,11</w:t>
            </w:r>
          </w:p>
        </w:tc>
        <w:tc>
          <w:tcPr>
            <w:tcW w:w="1474" w:type="dxa"/>
            <w:vAlign w:val="center"/>
          </w:tcPr>
          <w:p w14:paraId="2FDB396A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2A308F">
              <w:rPr>
                <w:rFonts w:cstheme="minorHAnsi"/>
                <w:i/>
                <w:sz w:val="18"/>
                <w:szCs w:val="18"/>
              </w:rPr>
              <w:t>24 627,70</w:t>
            </w:r>
          </w:p>
        </w:tc>
        <w:tc>
          <w:tcPr>
            <w:tcW w:w="1666" w:type="dxa"/>
            <w:vMerge/>
            <w:vAlign w:val="center"/>
          </w:tcPr>
          <w:p w14:paraId="0836741F" w14:textId="77777777" w:rsidR="00C12707" w:rsidRPr="002A308F" w:rsidRDefault="00C12707" w:rsidP="009935A4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6E27" w14:paraId="3C495BEB" w14:textId="77777777" w:rsidTr="00041C4C">
        <w:trPr>
          <w:trHeight w:val="340"/>
        </w:trPr>
        <w:tc>
          <w:tcPr>
            <w:tcW w:w="880" w:type="dxa"/>
            <w:vMerge/>
            <w:vAlign w:val="center"/>
          </w:tcPr>
          <w:p w14:paraId="38D68EB5" w14:textId="77777777" w:rsidR="00C12707" w:rsidRPr="002A308F" w:rsidRDefault="00C12707" w:rsidP="009935A4">
            <w:pPr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A2D91D8" w14:textId="77777777" w:rsidR="00C12707" w:rsidRPr="002A308F" w:rsidRDefault="00D457AE" w:rsidP="00041C4C">
            <w:pPr>
              <w:spacing w:after="0"/>
              <w:jc w:val="left"/>
              <w:rPr>
                <w:rFonts w:cstheme="minorHAnsi"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6140C802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89 144,94</w:t>
            </w:r>
          </w:p>
        </w:tc>
        <w:tc>
          <w:tcPr>
            <w:tcW w:w="1474" w:type="dxa"/>
            <w:vAlign w:val="center"/>
          </w:tcPr>
          <w:p w14:paraId="0D45EBF1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2A308F">
              <w:rPr>
                <w:rFonts w:cstheme="minorHAnsi"/>
                <w:b/>
                <w:sz w:val="18"/>
                <w:szCs w:val="20"/>
              </w:rPr>
              <w:t>90 676,93</w:t>
            </w:r>
          </w:p>
        </w:tc>
        <w:tc>
          <w:tcPr>
            <w:tcW w:w="1474" w:type="dxa"/>
            <w:vAlign w:val="center"/>
          </w:tcPr>
          <w:p w14:paraId="4E792FA7" w14:textId="77777777" w:rsidR="00C12707" w:rsidRPr="002A308F" w:rsidRDefault="00D457AE" w:rsidP="009935A4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A308F">
              <w:rPr>
                <w:rFonts w:cstheme="minorHAnsi"/>
                <w:b/>
                <w:sz w:val="18"/>
                <w:szCs w:val="18"/>
              </w:rPr>
              <w:t>90 806,75</w:t>
            </w:r>
          </w:p>
        </w:tc>
        <w:tc>
          <w:tcPr>
            <w:tcW w:w="1666" w:type="dxa"/>
            <w:vMerge/>
            <w:vAlign w:val="center"/>
          </w:tcPr>
          <w:p w14:paraId="1A25EEDD" w14:textId="77777777" w:rsidR="00C12707" w:rsidRPr="002A308F" w:rsidRDefault="00C12707" w:rsidP="009935A4">
            <w:pPr>
              <w:spacing w:after="0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14:paraId="655812B9" w14:textId="00C13F40" w:rsidR="00C12707" w:rsidRPr="00041C4C" w:rsidRDefault="00D457AE" w:rsidP="009935A4">
      <w:pPr>
        <w:pStyle w:val="Nzevtabulka"/>
        <w:numPr>
          <w:ilvl w:val="0"/>
          <w:numId w:val="0"/>
        </w:numPr>
        <w:ind w:left="1247" w:hanging="1247"/>
        <w:rPr>
          <w:sz w:val="22"/>
        </w:rPr>
      </w:pPr>
      <w:r w:rsidRPr="00041C4C">
        <w:rPr>
          <w:b/>
          <w:sz w:val="20"/>
        </w:rPr>
        <w:t>Zdroj:</w:t>
      </w:r>
      <w:r w:rsidRPr="00041C4C">
        <w:rPr>
          <w:sz w:val="20"/>
        </w:rPr>
        <w:t xml:space="preserve"> </w:t>
      </w:r>
      <w:r w:rsidR="00750D24">
        <w:rPr>
          <w:sz w:val="20"/>
        </w:rPr>
        <w:t>z</w:t>
      </w:r>
      <w:r w:rsidRPr="00041C4C">
        <w:rPr>
          <w:sz w:val="20"/>
        </w:rPr>
        <w:t>ávěrečné účty MO, informační</w:t>
      </w:r>
      <w:r w:rsidR="00750D24">
        <w:rPr>
          <w:sz w:val="20"/>
        </w:rPr>
        <w:t xml:space="preserve"> portál MONITOR</w:t>
      </w:r>
      <w:r w:rsidR="00003BAC" w:rsidRPr="00041C4C">
        <w:rPr>
          <w:sz w:val="20"/>
        </w:rPr>
        <w:t>.</w:t>
      </w:r>
    </w:p>
    <w:p w14:paraId="7ED32090" w14:textId="77777777" w:rsidR="009935A4" w:rsidRPr="009935A4" w:rsidRDefault="009935A4" w:rsidP="009935A4"/>
    <w:p w14:paraId="3FDA0511" w14:textId="77777777" w:rsidR="009935A4" w:rsidRDefault="009935A4">
      <w:pPr>
        <w:spacing w:after="0"/>
        <w:jc w:val="left"/>
        <w:rPr>
          <w:sz w:val="20"/>
          <w:szCs w:val="20"/>
        </w:rPr>
      </w:pPr>
    </w:p>
    <w:p w14:paraId="2A012868" w14:textId="77777777" w:rsidR="00ED49F2" w:rsidRDefault="00D457A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77DF59" w14:textId="77777777" w:rsidR="009935A4" w:rsidRPr="009935A4" w:rsidRDefault="00D457AE" w:rsidP="009935A4">
      <w:pPr>
        <w:pStyle w:val="Nadpis1"/>
        <w:jc w:val="right"/>
        <w:rPr>
          <w:szCs w:val="24"/>
        </w:rPr>
      </w:pPr>
      <w:r w:rsidRPr="009935A4">
        <w:rPr>
          <w:szCs w:val="24"/>
        </w:rPr>
        <w:t>Příloha č. 2</w:t>
      </w:r>
    </w:p>
    <w:p w14:paraId="56C00A56" w14:textId="77777777" w:rsidR="00ED49F2" w:rsidRPr="009935A4" w:rsidRDefault="00ED49F2">
      <w:pPr>
        <w:spacing w:after="0"/>
        <w:jc w:val="left"/>
      </w:pPr>
    </w:p>
    <w:p w14:paraId="67B5DCF3" w14:textId="074135D0" w:rsidR="000F333C" w:rsidRPr="00041C4C" w:rsidRDefault="00D457AE" w:rsidP="00041C4C">
      <w:pPr>
        <w:pStyle w:val="Nzevtabulka"/>
        <w:numPr>
          <w:ilvl w:val="0"/>
          <w:numId w:val="0"/>
        </w:numPr>
        <w:tabs>
          <w:tab w:val="right" w:pos="9214"/>
        </w:tabs>
        <w:ind w:left="-142" w:right="-142"/>
        <w:jc w:val="left"/>
        <w:rPr>
          <w:b/>
        </w:rPr>
      </w:pPr>
      <w:r w:rsidRPr="009935A4">
        <w:rPr>
          <w:b/>
        </w:rPr>
        <w:t xml:space="preserve">Kontrolované akce a </w:t>
      </w:r>
      <w:r w:rsidR="00B519F5">
        <w:rPr>
          <w:b/>
        </w:rPr>
        <w:t>projekty obranného výzkumu, experimentálního vývoje a inovací v oblasti radiační, chemické a biologické ochrany</w:t>
      </w:r>
      <w:r w:rsidR="009B5E7C">
        <w:tab/>
      </w:r>
      <w:r w:rsidR="009C29EE" w:rsidRPr="00041C4C">
        <w:rPr>
          <w:b/>
        </w:rPr>
        <w:t>(v Kč)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134"/>
        <w:gridCol w:w="1559"/>
      </w:tblGrid>
      <w:tr w:rsidR="00326E27" w14:paraId="689EDB5A" w14:textId="77777777" w:rsidTr="005B133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6EA4984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C4C41">
              <w:rPr>
                <w:rFonts w:cstheme="minorHAnsi"/>
                <w:b/>
                <w:color w:val="000000"/>
                <w:sz w:val="18"/>
                <w:szCs w:val="18"/>
              </w:rPr>
              <w:t>Číslo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akce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51334BB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CDAB35C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Realizace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D1FD0ED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Kontrolovaný objem výdajů </w:t>
            </w:r>
          </w:p>
        </w:tc>
      </w:tr>
      <w:tr w:rsidR="00326E27" w14:paraId="3220F96E" w14:textId="77777777" w:rsidTr="005B1331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201EF" w14:textId="77777777" w:rsidR="009C29EE" w:rsidRPr="009C29EE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C29EE">
              <w:rPr>
                <w:rFonts w:cstheme="minorHAnsi"/>
                <w:b/>
                <w:color w:val="000000"/>
                <w:sz w:val="18"/>
                <w:szCs w:val="18"/>
              </w:rPr>
              <w:t>Program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9C29EE">
              <w:rPr>
                <w:rFonts w:cstheme="minorHAnsi"/>
                <w:b/>
                <w:color w:val="000000"/>
                <w:sz w:val="18"/>
                <w:szCs w:val="18"/>
              </w:rPr>
              <w:t>107V</w:t>
            </w:r>
            <w:r w:rsidR="008A55EF">
              <w:rPr>
                <w:rFonts w:cstheme="minorHAnsi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326E27" w14:paraId="2B373D3D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F01" w14:textId="77777777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406D84">
              <w:rPr>
                <w:rFonts w:cstheme="minorHAnsi"/>
                <w:color w:val="000000"/>
                <w:sz w:val="18"/>
                <w:szCs w:val="18"/>
              </w:rPr>
              <w:t>107V682001607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7C20" w14:textId="77777777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406D84">
              <w:rPr>
                <w:rFonts w:cstheme="minorHAnsi"/>
                <w:color w:val="000000"/>
                <w:sz w:val="18"/>
                <w:szCs w:val="18"/>
              </w:rPr>
              <w:t>Přístroje pro analýzu a detekci –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AB64" w14:textId="77777777" w:rsidR="005D46E3" w:rsidRPr="00CF25E5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25E5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E61" w14:textId="77777777" w:rsidR="005D46E3" w:rsidRPr="004366B7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635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132,00</w:t>
            </w:r>
          </w:p>
        </w:tc>
      </w:tr>
      <w:tr w:rsidR="00326E27" w14:paraId="0B6AAD64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2A60" w14:textId="77777777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107V682001708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6D9" w14:textId="6BBA2C23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406D84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rostředky a přístroje pro</w:t>
            </w:r>
            <w:r w:rsidRPr="00406D84">
              <w:rPr>
                <w:rFonts w:cstheme="minorHAnsi"/>
                <w:color w:val="000000"/>
                <w:sz w:val="18"/>
                <w:szCs w:val="18"/>
              </w:rPr>
              <w:t xml:space="preserve"> analýzu a detekci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2017</w:t>
            </w:r>
            <w:r w:rsidRPr="00406D8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406D84">
              <w:rPr>
                <w:rFonts w:cstheme="minorHAnsi"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C8F5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2344" w14:textId="77777777" w:rsidR="005D46E3" w:rsidRPr="004366B7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298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269,36</w:t>
            </w:r>
          </w:p>
        </w:tc>
      </w:tr>
      <w:tr w:rsidR="00326E27" w14:paraId="5EB455B8" w14:textId="77777777" w:rsidTr="005B1331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A9CF6" w14:textId="77777777" w:rsidR="008A55EF" w:rsidRPr="008A55EF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A55EF">
              <w:rPr>
                <w:rFonts w:cstheme="minorHAnsi"/>
                <w:b/>
                <w:color w:val="000000"/>
                <w:sz w:val="18"/>
                <w:szCs w:val="18"/>
              </w:rPr>
              <w:t>Program 107V08</w:t>
            </w:r>
          </w:p>
        </w:tc>
      </w:tr>
      <w:tr w:rsidR="00326E27" w14:paraId="7E55ADE9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5134" w14:textId="77777777" w:rsidR="005D46E3" w:rsidRPr="00406D84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107V081001801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E2A" w14:textId="603C2C6B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Prostředky a přístroje pro analýzu a detekci 2018 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F24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318C" w14:textId="77777777" w:rsidR="005D46E3" w:rsidRPr="004366B7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978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480,00</w:t>
            </w:r>
          </w:p>
        </w:tc>
      </w:tr>
      <w:tr w:rsidR="00326E27" w14:paraId="2C7505C0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AC9F" w14:textId="77777777" w:rsidR="005D46E3" w:rsidRPr="00406D84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107V081001832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5AC" w14:textId="77777777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Přístroje a prostředky pro analýzu a detekci 2018 –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2D04" w14:textId="7F80E41A" w:rsidR="005D46E3" w:rsidRPr="008C4C41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2018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E1DF" w14:textId="77777777" w:rsidR="005D46E3" w:rsidRPr="004366B7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280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465,50</w:t>
            </w:r>
          </w:p>
        </w:tc>
      </w:tr>
      <w:tr w:rsidR="00326E27" w14:paraId="43FC5AF6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5325" w14:textId="77777777" w:rsidR="005D46E3" w:rsidRPr="00406D84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107V081001920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55B" w14:textId="77777777" w:rsidR="005D46E3" w:rsidRPr="00406D84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Přístroje a prostředky pro analýzu a detekci 2020 –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DF68" w14:textId="77777777" w:rsidR="005D46E3" w:rsidRPr="008C4C41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46DC" w14:textId="77777777" w:rsidR="005D46E3" w:rsidRPr="004366B7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328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719,68</w:t>
            </w:r>
          </w:p>
        </w:tc>
      </w:tr>
      <w:tr w:rsidR="00326E27" w14:paraId="1C82BE4F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5EB7" w14:textId="77777777" w:rsidR="005D46E3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107V081001821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7A08" w14:textId="77777777" w:rsidR="005D46E3" w:rsidRPr="007C7E11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7C7E11">
              <w:rPr>
                <w:rFonts w:cstheme="minorHAnsi"/>
                <w:color w:val="000000"/>
                <w:sz w:val="18"/>
                <w:szCs w:val="18"/>
              </w:rPr>
              <w:t xml:space="preserve">Upgrade SW CBRN </w:t>
            </w:r>
            <w:proofErr w:type="spellStart"/>
            <w:r w:rsidRPr="007C7E11">
              <w:rPr>
                <w:rFonts w:cstheme="minorHAnsi"/>
                <w:color w:val="000000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5FCB" w14:textId="0EBBB47B" w:rsidR="005D46E3" w:rsidRPr="007C7E11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C7E11">
              <w:rPr>
                <w:rFonts w:cstheme="minorHAnsi"/>
                <w:color w:val="000000"/>
                <w:sz w:val="18"/>
                <w:szCs w:val="18"/>
              </w:rPr>
              <w:t>2017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7C7E11">
              <w:rPr>
                <w:rFonts w:cstheme="minorHAns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540" w14:textId="77777777" w:rsidR="005D46E3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080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591,00</w:t>
            </w:r>
          </w:p>
        </w:tc>
      </w:tr>
      <w:tr w:rsidR="00326E27" w14:paraId="4DEE5912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02B" w14:textId="77777777" w:rsidR="005D46E3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107V081002189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8CC" w14:textId="5207900D" w:rsidR="005D46E3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Provětrávaný protichemický izolační oděv OPCH-05 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884" w14:textId="072E1380" w:rsidR="005D46E3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2021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FB10" w14:textId="77777777" w:rsidR="005D46E3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26E27" w14:paraId="45D1C4A1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396" w14:textId="77777777" w:rsidR="005D46E3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107V081001909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987C" w14:textId="77777777" w:rsidR="005D46E3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Lehké obrněné vozidlo CBRN – nákup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276" w14:textId="0DAEC1A3" w:rsidR="005D46E3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2018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8BC5" w14:textId="77777777" w:rsidR="005D46E3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110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918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346,60</w:t>
            </w:r>
          </w:p>
        </w:tc>
      </w:tr>
      <w:tr w:rsidR="00326E27" w14:paraId="69415378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39F2" w14:textId="77777777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107V082002307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A24" w14:textId="77777777" w:rsidR="009C29EE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Liberec – garáže pro KOV a S-LOV-CBRN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0DE1" w14:textId="04473D2C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2022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2AB" w14:textId="77777777" w:rsidR="009C29EE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971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090,00</w:t>
            </w:r>
          </w:p>
        </w:tc>
      </w:tr>
      <w:tr w:rsidR="00326E27" w14:paraId="56B92663" w14:textId="77777777" w:rsidTr="005B1331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C0B46" w14:textId="77777777" w:rsidR="009C29EE" w:rsidRPr="009C29EE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C29EE">
              <w:rPr>
                <w:rFonts w:cstheme="minorHAnsi"/>
                <w:b/>
                <w:color w:val="000000"/>
                <w:sz w:val="18"/>
                <w:szCs w:val="18"/>
              </w:rPr>
              <w:t>Program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9C29EE">
              <w:rPr>
                <w:rFonts w:cstheme="minorHAnsi"/>
                <w:b/>
                <w:color w:val="000000"/>
                <w:sz w:val="18"/>
                <w:szCs w:val="18"/>
              </w:rPr>
              <w:t>107V490</w:t>
            </w:r>
          </w:p>
        </w:tc>
      </w:tr>
      <w:tr w:rsidR="00326E27" w14:paraId="32F07DAB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9961" w14:textId="77777777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107V491001908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9EB" w14:textId="77777777" w:rsidR="009C29EE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Modernizace nástaveb BIOROVER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A161" w14:textId="77777777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EB3E" w14:textId="77777777" w:rsidR="009C29EE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079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540,00</w:t>
            </w:r>
          </w:p>
        </w:tc>
      </w:tr>
      <w:tr w:rsidR="00326E27" w14:paraId="0E580137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49" w14:textId="77777777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107V492001702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A33" w14:textId="77777777" w:rsidR="009C29EE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Výstavba temperovaných garáží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A501" w14:textId="3C0261E1" w:rsidR="009C29EE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2017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0894" w14:textId="77777777" w:rsidR="009C29EE" w:rsidRPr="007B6E05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B6E05">
              <w:rPr>
                <w:rFonts w:cstheme="minorHAnsi"/>
                <w:color w:val="000000"/>
                <w:sz w:val="18"/>
                <w:szCs w:val="18"/>
              </w:rPr>
              <w:t>39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271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658,67</w:t>
            </w:r>
          </w:p>
        </w:tc>
      </w:tr>
      <w:tr w:rsidR="00326E27" w14:paraId="64F40683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6096" w14:textId="77777777" w:rsidR="008A55EF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107V492002103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0E2" w14:textId="77777777" w:rsidR="008A55EF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Výstavba objektu pro vědu a výzkum</w:t>
            </w:r>
            <w:r w:rsidR="005A4116"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148" w14:textId="77777777" w:rsidR="008A55EF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CF5" w14:textId="77777777" w:rsidR="008A55EF" w:rsidRPr="007B6E05" w:rsidRDefault="00D457AE" w:rsidP="009935A4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B6E05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973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960,50</w:t>
            </w:r>
          </w:p>
        </w:tc>
      </w:tr>
      <w:tr w:rsidR="00326E27" w14:paraId="31FB670D" w14:textId="77777777" w:rsidTr="005B1331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C2AF" w14:textId="77777777" w:rsidR="00CB4B06" w:rsidRPr="00CB4B06" w:rsidRDefault="00D457AE" w:rsidP="009935A4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Projekty obranného</w:t>
            </w:r>
            <w:r w:rsidR="003020AC">
              <w:rPr>
                <w:rFonts w:cstheme="minorHAnsi"/>
                <w:b/>
                <w:color w:val="000000"/>
                <w:sz w:val="18"/>
                <w:szCs w:val="18"/>
              </w:rPr>
              <w:t xml:space="preserve"> výzkumu,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experimentálního vývoj</w:t>
            </w:r>
            <w:r w:rsidR="00570D8F">
              <w:rPr>
                <w:rFonts w:cstheme="minorHAnsi"/>
                <w:b/>
                <w:color w:val="000000"/>
                <w:sz w:val="18"/>
                <w:szCs w:val="18"/>
              </w:rPr>
              <w:t>e</w:t>
            </w:r>
            <w:r w:rsidR="003020AC">
              <w:rPr>
                <w:rFonts w:cstheme="minorHAnsi"/>
                <w:b/>
                <w:color w:val="000000"/>
                <w:sz w:val="18"/>
                <w:szCs w:val="18"/>
              </w:rPr>
              <w:t xml:space="preserve"> a inovací</w:t>
            </w:r>
          </w:p>
        </w:tc>
      </w:tr>
      <w:tr w:rsidR="00326E27" w14:paraId="54DE8F3A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F66" w14:textId="4271C49D" w:rsidR="00CB4B06" w:rsidRDefault="000B1183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1A95" w14:textId="77777777" w:rsidR="00CB4B06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DENPL-V – Náhrada přístroje pro vysoce citlivou detekci NPL GSA-12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A301" w14:textId="219086A4" w:rsidR="00CB4B06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2020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297D" w14:textId="77777777" w:rsidR="00CB4B06" w:rsidRPr="007B6E05" w:rsidRDefault="00D457AE" w:rsidP="00041C4C">
            <w:pPr>
              <w:spacing w:after="0"/>
              <w:ind w:right="227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B6E05">
              <w:rPr>
                <w:rFonts w:cstheme="minorHAnsi"/>
                <w:color w:val="000000"/>
                <w:sz w:val="18"/>
                <w:szCs w:val="18"/>
              </w:rPr>
              <w:t>17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250 000</w:t>
            </w:r>
          </w:p>
        </w:tc>
      </w:tr>
      <w:tr w:rsidR="00326E27" w14:paraId="46B9B9F3" w14:textId="77777777" w:rsidTr="005B133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96B5" w14:textId="4089FF9E" w:rsidR="00CB4B06" w:rsidRDefault="000B1183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A82" w14:textId="77777777" w:rsidR="00CB4B06" w:rsidRDefault="00D457AE" w:rsidP="009935A4">
            <w:pPr>
              <w:spacing w:after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LOV-V – Vzorkovací a transportní vozidla pro tým SIBCRA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57B4" w14:textId="09203987" w:rsidR="00CB4B06" w:rsidRDefault="00D457AE" w:rsidP="009935A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2022</w:t>
            </w:r>
            <w:r w:rsidR="000B1183" w:rsidRPr="00406D84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4C24" w14:textId="77777777" w:rsidR="00CB4B06" w:rsidRPr="007B6E05" w:rsidRDefault="00D457AE" w:rsidP="00041C4C">
            <w:pPr>
              <w:spacing w:after="0"/>
              <w:ind w:right="227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B6E05">
              <w:rPr>
                <w:rFonts w:cstheme="minorHAnsi"/>
                <w:color w:val="000000"/>
                <w:sz w:val="18"/>
                <w:szCs w:val="18"/>
              </w:rPr>
              <w:t>24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944</w:t>
            </w:r>
            <w:r w:rsidR="00FE60F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7B6E05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</w:tr>
      <w:tr w:rsidR="00326E27" w14:paraId="335D40F9" w14:textId="77777777" w:rsidTr="005B1331">
        <w:trPr>
          <w:trHeight w:val="28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E1F73F2" w14:textId="4B696B35" w:rsidR="008A55EF" w:rsidRPr="008A5C40" w:rsidRDefault="00D457AE" w:rsidP="009935A4">
            <w:pPr>
              <w:spacing w:after="0"/>
              <w:jc w:val="lef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Celk</w:t>
            </w:r>
            <w:r w:rsidR="00B519F5">
              <w:rPr>
                <w:rFonts w:cstheme="minorHAnsi"/>
                <w:b/>
                <w:color w:val="000000"/>
                <w:sz w:val="18"/>
                <w:szCs w:val="18"/>
              </w:rPr>
              <w:t>ový kontrolovaný objem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7AFEE7E" w14:textId="77777777" w:rsidR="008A55EF" w:rsidRPr="007B6E05" w:rsidRDefault="00D457AE" w:rsidP="009935A4">
            <w:pPr>
              <w:spacing w:after="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B6E05">
              <w:rPr>
                <w:rFonts w:cstheme="minorHAnsi"/>
                <w:b/>
                <w:color w:val="000000"/>
                <w:sz w:val="18"/>
                <w:szCs w:val="18"/>
              </w:rPr>
              <w:t>5 419 010 253,31</w:t>
            </w:r>
          </w:p>
        </w:tc>
      </w:tr>
    </w:tbl>
    <w:p w14:paraId="1B926B33" w14:textId="344B9D73" w:rsidR="000F333C" w:rsidRPr="00041C4C" w:rsidRDefault="00D457AE" w:rsidP="009935A4">
      <w:pPr>
        <w:shd w:val="clear" w:color="auto" w:fill="FFFFFF"/>
        <w:spacing w:after="0"/>
        <w:rPr>
          <w:rFonts w:cs="Calibri"/>
          <w:color w:val="000000"/>
          <w:sz w:val="20"/>
          <w:szCs w:val="20"/>
        </w:rPr>
      </w:pPr>
      <w:r w:rsidRPr="00041C4C">
        <w:rPr>
          <w:rFonts w:cs="Calibri"/>
          <w:b/>
          <w:color w:val="000000"/>
          <w:sz w:val="20"/>
          <w:szCs w:val="20"/>
        </w:rPr>
        <w:t>Zdroj:</w:t>
      </w:r>
      <w:r w:rsidRPr="00041C4C">
        <w:rPr>
          <w:rFonts w:cs="Calibri"/>
          <w:color w:val="000000"/>
          <w:sz w:val="20"/>
          <w:szCs w:val="20"/>
        </w:rPr>
        <w:t xml:space="preserve"> </w:t>
      </w:r>
      <w:r w:rsidR="00D531DE" w:rsidRPr="00750D24">
        <w:rPr>
          <w:rFonts w:cs="Calibri"/>
          <w:i/>
          <w:color w:val="000000"/>
          <w:sz w:val="20"/>
          <w:szCs w:val="20"/>
        </w:rPr>
        <w:t>Evidenční dotační systém</w:t>
      </w:r>
      <w:r w:rsidR="00D531DE" w:rsidRPr="00041C4C">
        <w:rPr>
          <w:rFonts w:cs="Calibri"/>
          <w:color w:val="000000"/>
          <w:sz w:val="20"/>
          <w:szCs w:val="20"/>
        </w:rPr>
        <w:t xml:space="preserve"> / </w:t>
      </w:r>
      <w:r w:rsidR="00D531DE" w:rsidRPr="00750D24">
        <w:rPr>
          <w:rFonts w:cs="Calibri"/>
          <w:i/>
          <w:color w:val="000000"/>
          <w:sz w:val="20"/>
          <w:szCs w:val="20"/>
        </w:rPr>
        <w:t xml:space="preserve">Správa </w:t>
      </w:r>
      <w:r w:rsidR="00750D24" w:rsidRPr="00041C4C">
        <w:rPr>
          <w:rFonts w:cs="Calibri"/>
          <w:i/>
          <w:color w:val="000000"/>
          <w:sz w:val="20"/>
          <w:szCs w:val="20"/>
        </w:rPr>
        <w:t xml:space="preserve">majetku </w:t>
      </w:r>
      <w:r w:rsidR="00D531DE" w:rsidRPr="00750D24">
        <w:rPr>
          <w:rFonts w:cs="Calibri"/>
          <w:i/>
          <w:color w:val="000000"/>
          <w:sz w:val="20"/>
          <w:szCs w:val="20"/>
        </w:rPr>
        <w:t>ve vlastnictví státu</w:t>
      </w:r>
      <w:r w:rsidR="00216E31" w:rsidRPr="00041C4C">
        <w:rPr>
          <w:rFonts w:cs="Calibri"/>
          <w:color w:val="000000"/>
          <w:sz w:val="20"/>
          <w:szCs w:val="20"/>
        </w:rPr>
        <w:t>.</w:t>
      </w:r>
      <w:r w:rsidR="008A55EF" w:rsidRPr="00041C4C">
        <w:rPr>
          <w:rFonts w:cs="Calibri"/>
          <w:color w:val="000000"/>
          <w:sz w:val="20"/>
          <w:szCs w:val="20"/>
        </w:rPr>
        <w:t xml:space="preserve"> </w:t>
      </w:r>
    </w:p>
    <w:p w14:paraId="5B2735BA" w14:textId="531B2C77" w:rsidR="008A55EF" w:rsidRPr="00041C4C" w:rsidRDefault="00D457AE" w:rsidP="00041C4C">
      <w:pPr>
        <w:shd w:val="clear" w:color="auto" w:fill="FFFFFF"/>
        <w:spacing w:after="0"/>
        <w:ind w:left="284" w:hanging="284"/>
        <w:jc w:val="left"/>
        <w:rPr>
          <w:rFonts w:cs="Calibri"/>
          <w:sz w:val="20"/>
          <w:szCs w:val="20"/>
        </w:rPr>
      </w:pPr>
      <w:r w:rsidRPr="00041C4C">
        <w:rPr>
          <w:rFonts w:cs="Calibri"/>
          <w:sz w:val="20"/>
          <w:szCs w:val="20"/>
        </w:rPr>
        <w:t xml:space="preserve">* </w:t>
      </w:r>
      <w:r w:rsidR="00750D24">
        <w:rPr>
          <w:rFonts w:cs="Calibri"/>
          <w:sz w:val="20"/>
          <w:szCs w:val="20"/>
        </w:rPr>
        <w:tab/>
      </w:r>
      <w:r w:rsidR="000B1183">
        <w:rPr>
          <w:rFonts w:cs="Calibri"/>
          <w:sz w:val="20"/>
          <w:szCs w:val="20"/>
        </w:rPr>
        <w:t>U této akce jsou v tabulce uvedeny v</w:t>
      </w:r>
      <w:r w:rsidRPr="00041C4C">
        <w:rPr>
          <w:rFonts w:cs="Calibri"/>
          <w:sz w:val="20"/>
          <w:szCs w:val="20"/>
        </w:rPr>
        <w:t>ýdaje ke dni</w:t>
      </w:r>
      <w:r w:rsidR="00211D34" w:rsidRPr="00041C4C">
        <w:rPr>
          <w:rFonts w:cs="Calibri"/>
          <w:sz w:val="20"/>
          <w:szCs w:val="20"/>
        </w:rPr>
        <w:t xml:space="preserve"> ukončení </w:t>
      </w:r>
      <w:r w:rsidR="00253593" w:rsidRPr="00041C4C">
        <w:rPr>
          <w:rFonts w:cs="Calibri"/>
          <w:sz w:val="20"/>
          <w:szCs w:val="20"/>
        </w:rPr>
        <w:t>kontroly NKÚ</w:t>
      </w:r>
      <w:r w:rsidR="000B1183">
        <w:rPr>
          <w:rFonts w:cs="Calibri"/>
          <w:sz w:val="20"/>
          <w:szCs w:val="20"/>
        </w:rPr>
        <w:t>;</w:t>
      </w:r>
      <w:r w:rsidRPr="00041C4C">
        <w:rPr>
          <w:rFonts w:cs="Calibri"/>
          <w:sz w:val="20"/>
          <w:szCs w:val="20"/>
        </w:rPr>
        <w:t xml:space="preserve"> výstavba objektu pro vědu a</w:t>
      </w:r>
      <w:r w:rsidR="000B1183">
        <w:rPr>
          <w:rFonts w:cs="Calibri"/>
          <w:sz w:val="20"/>
          <w:szCs w:val="20"/>
        </w:rPr>
        <w:t> </w:t>
      </w:r>
      <w:r w:rsidRPr="00041C4C">
        <w:rPr>
          <w:rFonts w:cs="Calibri"/>
          <w:sz w:val="20"/>
          <w:szCs w:val="20"/>
        </w:rPr>
        <w:t xml:space="preserve">výzkum nebyla ke dni ukončení kontroly </w:t>
      </w:r>
      <w:r w:rsidR="008F7A0A" w:rsidRPr="00041C4C">
        <w:rPr>
          <w:rFonts w:cs="Calibri"/>
          <w:sz w:val="20"/>
          <w:szCs w:val="20"/>
        </w:rPr>
        <w:t xml:space="preserve">NKÚ </w:t>
      </w:r>
      <w:r w:rsidRPr="00041C4C">
        <w:rPr>
          <w:rFonts w:cs="Calibri"/>
          <w:sz w:val="20"/>
          <w:szCs w:val="20"/>
        </w:rPr>
        <w:t>zahájena</w:t>
      </w:r>
      <w:r w:rsidR="00211D34" w:rsidRPr="00041C4C">
        <w:rPr>
          <w:rFonts w:cs="Calibri"/>
          <w:sz w:val="20"/>
          <w:szCs w:val="20"/>
        </w:rPr>
        <w:t xml:space="preserve">. </w:t>
      </w:r>
    </w:p>
    <w:p w14:paraId="0A45153D" w14:textId="77777777" w:rsidR="000F333C" w:rsidRDefault="000F333C" w:rsidP="009935A4">
      <w:pPr>
        <w:spacing w:after="0"/>
        <w:jc w:val="left"/>
      </w:pPr>
      <w:bookmarkStart w:id="37" w:name="_GoBack"/>
      <w:bookmarkEnd w:id="37"/>
    </w:p>
    <w:sectPr w:rsidR="000F333C" w:rsidSect="00A031AF">
      <w:footerReference w:type="default" r:id="rId16"/>
      <w:footerReference w:type="first" r:id="rId17"/>
      <w:pgSz w:w="11907" w:h="16839" w:code="9"/>
      <w:pgMar w:top="1417" w:right="1417" w:bottom="141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4A92" w14:textId="77777777" w:rsidR="006017F2" w:rsidRDefault="006017F2">
      <w:pPr>
        <w:spacing w:after="0"/>
      </w:pPr>
      <w:r>
        <w:separator/>
      </w:r>
    </w:p>
  </w:endnote>
  <w:endnote w:type="continuationSeparator" w:id="0">
    <w:p w14:paraId="3DB12403" w14:textId="77777777" w:rsidR="006017F2" w:rsidRDefault="00601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1784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A6B59B6" w14:textId="77777777" w:rsidR="006017F2" w:rsidRPr="00417867" w:rsidRDefault="006017F2" w:rsidP="00CF25E5">
        <w:pPr>
          <w:pStyle w:val="Zpat"/>
          <w:jc w:val="center"/>
          <w:rPr>
            <w:rFonts w:ascii="Calibri" w:hAnsi="Calibri" w:cs="Calibri"/>
          </w:rPr>
        </w:pPr>
        <w:r w:rsidRPr="00417867">
          <w:rPr>
            <w:rFonts w:ascii="Calibri" w:hAnsi="Calibri" w:cs="Calibri"/>
          </w:rPr>
          <w:fldChar w:fldCharType="begin"/>
        </w:r>
        <w:r w:rsidRPr="00417867">
          <w:rPr>
            <w:rFonts w:ascii="Calibri" w:hAnsi="Calibri" w:cs="Calibri"/>
          </w:rPr>
          <w:instrText>PAGE   \* MERGEFORMAT</w:instrText>
        </w:r>
        <w:r w:rsidRPr="00417867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24</w:t>
        </w:r>
        <w:r w:rsidRPr="00417867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E2A8" w14:textId="77777777" w:rsidR="006017F2" w:rsidRPr="00417867" w:rsidRDefault="006017F2" w:rsidP="00CF25E5">
    <w:pPr>
      <w:pStyle w:val="Zpat"/>
      <w:jc w:val="center"/>
      <w:rPr>
        <w:rFonts w:ascii="Calibri" w:hAnsi="Calibri" w:cs="Calibri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0AC4" w14:textId="77777777" w:rsidR="006017F2" w:rsidRDefault="006017F2" w:rsidP="00207729">
      <w:r>
        <w:separator/>
      </w:r>
    </w:p>
  </w:footnote>
  <w:footnote w:type="continuationSeparator" w:id="0">
    <w:p w14:paraId="5ABBFB3B" w14:textId="77777777" w:rsidR="006017F2" w:rsidRDefault="006017F2" w:rsidP="00207729">
      <w:r>
        <w:continuationSeparator/>
      </w:r>
    </w:p>
  </w:footnote>
  <w:footnote w:id="1">
    <w:p w14:paraId="3A5F7CC2" w14:textId="5D3BA4F9" w:rsidR="006017F2" w:rsidRPr="002F0539" w:rsidRDefault="006017F2" w:rsidP="009B5E7C">
      <w:pPr>
        <w:pStyle w:val="Textpoznpodarou"/>
        <w:ind w:left="284" w:hanging="284"/>
      </w:pPr>
      <w:r w:rsidRPr="002F0539">
        <w:rPr>
          <w:rStyle w:val="Znakapoznpodarou"/>
        </w:rPr>
        <w:footnoteRef/>
      </w:r>
      <w:r w:rsidRPr="002F0539">
        <w:t xml:space="preserve"> </w:t>
      </w:r>
      <w:r>
        <w:tab/>
      </w:r>
      <w:r w:rsidRPr="002F0539">
        <w:t xml:space="preserve">Program 107V08 – </w:t>
      </w:r>
      <w:r w:rsidRPr="002F0539">
        <w:rPr>
          <w:i/>
        </w:rPr>
        <w:t>Strategický program pozemních sil Armády České republiky</w:t>
      </w:r>
      <w:r w:rsidRPr="002F0539">
        <w:t>.</w:t>
      </w:r>
    </w:p>
  </w:footnote>
  <w:footnote w:id="2">
    <w:p w14:paraId="7C41F431" w14:textId="5434D8AB" w:rsidR="006017F2" w:rsidRDefault="006017F2" w:rsidP="00BC4F1D">
      <w:pPr>
        <w:autoSpaceDE w:val="0"/>
        <w:autoSpaceDN w:val="0"/>
        <w:adjustRightInd w:val="0"/>
        <w:spacing w:after="0"/>
        <w:ind w:left="284" w:hanging="284"/>
      </w:pPr>
      <w:r w:rsidRPr="00426147">
        <w:rPr>
          <w:rStyle w:val="Znakapoznpodarou"/>
          <w:sz w:val="20"/>
          <w:szCs w:val="20"/>
        </w:rPr>
        <w:footnoteRef/>
      </w:r>
      <w:r w:rsidRPr="004261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26147">
        <w:rPr>
          <w:rFonts w:ascii="Calibri" w:hAnsi="Calibri" w:cs="Calibri"/>
          <w:sz w:val="20"/>
          <w:szCs w:val="20"/>
        </w:rPr>
        <w:t>Statutární funkce CBO Těchonín vyplývají ze statutů Vojenského zdravotního ústavu,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147">
        <w:rPr>
          <w:rFonts w:ascii="Calibri" w:hAnsi="Calibri" w:cs="Calibri"/>
          <w:sz w:val="20"/>
          <w:szCs w:val="20"/>
        </w:rPr>
        <w:t>který je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147">
        <w:rPr>
          <w:rFonts w:ascii="Calibri" w:hAnsi="Calibri" w:cs="Calibri"/>
          <w:sz w:val="20"/>
          <w:szCs w:val="20"/>
        </w:rPr>
        <w:t>nadřízeným útvarem</w:t>
      </w:r>
      <w:r>
        <w:rPr>
          <w:rFonts w:ascii="Calibri" w:hAnsi="Calibri" w:cs="Calibri"/>
          <w:sz w:val="20"/>
          <w:szCs w:val="20"/>
        </w:rPr>
        <w:t xml:space="preserve"> tohoto zařízení</w:t>
      </w:r>
      <w:r w:rsidRPr="00426147">
        <w:rPr>
          <w:rFonts w:ascii="Calibri" w:hAnsi="Calibri" w:cs="Calibri"/>
          <w:sz w:val="20"/>
          <w:szCs w:val="20"/>
        </w:rPr>
        <w:t>.</w:t>
      </w:r>
    </w:p>
  </w:footnote>
  <w:footnote w:id="3">
    <w:p w14:paraId="0941F437" w14:textId="6F21809D" w:rsidR="006017F2" w:rsidRPr="003A4E4E" w:rsidRDefault="006017F2" w:rsidP="00BC4F1D">
      <w:pPr>
        <w:pStyle w:val="Textpoznpodarou"/>
        <w:ind w:left="284" w:hanging="284"/>
        <w:rPr>
          <w:rFonts w:cstheme="minorHAnsi"/>
        </w:rPr>
      </w:pPr>
      <w:r w:rsidRPr="003A4E4E">
        <w:rPr>
          <w:rStyle w:val="Znakapoznpodarou"/>
          <w:rFonts w:cstheme="minorHAnsi"/>
        </w:rPr>
        <w:footnoteRef/>
      </w:r>
      <w:r w:rsidRPr="003A4E4E">
        <w:rPr>
          <w:rFonts w:cstheme="minorHAnsi"/>
        </w:rPr>
        <w:t xml:space="preserve"> </w:t>
      </w:r>
      <w:r>
        <w:rPr>
          <w:rFonts w:cstheme="minorHAnsi"/>
        </w:rPr>
        <w:tab/>
        <w:t xml:space="preserve">Název </w:t>
      </w:r>
      <w:r w:rsidRPr="00CC6BF5">
        <w:rPr>
          <w:rFonts w:cstheme="minorHAnsi"/>
        </w:rPr>
        <w:t>Centrum biologické ochrany Těchonín</w:t>
      </w:r>
      <w:r w:rsidRPr="003A4E4E">
        <w:rPr>
          <w:rFonts w:cstheme="minorHAnsi"/>
        </w:rPr>
        <w:t xml:space="preserve"> </w:t>
      </w:r>
      <w:r>
        <w:rPr>
          <w:rFonts w:cstheme="minorHAnsi"/>
        </w:rPr>
        <w:t>zahrnuje</w:t>
      </w:r>
      <w:r w:rsidRPr="003A4E4E">
        <w:rPr>
          <w:rFonts w:cstheme="minorHAnsi"/>
        </w:rPr>
        <w:t xml:space="preserve"> celý areál, ve kterém se nachází komplex technických a</w:t>
      </w:r>
      <w:r>
        <w:rPr>
          <w:rFonts w:cstheme="minorHAnsi"/>
        </w:rPr>
        <w:t> </w:t>
      </w:r>
      <w:r w:rsidRPr="003A4E4E">
        <w:rPr>
          <w:rFonts w:cstheme="minorHAnsi"/>
        </w:rPr>
        <w:t>provozních budov, zdravotnických zařízení a dalších staveb sloužících k plnění úkolů AČR.</w:t>
      </w:r>
    </w:p>
  </w:footnote>
  <w:footnote w:id="4">
    <w:p w14:paraId="478DE3C7" w14:textId="6DDB3E3A" w:rsidR="006017F2" w:rsidRPr="003A4E4E" w:rsidRDefault="006017F2" w:rsidP="00BC4F1D">
      <w:pPr>
        <w:pStyle w:val="Textpoznpodarou"/>
        <w:ind w:left="284" w:hanging="284"/>
        <w:rPr>
          <w:rFonts w:cstheme="minorHAnsi"/>
        </w:rPr>
      </w:pPr>
      <w:r w:rsidRPr="003A4E4E">
        <w:rPr>
          <w:rStyle w:val="Znakapoznpodarou"/>
          <w:rFonts w:cstheme="minorHAnsi"/>
        </w:rPr>
        <w:footnoteRef/>
      </w:r>
      <w:r w:rsidRPr="003A4E4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A4E4E">
        <w:rPr>
          <w:rFonts w:cstheme="minorHAnsi"/>
        </w:rPr>
        <w:t>Kontrolní závěr z kontrolní akce č. 14/41</w:t>
      </w:r>
      <w:r>
        <w:rPr>
          <w:rFonts w:cstheme="minorHAnsi"/>
        </w:rPr>
        <w:t xml:space="preserve"> </w:t>
      </w:r>
      <w:r w:rsidRPr="00026683">
        <w:rPr>
          <w:rFonts w:cstheme="minorHAnsi"/>
        </w:rPr>
        <w:t>–</w:t>
      </w:r>
      <w:r w:rsidRPr="003A4E4E">
        <w:rPr>
          <w:rFonts w:cstheme="minorHAnsi"/>
        </w:rPr>
        <w:t xml:space="preserve"> </w:t>
      </w:r>
      <w:r w:rsidRPr="003A4E4E">
        <w:rPr>
          <w:rFonts w:cstheme="minorHAnsi"/>
          <w:i/>
        </w:rPr>
        <w:t>Peněžní prostředky vynakládané Ministerstvem obrany na zajištění úkolů biologické ochrany</w:t>
      </w:r>
      <w:r w:rsidRPr="003A4E4E">
        <w:rPr>
          <w:rFonts w:cstheme="minorHAnsi"/>
        </w:rPr>
        <w:t xml:space="preserve"> byl zveřejněn v částce 3/2015 </w:t>
      </w:r>
      <w:r w:rsidRPr="00BC4F1D">
        <w:rPr>
          <w:rFonts w:cstheme="minorHAnsi"/>
          <w:i/>
        </w:rPr>
        <w:t>Věstníku NKÚ</w:t>
      </w:r>
      <w:r w:rsidRPr="003A4E4E">
        <w:rPr>
          <w:rFonts w:cstheme="minorHAnsi"/>
        </w:rPr>
        <w:t>.</w:t>
      </w:r>
    </w:p>
  </w:footnote>
  <w:footnote w:id="5">
    <w:p w14:paraId="262C4458" w14:textId="72E16B96" w:rsidR="006017F2" w:rsidRPr="003A4E4E" w:rsidRDefault="006017F2" w:rsidP="00BC4F1D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</w:rPr>
      </w:pPr>
      <w:r w:rsidRPr="003A4E4E">
        <w:rPr>
          <w:rStyle w:val="Znakapoznpodarou"/>
          <w:rFonts w:cstheme="minorHAnsi"/>
          <w:sz w:val="20"/>
          <w:szCs w:val="20"/>
        </w:rPr>
        <w:footnoteRef/>
      </w:r>
      <w:r w:rsidRPr="003A4E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A4E4E">
        <w:rPr>
          <w:rFonts w:cstheme="minorHAnsi"/>
          <w:sz w:val="20"/>
          <w:szCs w:val="20"/>
        </w:rPr>
        <w:t xml:space="preserve">Dle dokumentace programu 107V08 měla být akce </w:t>
      </w:r>
      <w:r w:rsidRPr="003A4E4E">
        <w:rPr>
          <w:rFonts w:cstheme="minorHAnsi"/>
          <w:i/>
          <w:sz w:val="20"/>
          <w:szCs w:val="20"/>
        </w:rPr>
        <w:t xml:space="preserve">Souprava pro řízení </w:t>
      </w:r>
      <w:proofErr w:type="spellStart"/>
      <w:r w:rsidRPr="003A4E4E">
        <w:rPr>
          <w:rFonts w:cstheme="minorHAnsi"/>
          <w:i/>
          <w:sz w:val="20"/>
          <w:szCs w:val="20"/>
        </w:rPr>
        <w:t>RCHPz</w:t>
      </w:r>
      <w:proofErr w:type="spellEnd"/>
      <w:r w:rsidRPr="003A4E4E">
        <w:rPr>
          <w:rFonts w:cstheme="minorHAnsi"/>
          <w:i/>
          <w:sz w:val="20"/>
          <w:szCs w:val="20"/>
        </w:rPr>
        <w:t xml:space="preserve"> (VAP-1M) </w:t>
      </w:r>
      <w:r w:rsidRPr="003A4E4E">
        <w:rPr>
          <w:rFonts w:cstheme="minorHAnsi"/>
          <w:sz w:val="20"/>
          <w:szCs w:val="20"/>
        </w:rPr>
        <w:t>realizována v roce 2020 (původně v rámci programu 107V68 již v období 2016</w:t>
      </w:r>
      <w:r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 xml:space="preserve">2019), akce </w:t>
      </w:r>
      <w:r w:rsidRPr="003A4E4E">
        <w:rPr>
          <w:rFonts w:cstheme="minorHAnsi"/>
          <w:i/>
          <w:sz w:val="20"/>
          <w:szCs w:val="20"/>
        </w:rPr>
        <w:t xml:space="preserve">Modernizace informačního systému </w:t>
      </w:r>
      <w:r w:rsidRPr="003A4E4E">
        <w:rPr>
          <w:rFonts w:cstheme="minorHAnsi"/>
          <w:i/>
          <w:sz w:val="20"/>
          <w:szCs w:val="20"/>
        </w:rPr>
        <w:br/>
        <w:t>LR-130ch</w:t>
      </w:r>
      <w:r w:rsidRPr="003A4E4E">
        <w:rPr>
          <w:rFonts w:cstheme="minorHAnsi"/>
          <w:sz w:val="20"/>
          <w:szCs w:val="20"/>
        </w:rPr>
        <w:t xml:space="preserve"> a akce </w:t>
      </w:r>
      <w:r w:rsidRPr="003A4E4E">
        <w:rPr>
          <w:rFonts w:cstheme="minorHAnsi"/>
          <w:i/>
          <w:sz w:val="20"/>
          <w:szCs w:val="20"/>
        </w:rPr>
        <w:t>Pořízení vozidel pro SIBCRA týmy</w:t>
      </w:r>
      <w:r w:rsidRPr="003A4E4E">
        <w:rPr>
          <w:rFonts w:cstheme="minorHAnsi"/>
          <w:sz w:val="20"/>
          <w:szCs w:val="20"/>
        </w:rPr>
        <w:t xml:space="preserve"> v letech 2020</w:t>
      </w:r>
      <w:r>
        <w:rPr>
          <w:rFonts w:cstheme="minorHAnsi"/>
          <w:sz w:val="20"/>
          <w:szCs w:val="20"/>
        </w:rPr>
        <w:t xml:space="preserve"> a </w:t>
      </w:r>
      <w:r w:rsidRPr="003A4E4E">
        <w:rPr>
          <w:rFonts w:cstheme="minorHAnsi"/>
          <w:sz w:val="20"/>
          <w:szCs w:val="20"/>
        </w:rPr>
        <w:t xml:space="preserve">2021, akce </w:t>
      </w:r>
      <w:r w:rsidRPr="003A4E4E">
        <w:rPr>
          <w:rFonts w:cstheme="minorHAnsi"/>
          <w:i/>
          <w:sz w:val="20"/>
          <w:szCs w:val="20"/>
        </w:rPr>
        <w:t>Prostředek mobilní dekontaminace</w:t>
      </w:r>
      <w:r w:rsidRPr="003A4E4E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 xml:space="preserve">roce 2021, akce </w:t>
      </w:r>
      <w:r w:rsidRPr="003A4E4E">
        <w:rPr>
          <w:rFonts w:cstheme="minorHAnsi"/>
          <w:i/>
          <w:sz w:val="20"/>
          <w:szCs w:val="20"/>
        </w:rPr>
        <w:t>Malý dekontaminační automobil (MDA)</w:t>
      </w:r>
      <w:r w:rsidRPr="003A4E4E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>letech 2021</w:t>
      </w:r>
      <w:r w:rsidRPr="00026683"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 xml:space="preserve">2022 (původně </w:t>
      </w:r>
      <w:r>
        <w:rPr>
          <w:rFonts w:cstheme="minorHAnsi"/>
          <w:sz w:val="20"/>
          <w:szCs w:val="20"/>
        </w:rPr>
        <w:br/>
      </w:r>
      <w:r w:rsidRPr="003A4E4E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>rámci programu 107V68 již v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>období 2019</w:t>
      </w:r>
      <w:r w:rsidRPr="00026683"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 xml:space="preserve">2020), akce </w:t>
      </w:r>
      <w:r w:rsidRPr="003A4E4E">
        <w:rPr>
          <w:rFonts w:cstheme="minorHAnsi"/>
          <w:i/>
          <w:sz w:val="20"/>
          <w:szCs w:val="20"/>
        </w:rPr>
        <w:t xml:space="preserve">Automobil chemicky rozstřikovací (ACHR-90) </w:t>
      </w:r>
      <w:r w:rsidRPr="003A4E4E">
        <w:rPr>
          <w:rFonts w:cstheme="minorHAnsi"/>
          <w:sz w:val="20"/>
          <w:szCs w:val="20"/>
        </w:rPr>
        <w:t>v letech 2021</w:t>
      </w:r>
      <w:r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>2022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 xml:space="preserve">nebo akce </w:t>
      </w:r>
      <w:r w:rsidRPr="003A4E4E">
        <w:rPr>
          <w:rFonts w:cstheme="minorHAnsi"/>
          <w:i/>
          <w:sz w:val="20"/>
          <w:szCs w:val="20"/>
        </w:rPr>
        <w:t>Provětrávaný protichemický izolační oděv (OPCH-05)</w:t>
      </w:r>
      <w:r w:rsidRPr="003A4E4E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>letech 2021</w:t>
      </w:r>
      <w:r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>2023 (původně v rámci programu 107V68 již v období 2016</w:t>
      </w:r>
      <w:r>
        <w:rPr>
          <w:rFonts w:cstheme="minorHAnsi"/>
          <w:sz w:val="20"/>
          <w:szCs w:val="20"/>
        </w:rPr>
        <w:t>–</w:t>
      </w:r>
      <w:r w:rsidRPr="003A4E4E">
        <w:rPr>
          <w:rFonts w:cstheme="minorHAnsi"/>
          <w:sz w:val="20"/>
          <w:szCs w:val="20"/>
        </w:rPr>
        <w:t xml:space="preserve">2018). </w:t>
      </w:r>
    </w:p>
  </w:footnote>
  <w:footnote w:id="6">
    <w:p w14:paraId="2116AC4F" w14:textId="73C67400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České národní rady č. 2/1969 Sb., o zřízení ministerstev a jiných ústředních orgánů státní správy České republiky.</w:t>
      </w:r>
    </w:p>
  </w:footnote>
  <w:footnote w:id="7">
    <w:p w14:paraId="0B46A708" w14:textId="1F5D1837" w:rsidR="006017F2" w:rsidRPr="003A4E4E" w:rsidRDefault="006017F2" w:rsidP="00BC4F1D">
      <w:pPr>
        <w:spacing w:after="0"/>
        <w:ind w:left="284" w:hanging="284"/>
        <w:rPr>
          <w:rFonts w:cstheme="minorHAnsi"/>
          <w:sz w:val="20"/>
          <w:szCs w:val="20"/>
        </w:rPr>
      </w:pPr>
      <w:r w:rsidRPr="003A4E4E">
        <w:rPr>
          <w:rStyle w:val="Znakapoznpodarou"/>
          <w:rFonts w:cstheme="minorHAnsi"/>
          <w:sz w:val="20"/>
          <w:szCs w:val="20"/>
        </w:rPr>
        <w:footnoteRef/>
      </w:r>
      <w:r w:rsidRPr="003A4E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A4E4E">
        <w:rPr>
          <w:rFonts w:cstheme="minorHAnsi"/>
          <w:sz w:val="20"/>
          <w:szCs w:val="20"/>
        </w:rPr>
        <w:t>Usnesení vlády ČR ze dne 21. prosince 2015 č. 1094</w:t>
      </w:r>
      <w:r>
        <w:rPr>
          <w:rFonts w:cstheme="minorHAnsi"/>
          <w:sz w:val="20"/>
          <w:szCs w:val="20"/>
        </w:rPr>
        <w:t>,</w:t>
      </w:r>
      <w:r w:rsidRPr="003A4E4E"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i/>
          <w:sz w:val="20"/>
          <w:szCs w:val="20"/>
        </w:rPr>
        <w:t>o Koncepci výstavby Armády České republiky do roku 2025</w:t>
      </w:r>
      <w:r w:rsidRPr="003A4E4E">
        <w:rPr>
          <w:rFonts w:cstheme="minorHAnsi"/>
          <w:sz w:val="20"/>
          <w:szCs w:val="20"/>
        </w:rPr>
        <w:t xml:space="preserve">. </w:t>
      </w:r>
    </w:p>
  </w:footnote>
  <w:footnote w:id="8">
    <w:p w14:paraId="28F41DD0" w14:textId="2FB4B761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9">
    <w:p w14:paraId="5B7A0F00" w14:textId="42EBC62D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10">
    <w:p w14:paraId="59803E15" w14:textId="57C0D6FB" w:rsidR="006017F2" w:rsidRPr="006017F2" w:rsidRDefault="006017F2" w:rsidP="00BC4F1D">
      <w:pPr>
        <w:spacing w:after="0"/>
        <w:ind w:left="284" w:hanging="284"/>
        <w:rPr>
          <w:rFonts w:cstheme="minorHAnsi"/>
          <w:sz w:val="20"/>
          <w:szCs w:val="20"/>
        </w:rPr>
      </w:pPr>
      <w:r w:rsidRPr="003A4E4E">
        <w:rPr>
          <w:rStyle w:val="Znakapoznpodarou"/>
          <w:rFonts w:cstheme="minorHAnsi"/>
          <w:sz w:val="20"/>
          <w:szCs w:val="20"/>
        </w:rPr>
        <w:footnoteRef/>
      </w:r>
      <w:r w:rsidRPr="003A4E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A4E4E">
        <w:rPr>
          <w:rFonts w:cstheme="minorHAnsi"/>
          <w:sz w:val="20"/>
          <w:szCs w:val="20"/>
        </w:rPr>
        <w:t xml:space="preserve">Usnesení vlády ČR </w:t>
      </w:r>
      <w:bookmarkStart w:id="9" w:name="_Hlk151139505"/>
      <w:r w:rsidRPr="003A4E4E">
        <w:rPr>
          <w:rFonts w:cstheme="minorHAnsi"/>
          <w:sz w:val="20"/>
          <w:szCs w:val="20"/>
        </w:rPr>
        <w:t>ze dne 20. srpna 2015 č. 665</w:t>
      </w:r>
      <w:bookmarkEnd w:id="9"/>
      <w:r>
        <w:rPr>
          <w:rFonts w:cstheme="minorHAnsi"/>
          <w:sz w:val="20"/>
          <w:szCs w:val="20"/>
        </w:rPr>
        <w:t>,</w:t>
      </w:r>
      <w:r w:rsidRPr="003A4E4E">
        <w:rPr>
          <w:rFonts w:cstheme="minorHAnsi"/>
          <w:sz w:val="20"/>
          <w:szCs w:val="20"/>
        </w:rPr>
        <w:t xml:space="preserve"> </w:t>
      </w:r>
      <w:r w:rsidRPr="00CC43D4">
        <w:rPr>
          <w:rFonts w:cstheme="minorHAnsi"/>
          <w:i/>
          <w:sz w:val="20"/>
          <w:szCs w:val="20"/>
        </w:rPr>
        <w:t>k dalšímu využití Centra biologické ochrany Těchonín</w:t>
      </w:r>
      <w:r>
        <w:rPr>
          <w:rFonts w:cstheme="minorHAnsi"/>
          <w:sz w:val="20"/>
          <w:szCs w:val="20"/>
        </w:rPr>
        <w:t>,</w:t>
      </w:r>
      <w:r w:rsidRPr="003A4E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3A4E4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</w:t>
      </w:r>
      <w:r w:rsidRPr="003A4E4E">
        <w:rPr>
          <w:rFonts w:cstheme="minorHAnsi"/>
          <w:sz w:val="20"/>
          <w:szCs w:val="20"/>
        </w:rPr>
        <w:t>usnesení vlády ČR ze dne 7. dubna 2016 č. 299</w:t>
      </w:r>
      <w:r>
        <w:rPr>
          <w:rFonts w:cstheme="minorHAnsi"/>
          <w:sz w:val="20"/>
          <w:szCs w:val="20"/>
        </w:rPr>
        <w:t>,</w:t>
      </w:r>
      <w:r w:rsidRPr="003A4E4E">
        <w:rPr>
          <w:rFonts w:cstheme="minorHAnsi"/>
          <w:sz w:val="20"/>
          <w:szCs w:val="20"/>
        </w:rPr>
        <w:t xml:space="preserve"> </w:t>
      </w:r>
      <w:r w:rsidRPr="00CC43D4">
        <w:rPr>
          <w:rFonts w:cstheme="minorHAnsi"/>
          <w:i/>
          <w:sz w:val="20"/>
          <w:szCs w:val="20"/>
        </w:rPr>
        <w:t xml:space="preserve">ke Kontrolnímu závěru Nejvyššího kontrolního úřadu z kontrolní akce č. 14/41 Peněžní prostředky vynakládané Ministerstvem obrany na zajištění úkolů biologické ochrany. </w:t>
      </w:r>
    </w:p>
  </w:footnote>
  <w:footnote w:id="11">
    <w:p w14:paraId="07390782" w14:textId="2F28BB75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 pojmem biologický agens se rozumí mikroorganismus, a to bakterie, virus nebo houba, v přírodním nebo modifikovaném stavu, ve formě izolované živé kultury nebo substrátu obsahujícího živý materiál, který byl záměrně naočkován nebo nakažen touto kulturou.</w:t>
      </w:r>
    </w:p>
  </w:footnote>
  <w:footnote w:id="12">
    <w:p w14:paraId="3C16BAA2" w14:textId="48AC414F" w:rsidR="006017F2" w:rsidRP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bookmarkStart w:id="12" w:name="_Hlk148636258"/>
      <w:r>
        <w:tab/>
        <w:t xml:space="preserve">Náčelník Generálního štábu AČR schválil </w:t>
      </w:r>
      <w:r>
        <w:rPr>
          <w:i/>
        </w:rPr>
        <w:t>Koncepci výstavby pozemních sil (2017)</w:t>
      </w:r>
      <w:r>
        <w:t xml:space="preserve"> dne 20. března 2017. </w:t>
      </w:r>
      <w:bookmarkEnd w:id="12"/>
    </w:p>
  </w:footnote>
  <w:footnote w:id="13">
    <w:p w14:paraId="4F029E9C" w14:textId="609FA14D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E6201N – </w:t>
      </w:r>
      <w:r w:rsidRPr="00BC4F1D">
        <w:rPr>
          <w:i/>
        </w:rPr>
        <w:t>Základní a pokročilá ochrana před zbraněmi hromadného ničení</w:t>
      </w:r>
      <w:r>
        <w:t>.</w:t>
      </w:r>
    </w:p>
  </w:footnote>
  <w:footnote w:id="14">
    <w:p w14:paraId="6FFCE924" w14:textId="66FBFEDB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5269E">
        <w:rPr>
          <w:rFonts w:cstheme="minorHAnsi"/>
        </w:rPr>
        <w:t>Týmy SIBCRA (</w:t>
      </w:r>
      <w:proofErr w:type="spellStart"/>
      <w:r w:rsidRPr="009B5E7C">
        <w:rPr>
          <w:rFonts w:cstheme="minorHAnsi"/>
        </w:rPr>
        <w:t>Sampling</w:t>
      </w:r>
      <w:proofErr w:type="spellEnd"/>
      <w:r w:rsidRPr="009B5E7C">
        <w:rPr>
          <w:rFonts w:cstheme="minorHAnsi"/>
        </w:rPr>
        <w:t xml:space="preserve"> and </w:t>
      </w:r>
      <w:proofErr w:type="spellStart"/>
      <w:r w:rsidRPr="009B5E7C">
        <w:rPr>
          <w:rFonts w:cstheme="minorHAnsi"/>
        </w:rPr>
        <w:t>Identification</w:t>
      </w:r>
      <w:proofErr w:type="spellEnd"/>
      <w:r w:rsidRPr="009B5E7C">
        <w:rPr>
          <w:rFonts w:cstheme="minorHAnsi"/>
        </w:rPr>
        <w:t xml:space="preserve"> </w:t>
      </w:r>
      <w:proofErr w:type="spellStart"/>
      <w:r w:rsidRPr="009B5E7C">
        <w:rPr>
          <w:rFonts w:cstheme="minorHAnsi"/>
        </w:rPr>
        <w:t>of</w:t>
      </w:r>
      <w:proofErr w:type="spellEnd"/>
      <w:r w:rsidRPr="009B5E7C">
        <w:rPr>
          <w:rFonts w:cstheme="minorHAnsi"/>
        </w:rPr>
        <w:t xml:space="preserve"> </w:t>
      </w:r>
      <w:proofErr w:type="spellStart"/>
      <w:r w:rsidRPr="009B5E7C">
        <w:rPr>
          <w:rFonts w:cstheme="minorHAnsi"/>
        </w:rPr>
        <w:t>Biological</w:t>
      </w:r>
      <w:proofErr w:type="spellEnd"/>
      <w:r w:rsidRPr="009B5E7C">
        <w:rPr>
          <w:rFonts w:cstheme="minorHAnsi"/>
        </w:rPr>
        <w:t xml:space="preserve">, </w:t>
      </w:r>
      <w:proofErr w:type="spellStart"/>
      <w:r w:rsidRPr="009B5E7C">
        <w:rPr>
          <w:rFonts w:cstheme="minorHAnsi"/>
        </w:rPr>
        <w:t>Chemical</w:t>
      </w:r>
      <w:proofErr w:type="spellEnd"/>
      <w:r w:rsidRPr="009B5E7C">
        <w:rPr>
          <w:rFonts w:cstheme="minorHAnsi"/>
        </w:rPr>
        <w:t xml:space="preserve"> and </w:t>
      </w:r>
      <w:proofErr w:type="spellStart"/>
      <w:r w:rsidRPr="009B5E7C">
        <w:rPr>
          <w:rFonts w:cstheme="minorHAnsi"/>
        </w:rPr>
        <w:t>Radiological</w:t>
      </w:r>
      <w:proofErr w:type="spellEnd"/>
      <w:r w:rsidRPr="009B5E7C">
        <w:rPr>
          <w:rFonts w:cstheme="minorHAnsi"/>
        </w:rPr>
        <w:t xml:space="preserve"> </w:t>
      </w:r>
      <w:proofErr w:type="spellStart"/>
      <w:r w:rsidRPr="009B5E7C">
        <w:rPr>
          <w:rFonts w:cstheme="minorHAnsi"/>
        </w:rPr>
        <w:t>Agents</w:t>
      </w:r>
      <w:proofErr w:type="spellEnd"/>
      <w:r w:rsidRPr="009B5E7C">
        <w:rPr>
          <w:rFonts w:cstheme="minorHAnsi"/>
        </w:rPr>
        <w:t>)</w:t>
      </w:r>
      <w:r w:rsidRPr="00C5269E">
        <w:rPr>
          <w:rFonts w:cstheme="minorHAnsi"/>
        </w:rPr>
        <w:t xml:space="preserve"> jsou zvláště cvičeny a určeny k odběru vzorků a jsou součástí 31. </w:t>
      </w:r>
      <w:proofErr w:type="spellStart"/>
      <w:r w:rsidRPr="00C5269E">
        <w:rPr>
          <w:rFonts w:cstheme="minorHAnsi"/>
          <w:lang w:eastAsia="cs-CZ"/>
        </w:rPr>
        <w:t>prchbo</w:t>
      </w:r>
      <w:proofErr w:type="spellEnd"/>
      <w:r w:rsidRPr="00C5269E">
        <w:rPr>
          <w:rFonts w:cstheme="minorHAnsi"/>
        </w:rPr>
        <w:t>.</w:t>
      </w:r>
    </w:p>
  </w:footnote>
  <w:footnote w:id="15">
    <w:p w14:paraId="47646D89" w14:textId="6C6D095F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 obranného výzkumu, experimentálního vývoje a inovací AČR realizovaný v letech 2009–2013, jehož výsledkem byl prototyp vozidla </w:t>
      </w:r>
      <w:r w:rsidRPr="000328DE">
        <w:rPr>
          <w:i/>
        </w:rPr>
        <w:t xml:space="preserve">S-LOV CBRN (Rekognoskační systém </w:t>
      </w:r>
      <w:proofErr w:type="spellStart"/>
      <w:r w:rsidRPr="000328DE">
        <w:rPr>
          <w:i/>
        </w:rPr>
        <w:t>nukleární-biologický-chemický</w:t>
      </w:r>
      <w:proofErr w:type="spellEnd"/>
      <w:r w:rsidRPr="000328DE">
        <w:rPr>
          <w:i/>
        </w:rPr>
        <w:t>)</w:t>
      </w:r>
      <w:r>
        <w:rPr>
          <w:i/>
        </w:rPr>
        <w:t>.</w:t>
      </w:r>
    </w:p>
  </w:footnote>
  <w:footnote w:id="16">
    <w:p w14:paraId="72CAEBEB" w14:textId="2E0D7E58" w:rsidR="006017F2" w:rsidRPr="00A16BA8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107V68 </w:t>
      </w:r>
      <w:r w:rsidRPr="00BD1BC0">
        <w:t xml:space="preserve">– </w:t>
      </w:r>
      <w:r w:rsidRPr="00BD1BC0">
        <w:rPr>
          <w:i/>
        </w:rPr>
        <w:t>Udržení a</w:t>
      </w:r>
      <w:r>
        <w:rPr>
          <w:i/>
        </w:rPr>
        <w:t xml:space="preserve"> </w:t>
      </w:r>
      <w:r w:rsidRPr="00BD1BC0">
        <w:rPr>
          <w:i/>
        </w:rPr>
        <w:t>rozvoj schopností pozemních sil A</w:t>
      </w:r>
      <w:r>
        <w:rPr>
          <w:i/>
        </w:rPr>
        <w:t>rmády České republiky</w:t>
      </w:r>
      <w:r>
        <w:t>.</w:t>
      </w:r>
    </w:p>
  </w:footnote>
  <w:footnote w:id="17">
    <w:p w14:paraId="69301D3A" w14:textId="1CA9F5DD" w:rsidR="006017F2" w:rsidRPr="00EC280E" w:rsidRDefault="006017F2" w:rsidP="00BC4F1D">
      <w:pPr>
        <w:spacing w:after="0"/>
        <w:ind w:left="284" w:hanging="284"/>
        <w:rPr>
          <w:color w:val="000000" w:themeColor="text1"/>
          <w:sz w:val="20"/>
          <w:szCs w:val="20"/>
        </w:rPr>
      </w:pPr>
      <w:r w:rsidRPr="00EC280E">
        <w:rPr>
          <w:rStyle w:val="Znakapoznpodarou"/>
          <w:color w:val="000000" w:themeColor="text1"/>
          <w:sz w:val="20"/>
          <w:szCs w:val="20"/>
        </w:rPr>
        <w:footnoteRef/>
      </w:r>
      <w:r w:rsidRPr="00EC280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r w:rsidRPr="00EC280E">
        <w:rPr>
          <w:rFonts w:cstheme="minorHAnsi"/>
          <w:color w:val="000000" w:themeColor="text1"/>
          <w:sz w:val="20"/>
          <w:szCs w:val="20"/>
        </w:rPr>
        <w:t>Chemické vojsko v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EC280E">
        <w:rPr>
          <w:rFonts w:cstheme="minorHAnsi"/>
          <w:color w:val="000000" w:themeColor="text1"/>
          <w:sz w:val="20"/>
          <w:szCs w:val="20"/>
        </w:rPr>
        <w:t xml:space="preserve">současnosti </w:t>
      </w:r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reprezentuje kromě 31.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prchbo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zejména Ústav ochrany proti zbraním hromadného ničení Univerzity obrany a alianční expertní centrum na</w:t>
      </w:r>
      <w:r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problematiku ochrany proti zbraním hromadného ničení JCBRN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Defence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COE (Joint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Chemical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Biological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Radiological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Nuclear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Defence</w:t>
      </w:r>
      <w:proofErr w:type="spellEnd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Centre</w:t>
      </w:r>
      <w:r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Excellence). Výzkumem a vývojem v oblasti chemického zabezpečení se zabývá Vojenský výzkumný ústav,</w:t>
      </w:r>
      <w:r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EC280E">
        <w:rPr>
          <w:rFonts w:cstheme="minorHAnsi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s. p. </w:t>
      </w:r>
    </w:p>
  </w:footnote>
  <w:footnote w:id="18">
    <w:p w14:paraId="24FB3084" w14:textId="6F131076" w:rsidR="006017F2" w:rsidRPr="007974FA" w:rsidRDefault="006017F2" w:rsidP="00BC4F1D">
      <w:pPr>
        <w:pStyle w:val="Textpoznpodarou"/>
        <w:ind w:left="284" w:hanging="284"/>
        <w:rPr>
          <w:rFonts w:cstheme="minorHAnsi"/>
          <w:color w:val="000000" w:themeColor="text1"/>
        </w:rPr>
      </w:pPr>
      <w:r w:rsidRPr="00EC280E">
        <w:rPr>
          <w:rStyle w:val="Znakapoznpodarou"/>
          <w:rFonts w:cstheme="minorHAnsi"/>
          <w:color w:val="000000" w:themeColor="text1"/>
        </w:rPr>
        <w:footnoteRef/>
      </w:r>
      <w:r w:rsidRPr="00EC280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EC280E">
        <w:rPr>
          <w:rFonts w:cstheme="minorHAnsi"/>
          <w:color w:val="000000" w:themeColor="text1"/>
        </w:rPr>
        <w:t xml:space="preserve">Podle </w:t>
      </w:r>
      <w:r>
        <w:rPr>
          <w:rFonts w:cstheme="minorHAnsi"/>
          <w:color w:val="000000" w:themeColor="text1"/>
        </w:rPr>
        <w:t xml:space="preserve">ustanovení </w:t>
      </w:r>
      <w:r w:rsidRPr="00EC280E">
        <w:rPr>
          <w:rFonts w:cstheme="minorHAnsi"/>
          <w:color w:val="000000" w:themeColor="text1"/>
        </w:rPr>
        <w:t xml:space="preserve">§ 4 odst. 3 vyhlášky č. 247/2001 Sb., o organizaci a činnosti jednotek požární ochrany, se pojmem odřad rozumí: </w:t>
      </w:r>
      <w:r w:rsidRPr="00BC4F1D">
        <w:rPr>
          <w:rFonts w:cstheme="minorHAnsi"/>
          <w:color w:val="000000" w:themeColor="text1"/>
        </w:rPr>
        <w:t>„</w:t>
      </w:r>
      <w:r w:rsidRPr="00EC280E">
        <w:rPr>
          <w:rFonts w:cstheme="minorHAnsi"/>
          <w:i/>
          <w:color w:val="000000" w:themeColor="text1"/>
        </w:rPr>
        <w:t>Jednotka, která je složena z hasičů nejméně dvou jednotek uvedených v</w:t>
      </w:r>
      <w:r>
        <w:rPr>
          <w:rFonts w:cstheme="minorHAnsi"/>
          <w:i/>
          <w:color w:val="000000" w:themeColor="text1"/>
        </w:rPr>
        <w:t xml:space="preserve"> ustanovení </w:t>
      </w:r>
      <w:r w:rsidRPr="00EC280E">
        <w:rPr>
          <w:rFonts w:cstheme="minorHAnsi"/>
          <w:i/>
          <w:color w:val="000000" w:themeColor="text1"/>
        </w:rPr>
        <w:t>§ 65 odst. 1 zákona č.</w:t>
      </w:r>
      <w:r>
        <w:rPr>
          <w:rFonts w:cstheme="minorHAnsi"/>
          <w:i/>
          <w:color w:val="000000" w:themeColor="text1"/>
        </w:rPr>
        <w:t xml:space="preserve"> </w:t>
      </w:r>
      <w:r w:rsidRPr="00EC280E">
        <w:rPr>
          <w:rFonts w:cstheme="minorHAnsi"/>
          <w:i/>
          <w:color w:val="000000" w:themeColor="text1"/>
        </w:rPr>
        <w:t xml:space="preserve">133/1985 Sb., o požární ochraně, nebo z hasičů nejméně jedné jednotky a osob začleněných ve složce integrovaného záchranného systému anebo z hasičů jednotky a osob poskytujících osobní a věcnou pomoc podle </w:t>
      </w:r>
      <w:r>
        <w:rPr>
          <w:rFonts w:cstheme="minorHAnsi"/>
          <w:i/>
          <w:color w:val="000000" w:themeColor="text1"/>
        </w:rPr>
        <w:t xml:space="preserve">ustanovení </w:t>
      </w:r>
      <w:r w:rsidRPr="00EC280E">
        <w:rPr>
          <w:rFonts w:cstheme="minorHAnsi"/>
          <w:i/>
          <w:color w:val="000000" w:themeColor="text1"/>
        </w:rPr>
        <w:t>§ 18 a 19 zákona č. 133/1985 Sb.</w:t>
      </w:r>
      <w:r w:rsidRPr="00BC4F1D">
        <w:rPr>
          <w:rFonts w:cstheme="minorHAnsi"/>
          <w:color w:val="000000" w:themeColor="text1"/>
        </w:rPr>
        <w:t>“</w:t>
      </w:r>
    </w:p>
  </w:footnote>
  <w:footnote w:id="19">
    <w:p w14:paraId="75880CEC" w14:textId="0CA3C61D" w:rsidR="006017F2" w:rsidRDefault="006017F2" w:rsidP="00BC4F1D">
      <w:pPr>
        <w:pStyle w:val="Textpoznpodarou"/>
        <w:ind w:left="284" w:hanging="284"/>
      </w:pPr>
      <w:r w:rsidRPr="00EC280E">
        <w:rPr>
          <w:rStyle w:val="Znakapoznpodarou"/>
          <w:color w:val="000000" w:themeColor="text1"/>
        </w:rPr>
        <w:footnoteRef/>
      </w:r>
      <w:r w:rsidRPr="00EC280E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EC280E">
        <w:rPr>
          <w:rFonts w:cstheme="minorHAnsi"/>
          <w:color w:val="000000" w:themeColor="text1"/>
          <w:lang w:val="en-US"/>
        </w:rPr>
        <w:t>Chemical, biological, radiological and nuclear</w:t>
      </w:r>
      <w:r w:rsidRPr="00EC280E">
        <w:rPr>
          <w:rFonts w:cstheme="minorHAnsi"/>
          <w:color w:val="000000" w:themeColor="text1"/>
        </w:rPr>
        <w:t xml:space="preserve"> – chemické, biologické, radiologické a nukleární látky.</w:t>
      </w:r>
    </w:p>
  </w:footnote>
  <w:footnote w:id="20">
    <w:p w14:paraId="18105BE1" w14:textId="60D4E8F4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C4F1D">
        <w:rPr>
          <w:i/>
        </w:rPr>
        <w:t xml:space="preserve">Koncepce výstavby Armády </w:t>
      </w:r>
      <w:r w:rsidRPr="0060524F">
        <w:rPr>
          <w:i/>
        </w:rPr>
        <w:t>ČR</w:t>
      </w:r>
      <w:r w:rsidRPr="00BC4F1D">
        <w:t xml:space="preserve"> </w:t>
      </w:r>
      <w:r w:rsidRPr="00BC4F1D">
        <w:rPr>
          <w:i/>
        </w:rPr>
        <w:t>2025</w:t>
      </w:r>
      <w:r>
        <w:t xml:space="preserve">, </w:t>
      </w:r>
      <w:r w:rsidRPr="00BC4F1D">
        <w:rPr>
          <w:i/>
        </w:rPr>
        <w:t>Koncepce výstavby Armády ČR 2030</w:t>
      </w:r>
      <w:r>
        <w:t xml:space="preserve">, </w:t>
      </w:r>
      <w:r w:rsidRPr="00BC4F1D">
        <w:rPr>
          <w:i/>
        </w:rPr>
        <w:t>Koncepce výstavby pozemních sil 2017</w:t>
      </w:r>
      <w:r>
        <w:t xml:space="preserve"> a </w:t>
      </w:r>
      <w:r w:rsidRPr="00BC4F1D">
        <w:rPr>
          <w:i/>
        </w:rPr>
        <w:t>Koncepce výstavby pozemních sil 2020</w:t>
      </w:r>
      <w:r>
        <w:t>.</w:t>
      </w:r>
    </w:p>
  </w:footnote>
  <w:footnote w:id="21">
    <w:p w14:paraId="46A18D05" w14:textId="4BCFC5FD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22">
    <w:p w14:paraId="3EABE131" w14:textId="7CEB59FE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219/1999 Sb., o ozbrojených silách České republiky.</w:t>
      </w:r>
    </w:p>
  </w:footnote>
  <w:footnote w:id="23">
    <w:p w14:paraId="62EAEF9D" w14:textId="6BE8525E" w:rsidR="006017F2" w:rsidRPr="00E8491E" w:rsidRDefault="006017F2" w:rsidP="00BC4F1D">
      <w:pPr>
        <w:pStyle w:val="Textpoznpodarou"/>
        <w:ind w:left="284" w:hanging="284"/>
        <w:rPr>
          <w:rFonts w:cstheme="minorHAnsi"/>
        </w:rPr>
      </w:pPr>
      <w:r w:rsidRPr="00E8491E">
        <w:rPr>
          <w:rStyle w:val="Znakapoznpodarou"/>
          <w:rFonts w:cstheme="minorHAnsi"/>
        </w:rPr>
        <w:footnoteRef/>
      </w:r>
      <w:r w:rsidRPr="00E8491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8491E">
        <w:rPr>
          <w:rFonts w:cstheme="minorHAnsi"/>
        </w:rPr>
        <w:t>Zákon č. 219/2000 Sb., o majetku České republiky a jejím vystupování v právních vztazích</w:t>
      </w:r>
      <w:r>
        <w:rPr>
          <w:rFonts w:cstheme="minorHAnsi"/>
        </w:rPr>
        <w:t>.</w:t>
      </w:r>
    </w:p>
  </w:footnote>
  <w:footnote w:id="24">
    <w:p w14:paraId="69F73991" w14:textId="654F8124" w:rsidR="006017F2" w:rsidRPr="001A25F5" w:rsidRDefault="006017F2" w:rsidP="00BC4F1D">
      <w:pPr>
        <w:pStyle w:val="Textpoznpodarou"/>
        <w:ind w:left="284" w:hanging="284"/>
      </w:pPr>
      <w:r w:rsidRPr="001A25F5">
        <w:rPr>
          <w:rStyle w:val="Znakapoznpodarou"/>
        </w:rPr>
        <w:footnoteRef/>
      </w:r>
      <w:r w:rsidRPr="001A25F5">
        <w:t xml:space="preserve"> </w:t>
      </w:r>
      <w:r>
        <w:tab/>
        <w:t xml:space="preserve">Zákon </w:t>
      </w:r>
      <w:r w:rsidRPr="001A25F5">
        <w:t>č. 239/2000 Sb., o integrovaném záchranném systému a o změně některých zákonů</w:t>
      </w:r>
      <w:r>
        <w:t>.</w:t>
      </w:r>
    </w:p>
  </w:footnote>
  <w:footnote w:id="25">
    <w:p w14:paraId="4C686038" w14:textId="361A29EE" w:rsidR="006017F2" w:rsidRPr="00E8491E" w:rsidRDefault="006017F2" w:rsidP="00BC4F1D">
      <w:pPr>
        <w:pStyle w:val="Textpoznpodarou"/>
        <w:ind w:left="284" w:hanging="284"/>
        <w:rPr>
          <w:rFonts w:cstheme="minorHAnsi"/>
        </w:rPr>
      </w:pPr>
      <w:r w:rsidRPr="00E8491E">
        <w:rPr>
          <w:rStyle w:val="Znakapoznpodarou"/>
          <w:rFonts w:cstheme="minorHAnsi"/>
        </w:rPr>
        <w:footnoteRef/>
      </w:r>
      <w:r w:rsidRPr="00E8491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8491E">
        <w:rPr>
          <w:rFonts w:cstheme="minorHAnsi"/>
        </w:rPr>
        <w:t>Zákon č. 89/2012 Sb., občanský zákoník</w:t>
      </w:r>
      <w:r>
        <w:rPr>
          <w:rFonts w:cstheme="minorHAnsi"/>
        </w:rPr>
        <w:t>.</w:t>
      </w:r>
    </w:p>
  </w:footnote>
  <w:footnote w:id="26">
    <w:p w14:paraId="5B401770" w14:textId="24C75FDC" w:rsidR="006017F2" w:rsidRPr="00E8491E" w:rsidRDefault="006017F2" w:rsidP="00BC4F1D">
      <w:pPr>
        <w:pStyle w:val="Textpoznpodarou"/>
        <w:ind w:left="284" w:hanging="284"/>
        <w:rPr>
          <w:rFonts w:cstheme="minorHAnsi"/>
        </w:rPr>
      </w:pPr>
      <w:r w:rsidRPr="00E8491E">
        <w:rPr>
          <w:rStyle w:val="Znakapoznpodarou"/>
          <w:rFonts w:cstheme="minorHAnsi"/>
        </w:rPr>
        <w:footnoteRef/>
      </w:r>
      <w:r>
        <w:rPr>
          <w:rFonts w:cstheme="minorHAnsi"/>
        </w:rPr>
        <w:t> </w:t>
      </w:r>
      <w:bookmarkStart w:id="15" w:name="_Hlk150778492"/>
      <w:r>
        <w:rPr>
          <w:rFonts w:cstheme="minorHAnsi"/>
        </w:rPr>
        <w:tab/>
      </w:r>
      <w:r w:rsidRPr="00E8491E">
        <w:rPr>
          <w:rFonts w:cstheme="minorHAnsi"/>
        </w:rPr>
        <w:t>Zákon č. 130/2002 Sb., o podpoře výzkumu</w:t>
      </w:r>
      <w:r>
        <w:rPr>
          <w:rFonts w:cstheme="minorHAnsi"/>
        </w:rPr>
        <w:t>, experimentálního vývoje a inovací</w:t>
      </w:r>
      <w:r w:rsidRPr="00E8491E">
        <w:rPr>
          <w:rFonts w:cstheme="minorHAnsi"/>
        </w:rPr>
        <w:t xml:space="preserve"> z veřejných prostředků a</w:t>
      </w:r>
      <w:r>
        <w:rPr>
          <w:rFonts w:cstheme="minorHAnsi"/>
        </w:rPr>
        <w:t> </w:t>
      </w:r>
      <w:r w:rsidRPr="00E8491E">
        <w:rPr>
          <w:rFonts w:cstheme="minorHAnsi"/>
        </w:rPr>
        <w:t>o</w:t>
      </w:r>
      <w:r>
        <w:rPr>
          <w:rFonts w:cstheme="minorHAnsi"/>
        </w:rPr>
        <w:t> </w:t>
      </w:r>
      <w:r w:rsidRPr="00E8491E">
        <w:rPr>
          <w:rFonts w:cstheme="minorHAnsi"/>
        </w:rPr>
        <w:t>změně některých souvisejících zákonů (zákon o podpoře výzkumu</w:t>
      </w:r>
      <w:r>
        <w:rPr>
          <w:rFonts w:cstheme="minorHAnsi"/>
        </w:rPr>
        <w:t xml:space="preserve">, experimentálního </w:t>
      </w:r>
      <w:r w:rsidRPr="00E8491E">
        <w:rPr>
          <w:rFonts w:cstheme="minorHAnsi"/>
        </w:rPr>
        <w:t>vývoje</w:t>
      </w:r>
      <w:r>
        <w:rPr>
          <w:rFonts w:cstheme="minorHAnsi"/>
        </w:rPr>
        <w:t xml:space="preserve"> a inovací</w:t>
      </w:r>
      <w:r w:rsidRPr="00E8491E">
        <w:rPr>
          <w:rFonts w:cstheme="minorHAnsi"/>
        </w:rPr>
        <w:t>)</w:t>
      </w:r>
      <w:r>
        <w:rPr>
          <w:rFonts w:cstheme="minorHAnsi"/>
        </w:rPr>
        <w:t>.</w:t>
      </w:r>
    </w:p>
    <w:bookmarkEnd w:id="15"/>
  </w:footnote>
  <w:footnote w:id="27">
    <w:p w14:paraId="44D00E63" w14:textId="0CA25A17" w:rsidR="006017F2" w:rsidRDefault="006017F2" w:rsidP="00BC4F1D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Vyhláška č. 416/2004 Sb., kterou se provádí zákon č. 320/2001 Sb., o finanční kontrole ve veřejné správě a o změně některých zákonů (zákon o finanční kontrole), ve znění zákona č. 309/2002 Sb., zákona č. 320/2002 Sb. a zákona č. 123/2003 Sb.</w:t>
      </w:r>
    </w:p>
  </w:footnote>
  <w:footnote w:id="28">
    <w:p w14:paraId="7CC4B89D" w14:textId="39EEF51C" w:rsidR="006017F2" w:rsidRPr="00E8491E" w:rsidRDefault="006017F2" w:rsidP="00BC4F1D">
      <w:pPr>
        <w:pStyle w:val="Textpoznpodarou"/>
        <w:ind w:left="284" w:hanging="284"/>
        <w:rPr>
          <w:rFonts w:cstheme="minorHAnsi"/>
        </w:rPr>
      </w:pPr>
      <w:r w:rsidRPr="00E8491E">
        <w:rPr>
          <w:rStyle w:val="Znakapoznpodarou"/>
          <w:rFonts w:cstheme="minorHAnsi"/>
        </w:rPr>
        <w:footnoteRef/>
      </w:r>
      <w:r w:rsidRPr="00E8491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8491E">
        <w:rPr>
          <w:rFonts w:cstheme="minorHAnsi"/>
        </w:rPr>
        <w:t>Vyhláška č. 560/2006 Sb., o účasti státního rozpočtu na financování programů reprodukce majetku</w:t>
      </w:r>
      <w:r>
        <w:rPr>
          <w:rFonts w:cstheme="minorHAnsi"/>
        </w:rPr>
        <w:t>.</w:t>
      </w:r>
    </w:p>
  </w:footnote>
  <w:footnote w:id="29">
    <w:p w14:paraId="21EB5845" w14:textId="1F3DF88F" w:rsidR="006017F2" w:rsidRPr="00E8491E" w:rsidRDefault="006017F2" w:rsidP="00BC4F1D">
      <w:pPr>
        <w:pStyle w:val="Textpoznpodarou"/>
        <w:ind w:left="284" w:hanging="284"/>
        <w:rPr>
          <w:rFonts w:cstheme="minorHAnsi"/>
        </w:rPr>
      </w:pPr>
      <w:r w:rsidRPr="00E8491E">
        <w:rPr>
          <w:rStyle w:val="Znakapoznpodarou"/>
          <w:rFonts w:cstheme="minorHAnsi"/>
        </w:rPr>
        <w:footnoteRef/>
      </w:r>
      <w:r w:rsidRPr="00E8491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8491E">
        <w:rPr>
          <w:rFonts w:cstheme="minorHAnsi"/>
        </w:rPr>
        <w:t>Vyhláška č. 32</w:t>
      </w:r>
      <w:r>
        <w:rPr>
          <w:rFonts w:cstheme="minorHAnsi"/>
        </w:rPr>
        <w:t>8</w:t>
      </w:r>
      <w:r w:rsidRPr="00E8491E">
        <w:rPr>
          <w:rFonts w:cstheme="minorHAnsi"/>
        </w:rPr>
        <w:t>/2001 Sb., o některých podrobnostech zabezpečení integrovaného záchranného systému</w:t>
      </w:r>
      <w:r>
        <w:rPr>
          <w:rFonts w:cstheme="minorHAnsi"/>
        </w:rPr>
        <w:t>.</w:t>
      </w:r>
    </w:p>
  </w:footnote>
  <w:footnote w:id="30">
    <w:p w14:paraId="486E8B82" w14:textId="0919EB19" w:rsidR="006017F2" w:rsidRPr="00196BA6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96BA6">
        <w:t xml:space="preserve">Usnesení vlády ČR </w:t>
      </w:r>
      <w:r w:rsidRPr="00196BA6">
        <w:rPr>
          <w:rFonts w:cstheme="minorHAnsi"/>
        </w:rPr>
        <w:t>ze dne 30. října 2019 č. 758</w:t>
      </w:r>
      <w:r>
        <w:rPr>
          <w:rFonts w:cstheme="minorHAnsi"/>
        </w:rPr>
        <w:t>,</w:t>
      </w:r>
      <w:r w:rsidRPr="00196BA6">
        <w:rPr>
          <w:rFonts w:cstheme="minorHAnsi"/>
        </w:rPr>
        <w:t xml:space="preserve"> </w:t>
      </w:r>
      <w:r w:rsidRPr="00196BA6">
        <w:rPr>
          <w:rFonts w:cstheme="minorHAnsi"/>
          <w:i/>
        </w:rPr>
        <w:t>ke Koncepci výstavby Armády České republiky 2030</w:t>
      </w:r>
      <w:r>
        <w:rPr>
          <w:rFonts w:cstheme="minorHAnsi"/>
          <w:i/>
        </w:rPr>
        <w:t>.</w:t>
      </w:r>
    </w:p>
  </w:footnote>
  <w:footnote w:id="31">
    <w:p w14:paraId="5E812947" w14:textId="79068231" w:rsidR="006017F2" w:rsidRDefault="006017F2" w:rsidP="00BC4F1D">
      <w:pPr>
        <w:pStyle w:val="Textpoznpodarou"/>
        <w:ind w:left="284" w:hanging="284"/>
      </w:pPr>
      <w:r w:rsidRPr="00196BA6">
        <w:rPr>
          <w:rStyle w:val="Znakapoznpodarou"/>
        </w:rPr>
        <w:footnoteRef/>
      </w:r>
      <w:r w:rsidRPr="00196BA6">
        <w:t xml:space="preserve"> </w:t>
      </w:r>
      <w:r>
        <w:tab/>
      </w:r>
      <w:r w:rsidRPr="00196BA6">
        <w:t xml:space="preserve">Náčelník Generálního štábu AČR schválil </w:t>
      </w:r>
      <w:r w:rsidRPr="00196BA6">
        <w:rPr>
          <w:i/>
        </w:rPr>
        <w:t xml:space="preserve">Koncepci výstavby pozemních sil </w:t>
      </w:r>
      <w:r>
        <w:rPr>
          <w:i/>
        </w:rPr>
        <w:t>(2020)</w:t>
      </w:r>
      <w:r w:rsidRPr="00196BA6">
        <w:t xml:space="preserve"> dne 15. června 2020</w:t>
      </w:r>
      <w:r>
        <w:t>.</w:t>
      </w:r>
    </w:p>
  </w:footnote>
  <w:footnote w:id="32">
    <w:p w14:paraId="30E49A86" w14:textId="3E79D118" w:rsidR="006017F2" w:rsidRPr="00CC0DA1" w:rsidRDefault="006017F2" w:rsidP="00BC4F1D">
      <w:pPr>
        <w:spacing w:after="0"/>
        <w:ind w:left="284" w:hanging="284"/>
        <w:rPr>
          <w:rFonts w:cstheme="minorHAnsi"/>
          <w:sz w:val="20"/>
          <w:szCs w:val="20"/>
        </w:rPr>
      </w:pPr>
      <w:r w:rsidRPr="00CC0DA1">
        <w:rPr>
          <w:rStyle w:val="Znakapoznpodarou"/>
          <w:rFonts w:cstheme="minorHAnsi"/>
          <w:sz w:val="20"/>
          <w:szCs w:val="20"/>
        </w:rPr>
        <w:footnoteRef/>
      </w:r>
      <w:r w:rsidRPr="00CC0D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C0DA1">
        <w:rPr>
          <w:rFonts w:cstheme="minorHAnsi"/>
          <w:sz w:val="20"/>
          <w:szCs w:val="20"/>
        </w:rPr>
        <w:t>V dokumentaci programu 107V08 MO mj. uvedlo: „</w:t>
      </w:r>
      <w:r w:rsidRPr="00CC0DA1">
        <w:rPr>
          <w:rFonts w:cstheme="minorHAnsi"/>
          <w:i/>
          <w:sz w:val="20"/>
          <w:szCs w:val="20"/>
        </w:rPr>
        <w:t>Realizace cílů programu bude jedním z nástrojů k</w:t>
      </w:r>
      <w:r>
        <w:rPr>
          <w:rFonts w:cstheme="minorHAnsi"/>
          <w:i/>
          <w:sz w:val="20"/>
          <w:szCs w:val="20"/>
        </w:rPr>
        <w:t> </w:t>
      </w:r>
      <w:r w:rsidRPr="00CC0DA1">
        <w:rPr>
          <w:rFonts w:cstheme="minorHAnsi"/>
          <w:i/>
          <w:sz w:val="20"/>
          <w:szCs w:val="20"/>
        </w:rPr>
        <w:t>naplnění prioritních opatření milníků Koncepce výstavby AČR 2025 v oblasti pozemních sil ... Plánované roční objemy výdajů umožní rezortu MO finančně zabezpečit požadavky vyplývající ze schválené Koncepce rozvoje Armády České republiky 2025, spočívající zejména v pokrytí požadavků na modernizaci vojenské techniky a materiálu, zajištění plnohodnotného výcviku a provozu nově pořízené vojenské techniky</w:t>
      </w:r>
      <w:r>
        <w:rPr>
          <w:rFonts w:cstheme="minorHAnsi"/>
          <w:i/>
          <w:sz w:val="20"/>
          <w:szCs w:val="20"/>
        </w:rPr>
        <w:t>.</w:t>
      </w:r>
      <w:r w:rsidRPr="00BC4F1D">
        <w:rPr>
          <w:rFonts w:cstheme="minorHAnsi"/>
          <w:sz w:val="20"/>
          <w:szCs w:val="20"/>
        </w:rPr>
        <w:t>“</w:t>
      </w:r>
    </w:p>
  </w:footnote>
  <w:footnote w:id="33">
    <w:p w14:paraId="6408349F" w14:textId="41062836" w:rsidR="006017F2" w:rsidRDefault="006017F2" w:rsidP="00BC4F1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NATO </w:t>
      </w:r>
      <w:r w:rsidRPr="0069720D">
        <w:rPr>
          <w:lang w:val="en-GB"/>
        </w:rPr>
        <w:t>Capability Targets</w:t>
      </w:r>
      <w:r>
        <w:t xml:space="preserve"> – </w:t>
      </w:r>
      <w:r>
        <w:rPr>
          <w:rFonts w:cstheme="minorHAnsi"/>
          <w:lang w:eastAsia="cs-CZ"/>
        </w:rPr>
        <w:t>c</w:t>
      </w:r>
      <w:r w:rsidRPr="005265B2">
        <w:rPr>
          <w:rFonts w:cstheme="minorHAnsi"/>
          <w:lang w:eastAsia="cs-CZ"/>
        </w:rPr>
        <w:t>íle</w:t>
      </w:r>
      <w:r>
        <w:rPr>
          <w:rFonts w:cstheme="minorHAnsi"/>
          <w:lang w:eastAsia="cs-CZ"/>
        </w:rPr>
        <w:t xml:space="preserve"> </w:t>
      </w:r>
      <w:r w:rsidRPr="005265B2">
        <w:rPr>
          <w:rFonts w:cstheme="minorHAnsi"/>
          <w:lang w:eastAsia="cs-CZ"/>
        </w:rPr>
        <w:t>výstavby schopností sil NATO</w:t>
      </w:r>
      <w:r>
        <w:rPr>
          <w:rFonts w:cstheme="minorHAnsi"/>
          <w:lang w:eastAsia="cs-CZ"/>
        </w:rPr>
        <w:t>.</w:t>
      </w:r>
    </w:p>
  </w:footnote>
  <w:footnote w:id="34">
    <w:p w14:paraId="29D7ACCD" w14:textId="7283D119" w:rsidR="006017F2" w:rsidRPr="00CC0DA1" w:rsidRDefault="006017F2" w:rsidP="00BC4F1D">
      <w:pPr>
        <w:spacing w:after="0"/>
        <w:ind w:left="284" w:hanging="284"/>
        <w:rPr>
          <w:rFonts w:cstheme="minorHAnsi"/>
          <w:sz w:val="20"/>
          <w:szCs w:val="20"/>
        </w:rPr>
      </w:pPr>
      <w:r w:rsidRPr="00CC0DA1">
        <w:rPr>
          <w:rStyle w:val="Znakapoznpodarou"/>
          <w:rFonts w:cstheme="minorHAnsi"/>
          <w:sz w:val="20"/>
          <w:szCs w:val="20"/>
        </w:rPr>
        <w:footnoteRef/>
      </w:r>
      <w:r w:rsidRPr="00CC0D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C0DA1">
        <w:rPr>
          <w:rFonts w:cstheme="minorHAnsi"/>
          <w:sz w:val="20"/>
          <w:szCs w:val="20"/>
        </w:rPr>
        <w:t xml:space="preserve">Částečně realizována byla pouze akce pořízení materiálu k dosažení cíle E6201N dle CT 2013. </w:t>
      </w:r>
    </w:p>
  </w:footnote>
  <w:footnote w:id="35">
    <w:p w14:paraId="520D03AC" w14:textId="3769D23E" w:rsidR="006017F2" w:rsidRPr="00CC0DA1" w:rsidRDefault="006017F2" w:rsidP="00BC4F1D">
      <w:pPr>
        <w:spacing w:after="0"/>
        <w:ind w:left="284" w:hanging="284"/>
        <w:rPr>
          <w:rFonts w:cstheme="minorHAnsi"/>
          <w:i/>
          <w:sz w:val="20"/>
          <w:szCs w:val="20"/>
        </w:rPr>
      </w:pPr>
      <w:r w:rsidRPr="00CC0DA1">
        <w:rPr>
          <w:rStyle w:val="Znakapoznpodarou"/>
          <w:rFonts w:cstheme="minorHAnsi"/>
          <w:sz w:val="20"/>
          <w:szCs w:val="20"/>
        </w:rPr>
        <w:footnoteRef/>
      </w:r>
      <w:r w:rsidRPr="00CC0D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C0DA1">
        <w:rPr>
          <w:rFonts w:cstheme="minorHAnsi"/>
          <w:sz w:val="20"/>
          <w:szCs w:val="20"/>
        </w:rPr>
        <w:t>Usnesení vlády ČR ze dne 18. září 2017 č. 670</w:t>
      </w:r>
      <w:r>
        <w:rPr>
          <w:rFonts w:cstheme="minorHAnsi"/>
          <w:sz w:val="20"/>
          <w:szCs w:val="20"/>
        </w:rPr>
        <w:t>,</w:t>
      </w:r>
      <w:r w:rsidRPr="00CC0DA1">
        <w:rPr>
          <w:rFonts w:cstheme="minorHAnsi"/>
          <w:sz w:val="20"/>
          <w:szCs w:val="20"/>
        </w:rPr>
        <w:t xml:space="preserve"> </w:t>
      </w:r>
      <w:r w:rsidRPr="00CC0DA1">
        <w:rPr>
          <w:rFonts w:cstheme="minorHAnsi"/>
          <w:i/>
          <w:sz w:val="20"/>
          <w:szCs w:val="20"/>
        </w:rPr>
        <w:t>k výši účasti státního rozpočtu ČR na realizaci programu reprodukce majetku 107V08 – Strategický program pozemních sil AČR.</w:t>
      </w:r>
    </w:p>
  </w:footnote>
  <w:footnote w:id="36">
    <w:p w14:paraId="5852B719" w14:textId="19416193" w:rsidR="006017F2" w:rsidRPr="00C5269E" w:rsidRDefault="006017F2" w:rsidP="00BC4F1D">
      <w:pPr>
        <w:spacing w:after="0"/>
        <w:ind w:left="284" w:hanging="284"/>
        <w:rPr>
          <w:rFonts w:cstheme="minorHAnsi"/>
          <w:sz w:val="20"/>
          <w:szCs w:val="20"/>
        </w:rPr>
      </w:pPr>
      <w:r w:rsidRPr="00CC0DA1">
        <w:rPr>
          <w:rStyle w:val="Znakapoznpodarou"/>
          <w:rFonts w:cstheme="minorHAnsi"/>
          <w:sz w:val="20"/>
          <w:szCs w:val="20"/>
        </w:rPr>
        <w:footnoteRef/>
      </w:r>
      <w:r w:rsidRPr="00CC0D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C0DA1">
        <w:rPr>
          <w:rFonts w:cstheme="minorHAnsi"/>
          <w:sz w:val="20"/>
          <w:szCs w:val="20"/>
        </w:rPr>
        <w:t>Usnesení vlády ČR ze dne 24. srpna 2020 č. 873</w:t>
      </w:r>
      <w:r>
        <w:rPr>
          <w:rFonts w:cstheme="minorHAnsi"/>
          <w:sz w:val="20"/>
          <w:szCs w:val="20"/>
        </w:rPr>
        <w:t>,</w:t>
      </w:r>
      <w:r w:rsidRPr="00CC0DA1">
        <w:rPr>
          <w:rFonts w:cstheme="minorHAnsi"/>
          <w:sz w:val="20"/>
          <w:szCs w:val="20"/>
        </w:rPr>
        <w:t xml:space="preserve"> </w:t>
      </w:r>
      <w:r w:rsidRPr="00CC0DA1">
        <w:rPr>
          <w:rFonts w:cstheme="minorHAnsi"/>
          <w:i/>
          <w:sz w:val="20"/>
          <w:szCs w:val="20"/>
        </w:rPr>
        <w:t xml:space="preserve">o změně části usnesení vlády ČR ze dne 18. září </w:t>
      </w:r>
      <w:r>
        <w:rPr>
          <w:rFonts w:cstheme="minorHAnsi"/>
          <w:i/>
          <w:sz w:val="20"/>
          <w:szCs w:val="20"/>
        </w:rPr>
        <w:br/>
      </w:r>
      <w:r w:rsidRPr="00CC0DA1">
        <w:rPr>
          <w:rFonts w:cstheme="minorHAnsi"/>
          <w:i/>
          <w:sz w:val="20"/>
          <w:szCs w:val="20"/>
        </w:rPr>
        <w:t>2017 č.</w:t>
      </w:r>
      <w:r>
        <w:rPr>
          <w:rFonts w:cstheme="minorHAnsi"/>
          <w:i/>
          <w:sz w:val="20"/>
          <w:szCs w:val="20"/>
        </w:rPr>
        <w:t xml:space="preserve"> </w:t>
      </w:r>
      <w:r w:rsidRPr="00CC0DA1">
        <w:rPr>
          <w:rFonts w:cstheme="minorHAnsi"/>
          <w:i/>
          <w:sz w:val="20"/>
          <w:szCs w:val="20"/>
        </w:rPr>
        <w:t>670 k</w:t>
      </w:r>
      <w:r>
        <w:rPr>
          <w:rFonts w:cstheme="minorHAnsi"/>
          <w:i/>
          <w:sz w:val="20"/>
          <w:szCs w:val="20"/>
        </w:rPr>
        <w:t xml:space="preserve"> </w:t>
      </w:r>
      <w:r w:rsidRPr="00CC0DA1">
        <w:rPr>
          <w:rFonts w:cstheme="minorHAnsi"/>
          <w:i/>
          <w:sz w:val="20"/>
          <w:szCs w:val="20"/>
        </w:rPr>
        <w:t xml:space="preserve">výši účasti státního rozpočtu České republiky na realizaci programu reprodukce majetku </w:t>
      </w:r>
      <w:r>
        <w:rPr>
          <w:rFonts w:cstheme="minorHAnsi"/>
          <w:i/>
          <w:sz w:val="20"/>
          <w:szCs w:val="20"/>
        </w:rPr>
        <w:br/>
      </w:r>
      <w:r w:rsidRPr="00CC0DA1">
        <w:rPr>
          <w:rFonts w:cstheme="minorHAnsi"/>
          <w:i/>
          <w:sz w:val="20"/>
          <w:szCs w:val="20"/>
        </w:rPr>
        <w:t>107V08 – Strategický program pozemních sil Armády České republiky</w:t>
      </w:r>
      <w:r w:rsidRPr="00CC0DA1">
        <w:rPr>
          <w:rFonts w:cstheme="minorHAnsi"/>
          <w:sz w:val="20"/>
          <w:szCs w:val="20"/>
        </w:rPr>
        <w:t>.</w:t>
      </w:r>
    </w:p>
  </w:footnote>
  <w:footnote w:id="37">
    <w:p w14:paraId="78471D36" w14:textId="7A4B33C3" w:rsidR="006017F2" w:rsidRPr="00CF1CFD" w:rsidRDefault="006017F2" w:rsidP="00BC4F1D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  <w:lang w:eastAsia="cs-CZ"/>
        </w:rPr>
      </w:pPr>
      <w:r w:rsidRPr="00C5269E">
        <w:rPr>
          <w:rStyle w:val="Znakapoznpodarou"/>
          <w:rFonts w:cstheme="minorHAnsi"/>
          <w:sz w:val="20"/>
          <w:szCs w:val="20"/>
        </w:rPr>
        <w:footnoteRef/>
      </w:r>
      <w:r w:rsidRPr="00C5269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V </w:t>
      </w:r>
      <w:proofErr w:type="spellStart"/>
      <w:r w:rsidRPr="00D755DB">
        <w:rPr>
          <w:rFonts w:cstheme="minorHAnsi"/>
          <w:sz w:val="20"/>
          <w:szCs w:val="20"/>
        </w:rPr>
        <w:t>KVPozS</w:t>
      </w:r>
      <w:proofErr w:type="spellEnd"/>
      <w:r w:rsidRPr="00D755DB">
        <w:rPr>
          <w:rFonts w:cstheme="minorHAnsi"/>
          <w:sz w:val="20"/>
          <w:szCs w:val="20"/>
        </w:rPr>
        <w:t xml:space="preserve"> 2017 </w:t>
      </w:r>
      <w:r>
        <w:rPr>
          <w:rFonts w:cstheme="minorHAnsi"/>
          <w:sz w:val="20"/>
          <w:szCs w:val="20"/>
        </w:rPr>
        <w:t xml:space="preserve">je mimo jiné </w:t>
      </w:r>
      <w:r w:rsidRPr="00D755DB">
        <w:rPr>
          <w:rFonts w:cstheme="minorHAnsi"/>
          <w:sz w:val="20"/>
          <w:szCs w:val="20"/>
        </w:rPr>
        <w:t>uved</w:t>
      </w:r>
      <w:r>
        <w:rPr>
          <w:rFonts w:cstheme="minorHAnsi"/>
          <w:sz w:val="20"/>
          <w:szCs w:val="20"/>
        </w:rPr>
        <w:t>eno:</w:t>
      </w:r>
      <w:r w:rsidRPr="00C5269E">
        <w:rPr>
          <w:rFonts w:cstheme="minorHAnsi"/>
          <w:i/>
          <w:sz w:val="20"/>
          <w:szCs w:val="20"/>
          <w:lang w:eastAsia="cs-CZ"/>
        </w:rPr>
        <w:t xml:space="preserve"> </w:t>
      </w:r>
      <w:r w:rsidRPr="00BC4F1D">
        <w:rPr>
          <w:rFonts w:cstheme="minorHAnsi"/>
          <w:sz w:val="20"/>
          <w:szCs w:val="20"/>
          <w:lang w:eastAsia="cs-CZ"/>
        </w:rPr>
        <w:t>„</w:t>
      </w:r>
      <w:r w:rsidRPr="00C5269E">
        <w:rPr>
          <w:rFonts w:cstheme="minorHAnsi"/>
          <w:i/>
          <w:sz w:val="20"/>
          <w:szCs w:val="20"/>
          <w:lang w:eastAsia="cs-CZ"/>
        </w:rPr>
        <w:t>Technika jednotek radiačního a chemického průzkumu dosahuje u</w:t>
      </w:r>
      <w:r>
        <w:rPr>
          <w:rFonts w:cstheme="minorHAnsi"/>
          <w:i/>
          <w:sz w:val="20"/>
          <w:szCs w:val="20"/>
          <w:lang w:eastAsia="cs-CZ"/>
        </w:rPr>
        <w:t> </w:t>
      </w:r>
      <w:r w:rsidRPr="00C5269E">
        <w:rPr>
          <w:rFonts w:cstheme="minorHAnsi"/>
          <w:i/>
          <w:sz w:val="20"/>
          <w:szCs w:val="20"/>
          <w:lang w:eastAsia="cs-CZ"/>
        </w:rPr>
        <w:t>vozidel BRDM-2rch a</w:t>
      </w:r>
      <w:r w:rsidR="00965CFA">
        <w:rPr>
          <w:rFonts w:cstheme="minorHAnsi"/>
          <w:i/>
          <w:sz w:val="20"/>
          <w:szCs w:val="20"/>
          <w:lang w:eastAsia="cs-CZ"/>
        </w:rPr>
        <w:t xml:space="preserve"> </w:t>
      </w:r>
      <w:r w:rsidRPr="00C5269E">
        <w:rPr>
          <w:rFonts w:cstheme="minorHAnsi"/>
          <w:i/>
          <w:sz w:val="20"/>
          <w:szCs w:val="20"/>
          <w:lang w:eastAsia="cs-CZ"/>
        </w:rPr>
        <w:t>UAZ-469CH konce životního cyklu ... U zastaralých prostředků PRS-A79 a PRS-B76 byla překročena jejich technická životnost. Technické vybavení jednotek dekontaminace založené na zavedených prostředcích ACHR-90, LINKA-82 a ARS-12M je technologicky nesourodé s</w:t>
      </w:r>
      <w:r>
        <w:rPr>
          <w:rFonts w:cstheme="minorHAnsi"/>
          <w:i/>
          <w:sz w:val="20"/>
          <w:szCs w:val="20"/>
          <w:lang w:eastAsia="cs-CZ"/>
        </w:rPr>
        <w:t xml:space="preserve"> </w:t>
      </w:r>
      <w:r w:rsidRPr="00C5269E">
        <w:rPr>
          <w:rFonts w:cstheme="minorHAnsi"/>
          <w:i/>
          <w:sz w:val="20"/>
          <w:szCs w:val="20"/>
          <w:lang w:eastAsia="cs-CZ"/>
        </w:rPr>
        <w:t>nižší úrovní kompatibility. U</w:t>
      </w:r>
      <w:r>
        <w:rPr>
          <w:rFonts w:cstheme="minorHAnsi"/>
          <w:i/>
          <w:sz w:val="20"/>
          <w:szCs w:val="20"/>
          <w:lang w:eastAsia="cs-CZ"/>
        </w:rPr>
        <w:t xml:space="preserve"> </w:t>
      </w:r>
      <w:r w:rsidRPr="00C5269E">
        <w:rPr>
          <w:rFonts w:cstheme="minorHAnsi"/>
          <w:i/>
          <w:sz w:val="20"/>
          <w:szCs w:val="20"/>
          <w:lang w:eastAsia="cs-CZ"/>
        </w:rPr>
        <w:t>zastaralých prostředků ARS-12M byla překročena jejich technická životnost. Vybavení AČR prostředky individuální ochrany kvantitativně neodpovídá požadovaným zásobám</w:t>
      </w:r>
      <w:r w:rsidRPr="00CF1CFD">
        <w:rPr>
          <w:rFonts w:cstheme="minorHAnsi"/>
          <w:sz w:val="20"/>
          <w:szCs w:val="20"/>
          <w:lang w:eastAsia="cs-CZ"/>
        </w:rPr>
        <w:t xml:space="preserve">.“ </w:t>
      </w:r>
    </w:p>
  </w:footnote>
  <w:footnote w:id="38">
    <w:p w14:paraId="4BA19818" w14:textId="54BC2B76" w:rsidR="006017F2" w:rsidRDefault="006017F2" w:rsidP="003060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Akce č. 107V682001607 – </w:t>
      </w:r>
      <w:r w:rsidRPr="003060FA">
        <w:rPr>
          <w:i/>
        </w:rPr>
        <w:t>Přístroje pro analýzu a detekci – nákup</w:t>
      </w:r>
      <w:r>
        <w:t>.</w:t>
      </w:r>
    </w:p>
  </w:footnote>
  <w:footnote w:id="39">
    <w:p w14:paraId="1154ABE9" w14:textId="68C10F8A" w:rsidR="006017F2" w:rsidRDefault="006017F2" w:rsidP="003060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Akce č. 107V682001708 – </w:t>
      </w:r>
      <w:r w:rsidRPr="003060FA">
        <w:rPr>
          <w:i/>
        </w:rPr>
        <w:t>Prostředky a přístroje pro analýzu a detekci 2017 – nákup</w:t>
      </w:r>
      <w:r>
        <w:t>.</w:t>
      </w:r>
    </w:p>
  </w:footnote>
  <w:footnote w:id="40">
    <w:p w14:paraId="7853BF4A" w14:textId="517E18CB" w:rsidR="006017F2" w:rsidRDefault="006017F2" w:rsidP="003060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Akce č. 107V081001801 – </w:t>
      </w:r>
      <w:r w:rsidRPr="003060FA">
        <w:rPr>
          <w:i/>
        </w:rPr>
        <w:t>Prostředky a přístroje pro analýzu a detekci 2018 – nákup</w:t>
      </w:r>
      <w:r>
        <w:t>.</w:t>
      </w:r>
    </w:p>
  </w:footnote>
  <w:footnote w:id="41">
    <w:p w14:paraId="3FDE7C2F" w14:textId="6D8A00A8" w:rsidR="006017F2" w:rsidRDefault="006017F2" w:rsidP="003060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Akce č. 107V081001832 – </w:t>
      </w:r>
      <w:r w:rsidRPr="003060FA">
        <w:rPr>
          <w:i/>
        </w:rPr>
        <w:t>Přístroje a prostředky pro analýzu a detekci 2018 – nákup</w:t>
      </w:r>
      <w:r>
        <w:t>.</w:t>
      </w:r>
    </w:p>
  </w:footnote>
  <w:footnote w:id="42">
    <w:p w14:paraId="554EEC1E" w14:textId="1ECC982F" w:rsidR="006017F2" w:rsidRDefault="006017F2" w:rsidP="003060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Akce č. 107V081001920 – </w:t>
      </w:r>
      <w:r w:rsidRPr="003060FA">
        <w:rPr>
          <w:i/>
        </w:rPr>
        <w:t>Přístroje a prostředky pro analýzu a detekci 2020 – nákup</w:t>
      </w:r>
      <w:r>
        <w:t>.</w:t>
      </w:r>
    </w:p>
  </w:footnote>
  <w:footnote w:id="43">
    <w:p w14:paraId="4FC51AF5" w14:textId="29F6F3B4" w:rsidR="006017F2" w:rsidRPr="00B439C8" w:rsidRDefault="006017F2" w:rsidP="003060FA">
      <w:pPr>
        <w:pStyle w:val="Textpoznpodarou"/>
        <w:ind w:left="284" w:hanging="284"/>
        <w:rPr>
          <w:rFonts w:cstheme="minorHAnsi"/>
        </w:rPr>
      </w:pPr>
      <w:r w:rsidRPr="00B439C8">
        <w:rPr>
          <w:rStyle w:val="Znakapoznpodarou"/>
          <w:rFonts w:cstheme="minorHAnsi"/>
        </w:rPr>
        <w:footnoteRef/>
      </w:r>
      <w:r w:rsidRPr="00B439C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439C8">
        <w:rPr>
          <w:rFonts w:cstheme="minorHAnsi"/>
        </w:rPr>
        <w:t xml:space="preserve">IZS tvoří základní složky (zejména Hasičský záchranný sbor ČR, poskytovatelé zdravotnické záchranné služby </w:t>
      </w:r>
      <w:r>
        <w:rPr>
          <w:rFonts w:cstheme="minorHAnsi"/>
        </w:rPr>
        <w:br/>
      </w:r>
      <w:r w:rsidRPr="00B439C8">
        <w:rPr>
          <w:rFonts w:cstheme="minorHAnsi"/>
        </w:rPr>
        <w:t>a Policie České republiky) a ostatní složky IZS.</w:t>
      </w:r>
    </w:p>
  </w:footnote>
  <w:footnote w:id="44">
    <w:p w14:paraId="57A7FD99" w14:textId="1A836F06" w:rsidR="006017F2" w:rsidRPr="003060FA" w:rsidRDefault="006017F2" w:rsidP="003060FA">
      <w:pPr>
        <w:spacing w:after="0"/>
        <w:ind w:left="284" w:hanging="284"/>
        <w:rPr>
          <w:rFonts w:cstheme="minorHAnsi"/>
          <w:bCs/>
          <w:sz w:val="20"/>
          <w:szCs w:val="20"/>
          <w:shd w:val="clear" w:color="auto" w:fill="FFFFFF"/>
        </w:rPr>
      </w:pPr>
      <w:r w:rsidRPr="00B439C8">
        <w:rPr>
          <w:rStyle w:val="Znakapoznpodarou"/>
          <w:rFonts w:cstheme="minorHAnsi"/>
          <w:sz w:val="20"/>
          <w:szCs w:val="20"/>
        </w:rPr>
        <w:footnoteRef/>
      </w:r>
      <w:r w:rsidRPr="00B439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060FA">
        <w:rPr>
          <w:rFonts w:cstheme="minorHAnsi"/>
          <w:bCs/>
          <w:sz w:val="20"/>
          <w:szCs w:val="20"/>
          <w:shd w:val="clear" w:color="auto" w:fill="FFFFFF"/>
        </w:rPr>
        <w:t>Linka L-82 je zařízení určen</w:t>
      </w:r>
      <w:r>
        <w:rPr>
          <w:rFonts w:cstheme="minorHAnsi"/>
          <w:bCs/>
          <w:sz w:val="20"/>
          <w:szCs w:val="20"/>
          <w:shd w:val="clear" w:color="auto" w:fill="FFFFFF"/>
        </w:rPr>
        <w:t>é</w:t>
      </w:r>
      <w:r w:rsidRPr="003060FA">
        <w:rPr>
          <w:rFonts w:cstheme="minorHAnsi"/>
          <w:bCs/>
          <w:sz w:val="20"/>
          <w:szCs w:val="20"/>
          <w:shd w:val="clear" w:color="auto" w:fill="FFFFFF"/>
        </w:rPr>
        <w:t xml:space="preserve"> k provádění speciální očisty automobilové a bojové techniky pozemních jednotek po napadení zbraněmi hromadného ničení protivníka.</w:t>
      </w:r>
    </w:p>
  </w:footnote>
  <w:footnote w:id="45">
    <w:p w14:paraId="62B8B331" w14:textId="436C2FC3" w:rsidR="006017F2" w:rsidRDefault="006017F2" w:rsidP="00041C4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Kupní smlouvu uzavřelo MO s Vojenským výzkumným ústavem, s. p., dne </w:t>
      </w:r>
      <w:r>
        <w:rPr>
          <w:rFonts w:eastAsia="Calibri" w:cstheme="minorHAnsi"/>
        </w:rPr>
        <w:t xml:space="preserve">30. srpna 2018. </w:t>
      </w:r>
    </w:p>
  </w:footnote>
  <w:footnote w:id="46">
    <w:p w14:paraId="2B223B8C" w14:textId="4E8F7A8F" w:rsidR="006017F2" w:rsidRDefault="006017F2" w:rsidP="00041C4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ze dne 19. prosince 2016 č. 1166, </w:t>
      </w:r>
      <w:r w:rsidRPr="001A1654">
        <w:rPr>
          <w:i/>
        </w:rPr>
        <w:t>ke</w:t>
      </w:r>
      <w:r>
        <w:rPr>
          <w:i/>
        </w:rPr>
        <w:t xml:space="preserve"> </w:t>
      </w:r>
      <w:r w:rsidRPr="001A1654">
        <w:rPr>
          <w:i/>
        </w:rPr>
        <w:t>Strategii vyzbrojování a podpory rozvoje obranného průmyslu České republiky do roku 2025</w:t>
      </w:r>
      <w:r w:rsidRPr="00041C4C">
        <w:t>.</w:t>
      </w:r>
    </w:p>
  </w:footnote>
  <w:footnote w:id="47">
    <w:p w14:paraId="5FD81BA0" w14:textId="68E21786" w:rsidR="006017F2" w:rsidRPr="00997D26" w:rsidRDefault="006017F2" w:rsidP="00041C4C">
      <w:pPr>
        <w:pStyle w:val="Textpoznpodarou"/>
        <w:ind w:left="284" w:hanging="284"/>
        <w:rPr>
          <w:rFonts w:cstheme="minorHAnsi"/>
        </w:rPr>
      </w:pPr>
      <w:r w:rsidRPr="00997D26">
        <w:rPr>
          <w:rStyle w:val="Znakapoznpodarou"/>
          <w:rFonts w:cstheme="minorHAnsi"/>
        </w:rPr>
        <w:footnoteRef/>
      </w:r>
      <w:r w:rsidRPr="00997D2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7D26">
        <w:rPr>
          <w:rFonts w:cstheme="minorHAnsi"/>
        </w:rPr>
        <w:t>Schválena dne 17. září 2018 náčelníkem Generálního štábu AČR (čj. MO 227629/2017-3416).</w:t>
      </w:r>
    </w:p>
  </w:footnote>
  <w:footnote w:id="48">
    <w:p w14:paraId="60D6EB85" w14:textId="48ECCDD7" w:rsidR="006017F2" w:rsidRPr="00997D26" w:rsidRDefault="006017F2" w:rsidP="00041C4C">
      <w:pPr>
        <w:pStyle w:val="Textpoznpodarou"/>
        <w:ind w:left="284" w:hanging="284"/>
        <w:rPr>
          <w:rFonts w:cstheme="minorHAnsi"/>
        </w:rPr>
      </w:pPr>
      <w:r w:rsidRPr="00997D26">
        <w:rPr>
          <w:rStyle w:val="Znakapoznpodarou"/>
          <w:rFonts w:cstheme="minorHAnsi"/>
        </w:rPr>
        <w:footnoteRef/>
      </w:r>
      <w:r w:rsidRPr="00997D2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7D26">
        <w:rPr>
          <w:rFonts w:cstheme="minorHAnsi"/>
        </w:rPr>
        <w:t>Tyto</w:t>
      </w:r>
      <w:r>
        <w:rPr>
          <w:rFonts w:cstheme="minorHAnsi"/>
        </w:rPr>
        <w:t xml:space="preserve"> </w:t>
      </w:r>
      <w:r w:rsidRPr="00997D26">
        <w:rPr>
          <w:rFonts w:cstheme="minorHAnsi"/>
        </w:rPr>
        <w:t xml:space="preserve">úkoly pokrývají i tzv. statutární funkce CBO </w:t>
      </w:r>
      <w:r>
        <w:rPr>
          <w:rFonts w:cstheme="minorHAnsi"/>
        </w:rPr>
        <w:t xml:space="preserve">Těchonín </w:t>
      </w:r>
      <w:r w:rsidRPr="00997D26">
        <w:rPr>
          <w:rFonts w:cstheme="minorHAnsi"/>
        </w:rPr>
        <w:t xml:space="preserve">dle přílohy č. 2 uvedeného materiálu, k </w:t>
      </w:r>
      <w:r>
        <w:rPr>
          <w:rFonts w:cstheme="minorHAnsi"/>
        </w:rPr>
        <w:t>zmíněným funkcím</w:t>
      </w:r>
      <w:r w:rsidRPr="00997D26">
        <w:rPr>
          <w:rFonts w:cstheme="minorHAnsi"/>
        </w:rPr>
        <w:t xml:space="preserve"> patří mj. biologický obranný výzkum AČR a laboratorní diagnostika biologických agens zneužitelných k bioterorismu nebo k přípravě biologické zbraně. </w:t>
      </w:r>
    </w:p>
  </w:footnote>
  <w:footnote w:id="49">
    <w:p w14:paraId="30164488" w14:textId="3FA181BB" w:rsidR="006017F2" w:rsidRPr="003B4F7C" w:rsidRDefault="006017F2" w:rsidP="00041C4C">
      <w:pPr>
        <w:pStyle w:val="Textpoznpodarou"/>
        <w:ind w:left="284" w:hanging="284"/>
        <w:rPr>
          <w:rFonts w:cstheme="minorHAnsi"/>
        </w:rPr>
      </w:pPr>
      <w:r w:rsidRPr="00997D26">
        <w:rPr>
          <w:rStyle w:val="Znakapoznpodarou"/>
          <w:rFonts w:cstheme="minorHAnsi"/>
        </w:rPr>
        <w:footnoteRef/>
      </w:r>
      <w:r w:rsidRPr="00997D2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7D26">
        <w:rPr>
          <w:rFonts w:cstheme="minorHAnsi"/>
        </w:rPr>
        <w:t>Růst provozních výdajů v období 2020</w:t>
      </w:r>
      <w:r w:rsidRPr="00F264CF">
        <w:rPr>
          <w:rFonts w:cstheme="minorHAnsi"/>
          <w:color w:val="000000" w:themeColor="text1"/>
        </w:rPr>
        <w:t>–</w:t>
      </w:r>
      <w:r w:rsidRPr="00997D26">
        <w:rPr>
          <w:rFonts w:cstheme="minorHAnsi"/>
        </w:rPr>
        <w:t xml:space="preserve">2022 byl částečně způsoben externími vlivy </w:t>
      </w:r>
      <w:r>
        <w:rPr>
          <w:rFonts w:cstheme="minorHAnsi"/>
        </w:rPr>
        <w:t>(</w:t>
      </w:r>
      <w:r w:rsidRPr="00997D26">
        <w:rPr>
          <w:rFonts w:cstheme="minorHAnsi"/>
        </w:rPr>
        <w:t>růstem cen energií</w:t>
      </w:r>
      <w:r>
        <w:rPr>
          <w:rFonts w:cstheme="minorHAnsi"/>
        </w:rPr>
        <w:t>)</w:t>
      </w:r>
      <w:r w:rsidRPr="00997D26">
        <w:rPr>
          <w:rFonts w:cstheme="minorHAnsi"/>
        </w:rPr>
        <w:t>, které MO nemohlo ovlivnit.</w:t>
      </w:r>
    </w:p>
  </w:footnote>
  <w:footnote w:id="50">
    <w:p w14:paraId="4E83C4A2" w14:textId="7E83F111" w:rsidR="006017F2" w:rsidRPr="009A255A" w:rsidRDefault="006017F2" w:rsidP="00041C4C">
      <w:pPr>
        <w:pStyle w:val="Textpoznpodarou"/>
        <w:ind w:left="284" w:hanging="284"/>
        <w:rPr>
          <w:rFonts w:cstheme="minorHAnsi"/>
        </w:rPr>
      </w:pPr>
      <w:r w:rsidRPr="009A255A">
        <w:rPr>
          <w:rStyle w:val="Znakapoznpodarou"/>
          <w:rFonts w:cstheme="minorHAnsi"/>
        </w:rPr>
        <w:footnoteRef/>
      </w:r>
      <w:r w:rsidRPr="009A255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41C4C">
        <w:rPr>
          <w:rFonts w:cstheme="minorHAnsi"/>
          <w:i/>
        </w:rPr>
        <w:t>Vyhodnocení opatření Ministerstva obrany ke Kontrolnímu závěru Nejvyššího kontrolního úřadu z kontrolní akce č. 14/41 Peněžní prostředky vynakládané Ministerstvem obrany na zajištění úkolů biologické ochrany</w:t>
      </w:r>
      <w:r w:rsidRPr="009A255A">
        <w:rPr>
          <w:rFonts w:cstheme="minorHAnsi"/>
        </w:rPr>
        <w:t xml:space="preserve"> (čj. </w:t>
      </w:r>
      <w:proofErr w:type="spellStart"/>
      <w:r w:rsidRPr="009A255A">
        <w:rPr>
          <w:rFonts w:cstheme="minorHAnsi"/>
        </w:rPr>
        <w:t>SpMO</w:t>
      </w:r>
      <w:proofErr w:type="spellEnd"/>
      <w:r w:rsidRPr="009A255A">
        <w:rPr>
          <w:rFonts w:cstheme="minorHAnsi"/>
        </w:rPr>
        <w:t xml:space="preserve"> 12708/2017-1322). </w:t>
      </w:r>
    </w:p>
  </w:footnote>
  <w:footnote w:id="51">
    <w:p w14:paraId="35D122EB" w14:textId="2B78E42D" w:rsidR="006017F2" w:rsidRPr="009A255A" w:rsidRDefault="006017F2" w:rsidP="00041C4C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20"/>
          <w:szCs w:val="20"/>
        </w:rPr>
      </w:pPr>
      <w:r w:rsidRPr="009A255A">
        <w:rPr>
          <w:rStyle w:val="Znakapoznpodarou"/>
          <w:sz w:val="20"/>
          <w:szCs w:val="20"/>
        </w:rPr>
        <w:footnoteRef/>
      </w:r>
      <w:r w:rsidRPr="009A25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A255A">
        <w:rPr>
          <w:rFonts w:cstheme="minorHAnsi"/>
          <w:sz w:val="20"/>
          <w:szCs w:val="20"/>
        </w:rPr>
        <w:t>Realizovan</w:t>
      </w:r>
      <w:r>
        <w:rPr>
          <w:rFonts w:cstheme="minorHAnsi"/>
          <w:sz w:val="20"/>
          <w:szCs w:val="20"/>
        </w:rPr>
        <w:t>ými</w:t>
      </w:r>
      <w:r w:rsidRPr="009A255A">
        <w:rPr>
          <w:rFonts w:cstheme="minorHAnsi"/>
          <w:sz w:val="20"/>
          <w:szCs w:val="20"/>
        </w:rPr>
        <w:t xml:space="preserve"> opatření</w:t>
      </w:r>
      <w:r>
        <w:rPr>
          <w:rFonts w:cstheme="minorHAnsi"/>
          <w:sz w:val="20"/>
          <w:szCs w:val="20"/>
        </w:rPr>
        <w:t>mi</w:t>
      </w:r>
      <w:r w:rsidRPr="009A255A">
        <w:rPr>
          <w:rFonts w:cstheme="minorHAnsi"/>
          <w:sz w:val="20"/>
          <w:szCs w:val="20"/>
        </w:rPr>
        <w:t xml:space="preserve"> odstranil</w:t>
      </w:r>
      <w:r>
        <w:rPr>
          <w:rFonts w:cstheme="minorHAnsi"/>
          <w:sz w:val="20"/>
          <w:szCs w:val="20"/>
        </w:rPr>
        <w:t>o</w:t>
      </w:r>
      <w:r w:rsidRPr="009A255A">
        <w:rPr>
          <w:rFonts w:cstheme="minorHAnsi"/>
          <w:sz w:val="20"/>
          <w:szCs w:val="20"/>
        </w:rPr>
        <w:t xml:space="preserve"> MO </w:t>
      </w:r>
      <w:r>
        <w:rPr>
          <w:rFonts w:cstheme="minorHAnsi"/>
          <w:sz w:val="20"/>
          <w:szCs w:val="20"/>
        </w:rPr>
        <w:t xml:space="preserve">tyto tři </w:t>
      </w:r>
      <w:r w:rsidRPr="009A255A">
        <w:rPr>
          <w:rFonts w:cstheme="minorHAnsi"/>
          <w:sz w:val="20"/>
          <w:szCs w:val="20"/>
        </w:rPr>
        <w:t xml:space="preserve">nedostatky </w:t>
      </w:r>
      <w:r>
        <w:rPr>
          <w:rFonts w:cstheme="minorHAnsi"/>
          <w:sz w:val="20"/>
          <w:szCs w:val="20"/>
        </w:rPr>
        <w:t>zjištěné NKÚ:</w:t>
      </w:r>
      <w:r w:rsidRPr="009A25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1) </w:t>
      </w:r>
      <w:r w:rsidRPr="009A255A">
        <w:rPr>
          <w:rFonts w:cstheme="minorHAnsi"/>
          <w:i/>
          <w:iCs/>
          <w:sz w:val="20"/>
          <w:szCs w:val="20"/>
        </w:rPr>
        <w:t>MO provedlo velký počet organizačních změn, což nepodporuje fungování MO</w:t>
      </w:r>
      <w:r>
        <w:rPr>
          <w:rFonts w:cstheme="minorHAnsi"/>
          <w:iCs/>
          <w:sz w:val="20"/>
          <w:szCs w:val="20"/>
        </w:rPr>
        <w:t>;</w:t>
      </w:r>
      <w:r w:rsidRPr="009A25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2) </w:t>
      </w:r>
      <w:r w:rsidRPr="009A255A">
        <w:rPr>
          <w:rFonts w:cstheme="minorHAnsi"/>
          <w:i/>
          <w:iCs/>
          <w:sz w:val="20"/>
          <w:szCs w:val="20"/>
        </w:rPr>
        <w:t xml:space="preserve">MO zabezpečovalo od září roku 2013 správu </w:t>
      </w:r>
      <w:r w:rsidR="00D50C5D">
        <w:rPr>
          <w:rFonts w:cstheme="minorHAnsi"/>
          <w:i/>
          <w:iCs/>
          <w:sz w:val="20"/>
          <w:szCs w:val="20"/>
        </w:rPr>
        <w:br/>
      </w:r>
      <w:r w:rsidRPr="009A255A">
        <w:rPr>
          <w:rFonts w:cstheme="minorHAnsi"/>
          <w:i/>
          <w:iCs/>
          <w:sz w:val="20"/>
          <w:szCs w:val="20"/>
        </w:rPr>
        <w:t>a</w:t>
      </w:r>
      <w:r w:rsidR="00D50C5D">
        <w:rPr>
          <w:rFonts w:cstheme="minorHAnsi"/>
          <w:i/>
          <w:iCs/>
          <w:sz w:val="20"/>
          <w:szCs w:val="20"/>
        </w:rPr>
        <w:t xml:space="preserve"> </w:t>
      </w:r>
      <w:r w:rsidRPr="009A255A">
        <w:rPr>
          <w:rFonts w:cstheme="minorHAnsi"/>
          <w:i/>
          <w:iCs/>
          <w:sz w:val="20"/>
          <w:szCs w:val="20"/>
        </w:rPr>
        <w:t>provoz CBO na základě smluvního vztahu s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9A255A">
        <w:rPr>
          <w:rFonts w:cstheme="minorHAnsi"/>
          <w:i/>
          <w:iCs/>
          <w:sz w:val="20"/>
          <w:szCs w:val="20"/>
        </w:rPr>
        <w:t>nedostatečnými specifikacemi služeb</w:t>
      </w:r>
      <w:r>
        <w:rPr>
          <w:rFonts w:cstheme="minorHAnsi"/>
          <w:iCs/>
          <w:sz w:val="20"/>
          <w:szCs w:val="20"/>
        </w:rPr>
        <w:t>; 3)</w:t>
      </w:r>
      <w:r w:rsidRPr="009A255A">
        <w:rPr>
          <w:rFonts w:cstheme="minorHAnsi"/>
          <w:sz w:val="20"/>
          <w:szCs w:val="20"/>
        </w:rPr>
        <w:t xml:space="preserve"> </w:t>
      </w:r>
      <w:r w:rsidRPr="009A255A">
        <w:rPr>
          <w:rFonts w:cstheme="minorHAnsi"/>
          <w:i/>
          <w:iCs/>
          <w:sz w:val="20"/>
          <w:szCs w:val="20"/>
        </w:rPr>
        <w:t>MO koncepčně nevyřešilo rozvoj a efektivní využití objektu CBO Těchonín.</w:t>
      </w:r>
      <w:r w:rsidRPr="009A255A">
        <w:rPr>
          <w:rFonts w:cstheme="minorHAnsi"/>
          <w:sz w:val="20"/>
          <w:szCs w:val="20"/>
        </w:rPr>
        <w:t xml:space="preserve"> </w:t>
      </w:r>
    </w:p>
  </w:footnote>
  <w:footnote w:id="52">
    <w:p w14:paraId="301B5823" w14:textId="0AFA4158" w:rsidR="006017F2" w:rsidRDefault="006017F2" w:rsidP="00041C4C">
      <w:pPr>
        <w:pStyle w:val="Textpoznpodarou"/>
        <w:ind w:left="284" w:hanging="284"/>
      </w:pPr>
      <w:r w:rsidRPr="007B1E88">
        <w:rPr>
          <w:rStyle w:val="Znakapoznpodarou"/>
          <w:rFonts w:cstheme="minorHAnsi"/>
        </w:rPr>
        <w:footnoteRef/>
      </w:r>
      <w:r w:rsidRPr="007B1E8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B1E88">
        <w:rPr>
          <w:rFonts w:cstheme="minorHAnsi"/>
        </w:rPr>
        <w:t>V rámci kontroly realizace akce nezjistil NKÚ nedostatky.</w:t>
      </w:r>
      <w:r>
        <w:t xml:space="preserve"> </w:t>
      </w:r>
    </w:p>
  </w:footnote>
  <w:footnote w:id="53">
    <w:p w14:paraId="24111607" w14:textId="2A96E291" w:rsidR="006017F2" w:rsidRPr="009D5198" w:rsidRDefault="006017F2" w:rsidP="00041C4C">
      <w:pPr>
        <w:spacing w:after="0"/>
        <w:ind w:left="284" w:hanging="284"/>
        <w:rPr>
          <w:rFonts w:cstheme="minorHAnsi"/>
          <w:bCs/>
          <w:sz w:val="20"/>
          <w:szCs w:val="20"/>
        </w:rPr>
      </w:pPr>
      <w:r w:rsidRPr="009D5198">
        <w:rPr>
          <w:rStyle w:val="Znakapoznpodarou"/>
          <w:rFonts w:cstheme="minorHAnsi"/>
          <w:sz w:val="20"/>
          <w:szCs w:val="20"/>
        </w:rPr>
        <w:footnoteRef/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Funkce č</w:t>
      </w:r>
      <w:r w:rsidRPr="009D5198">
        <w:rPr>
          <w:rFonts w:cstheme="minorHAnsi"/>
          <w:sz w:val="20"/>
          <w:szCs w:val="20"/>
        </w:rPr>
        <w:t xml:space="preserve">. 2 </w:t>
      </w:r>
      <w:r w:rsidRPr="00BC2061">
        <w:rPr>
          <w:rFonts w:cstheme="minorHAnsi"/>
          <w:sz w:val="20"/>
          <w:szCs w:val="20"/>
        </w:rPr>
        <w:t>–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g</w:t>
      </w:r>
      <w:r w:rsidRPr="009D5198">
        <w:rPr>
          <w:rFonts w:cstheme="minorHAnsi"/>
          <w:i/>
          <w:sz w:val="20"/>
          <w:szCs w:val="20"/>
        </w:rPr>
        <w:t xml:space="preserve">arance specializace AČR v Alianci na OPZHN v oblasti biologické ochrany; současně podpora JCBRN </w:t>
      </w:r>
      <w:proofErr w:type="spellStart"/>
      <w:r w:rsidRPr="009D5198">
        <w:rPr>
          <w:rFonts w:cstheme="minorHAnsi"/>
          <w:i/>
          <w:sz w:val="20"/>
          <w:szCs w:val="20"/>
        </w:rPr>
        <w:t>Defence</w:t>
      </w:r>
      <w:proofErr w:type="spellEnd"/>
      <w:r w:rsidRPr="009D5198">
        <w:rPr>
          <w:rFonts w:cstheme="minorHAnsi"/>
          <w:i/>
          <w:sz w:val="20"/>
          <w:szCs w:val="20"/>
        </w:rPr>
        <w:t xml:space="preserve"> COE v této oblasti</w:t>
      </w:r>
      <w:r>
        <w:rPr>
          <w:rFonts w:cstheme="minorHAnsi"/>
          <w:sz w:val="20"/>
          <w:szCs w:val="20"/>
        </w:rPr>
        <w:t>;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funkce </w:t>
      </w:r>
      <w:r w:rsidRPr="009D5198">
        <w:rPr>
          <w:rFonts w:cstheme="minorHAnsi"/>
          <w:sz w:val="20"/>
          <w:szCs w:val="20"/>
        </w:rPr>
        <w:t xml:space="preserve">č. 3 </w:t>
      </w:r>
      <w:r w:rsidRPr="00BC2061">
        <w:rPr>
          <w:rFonts w:cstheme="minorHAnsi"/>
          <w:sz w:val="20"/>
          <w:szCs w:val="20"/>
        </w:rPr>
        <w:t>–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š</w:t>
      </w:r>
      <w:r w:rsidRPr="009D5198">
        <w:rPr>
          <w:rFonts w:cstheme="minorHAnsi"/>
          <w:i/>
          <w:sz w:val="20"/>
          <w:szCs w:val="20"/>
        </w:rPr>
        <w:t>kolení a výcvik specialistů vojenské zdravotnické služby pro plnění úkolů biologické ochrany na národní a mezinárodní úrovni</w:t>
      </w:r>
      <w:r>
        <w:rPr>
          <w:rFonts w:cstheme="minorHAnsi"/>
          <w:sz w:val="20"/>
          <w:szCs w:val="20"/>
        </w:rPr>
        <w:t>;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funkce </w:t>
      </w:r>
      <w:r w:rsidRPr="009D5198">
        <w:rPr>
          <w:rFonts w:cstheme="minorHAnsi"/>
          <w:sz w:val="20"/>
          <w:szCs w:val="20"/>
        </w:rPr>
        <w:t xml:space="preserve">č. 4 </w:t>
      </w:r>
      <w:r w:rsidRPr="00BC2061">
        <w:rPr>
          <w:rFonts w:cstheme="minorHAnsi"/>
          <w:sz w:val="20"/>
          <w:szCs w:val="20"/>
        </w:rPr>
        <w:t>–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ř</w:t>
      </w:r>
      <w:r w:rsidRPr="009D5198">
        <w:rPr>
          <w:rFonts w:cstheme="minorHAnsi"/>
          <w:i/>
          <w:sz w:val="20"/>
          <w:szCs w:val="20"/>
        </w:rPr>
        <w:t>ešení úkolů ve prospěch IZS</w:t>
      </w:r>
      <w:r>
        <w:rPr>
          <w:rFonts w:cstheme="minorHAnsi"/>
          <w:sz w:val="20"/>
          <w:szCs w:val="20"/>
        </w:rPr>
        <w:t>;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funkce</w:t>
      </w:r>
      <w:r w:rsidRPr="009D5198">
        <w:rPr>
          <w:rFonts w:cstheme="minorHAnsi"/>
          <w:sz w:val="20"/>
          <w:szCs w:val="20"/>
        </w:rPr>
        <w:t xml:space="preserve"> č. 5 </w:t>
      </w:r>
      <w:r w:rsidRPr="00BC2061">
        <w:rPr>
          <w:rFonts w:cstheme="minorHAnsi"/>
          <w:sz w:val="20"/>
          <w:szCs w:val="20"/>
        </w:rPr>
        <w:t>–</w:t>
      </w:r>
      <w:r w:rsidRPr="009D51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u</w:t>
      </w:r>
      <w:r w:rsidRPr="009D5198">
        <w:rPr>
          <w:rFonts w:cstheme="minorHAnsi"/>
          <w:i/>
          <w:sz w:val="20"/>
          <w:szCs w:val="20"/>
        </w:rPr>
        <w:t>ložení vojenské a specializované zdravotnické techniky pro mobilní biologické týmy, mobilní hospitalizační jednotku a mobilní polní mikrobiologickou laboratoř</w:t>
      </w:r>
      <w:r>
        <w:rPr>
          <w:rFonts w:cstheme="minorHAnsi"/>
          <w:i/>
          <w:sz w:val="20"/>
          <w:szCs w:val="20"/>
        </w:rPr>
        <w:t>;</w:t>
      </w:r>
      <w:r w:rsidRPr="009D5198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s</w:t>
      </w:r>
      <w:r w:rsidRPr="009D5198">
        <w:rPr>
          <w:rFonts w:cstheme="minorHAnsi"/>
          <w:i/>
          <w:sz w:val="20"/>
          <w:szCs w:val="20"/>
        </w:rPr>
        <w:t>oučasně zajištění výcviku těchto prvků k</w:t>
      </w:r>
      <w:r>
        <w:rPr>
          <w:rFonts w:cstheme="minorHAnsi"/>
          <w:i/>
          <w:sz w:val="20"/>
          <w:szCs w:val="20"/>
        </w:rPr>
        <w:t> </w:t>
      </w:r>
      <w:r w:rsidRPr="009D5198">
        <w:rPr>
          <w:rFonts w:cstheme="minorHAnsi"/>
          <w:i/>
          <w:sz w:val="20"/>
          <w:szCs w:val="20"/>
        </w:rPr>
        <w:t>nasazení do misí</w:t>
      </w:r>
      <w:r w:rsidRPr="009D5198">
        <w:rPr>
          <w:rFonts w:cstheme="minorHAnsi"/>
          <w:sz w:val="20"/>
          <w:szCs w:val="20"/>
        </w:rPr>
        <w:t>.</w:t>
      </w:r>
    </w:p>
  </w:footnote>
  <w:footnote w:id="54">
    <w:p w14:paraId="3E86BFD1" w14:textId="7E7D895A" w:rsidR="006017F2" w:rsidRPr="00DF1E3E" w:rsidRDefault="006017F2" w:rsidP="00041C4C">
      <w:pPr>
        <w:pStyle w:val="Textpoznpodarou"/>
        <w:ind w:left="284" w:hanging="284"/>
        <w:rPr>
          <w:color w:val="000000" w:themeColor="text1"/>
        </w:rPr>
      </w:pPr>
      <w:r w:rsidRPr="009D5198">
        <w:rPr>
          <w:rStyle w:val="Znakapoznpodarou"/>
          <w:rFonts w:cstheme="minorHAnsi"/>
        </w:rPr>
        <w:footnoteRef/>
      </w:r>
      <w:r w:rsidRPr="009D519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D5198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9D5198">
        <w:rPr>
          <w:rFonts w:cstheme="minorHAnsi"/>
        </w:rPr>
        <w:t>případě aktivace CBO Těchonín do plného provozu by musel být výzkum v</w:t>
      </w:r>
      <w:r>
        <w:rPr>
          <w:rFonts w:cstheme="minorHAnsi"/>
        </w:rPr>
        <w:t xml:space="preserve"> </w:t>
      </w:r>
      <w:r w:rsidRPr="009D5198">
        <w:rPr>
          <w:rFonts w:cstheme="minorHAnsi"/>
        </w:rPr>
        <w:t>laboratořích přerušen ve prospěch klinických vyšetření.</w:t>
      </w:r>
    </w:p>
  </w:footnote>
  <w:footnote w:id="55">
    <w:p w14:paraId="20C8C248" w14:textId="4ED63DD1" w:rsidR="006017F2" w:rsidRPr="00F4595E" w:rsidRDefault="006017F2" w:rsidP="00041C4C">
      <w:pPr>
        <w:pStyle w:val="Textpoznpodarou"/>
        <w:ind w:left="284" w:hanging="284"/>
        <w:rPr>
          <w:rFonts w:cstheme="minorHAnsi"/>
        </w:rPr>
      </w:pPr>
      <w:r w:rsidRPr="00F4595E">
        <w:rPr>
          <w:rStyle w:val="Znakapoznpodarou"/>
          <w:rFonts w:cstheme="minorHAnsi"/>
        </w:rPr>
        <w:footnoteRef/>
      </w:r>
      <w:r w:rsidRPr="00F4595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4595E">
        <w:rPr>
          <w:rFonts w:cstheme="minorHAnsi"/>
        </w:rPr>
        <w:t>Výstavb</w:t>
      </w:r>
      <w:r>
        <w:rPr>
          <w:rFonts w:cstheme="minorHAnsi"/>
        </w:rPr>
        <w:t>u</w:t>
      </w:r>
      <w:r w:rsidRPr="00F4595E">
        <w:rPr>
          <w:rFonts w:cstheme="minorHAnsi"/>
        </w:rPr>
        <w:t xml:space="preserve"> CBO Těchonín </w:t>
      </w:r>
      <w:r>
        <w:rPr>
          <w:rFonts w:cstheme="minorHAnsi"/>
        </w:rPr>
        <w:t>zahájilo MO</w:t>
      </w:r>
      <w:r w:rsidRPr="00F4595E">
        <w:rPr>
          <w:rFonts w:cstheme="minorHAnsi"/>
        </w:rPr>
        <w:t xml:space="preserve"> v roce 2001 bezprostředně po 11. září 2001 na základě úkolového listu ministra obrany číslo 642/2001-8764.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0D7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1B74"/>
    <w:multiLevelType w:val="hybridMultilevel"/>
    <w:tmpl w:val="34F29718"/>
    <w:lvl w:ilvl="0" w:tplc="A5C62D8E">
      <w:start w:val="1"/>
      <w:numFmt w:val="decimal"/>
      <w:lvlText w:val="%1)"/>
      <w:lvlJc w:val="left"/>
      <w:pPr>
        <w:ind w:left="381" w:hanging="360"/>
      </w:pPr>
      <w:rPr>
        <w:rFonts w:hint="default"/>
        <w:i w:val="0"/>
      </w:rPr>
    </w:lvl>
    <w:lvl w:ilvl="1" w:tplc="2390B354" w:tentative="1">
      <w:start w:val="1"/>
      <w:numFmt w:val="lowerLetter"/>
      <w:lvlText w:val="%2."/>
      <w:lvlJc w:val="left"/>
      <w:pPr>
        <w:ind w:left="1101" w:hanging="360"/>
      </w:pPr>
    </w:lvl>
    <w:lvl w:ilvl="2" w:tplc="55BA3DC6" w:tentative="1">
      <w:start w:val="1"/>
      <w:numFmt w:val="lowerRoman"/>
      <w:lvlText w:val="%3."/>
      <w:lvlJc w:val="right"/>
      <w:pPr>
        <w:ind w:left="1821" w:hanging="180"/>
      </w:pPr>
    </w:lvl>
    <w:lvl w:ilvl="3" w:tplc="5A9C8EE8" w:tentative="1">
      <w:start w:val="1"/>
      <w:numFmt w:val="decimal"/>
      <w:lvlText w:val="%4."/>
      <w:lvlJc w:val="left"/>
      <w:pPr>
        <w:ind w:left="2541" w:hanging="360"/>
      </w:pPr>
    </w:lvl>
    <w:lvl w:ilvl="4" w:tplc="070CCB7A" w:tentative="1">
      <w:start w:val="1"/>
      <w:numFmt w:val="lowerLetter"/>
      <w:lvlText w:val="%5."/>
      <w:lvlJc w:val="left"/>
      <w:pPr>
        <w:ind w:left="3261" w:hanging="360"/>
      </w:pPr>
    </w:lvl>
    <w:lvl w:ilvl="5" w:tplc="A30EE622" w:tentative="1">
      <w:start w:val="1"/>
      <w:numFmt w:val="lowerRoman"/>
      <w:lvlText w:val="%6."/>
      <w:lvlJc w:val="right"/>
      <w:pPr>
        <w:ind w:left="3981" w:hanging="180"/>
      </w:pPr>
    </w:lvl>
    <w:lvl w:ilvl="6" w:tplc="27BE07D2" w:tentative="1">
      <w:start w:val="1"/>
      <w:numFmt w:val="decimal"/>
      <w:lvlText w:val="%7."/>
      <w:lvlJc w:val="left"/>
      <w:pPr>
        <w:ind w:left="4701" w:hanging="360"/>
      </w:pPr>
    </w:lvl>
    <w:lvl w:ilvl="7" w:tplc="7FD6B24C" w:tentative="1">
      <w:start w:val="1"/>
      <w:numFmt w:val="lowerLetter"/>
      <w:lvlText w:val="%8."/>
      <w:lvlJc w:val="left"/>
      <w:pPr>
        <w:ind w:left="5421" w:hanging="360"/>
      </w:pPr>
    </w:lvl>
    <w:lvl w:ilvl="8" w:tplc="BCF8F3AE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08457B90"/>
    <w:multiLevelType w:val="hybridMultilevel"/>
    <w:tmpl w:val="1076C274"/>
    <w:lvl w:ilvl="0" w:tplc="C9A449DE">
      <w:start w:val="1"/>
      <w:numFmt w:val="decimal"/>
      <w:pStyle w:val="Nzevtabulka"/>
      <w:lvlText w:val="Tabulka č.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950EA30" w:tentative="1">
      <w:start w:val="1"/>
      <w:numFmt w:val="lowerLetter"/>
      <w:lvlText w:val="%2."/>
      <w:lvlJc w:val="left"/>
      <w:pPr>
        <w:ind w:left="1440" w:hanging="360"/>
      </w:pPr>
    </w:lvl>
    <w:lvl w:ilvl="2" w:tplc="B4221BAC" w:tentative="1">
      <w:start w:val="1"/>
      <w:numFmt w:val="lowerRoman"/>
      <w:lvlText w:val="%3."/>
      <w:lvlJc w:val="right"/>
      <w:pPr>
        <w:ind w:left="2160" w:hanging="180"/>
      </w:pPr>
    </w:lvl>
    <w:lvl w:ilvl="3" w:tplc="F72AD03A" w:tentative="1">
      <w:start w:val="1"/>
      <w:numFmt w:val="decimal"/>
      <w:lvlText w:val="%4."/>
      <w:lvlJc w:val="left"/>
      <w:pPr>
        <w:ind w:left="2880" w:hanging="360"/>
      </w:pPr>
    </w:lvl>
    <w:lvl w:ilvl="4" w:tplc="DBA2673A" w:tentative="1">
      <w:start w:val="1"/>
      <w:numFmt w:val="lowerLetter"/>
      <w:lvlText w:val="%5."/>
      <w:lvlJc w:val="left"/>
      <w:pPr>
        <w:ind w:left="3600" w:hanging="360"/>
      </w:pPr>
    </w:lvl>
    <w:lvl w:ilvl="5" w:tplc="B0F8C740" w:tentative="1">
      <w:start w:val="1"/>
      <w:numFmt w:val="lowerRoman"/>
      <w:lvlText w:val="%6."/>
      <w:lvlJc w:val="right"/>
      <w:pPr>
        <w:ind w:left="4320" w:hanging="180"/>
      </w:pPr>
    </w:lvl>
    <w:lvl w:ilvl="6" w:tplc="9B56A972" w:tentative="1">
      <w:start w:val="1"/>
      <w:numFmt w:val="decimal"/>
      <w:lvlText w:val="%7."/>
      <w:lvlJc w:val="left"/>
      <w:pPr>
        <w:ind w:left="5040" w:hanging="360"/>
      </w:pPr>
    </w:lvl>
    <w:lvl w:ilvl="7" w:tplc="F28CA3C6" w:tentative="1">
      <w:start w:val="1"/>
      <w:numFmt w:val="lowerLetter"/>
      <w:lvlText w:val="%8."/>
      <w:lvlJc w:val="left"/>
      <w:pPr>
        <w:ind w:left="5760" w:hanging="360"/>
      </w:pPr>
    </w:lvl>
    <w:lvl w:ilvl="8" w:tplc="5FD2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6EE"/>
    <w:multiLevelType w:val="hybridMultilevel"/>
    <w:tmpl w:val="7FD2412A"/>
    <w:lvl w:ilvl="0" w:tplc="B266A430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573C04AA" w:tentative="1">
      <w:start w:val="1"/>
      <w:numFmt w:val="lowerLetter"/>
      <w:lvlText w:val="%2."/>
      <w:lvlJc w:val="left"/>
      <w:pPr>
        <w:ind w:left="1080" w:hanging="360"/>
      </w:pPr>
    </w:lvl>
    <w:lvl w:ilvl="2" w:tplc="55703216" w:tentative="1">
      <w:start w:val="1"/>
      <w:numFmt w:val="lowerRoman"/>
      <w:lvlText w:val="%3."/>
      <w:lvlJc w:val="right"/>
      <w:pPr>
        <w:ind w:left="1800" w:hanging="180"/>
      </w:pPr>
    </w:lvl>
    <w:lvl w:ilvl="3" w:tplc="D9C050A8" w:tentative="1">
      <w:start w:val="1"/>
      <w:numFmt w:val="decimal"/>
      <w:lvlText w:val="%4."/>
      <w:lvlJc w:val="left"/>
      <w:pPr>
        <w:ind w:left="2520" w:hanging="360"/>
      </w:pPr>
    </w:lvl>
    <w:lvl w:ilvl="4" w:tplc="91863AAE" w:tentative="1">
      <w:start w:val="1"/>
      <w:numFmt w:val="lowerLetter"/>
      <w:lvlText w:val="%5."/>
      <w:lvlJc w:val="left"/>
      <w:pPr>
        <w:ind w:left="3240" w:hanging="360"/>
      </w:pPr>
    </w:lvl>
    <w:lvl w:ilvl="5" w:tplc="A6F6A1C4" w:tentative="1">
      <w:start w:val="1"/>
      <w:numFmt w:val="lowerRoman"/>
      <w:lvlText w:val="%6."/>
      <w:lvlJc w:val="right"/>
      <w:pPr>
        <w:ind w:left="3960" w:hanging="180"/>
      </w:pPr>
    </w:lvl>
    <w:lvl w:ilvl="6" w:tplc="66FA1280" w:tentative="1">
      <w:start w:val="1"/>
      <w:numFmt w:val="decimal"/>
      <w:lvlText w:val="%7."/>
      <w:lvlJc w:val="left"/>
      <w:pPr>
        <w:ind w:left="4680" w:hanging="360"/>
      </w:pPr>
    </w:lvl>
    <w:lvl w:ilvl="7" w:tplc="2C647690" w:tentative="1">
      <w:start w:val="1"/>
      <w:numFmt w:val="lowerLetter"/>
      <w:lvlText w:val="%8."/>
      <w:lvlJc w:val="left"/>
      <w:pPr>
        <w:ind w:left="5400" w:hanging="360"/>
      </w:pPr>
    </w:lvl>
    <w:lvl w:ilvl="8" w:tplc="0F745C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14C19"/>
    <w:multiLevelType w:val="hybridMultilevel"/>
    <w:tmpl w:val="B950BD3E"/>
    <w:lvl w:ilvl="0" w:tplc="ACD2917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B6008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AD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E1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E9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02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45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CC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6B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FA1"/>
    <w:multiLevelType w:val="hybridMultilevel"/>
    <w:tmpl w:val="4552E8EA"/>
    <w:lvl w:ilvl="0" w:tplc="574EAE94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7E60"/>
    <w:multiLevelType w:val="hybridMultilevel"/>
    <w:tmpl w:val="D4463E0C"/>
    <w:lvl w:ilvl="0" w:tplc="B0149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C87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0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7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3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8F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83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EB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6434"/>
    <w:multiLevelType w:val="hybridMultilevel"/>
    <w:tmpl w:val="B23AD0DE"/>
    <w:lvl w:ilvl="0" w:tplc="6F98BC4C">
      <w:start w:val="1"/>
      <w:numFmt w:val="decimal"/>
      <w:lvlText w:val="%1."/>
      <w:lvlJc w:val="left"/>
      <w:pPr>
        <w:ind w:left="720" w:hanging="360"/>
      </w:pPr>
    </w:lvl>
    <w:lvl w:ilvl="1" w:tplc="34C8542E" w:tentative="1">
      <w:start w:val="1"/>
      <w:numFmt w:val="lowerLetter"/>
      <w:lvlText w:val="%2."/>
      <w:lvlJc w:val="left"/>
      <w:pPr>
        <w:ind w:left="1440" w:hanging="360"/>
      </w:pPr>
    </w:lvl>
    <w:lvl w:ilvl="2" w:tplc="E9086AB6" w:tentative="1">
      <w:start w:val="1"/>
      <w:numFmt w:val="lowerRoman"/>
      <w:lvlText w:val="%3."/>
      <w:lvlJc w:val="right"/>
      <w:pPr>
        <w:ind w:left="2160" w:hanging="180"/>
      </w:pPr>
    </w:lvl>
    <w:lvl w:ilvl="3" w:tplc="46DCDAD2" w:tentative="1">
      <w:start w:val="1"/>
      <w:numFmt w:val="decimal"/>
      <w:lvlText w:val="%4."/>
      <w:lvlJc w:val="left"/>
      <w:pPr>
        <w:ind w:left="2880" w:hanging="360"/>
      </w:pPr>
    </w:lvl>
    <w:lvl w:ilvl="4" w:tplc="251AE422" w:tentative="1">
      <w:start w:val="1"/>
      <w:numFmt w:val="lowerLetter"/>
      <w:lvlText w:val="%5."/>
      <w:lvlJc w:val="left"/>
      <w:pPr>
        <w:ind w:left="3600" w:hanging="360"/>
      </w:pPr>
    </w:lvl>
    <w:lvl w:ilvl="5" w:tplc="836C2660" w:tentative="1">
      <w:start w:val="1"/>
      <w:numFmt w:val="lowerRoman"/>
      <w:lvlText w:val="%6."/>
      <w:lvlJc w:val="right"/>
      <w:pPr>
        <w:ind w:left="4320" w:hanging="180"/>
      </w:pPr>
    </w:lvl>
    <w:lvl w:ilvl="6" w:tplc="8C6EE94E" w:tentative="1">
      <w:start w:val="1"/>
      <w:numFmt w:val="decimal"/>
      <w:lvlText w:val="%7."/>
      <w:lvlJc w:val="left"/>
      <w:pPr>
        <w:ind w:left="5040" w:hanging="360"/>
      </w:pPr>
    </w:lvl>
    <w:lvl w:ilvl="7" w:tplc="12BE5954" w:tentative="1">
      <w:start w:val="1"/>
      <w:numFmt w:val="lowerLetter"/>
      <w:lvlText w:val="%8."/>
      <w:lvlJc w:val="left"/>
      <w:pPr>
        <w:ind w:left="5760" w:hanging="360"/>
      </w:pPr>
    </w:lvl>
    <w:lvl w:ilvl="8" w:tplc="5B30D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385"/>
    <w:multiLevelType w:val="hybridMultilevel"/>
    <w:tmpl w:val="4B520528"/>
    <w:lvl w:ilvl="0" w:tplc="0952DAD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DECCD062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2F8DEDE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9B22810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EC69FEE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74895C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6DCC9A8A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9368A5E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CBD40BEA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8A8087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3C14B24"/>
    <w:multiLevelType w:val="hybridMultilevel"/>
    <w:tmpl w:val="199261D4"/>
    <w:lvl w:ilvl="0" w:tplc="85AEE210">
      <w:start w:val="1"/>
      <w:numFmt w:val="decimal"/>
      <w:pStyle w:val="Nzevgraf"/>
      <w:lvlText w:val="Graf č. %1:"/>
      <w:lvlJc w:val="left"/>
      <w:pPr>
        <w:ind w:left="360" w:hanging="360"/>
      </w:pPr>
      <w:rPr>
        <w:rFonts w:hint="default"/>
      </w:rPr>
    </w:lvl>
    <w:lvl w:ilvl="1" w:tplc="167AA4AA" w:tentative="1">
      <w:start w:val="1"/>
      <w:numFmt w:val="lowerLetter"/>
      <w:lvlText w:val="%2."/>
      <w:lvlJc w:val="left"/>
      <w:pPr>
        <w:ind w:left="1440" w:hanging="360"/>
      </w:pPr>
    </w:lvl>
    <w:lvl w:ilvl="2" w:tplc="9C840B38" w:tentative="1">
      <w:start w:val="1"/>
      <w:numFmt w:val="lowerRoman"/>
      <w:lvlText w:val="%3."/>
      <w:lvlJc w:val="right"/>
      <w:pPr>
        <w:ind w:left="2160" w:hanging="180"/>
      </w:pPr>
    </w:lvl>
    <w:lvl w:ilvl="3" w:tplc="CFB270F4" w:tentative="1">
      <w:start w:val="1"/>
      <w:numFmt w:val="decimal"/>
      <w:lvlText w:val="%4."/>
      <w:lvlJc w:val="left"/>
      <w:pPr>
        <w:ind w:left="2880" w:hanging="360"/>
      </w:pPr>
    </w:lvl>
    <w:lvl w:ilvl="4" w:tplc="B9DEFF2E" w:tentative="1">
      <w:start w:val="1"/>
      <w:numFmt w:val="lowerLetter"/>
      <w:lvlText w:val="%5."/>
      <w:lvlJc w:val="left"/>
      <w:pPr>
        <w:ind w:left="3600" w:hanging="360"/>
      </w:pPr>
    </w:lvl>
    <w:lvl w:ilvl="5" w:tplc="2CFE6264" w:tentative="1">
      <w:start w:val="1"/>
      <w:numFmt w:val="lowerRoman"/>
      <w:lvlText w:val="%6."/>
      <w:lvlJc w:val="right"/>
      <w:pPr>
        <w:ind w:left="4320" w:hanging="180"/>
      </w:pPr>
    </w:lvl>
    <w:lvl w:ilvl="6" w:tplc="3634F3BA" w:tentative="1">
      <w:start w:val="1"/>
      <w:numFmt w:val="decimal"/>
      <w:lvlText w:val="%7."/>
      <w:lvlJc w:val="left"/>
      <w:pPr>
        <w:ind w:left="5040" w:hanging="360"/>
      </w:pPr>
    </w:lvl>
    <w:lvl w:ilvl="7" w:tplc="AF9A44C4" w:tentative="1">
      <w:start w:val="1"/>
      <w:numFmt w:val="lowerLetter"/>
      <w:lvlText w:val="%8."/>
      <w:lvlJc w:val="left"/>
      <w:pPr>
        <w:ind w:left="5760" w:hanging="360"/>
      </w:pPr>
    </w:lvl>
    <w:lvl w:ilvl="8" w:tplc="A6766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C6EE2"/>
    <w:multiLevelType w:val="hybridMultilevel"/>
    <w:tmpl w:val="832E181E"/>
    <w:lvl w:ilvl="0" w:tplc="574EAE9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820E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04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0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8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E0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C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0A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EE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5BA2"/>
    <w:multiLevelType w:val="hybridMultilevel"/>
    <w:tmpl w:val="B7AE217C"/>
    <w:lvl w:ilvl="0" w:tplc="28DCC55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83B8AE58" w:tentative="1">
      <w:start w:val="1"/>
      <w:numFmt w:val="lowerLetter"/>
      <w:lvlText w:val="%2."/>
      <w:lvlJc w:val="left"/>
      <w:pPr>
        <w:ind w:left="1363" w:hanging="360"/>
      </w:pPr>
    </w:lvl>
    <w:lvl w:ilvl="2" w:tplc="19286B14" w:tentative="1">
      <w:start w:val="1"/>
      <w:numFmt w:val="lowerRoman"/>
      <w:lvlText w:val="%3."/>
      <w:lvlJc w:val="right"/>
      <w:pPr>
        <w:ind w:left="2083" w:hanging="180"/>
      </w:pPr>
    </w:lvl>
    <w:lvl w:ilvl="3" w:tplc="40705C5C" w:tentative="1">
      <w:start w:val="1"/>
      <w:numFmt w:val="decimal"/>
      <w:lvlText w:val="%4."/>
      <w:lvlJc w:val="left"/>
      <w:pPr>
        <w:ind w:left="2803" w:hanging="360"/>
      </w:pPr>
    </w:lvl>
    <w:lvl w:ilvl="4" w:tplc="B6EE737E" w:tentative="1">
      <w:start w:val="1"/>
      <w:numFmt w:val="lowerLetter"/>
      <w:lvlText w:val="%5."/>
      <w:lvlJc w:val="left"/>
      <w:pPr>
        <w:ind w:left="3523" w:hanging="360"/>
      </w:pPr>
    </w:lvl>
    <w:lvl w:ilvl="5" w:tplc="1C4CECC4" w:tentative="1">
      <w:start w:val="1"/>
      <w:numFmt w:val="lowerRoman"/>
      <w:lvlText w:val="%6."/>
      <w:lvlJc w:val="right"/>
      <w:pPr>
        <w:ind w:left="4243" w:hanging="180"/>
      </w:pPr>
    </w:lvl>
    <w:lvl w:ilvl="6" w:tplc="DE0037F2" w:tentative="1">
      <w:start w:val="1"/>
      <w:numFmt w:val="decimal"/>
      <w:lvlText w:val="%7."/>
      <w:lvlJc w:val="left"/>
      <w:pPr>
        <w:ind w:left="4963" w:hanging="360"/>
      </w:pPr>
    </w:lvl>
    <w:lvl w:ilvl="7" w:tplc="AC7465F2" w:tentative="1">
      <w:start w:val="1"/>
      <w:numFmt w:val="lowerLetter"/>
      <w:lvlText w:val="%8."/>
      <w:lvlJc w:val="left"/>
      <w:pPr>
        <w:ind w:left="5683" w:hanging="360"/>
      </w:pPr>
    </w:lvl>
    <w:lvl w:ilvl="8" w:tplc="80548E9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32673E2"/>
    <w:multiLevelType w:val="hybridMultilevel"/>
    <w:tmpl w:val="9E0A969A"/>
    <w:lvl w:ilvl="0" w:tplc="4E941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050B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2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C3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89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4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64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EE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40C"/>
    <w:multiLevelType w:val="multilevel"/>
    <w:tmpl w:val="E22C5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CA26273"/>
    <w:multiLevelType w:val="hybridMultilevel"/>
    <w:tmpl w:val="A6F45780"/>
    <w:lvl w:ilvl="0" w:tplc="AF502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82DB2" w:tentative="1">
      <w:start w:val="1"/>
      <w:numFmt w:val="lowerLetter"/>
      <w:lvlText w:val="%2."/>
      <w:lvlJc w:val="left"/>
      <w:pPr>
        <w:ind w:left="1080" w:hanging="360"/>
      </w:pPr>
    </w:lvl>
    <w:lvl w:ilvl="2" w:tplc="87B6B240" w:tentative="1">
      <w:start w:val="1"/>
      <w:numFmt w:val="lowerRoman"/>
      <w:lvlText w:val="%3."/>
      <w:lvlJc w:val="right"/>
      <w:pPr>
        <w:ind w:left="1800" w:hanging="180"/>
      </w:pPr>
    </w:lvl>
    <w:lvl w:ilvl="3" w:tplc="E9FCF518" w:tentative="1">
      <w:start w:val="1"/>
      <w:numFmt w:val="decimal"/>
      <w:lvlText w:val="%4."/>
      <w:lvlJc w:val="left"/>
      <w:pPr>
        <w:ind w:left="2520" w:hanging="360"/>
      </w:pPr>
    </w:lvl>
    <w:lvl w:ilvl="4" w:tplc="2730E998" w:tentative="1">
      <w:start w:val="1"/>
      <w:numFmt w:val="lowerLetter"/>
      <w:lvlText w:val="%5."/>
      <w:lvlJc w:val="left"/>
      <w:pPr>
        <w:ind w:left="3240" w:hanging="360"/>
      </w:pPr>
    </w:lvl>
    <w:lvl w:ilvl="5" w:tplc="09D21B30" w:tentative="1">
      <w:start w:val="1"/>
      <w:numFmt w:val="lowerRoman"/>
      <w:lvlText w:val="%6."/>
      <w:lvlJc w:val="right"/>
      <w:pPr>
        <w:ind w:left="3960" w:hanging="180"/>
      </w:pPr>
    </w:lvl>
    <w:lvl w:ilvl="6" w:tplc="51F0FC32" w:tentative="1">
      <w:start w:val="1"/>
      <w:numFmt w:val="decimal"/>
      <w:lvlText w:val="%7."/>
      <w:lvlJc w:val="left"/>
      <w:pPr>
        <w:ind w:left="4680" w:hanging="360"/>
      </w:pPr>
    </w:lvl>
    <w:lvl w:ilvl="7" w:tplc="B1047504" w:tentative="1">
      <w:start w:val="1"/>
      <w:numFmt w:val="lowerLetter"/>
      <w:lvlText w:val="%8."/>
      <w:lvlJc w:val="left"/>
      <w:pPr>
        <w:ind w:left="5400" w:hanging="360"/>
      </w:pPr>
    </w:lvl>
    <w:lvl w:ilvl="8" w:tplc="9828E4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808FA"/>
    <w:multiLevelType w:val="hybridMultilevel"/>
    <w:tmpl w:val="417EDB00"/>
    <w:lvl w:ilvl="0" w:tplc="27542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509D26" w:tentative="1">
      <w:start w:val="1"/>
      <w:numFmt w:val="lowerLetter"/>
      <w:lvlText w:val="%2."/>
      <w:lvlJc w:val="left"/>
      <w:pPr>
        <w:ind w:left="1080" w:hanging="360"/>
      </w:pPr>
    </w:lvl>
    <w:lvl w:ilvl="2" w:tplc="50AC3A5C" w:tentative="1">
      <w:start w:val="1"/>
      <w:numFmt w:val="lowerRoman"/>
      <w:lvlText w:val="%3."/>
      <w:lvlJc w:val="right"/>
      <w:pPr>
        <w:ind w:left="1800" w:hanging="180"/>
      </w:pPr>
    </w:lvl>
    <w:lvl w:ilvl="3" w:tplc="5AFAB39A" w:tentative="1">
      <w:start w:val="1"/>
      <w:numFmt w:val="decimal"/>
      <w:lvlText w:val="%4."/>
      <w:lvlJc w:val="left"/>
      <w:pPr>
        <w:ind w:left="2520" w:hanging="360"/>
      </w:pPr>
    </w:lvl>
    <w:lvl w:ilvl="4" w:tplc="B2DACC74" w:tentative="1">
      <w:start w:val="1"/>
      <w:numFmt w:val="lowerLetter"/>
      <w:lvlText w:val="%5."/>
      <w:lvlJc w:val="left"/>
      <w:pPr>
        <w:ind w:left="3240" w:hanging="360"/>
      </w:pPr>
    </w:lvl>
    <w:lvl w:ilvl="5" w:tplc="2A22AFE4" w:tentative="1">
      <w:start w:val="1"/>
      <w:numFmt w:val="lowerRoman"/>
      <w:lvlText w:val="%6."/>
      <w:lvlJc w:val="right"/>
      <w:pPr>
        <w:ind w:left="3960" w:hanging="180"/>
      </w:pPr>
    </w:lvl>
    <w:lvl w:ilvl="6" w:tplc="67DE13C0" w:tentative="1">
      <w:start w:val="1"/>
      <w:numFmt w:val="decimal"/>
      <w:lvlText w:val="%7."/>
      <w:lvlJc w:val="left"/>
      <w:pPr>
        <w:ind w:left="4680" w:hanging="360"/>
      </w:pPr>
    </w:lvl>
    <w:lvl w:ilvl="7" w:tplc="04082658" w:tentative="1">
      <w:start w:val="1"/>
      <w:numFmt w:val="lowerLetter"/>
      <w:lvlText w:val="%8."/>
      <w:lvlJc w:val="left"/>
      <w:pPr>
        <w:ind w:left="5400" w:hanging="360"/>
      </w:pPr>
    </w:lvl>
    <w:lvl w:ilvl="8" w:tplc="838AE7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B0284"/>
    <w:multiLevelType w:val="hybridMultilevel"/>
    <w:tmpl w:val="66DC73B6"/>
    <w:lvl w:ilvl="0" w:tplc="51B62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E2E3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4C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E8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7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8D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8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4F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2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A7ECA"/>
    <w:multiLevelType w:val="hybridMultilevel"/>
    <w:tmpl w:val="9A541482"/>
    <w:lvl w:ilvl="0" w:tplc="E89C50B2">
      <w:start w:val="1"/>
      <w:numFmt w:val="lowerLetter"/>
      <w:lvlText w:val="%1)"/>
      <w:lvlJc w:val="left"/>
      <w:pPr>
        <w:ind w:left="360" w:hanging="360"/>
      </w:pPr>
    </w:lvl>
    <w:lvl w:ilvl="1" w:tplc="36582ABA">
      <w:start w:val="1"/>
      <w:numFmt w:val="lowerLetter"/>
      <w:lvlText w:val="%2."/>
      <w:lvlJc w:val="left"/>
      <w:pPr>
        <w:ind w:left="1080" w:hanging="360"/>
      </w:pPr>
    </w:lvl>
    <w:lvl w:ilvl="2" w:tplc="9B76A61E">
      <w:start w:val="1"/>
      <w:numFmt w:val="lowerRoman"/>
      <w:lvlText w:val="%3."/>
      <w:lvlJc w:val="right"/>
      <w:pPr>
        <w:ind w:left="1800" w:hanging="180"/>
      </w:pPr>
    </w:lvl>
    <w:lvl w:ilvl="3" w:tplc="694E651A">
      <w:start w:val="1"/>
      <w:numFmt w:val="decimal"/>
      <w:lvlText w:val="%4."/>
      <w:lvlJc w:val="left"/>
      <w:pPr>
        <w:ind w:left="2520" w:hanging="360"/>
      </w:pPr>
    </w:lvl>
    <w:lvl w:ilvl="4" w:tplc="279E3052">
      <w:start w:val="1"/>
      <w:numFmt w:val="lowerLetter"/>
      <w:lvlText w:val="%5."/>
      <w:lvlJc w:val="left"/>
      <w:pPr>
        <w:ind w:left="3240" w:hanging="360"/>
      </w:pPr>
    </w:lvl>
    <w:lvl w:ilvl="5" w:tplc="4A004834">
      <w:start w:val="1"/>
      <w:numFmt w:val="lowerRoman"/>
      <w:lvlText w:val="%6."/>
      <w:lvlJc w:val="right"/>
      <w:pPr>
        <w:ind w:left="3960" w:hanging="180"/>
      </w:pPr>
    </w:lvl>
    <w:lvl w:ilvl="6" w:tplc="6E18FCD4">
      <w:start w:val="1"/>
      <w:numFmt w:val="decimal"/>
      <w:lvlText w:val="%7."/>
      <w:lvlJc w:val="left"/>
      <w:pPr>
        <w:ind w:left="4680" w:hanging="360"/>
      </w:pPr>
    </w:lvl>
    <w:lvl w:ilvl="7" w:tplc="07907702">
      <w:start w:val="1"/>
      <w:numFmt w:val="lowerLetter"/>
      <w:lvlText w:val="%8."/>
      <w:lvlJc w:val="left"/>
      <w:pPr>
        <w:ind w:left="5400" w:hanging="360"/>
      </w:pPr>
    </w:lvl>
    <w:lvl w:ilvl="8" w:tplc="1F22C2D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50EC8"/>
    <w:multiLevelType w:val="multilevel"/>
    <w:tmpl w:val="CD78E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706A59"/>
    <w:multiLevelType w:val="hybridMultilevel"/>
    <w:tmpl w:val="7C14A5A0"/>
    <w:lvl w:ilvl="0" w:tplc="FE222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AEE9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2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83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1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3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F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69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564F"/>
    <w:multiLevelType w:val="multilevel"/>
    <w:tmpl w:val="D00E4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3875F5"/>
    <w:multiLevelType w:val="hybridMultilevel"/>
    <w:tmpl w:val="D5E08B8A"/>
    <w:lvl w:ilvl="0" w:tplc="D4A8B5A4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52890F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9282" w:tentative="1">
      <w:start w:val="1"/>
      <w:numFmt w:val="lowerRoman"/>
      <w:lvlText w:val="%3."/>
      <w:lvlJc w:val="right"/>
      <w:pPr>
        <w:ind w:left="2444" w:hanging="180"/>
      </w:pPr>
    </w:lvl>
    <w:lvl w:ilvl="3" w:tplc="EB34D9C8" w:tentative="1">
      <w:start w:val="1"/>
      <w:numFmt w:val="decimal"/>
      <w:lvlText w:val="%4."/>
      <w:lvlJc w:val="left"/>
      <w:pPr>
        <w:ind w:left="3164" w:hanging="360"/>
      </w:pPr>
    </w:lvl>
    <w:lvl w:ilvl="4" w:tplc="7BB6816C" w:tentative="1">
      <w:start w:val="1"/>
      <w:numFmt w:val="lowerLetter"/>
      <w:lvlText w:val="%5."/>
      <w:lvlJc w:val="left"/>
      <w:pPr>
        <w:ind w:left="3884" w:hanging="360"/>
      </w:pPr>
    </w:lvl>
    <w:lvl w:ilvl="5" w:tplc="8E6C4980" w:tentative="1">
      <w:start w:val="1"/>
      <w:numFmt w:val="lowerRoman"/>
      <w:lvlText w:val="%6."/>
      <w:lvlJc w:val="right"/>
      <w:pPr>
        <w:ind w:left="4604" w:hanging="180"/>
      </w:pPr>
    </w:lvl>
    <w:lvl w:ilvl="6" w:tplc="23FE0DF6" w:tentative="1">
      <w:start w:val="1"/>
      <w:numFmt w:val="decimal"/>
      <w:lvlText w:val="%7."/>
      <w:lvlJc w:val="left"/>
      <w:pPr>
        <w:ind w:left="5324" w:hanging="360"/>
      </w:pPr>
    </w:lvl>
    <w:lvl w:ilvl="7" w:tplc="E19EF4CE" w:tentative="1">
      <w:start w:val="1"/>
      <w:numFmt w:val="lowerLetter"/>
      <w:lvlText w:val="%8."/>
      <w:lvlJc w:val="left"/>
      <w:pPr>
        <w:ind w:left="6044" w:hanging="360"/>
      </w:pPr>
    </w:lvl>
    <w:lvl w:ilvl="8" w:tplc="1E5AEE6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1973A0"/>
    <w:multiLevelType w:val="hybridMultilevel"/>
    <w:tmpl w:val="8542B38E"/>
    <w:lvl w:ilvl="0" w:tplc="D6702A3C">
      <w:start w:val="1"/>
      <w:numFmt w:val="decimal"/>
      <w:pStyle w:val="Nadpis2"/>
      <w:lvlText w:val="%1."/>
      <w:lvlJc w:val="left"/>
      <w:pPr>
        <w:ind w:left="720" w:hanging="360"/>
      </w:pPr>
    </w:lvl>
    <w:lvl w:ilvl="1" w:tplc="9D323128" w:tentative="1">
      <w:start w:val="1"/>
      <w:numFmt w:val="lowerLetter"/>
      <w:lvlText w:val="%2."/>
      <w:lvlJc w:val="left"/>
      <w:pPr>
        <w:ind w:left="1440" w:hanging="360"/>
      </w:pPr>
    </w:lvl>
    <w:lvl w:ilvl="2" w:tplc="4E4C30D2" w:tentative="1">
      <w:start w:val="1"/>
      <w:numFmt w:val="lowerRoman"/>
      <w:lvlText w:val="%3."/>
      <w:lvlJc w:val="right"/>
      <w:pPr>
        <w:ind w:left="2160" w:hanging="180"/>
      </w:pPr>
    </w:lvl>
    <w:lvl w:ilvl="3" w:tplc="4162A97E" w:tentative="1">
      <w:start w:val="1"/>
      <w:numFmt w:val="decimal"/>
      <w:lvlText w:val="%4."/>
      <w:lvlJc w:val="left"/>
      <w:pPr>
        <w:ind w:left="2880" w:hanging="360"/>
      </w:pPr>
    </w:lvl>
    <w:lvl w:ilvl="4" w:tplc="DD50028A" w:tentative="1">
      <w:start w:val="1"/>
      <w:numFmt w:val="lowerLetter"/>
      <w:lvlText w:val="%5."/>
      <w:lvlJc w:val="left"/>
      <w:pPr>
        <w:ind w:left="3600" w:hanging="360"/>
      </w:pPr>
    </w:lvl>
    <w:lvl w:ilvl="5" w:tplc="E390B90A" w:tentative="1">
      <w:start w:val="1"/>
      <w:numFmt w:val="lowerRoman"/>
      <w:lvlText w:val="%6."/>
      <w:lvlJc w:val="right"/>
      <w:pPr>
        <w:ind w:left="4320" w:hanging="180"/>
      </w:pPr>
    </w:lvl>
    <w:lvl w:ilvl="6" w:tplc="32CC2990" w:tentative="1">
      <w:start w:val="1"/>
      <w:numFmt w:val="decimal"/>
      <w:lvlText w:val="%7."/>
      <w:lvlJc w:val="left"/>
      <w:pPr>
        <w:ind w:left="5040" w:hanging="360"/>
      </w:pPr>
    </w:lvl>
    <w:lvl w:ilvl="7" w:tplc="EBC69D54" w:tentative="1">
      <w:start w:val="1"/>
      <w:numFmt w:val="lowerLetter"/>
      <w:lvlText w:val="%8."/>
      <w:lvlJc w:val="left"/>
      <w:pPr>
        <w:ind w:left="5760" w:hanging="360"/>
      </w:pPr>
    </w:lvl>
    <w:lvl w:ilvl="8" w:tplc="3542A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85890"/>
    <w:multiLevelType w:val="hybridMultilevel"/>
    <w:tmpl w:val="5D3C32A4"/>
    <w:lvl w:ilvl="0" w:tplc="6AD4AE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F26B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4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0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4A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E1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41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39A9"/>
    <w:multiLevelType w:val="hybridMultilevel"/>
    <w:tmpl w:val="A7DAE564"/>
    <w:lvl w:ilvl="0" w:tplc="A1084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740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A4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B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EB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4E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0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2F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07EB"/>
    <w:multiLevelType w:val="hybridMultilevel"/>
    <w:tmpl w:val="C15C9A2C"/>
    <w:lvl w:ilvl="0" w:tplc="3808E5FA">
      <w:start w:val="1"/>
      <w:numFmt w:val="decimal"/>
      <w:pStyle w:val="Styl1-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5B36"/>
    <w:multiLevelType w:val="hybridMultilevel"/>
    <w:tmpl w:val="C7B2A38E"/>
    <w:lvl w:ilvl="0" w:tplc="27F8A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3AC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6B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F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E3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C9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08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C4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AB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44DC"/>
    <w:multiLevelType w:val="multilevel"/>
    <w:tmpl w:val="01C40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B67B51"/>
    <w:multiLevelType w:val="hybridMultilevel"/>
    <w:tmpl w:val="2FB0C874"/>
    <w:lvl w:ilvl="0" w:tplc="04050015">
      <w:start w:val="1"/>
      <w:numFmt w:val="upperLetter"/>
      <w:lvlText w:val="%1."/>
      <w:lvlJc w:val="left"/>
      <w:pPr>
        <w:ind w:left="-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 w15:restartNumberingAfterBreak="0">
    <w:nsid w:val="6C4C7C01"/>
    <w:multiLevelType w:val="hybridMultilevel"/>
    <w:tmpl w:val="0A640696"/>
    <w:lvl w:ilvl="0" w:tplc="8F30B858">
      <w:start w:val="1"/>
      <w:numFmt w:val="decimal"/>
      <w:lvlText w:val="%1."/>
      <w:lvlJc w:val="left"/>
      <w:pPr>
        <w:ind w:left="720" w:hanging="360"/>
      </w:pPr>
    </w:lvl>
    <w:lvl w:ilvl="1" w:tplc="BF48E42A" w:tentative="1">
      <w:start w:val="1"/>
      <w:numFmt w:val="lowerLetter"/>
      <w:lvlText w:val="%2."/>
      <w:lvlJc w:val="left"/>
      <w:pPr>
        <w:ind w:left="1440" w:hanging="360"/>
      </w:pPr>
    </w:lvl>
    <w:lvl w:ilvl="2" w:tplc="A9DABC62" w:tentative="1">
      <w:start w:val="1"/>
      <w:numFmt w:val="lowerRoman"/>
      <w:lvlText w:val="%3."/>
      <w:lvlJc w:val="right"/>
      <w:pPr>
        <w:ind w:left="2160" w:hanging="180"/>
      </w:pPr>
    </w:lvl>
    <w:lvl w:ilvl="3" w:tplc="B382F3AC" w:tentative="1">
      <w:start w:val="1"/>
      <w:numFmt w:val="decimal"/>
      <w:lvlText w:val="%4."/>
      <w:lvlJc w:val="left"/>
      <w:pPr>
        <w:ind w:left="2880" w:hanging="360"/>
      </w:pPr>
    </w:lvl>
    <w:lvl w:ilvl="4" w:tplc="8F94C964" w:tentative="1">
      <w:start w:val="1"/>
      <w:numFmt w:val="lowerLetter"/>
      <w:lvlText w:val="%5."/>
      <w:lvlJc w:val="left"/>
      <w:pPr>
        <w:ind w:left="3600" w:hanging="360"/>
      </w:pPr>
    </w:lvl>
    <w:lvl w:ilvl="5" w:tplc="900A65F2" w:tentative="1">
      <w:start w:val="1"/>
      <w:numFmt w:val="lowerRoman"/>
      <w:lvlText w:val="%6."/>
      <w:lvlJc w:val="right"/>
      <w:pPr>
        <w:ind w:left="4320" w:hanging="180"/>
      </w:pPr>
    </w:lvl>
    <w:lvl w:ilvl="6" w:tplc="6B0AF7B6" w:tentative="1">
      <w:start w:val="1"/>
      <w:numFmt w:val="decimal"/>
      <w:lvlText w:val="%7."/>
      <w:lvlJc w:val="left"/>
      <w:pPr>
        <w:ind w:left="5040" w:hanging="360"/>
      </w:pPr>
    </w:lvl>
    <w:lvl w:ilvl="7" w:tplc="958CBA00" w:tentative="1">
      <w:start w:val="1"/>
      <w:numFmt w:val="lowerLetter"/>
      <w:lvlText w:val="%8."/>
      <w:lvlJc w:val="left"/>
      <w:pPr>
        <w:ind w:left="5760" w:hanging="360"/>
      </w:pPr>
    </w:lvl>
    <w:lvl w:ilvl="8" w:tplc="0026F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90A32"/>
    <w:multiLevelType w:val="hybridMultilevel"/>
    <w:tmpl w:val="9BC0AC48"/>
    <w:lvl w:ilvl="0" w:tplc="30860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041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6E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8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2E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7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20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60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63E64"/>
    <w:multiLevelType w:val="multilevel"/>
    <w:tmpl w:val="33E0A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D3616C"/>
    <w:multiLevelType w:val="hybridMultilevel"/>
    <w:tmpl w:val="92D0B456"/>
    <w:lvl w:ilvl="0" w:tplc="888830DC">
      <w:start w:val="1"/>
      <w:numFmt w:val="decimal"/>
      <w:lvlText w:val="%1."/>
      <w:lvlJc w:val="left"/>
      <w:pPr>
        <w:ind w:left="720" w:hanging="360"/>
      </w:pPr>
    </w:lvl>
    <w:lvl w:ilvl="1" w:tplc="C77A1B58" w:tentative="1">
      <w:start w:val="1"/>
      <w:numFmt w:val="lowerLetter"/>
      <w:lvlText w:val="%2."/>
      <w:lvlJc w:val="left"/>
      <w:pPr>
        <w:ind w:left="1440" w:hanging="360"/>
      </w:pPr>
    </w:lvl>
    <w:lvl w:ilvl="2" w:tplc="6FAA3CFE" w:tentative="1">
      <w:start w:val="1"/>
      <w:numFmt w:val="lowerRoman"/>
      <w:lvlText w:val="%3."/>
      <w:lvlJc w:val="right"/>
      <w:pPr>
        <w:ind w:left="2160" w:hanging="180"/>
      </w:pPr>
    </w:lvl>
    <w:lvl w:ilvl="3" w:tplc="6F98BA8A" w:tentative="1">
      <w:start w:val="1"/>
      <w:numFmt w:val="decimal"/>
      <w:lvlText w:val="%4."/>
      <w:lvlJc w:val="left"/>
      <w:pPr>
        <w:ind w:left="2880" w:hanging="360"/>
      </w:pPr>
    </w:lvl>
    <w:lvl w:ilvl="4" w:tplc="D7D48BE0" w:tentative="1">
      <w:start w:val="1"/>
      <w:numFmt w:val="lowerLetter"/>
      <w:lvlText w:val="%5."/>
      <w:lvlJc w:val="left"/>
      <w:pPr>
        <w:ind w:left="3600" w:hanging="360"/>
      </w:pPr>
    </w:lvl>
    <w:lvl w:ilvl="5" w:tplc="A2F05C1E" w:tentative="1">
      <w:start w:val="1"/>
      <w:numFmt w:val="lowerRoman"/>
      <w:lvlText w:val="%6."/>
      <w:lvlJc w:val="right"/>
      <w:pPr>
        <w:ind w:left="4320" w:hanging="180"/>
      </w:pPr>
    </w:lvl>
    <w:lvl w:ilvl="6" w:tplc="4B32145E" w:tentative="1">
      <w:start w:val="1"/>
      <w:numFmt w:val="decimal"/>
      <w:lvlText w:val="%7."/>
      <w:lvlJc w:val="left"/>
      <w:pPr>
        <w:ind w:left="5040" w:hanging="360"/>
      </w:pPr>
    </w:lvl>
    <w:lvl w:ilvl="7" w:tplc="B7F245C6" w:tentative="1">
      <w:start w:val="1"/>
      <w:numFmt w:val="lowerLetter"/>
      <w:lvlText w:val="%8."/>
      <w:lvlJc w:val="left"/>
      <w:pPr>
        <w:ind w:left="5760" w:hanging="360"/>
      </w:pPr>
    </w:lvl>
    <w:lvl w:ilvl="8" w:tplc="1A766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E696B"/>
    <w:multiLevelType w:val="hybridMultilevel"/>
    <w:tmpl w:val="AB78AF90"/>
    <w:lvl w:ilvl="0" w:tplc="864A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A1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4C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C6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ED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C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A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EC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968B4"/>
    <w:multiLevelType w:val="hybridMultilevel"/>
    <w:tmpl w:val="1D548A30"/>
    <w:lvl w:ilvl="0" w:tplc="37F8A2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F52034A" w:tentative="1">
      <w:start w:val="1"/>
      <w:numFmt w:val="lowerLetter"/>
      <w:lvlText w:val="%2."/>
      <w:lvlJc w:val="left"/>
      <w:pPr>
        <w:ind w:left="1080" w:hanging="360"/>
      </w:pPr>
    </w:lvl>
    <w:lvl w:ilvl="2" w:tplc="A0FA41C2" w:tentative="1">
      <w:start w:val="1"/>
      <w:numFmt w:val="lowerRoman"/>
      <w:lvlText w:val="%3."/>
      <w:lvlJc w:val="right"/>
      <w:pPr>
        <w:ind w:left="1800" w:hanging="180"/>
      </w:pPr>
    </w:lvl>
    <w:lvl w:ilvl="3" w:tplc="F9D61848" w:tentative="1">
      <w:start w:val="1"/>
      <w:numFmt w:val="decimal"/>
      <w:lvlText w:val="%4."/>
      <w:lvlJc w:val="left"/>
      <w:pPr>
        <w:ind w:left="2520" w:hanging="360"/>
      </w:pPr>
    </w:lvl>
    <w:lvl w:ilvl="4" w:tplc="F5A0A8C2" w:tentative="1">
      <w:start w:val="1"/>
      <w:numFmt w:val="lowerLetter"/>
      <w:lvlText w:val="%5."/>
      <w:lvlJc w:val="left"/>
      <w:pPr>
        <w:ind w:left="3240" w:hanging="360"/>
      </w:pPr>
    </w:lvl>
    <w:lvl w:ilvl="5" w:tplc="88A21E6C" w:tentative="1">
      <w:start w:val="1"/>
      <w:numFmt w:val="lowerRoman"/>
      <w:lvlText w:val="%6."/>
      <w:lvlJc w:val="right"/>
      <w:pPr>
        <w:ind w:left="3960" w:hanging="180"/>
      </w:pPr>
    </w:lvl>
    <w:lvl w:ilvl="6" w:tplc="62A02D5E" w:tentative="1">
      <w:start w:val="1"/>
      <w:numFmt w:val="decimal"/>
      <w:lvlText w:val="%7."/>
      <w:lvlJc w:val="left"/>
      <w:pPr>
        <w:ind w:left="4680" w:hanging="360"/>
      </w:pPr>
    </w:lvl>
    <w:lvl w:ilvl="7" w:tplc="ED660A04" w:tentative="1">
      <w:start w:val="1"/>
      <w:numFmt w:val="lowerLetter"/>
      <w:lvlText w:val="%8."/>
      <w:lvlJc w:val="left"/>
      <w:pPr>
        <w:ind w:left="5400" w:hanging="360"/>
      </w:pPr>
    </w:lvl>
    <w:lvl w:ilvl="8" w:tplc="BD18E1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1"/>
  </w:num>
  <w:num w:numId="7">
    <w:abstractNumId w:val="6"/>
  </w:num>
  <w:num w:numId="8">
    <w:abstractNumId w:val="8"/>
  </w:num>
  <w:num w:numId="9">
    <w:abstractNumId w:val="21"/>
  </w:num>
  <w:num w:numId="10">
    <w:abstractNumId w:val="12"/>
  </w:num>
  <w:num w:numId="11">
    <w:abstractNumId w:val="25"/>
  </w:num>
  <w:num w:numId="12">
    <w:abstractNumId w:val="20"/>
  </w:num>
  <w:num w:numId="13">
    <w:abstractNumId w:val="13"/>
  </w:num>
  <w:num w:numId="14">
    <w:abstractNumId w:val="27"/>
  </w:num>
  <w:num w:numId="15">
    <w:abstractNumId w:val="24"/>
  </w:num>
  <w:num w:numId="16">
    <w:abstractNumId w:val="11"/>
  </w:num>
  <w:num w:numId="17">
    <w:abstractNumId w:val="4"/>
  </w:num>
  <w:num w:numId="18">
    <w:abstractNumId w:val="23"/>
  </w:num>
  <w:num w:numId="19">
    <w:abstractNumId w:val="1"/>
  </w:num>
  <w:num w:numId="20">
    <w:abstractNumId w:val="3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15"/>
  </w:num>
  <w:num w:numId="25">
    <w:abstractNumId w:val="32"/>
  </w:num>
  <w:num w:numId="26">
    <w:abstractNumId w:val="18"/>
  </w:num>
  <w:num w:numId="27">
    <w:abstractNumId w:val="3"/>
  </w:num>
  <w:num w:numId="28">
    <w:abstractNumId w:val="7"/>
  </w:num>
  <w:num w:numId="29">
    <w:abstractNumId w:val="19"/>
  </w:num>
  <w:num w:numId="30">
    <w:abstractNumId w:val="33"/>
  </w:num>
  <w:num w:numId="31">
    <w:abstractNumId w:val="14"/>
  </w:num>
  <w:num w:numId="32">
    <w:abstractNumId w:val="35"/>
  </w:num>
  <w:num w:numId="33">
    <w:abstractNumId w:val="30"/>
  </w:num>
  <w:num w:numId="34">
    <w:abstractNumId w:val="2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9A"/>
    <w:rsid w:val="000010E5"/>
    <w:rsid w:val="0000128D"/>
    <w:rsid w:val="000013B9"/>
    <w:rsid w:val="00002530"/>
    <w:rsid w:val="0000293E"/>
    <w:rsid w:val="0000300F"/>
    <w:rsid w:val="000035DB"/>
    <w:rsid w:val="0000390F"/>
    <w:rsid w:val="00003BAC"/>
    <w:rsid w:val="00003DA4"/>
    <w:rsid w:val="00004259"/>
    <w:rsid w:val="00004D7A"/>
    <w:rsid w:val="00005491"/>
    <w:rsid w:val="00005639"/>
    <w:rsid w:val="00005A2B"/>
    <w:rsid w:val="000073AA"/>
    <w:rsid w:val="00007CE4"/>
    <w:rsid w:val="0001015E"/>
    <w:rsid w:val="00010BF6"/>
    <w:rsid w:val="00011006"/>
    <w:rsid w:val="00011817"/>
    <w:rsid w:val="0001190C"/>
    <w:rsid w:val="00011A4F"/>
    <w:rsid w:val="00012D92"/>
    <w:rsid w:val="00012F34"/>
    <w:rsid w:val="000133CC"/>
    <w:rsid w:val="00013B1E"/>
    <w:rsid w:val="00013B9B"/>
    <w:rsid w:val="00013F52"/>
    <w:rsid w:val="000140F7"/>
    <w:rsid w:val="00014EBB"/>
    <w:rsid w:val="00015E05"/>
    <w:rsid w:val="000164A7"/>
    <w:rsid w:val="000170F6"/>
    <w:rsid w:val="000173A5"/>
    <w:rsid w:val="00017577"/>
    <w:rsid w:val="00017E13"/>
    <w:rsid w:val="000201D6"/>
    <w:rsid w:val="00020297"/>
    <w:rsid w:val="00020667"/>
    <w:rsid w:val="000208F1"/>
    <w:rsid w:val="00020FC5"/>
    <w:rsid w:val="00021371"/>
    <w:rsid w:val="00021B12"/>
    <w:rsid w:val="00021C56"/>
    <w:rsid w:val="00023423"/>
    <w:rsid w:val="00023C09"/>
    <w:rsid w:val="00023D24"/>
    <w:rsid w:val="00023D66"/>
    <w:rsid w:val="00024AD4"/>
    <w:rsid w:val="00024BE8"/>
    <w:rsid w:val="000254ED"/>
    <w:rsid w:val="000258C3"/>
    <w:rsid w:val="00025BAD"/>
    <w:rsid w:val="00026027"/>
    <w:rsid w:val="00026683"/>
    <w:rsid w:val="00026753"/>
    <w:rsid w:val="00026A8C"/>
    <w:rsid w:val="00026D80"/>
    <w:rsid w:val="00026E14"/>
    <w:rsid w:val="00027EC6"/>
    <w:rsid w:val="00027F91"/>
    <w:rsid w:val="00030073"/>
    <w:rsid w:val="0003058F"/>
    <w:rsid w:val="000313B7"/>
    <w:rsid w:val="0003201B"/>
    <w:rsid w:val="000328DE"/>
    <w:rsid w:val="0003382F"/>
    <w:rsid w:val="00033A4B"/>
    <w:rsid w:val="00033C7A"/>
    <w:rsid w:val="00033EE6"/>
    <w:rsid w:val="000341BC"/>
    <w:rsid w:val="00034226"/>
    <w:rsid w:val="00034654"/>
    <w:rsid w:val="00034BA4"/>
    <w:rsid w:val="000352CA"/>
    <w:rsid w:val="00035F9B"/>
    <w:rsid w:val="00036371"/>
    <w:rsid w:val="000369FB"/>
    <w:rsid w:val="00036C5B"/>
    <w:rsid w:val="00036E85"/>
    <w:rsid w:val="00037AE9"/>
    <w:rsid w:val="00040220"/>
    <w:rsid w:val="00040D36"/>
    <w:rsid w:val="000412D8"/>
    <w:rsid w:val="000412E7"/>
    <w:rsid w:val="00041C00"/>
    <w:rsid w:val="00041C4C"/>
    <w:rsid w:val="00041D1F"/>
    <w:rsid w:val="00042095"/>
    <w:rsid w:val="000427B9"/>
    <w:rsid w:val="0004287B"/>
    <w:rsid w:val="00042B32"/>
    <w:rsid w:val="000430C1"/>
    <w:rsid w:val="000438CE"/>
    <w:rsid w:val="000442CB"/>
    <w:rsid w:val="0004449C"/>
    <w:rsid w:val="00044B61"/>
    <w:rsid w:val="00045F42"/>
    <w:rsid w:val="000461E3"/>
    <w:rsid w:val="000463C6"/>
    <w:rsid w:val="00046A8D"/>
    <w:rsid w:val="000470C3"/>
    <w:rsid w:val="00047876"/>
    <w:rsid w:val="00047E8D"/>
    <w:rsid w:val="00047F1D"/>
    <w:rsid w:val="000500BE"/>
    <w:rsid w:val="00050692"/>
    <w:rsid w:val="0005076E"/>
    <w:rsid w:val="0005085F"/>
    <w:rsid w:val="00050FBB"/>
    <w:rsid w:val="000511BA"/>
    <w:rsid w:val="00051351"/>
    <w:rsid w:val="0005166F"/>
    <w:rsid w:val="00051AA3"/>
    <w:rsid w:val="00051D2B"/>
    <w:rsid w:val="0005202E"/>
    <w:rsid w:val="00052121"/>
    <w:rsid w:val="00052628"/>
    <w:rsid w:val="0005269F"/>
    <w:rsid w:val="00052704"/>
    <w:rsid w:val="00052B5E"/>
    <w:rsid w:val="00052C20"/>
    <w:rsid w:val="00052E1C"/>
    <w:rsid w:val="0005339B"/>
    <w:rsid w:val="00053901"/>
    <w:rsid w:val="00054C9E"/>
    <w:rsid w:val="000559A7"/>
    <w:rsid w:val="00055F2B"/>
    <w:rsid w:val="000560FB"/>
    <w:rsid w:val="000568CF"/>
    <w:rsid w:val="00057368"/>
    <w:rsid w:val="00060226"/>
    <w:rsid w:val="00060CBA"/>
    <w:rsid w:val="000614B2"/>
    <w:rsid w:val="000633DB"/>
    <w:rsid w:val="00063B5E"/>
    <w:rsid w:val="00064015"/>
    <w:rsid w:val="00064248"/>
    <w:rsid w:val="00064751"/>
    <w:rsid w:val="00065CEB"/>
    <w:rsid w:val="00065EED"/>
    <w:rsid w:val="00066280"/>
    <w:rsid w:val="000662C6"/>
    <w:rsid w:val="000663A2"/>
    <w:rsid w:val="0006720F"/>
    <w:rsid w:val="00067236"/>
    <w:rsid w:val="000674BF"/>
    <w:rsid w:val="00067F81"/>
    <w:rsid w:val="00070208"/>
    <w:rsid w:val="00070364"/>
    <w:rsid w:val="00071760"/>
    <w:rsid w:val="00071997"/>
    <w:rsid w:val="00071DE3"/>
    <w:rsid w:val="00071FDA"/>
    <w:rsid w:val="000721A6"/>
    <w:rsid w:val="0007277A"/>
    <w:rsid w:val="00073011"/>
    <w:rsid w:val="00073624"/>
    <w:rsid w:val="00074864"/>
    <w:rsid w:val="00075309"/>
    <w:rsid w:val="00075E8F"/>
    <w:rsid w:val="00075F94"/>
    <w:rsid w:val="000762B4"/>
    <w:rsid w:val="000771D1"/>
    <w:rsid w:val="0008113F"/>
    <w:rsid w:val="00081BBD"/>
    <w:rsid w:val="00083A25"/>
    <w:rsid w:val="00083D70"/>
    <w:rsid w:val="00083DC9"/>
    <w:rsid w:val="000840EE"/>
    <w:rsid w:val="00084642"/>
    <w:rsid w:val="00084EB5"/>
    <w:rsid w:val="000862B2"/>
    <w:rsid w:val="000873D3"/>
    <w:rsid w:val="00087A7B"/>
    <w:rsid w:val="00087B96"/>
    <w:rsid w:val="00090320"/>
    <w:rsid w:val="00090493"/>
    <w:rsid w:val="000908D1"/>
    <w:rsid w:val="00090DFD"/>
    <w:rsid w:val="00090EDC"/>
    <w:rsid w:val="00091025"/>
    <w:rsid w:val="0009116D"/>
    <w:rsid w:val="000918BA"/>
    <w:rsid w:val="00092238"/>
    <w:rsid w:val="00092557"/>
    <w:rsid w:val="0009277D"/>
    <w:rsid w:val="000929A1"/>
    <w:rsid w:val="00093076"/>
    <w:rsid w:val="000935AD"/>
    <w:rsid w:val="00093C9D"/>
    <w:rsid w:val="00094717"/>
    <w:rsid w:val="000948EF"/>
    <w:rsid w:val="00095325"/>
    <w:rsid w:val="0009558F"/>
    <w:rsid w:val="0009600F"/>
    <w:rsid w:val="00096182"/>
    <w:rsid w:val="00096AE3"/>
    <w:rsid w:val="00096EE0"/>
    <w:rsid w:val="000975DF"/>
    <w:rsid w:val="00097649"/>
    <w:rsid w:val="000979C0"/>
    <w:rsid w:val="000A0517"/>
    <w:rsid w:val="000A072A"/>
    <w:rsid w:val="000A0AC3"/>
    <w:rsid w:val="000A0C5F"/>
    <w:rsid w:val="000A13A1"/>
    <w:rsid w:val="000A194B"/>
    <w:rsid w:val="000A1A6B"/>
    <w:rsid w:val="000A1B0F"/>
    <w:rsid w:val="000A3A2F"/>
    <w:rsid w:val="000A4188"/>
    <w:rsid w:val="000A4F95"/>
    <w:rsid w:val="000A64ED"/>
    <w:rsid w:val="000A696B"/>
    <w:rsid w:val="000A6CED"/>
    <w:rsid w:val="000A74D0"/>
    <w:rsid w:val="000A7DA6"/>
    <w:rsid w:val="000B1048"/>
    <w:rsid w:val="000B1183"/>
    <w:rsid w:val="000B1A7F"/>
    <w:rsid w:val="000B1CAA"/>
    <w:rsid w:val="000B2D30"/>
    <w:rsid w:val="000B3212"/>
    <w:rsid w:val="000B3382"/>
    <w:rsid w:val="000B3AD8"/>
    <w:rsid w:val="000B3B7C"/>
    <w:rsid w:val="000B3BE0"/>
    <w:rsid w:val="000B4211"/>
    <w:rsid w:val="000B4252"/>
    <w:rsid w:val="000B4D05"/>
    <w:rsid w:val="000B4D3C"/>
    <w:rsid w:val="000B535A"/>
    <w:rsid w:val="000B6126"/>
    <w:rsid w:val="000B65D8"/>
    <w:rsid w:val="000B715D"/>
    <w:rsid w:val="000B7326"/>
    <w:rsid w:val="000B7674"/>
    <w:rsid w:val="000B77D8"/>
    <w:rsid w:val="000B783E"/>
    <w:rsid w:val="000B79E6"/>
    <w:rsid w:val="000C0520"/>
    <w:rsid w:val="000C0960"/>
    <w:rsid w:val="000C1282"/>
    <w:rsid w:val="000C2A5E"/>
    <w:rsid w:val="000C2EF8"/>
    <w:rsid w:val="000C35F9"/>
    <w:rsid w:val="000C3A70"/>
    <w:rsid w:val="000C3DCD"/>
    <w:rsid w:val="000C416E"/>
    <w:rsid w:val="000C4572"/>
    <w:rsid w:val="000C45AA"/>
    <w:rsid w:val="000C476B"/>
    <w:rsid w:val="000C48B2"/>
    <w:rsid w:val="000C4B0D"/>
    <w:rsid w:val="000C4EEA"/>
    <w:rsid w:val="000C5321"/>
    <w:rsid w:val="000C5687"/>
    <w:rsid w:val="000C5717"/>
    <w:rsid w:val="000C5B73"/>
    <w:rsid w:val="000C5E5F"/>
    <w:rsid w:val="000C6357"/>
    <w:rsid w:val="000C70B6"/>
    <w:rsid w:val="000C7352"/>
    <w:rsid w:val="000C77C0"/>
    <w:rsid w:val="000C7BE8"/>
    <w:rsid w:val="000D0549"/>
    <w:rsid w:val="000D07E1"/>
    <w:rsid w:val="000D1EFF"/>
    <w:rsid w:val="000D237E"/>
    <w:rsid w:val="000D2550"/>
    <w:rsid w:val="000D27D4"/>
    <w:rsid w:val="000D2E28"/>
    <w:rsid w:val="000D329C"/>
    <w:rsid w:val="000D357D"/>
    <w:rsid w:val="000D45C5"/>
    <w:rsid w:val="000D4632"/>
    <w:rsid w:val="000D58C6"/>
    <w:rsid w:val="000D59CB"/>
    <w:rsid w:val="000D5E4F"/>
    <w:rsid w:val="000D5EC1"/>
    <w:rsid w:val="000D613D"/>
    <w:rsid w:val="000D61C1"/>
    <w:rsid w:val="000D65D8"/>
    <w:rsid w:val="000D6815"/>
    <w:rsid w:val="000D6E77"/>
    <w:rsid w:val="000D73E9"/>
    <w:rsid w:val="000D790B"/>
    <w:rsid w:val="000E0C9E"/>
    <w:rsid w:val="000E0D3F"/>
    <w:rsid w:val="000E19C8"/>
    <w:rsid w:val="000E207E"/>
    <w:rsid w:val="000E32B5"/>
    <w:rsid w:val="000E4659"/>
    <w:rsid w:val="000E46FE"/>
    <w:rsid w:val="000E5051"/>
    <w:rsid w:val="000E51E2"/>
    <w:rsid w:val="000E5799"/>
    <w:rsid w:val="000E60C1"/>
    <w:rsid w:val="000E643B"/>
    <w:rsid w:val="000E659D"/>
    <w:rsid w:val="000E67DC"/>
    <w:rsid w:val="000E6B76"/>
    <w:rsid w:val="000F032D"/>
    <w:rsid w:val="000F0485"/>
    <w:rsid w:val="000F0C7F"/>
    <w:rsid w:val="000F0E02"/>
    <w:rsid w:val="000F1037"/>
    <w:rsid w:val="000F1BBA"/>
    <w:rsid w:val="000F200C"/>
    <w:rsid w:val="000F233F"/>
    <w:rsid w:val="000F2AB2"/>
    <w:rsid w:val="000F3190"/>
    <w:rsid w:val="000F333C"/>
    <w:rsid w:val="000F348A"/>
    <w:rsid w:val="000F3627"/>
    <w:rsid w:val="000F44DE"/>
    <w:rsid w:val="000F4895"/>
    <w:rsid w:val="000F4D4D"/>
    <w:rsid w:val="000F58C7"/>
    <w:rsid w:val="000F5CCD"/>
    <w:rsid w:val="000F5D1B"/>
    <w:rsid w:val="000F6883"/>
    <w:rsid w:val="000F6913"/>
    <w:rsid w:val="000F70CA"/>
    <w:rsid w:val="0010010D"/>
    <w:rsid w:val="00100A24"/>
    <w:rsid w:val="00100A6D"/>
    <w:rsid w:val="00100FC7"/>
    <w:rsid w:val="00101025"/>
    <w:rsid w:val="001018D2"/>
    <w:rsid w:val="00101C0A"/>
    <w:rsid w:val="0010241B"/>
    <w:rsid w:val="00102AA5"/>
    <w:rsid w:val="00103807"/>
    <w:rsid w:val="0010478F"/>
    <w:rsid w:val="00104B19"/>
    <w:rsid w:val="00104D21"/>
    <w:rsid w:val="00105659"/>
    <w:rsid w:val="00105927"/>
    <w:rsid w:val="00105A55"/>
    <w:rsid w:val="0010611F"/>
    <w:rsid w:val="00106C76"/>
    <w:rsid w:val="00107EFE"/>
    <w:rsid w:val="001101AF"/>
    <w:rsid w:val="00110681"/>
    <w:rsid w:val="001107AD"/>
    <w:rsid w:val="00111874"/>
    <w:rsid w:val="00111FEC"/>
    <w:rsid w:val="00112058"/>
    <w:rsid w:val="001120B6"/>
    <w:rsid w:val="00112536"/>
    <w:rsid w:val="001128AD"/>
    <w:rsid w:val="00112D8D"/>
    <w:rsid w:val="001131BE"/>
    <w:rsid w:val="001132C0"/>
    <w:rsid w:val="001136DF"/>
    <w:rsid w:val="00114E60"/>
    <w:rsid w:val="00115F29"/>
    <w:rsid w:val="00116536"/>
    <w:rsid w:val="00116578"/>
    <w:rsid w:val="00116D4D"/>
    <w:rsid w:val="0011721A"/>
    <w:rsid w:val="001179D1"/>
    <w:rsid w:val="00117AE9"/>
    <w:rsid w:val="00120EB0"/>
    <w:rsid w:val="00121AA1"/>
    <w:rsid w:val="0012228B"/>
    <w:rsid w:val="00122641"/>
    <w:rsid w:val="00122A86"/>
    <w:rsid w:val="00122AD0"/>
    <w:rsid w:val="00122CBF"/>
    <w:rsid w:val="00123989"/>
    <w:rsid w:val="00124013"/>
    <w:rsid w:val="0012443A"/>
    <w:rsid w:val="0012460D"/>
    <w:rsid w:val="00124D63"/>
    <w:rsid w:val="0012534E"/>
    <w:rsid w:val="00125567"/>
    <w:rsid w:val="00125C18"/>
    <w:rsid w:val="00125CB4"/>
    <w:rsid w:val="0012604C"/>
    <w:rsid w:val="001269BB"/>
    <w:rsid w:val="00126D77"/>
    <w:rsid w:val="00126EA2"/>
    <w:rsid w:val="001270AC"/>
    <w:rsid w:val="001272EB"/>
    <w:rsid w:val="001273D2"/>
    <w:rsid w:val="001310CD"/>
    <w:rsid w:val="001312C9"/>
    <w:rsid w:val="00131B05"/>
    <w:rsid w:val="0013287A"/>
    <w:rsid w:val="0013334D"/>
    <w:rsid w:val="00134B48"/>
    <w:rsid w:val="001353F0"/>
    <w:rsid w:val="001355C0"/>
    <w:rsid w:val="00136285"/>
    <w:rsid w:val="00137ABF"/>
    <w:rsid w:val="00140423"/>
    <w:rsid w:val="0014088B"/>
    <w:rsid w:val="00142130"/>
    <w:rsid w:val="00142F05"/>
    <w:rsid w:val="001431F8"/>
    <w:rsid w:val="001432A8"/>
    <w:rsid w:val="001437C4"/>
    <w:rsid w:val="00143F46"/>
    <w:rsid w:val="001440DB"/>
    <w:rsid w:val="001445CD"/>
    <w:rsid w:val="00144B4D"/>
    <w:rsid w:val="00145439"/>
    <w:rsid w:val="00145474"/>
    <w:rsid w:val="00145A26"/>
    <w:rsid w:val="001464F2"/>
    <w:rsid w:val="00146D84"/>
    <w:rsid w:val="0014719D"/>
    <w:rsid w:val="001478F6"/>
    <w:rsid w:val="00147B27"/>
    <w:rsid w:val="00147DFC"/>
    <w:rsid w:val="00147F86"/>
    <w:rsid w:val="001511EC"/>
    <w:rsid w:val="0015147D"/>
    <w:rsid w:val="0015182C"/>
    <w:rsid w:val="0015355A"/>
    <w:rsid w:val="00153804"/>
    <w:rsid w:val="001545DC"/>
    <w:rsid w:val="0015529B"/>
    <w:rsid w:val="001552D5"/>
    <w:rsid w:val="00155E4A"/>
    <w:rsid w:val="00156493"/>
    <w:rsid w:val="00156ABB"/>
    <w:rsid w:val="00156ACA"/>
    <w:rsid w:val="001574A2"/>
    <w:rsid w:val="0015764A"/>
    <w:rsid w:val="001579C9"/>
    <w:rsid w:val="00157DE9"/>
    <w:rsid w:val="00160C5B"/>
    <w:rsid w:val="00160E61"/>
    <w:rsid w:val="00161EA0"/>
    <w:rsid w:val="00162471"/>
    <w:rsid w:val="0016251E"/>
    <w:rsid w:val="00162715"/>
    <w:rsid w:val="00162729"/>
    <w:rsid w:val="00162895"/>
    <w:rsid w:val="001629B3"/>
    <w:rsid w:val="00162D9C"/>
    <w:rsid w:val="00163687"/>
    <w:rsid w:val="00163D1F"/>
    <w:rsid w:val="001644F2"/>
    <w:rsid w:val="00164F84"/>
    <w:rsid w:val="00165716"/>
    <w:rsid w:val="001657AC"/>
    <w:rsid w:val="00165A6F"/>
    <w:rsid w:val="00165B6D"/>
    <w:rsid w:val="00166DCB"/>
    <w:rsid w:val="001676C8"/>
    <w:rsid w:val="00167764"/>
    <w:rsid w:val="00170B8F"/>
    <w:rsid w:val="00170E90"/>
    <w:rsid w:val="00171343"/>
    <w:rsid w:val="00171400"/>
    <w:rsid w:val="001722EE"/>
    <w:rsid w:val="001729AD"/>
    <w:rsid w:val="00172BA1"/>
    <w:rsid w:val="00173591"/>
    <w:rsid w:val="001739C9"/>
    <w:rsid w:val="0017450A"/>
    <w:rsid w:val="00174C17"/>
    <w:rsid w:val="00174CB6"/>
    <w:rsid w:val="001754AE"/>
    <w:rsid w:val="001755F9"/>
    <w:rsid w:val="001757AB"/>
    <w:rsid w:val="001757B2"/>
    <w:rsid w:val="00175E83"/>
    <w:rsid w:val="00175FF4"/>
    <w:rsid w:val="0017606D"/>
    <w:rsid w:val="001761FF"/>
    <w:rsid w:val="00176A6E"/>
    <w:rsid w:val="001776C9"/>
    <w:rsid w:val="00180091"/>
    <w:rsid w:val="00180D1B"/>
    <w:rsid w:val="0018240C"/>
    <w:rsid w:val="00182516"/>
    <w:rsid w:val="00182886"/>
    <w:rsid w:val="00183165"/>
    <w:rsid w:val="00183277"/>
    <w:rsid w:val="00183D1D"/>
    <w:rsid w:val="00184E3C"/>
    <w:rsid w:val="00185A67"/>
    <w:rsid w:val="00185DA2"/>
    <w:rsid w:val="0018644D"/>
    <w:rsid w:val="00186508"/>
    <w:rsid w:val="00186889"/>
    <w:rsid w:val="001868ED"/>
    <w:rsid w:val="001871D9"/>
    <w:rsid w:val="00187331"/>
    <w:rsid w:val="00187794"/>
    <w:rsid w:val="00187EB0"/>
    <w:rsid w:val="00190D11"/>
    <w:rsid w:val="00190EF4"/>
    <w:rsid w:val="0019111E"/>
    <w:rsid w:val="00191193"/>
    <w:rsid w:val="0019125B"/>
    <w:rsid w:val="001916EF"/>
    <w:rsid w:val="00191907"/>
    <w:rsid w:val="0019195A"/>
    <w:rsid w:val="0019255A"/>
    <w:rsid w:val="001927BD"/>
    <w:rsid w:val="00192A5B"/>
    <w:rsid w:val="0019377A"/>
    <w:rsid w:val="001937A3"/>
    <w:rsid w:val="00193DF1"/>
    <w:rsid w:val="00194211"/>
    <w:rsid w:val="0019436C"/>
    <w:rsid w:val="001945CE"/>
    <w:rsid w:val="001946D1"/>
    <w:rsid w:val="00194B36"/>
    <w:rsid w:val="00195ED9"/>
    <w:rsid w:val="00195EDC"/>
    <w:rsid w:val="00196413"/>
    <w:rsid w:val="00196BA6"/>
    <w:rsid w:val="001978E4"/>
    <w:rsid w:val="001978F7"/>
    <w:rsid w:val="001A01CD"/>
    <w:rsid w:val="001A0D20"/>
    <w:rsid w:val="001A1654"/>
    <w:rsid w:val="001A1E12"/>
    <w:rsid w:val="001A25F5"/>
    <w:rsid w:val="001A30CE"/>
    <w:rsid w:val="001A420C"/>
    <w:rsid w:val="001A434B"/>
    <w:rsid w:val="001A43F9"/>
    <w:rsid w:val="001A464B"/>
    <w:rsid w:val="001A49D6"/>
    <w:rsid w:val="001A4B4C"/>
    <w:rsid w:val="001A4B5A"/>
    <w:rsid w:val="001A4C69"/>
    <w:rsid w:val="001A5766"/>
    <w:rsid w:val="001A6701"/>
    <w:rsid w:val="001B0B61"/>
    <w:rsid w:val="001B1261"/>
    <w:rsid w:val="001B1A05"/>
    <w:rsid w:val="001B1A93"/>
    <w:rsid w:val="001B2093"/>
    <w:rsid w:val="001B20DC"/>
    <w:rsid w:val="001B23EC"/>
    <w:rsid w:val="001B26E1"/>
    <w:rsid w:val="001B299C"/>
    <w:rsid w:val="001B2E90"/>
    <w:rsid w:val="001B36E0"/>
    <w:rsid w:val="001B3DD1"/>
    <w:rsid w:val="001B3EC5"/>
    <w:rsid w:val="001B40DB"/>
    <w:rsid w:val="001B4DDB"/>
    <w:rsid w:val="001B513C"/>
    <w:rsid w:val="001B569A"/>
    <w:rsid w:val="001B5829"/>
    <w:rsid w:val="001B593F"/>
    <w:rsid w:val="001B64B0"/>
    <w:rsid w:val="001B67DB"/>
    <w:rsid w:val="001B7275"/>
    <w:rsid w:val="001B72B8"/>
    <w:rsid w:val="001C0B51"/>
    <w:rsid w:val="001C0EBA"/>
    <w:rsid w:val="001C1327"/>
    <w:rsid w:val="001C133C"/>
    <w:rsid w:val="001C1662"/>
    <w:rsid w:val="001C233C"/>
    <w:rsid w:val="001C237B"/>
    <w:rsid w:val="001C2691"/>
    <w:rsid w:val="001C2826"/>
    <w:rsid w:val="001C2D8A"/>
    <w:rsid w:val="001C303A"/>
    <w:rsid w:val="001C30B6"/>
    <w:rsid w:val="001C3ADA"/>
    <w:rsid w:val="001C3C0C"/>
    <w:rsid w:val="001C4515"/>
    <w:rsid w:val="001C47C9"/>
    <w:rsid w:val="001C489E"/>
    <w:rsid w:val="001C508E"/>
    <w:rsid w:val="001C5A0A"/>
    <w:rsid w:val="001C5B51"/>
    <w:rsid w:val="001C6277"/>
    <w:rsid w:val="001C6333"/>
    <w:rsid w:val="001C638B"/>
    <w:rsid w:val="001C6710"/>
    <w:rsid w:val="001C6D4F"/>
    <w:rsid w:val="001C7593"/>
    <w:rsid w:val="001C7B80"/>
    <w:rsid w:val="001C7C84"/>
    <w:rsid w:val="001C7CC0"/>
    <w:rsid w:val="001D0104"/>
    <w:rsid w:val="001D1973"/>
    <w:rsid w:val="001D2BB9"/>
    <w:rsid w:val="001D3A0D"/>
    <w:rsid w:val="001D3BF0"/>
    <w:rsid w:val="001D3D5E"/>
    <w:rsid w:val="001D3E0B"/>
    <w:rsid w:val="001D4843"/>
    <w:rsid w:val="001D4B33"/>
    <w:rsid w:val="001D4CA1"/>
    <w:rsid w:val="001D4CDA"/>
    <w:rsid w:val="001D4D91"/>
    <w:rsid w:val="001D514E"/>
    <w:rsid w:val="001D51EE"/>
    <w:rsid w:val="001D6163"/>
    <w:rsid w:val="001D636E"/>
    <w:rsid w:val="001D6805"/>
    <w:rsid w:val="001D795B"/>
    <w:rsid w:val="001D7A29"/>
    <w:rsid w:val="001E027F"/>
    <w:rsid w:val="001E196E"/>
    <w:rsid w:val="001E30B6"/>
    <w:rsid w:val="001E3390"/>
    <w:rsid w:val="001E68F5"/>
    <w:rsid w:val="001E6C94"/>
    <w:rsid w:val="001E6D54"/>
    <w:rsid w:val="001E6E34"/>
    <w:rsid w:val="001E7DD1"/>
    <w:rsid w:val="001E7EAA"/>
    <w:rsid w:val="001E7FC4"/>
    <w:rsid w:val="001F03C9"/>
    <w:rsid w:val="001F0680"/>
    <w:rsid w:val="001F0A6A"/>
    <w:rsid w:val="001F0F44"/>
    <w:rsid w:val="001F1546"/>
    <w:rsid w:val="001F1576"/>
    <w:rsid w:val="001F20AC"/>
    <w:rsid w:val="001F2E02"/>
    <w:rsid w:val="001F3787"/>
    <w:rsid w:val="001F3FFC"/>
    <w:rsid w:val="001F4F1D"/>
    <w:rsid w:val="001F6252"/>
    <w:rsid w:val="001F628B"/>
    <w:rsid w:val="001F6F0B"/>
    <w:rsid w:val="001F7298"/>
    <w:rsid w:val="001F7983"/>
    <w:rsid w:val="001F7B3E"/>
    <w:rsid w:val="001F7E74"/>
    <w:rsid w:val="001F7F9E"/>
    <w:rsid w:val="002005C9"/>
    <w:rsid w:val="00200784"/>
    <w:rsid w:val="00200AEB"/>
    <w:rsid w:val="00200FCA"/>
    <w:rsid w:val="00201BBD"/>
    <w:rsid w:val="00201D25"/>
    <w:rsid w:val="00203264"/>
    <w:rsid w:val="002033EC"/>
    <w:rsid w:val="002035EB"/>
    <w:rsid w:val="00203A62"/>
    <w:rsid w:val="002043EE"/>
    <w:rsid w:val="00204C6C"/>
    <w:rsid w:val="00205057"/>
    <w:rsid w:val="00205484"/>
    <w:rsid w:val="00205637"/>
    <w:rsid w:val="00205B45"/>
    <w:rsid w:val="002066E6"/>
    <w:rsid w:val="00206CEE"/>
    <w:rsid w:val="0020710F"/>
    <w:rsid w:val="002075B4"/>
    <w:rsid w:val="00207729"/>
    <w:rsid w:val="00210075"/>
    <w:rsid w:val="00210808"/>
    <w:rsid w:val="002108F0"/>
    <w:rsid w:val="00210BD0"/>
    <w:rsid w:val="00211051"/>
    <w:rsid w:val="002116EB"/>
    <w:rsid w:val="00211C94"/>
    <w:rsid w:val="00211D34"/>
    <w:rsid w:val="00212067"/>
    <w:rsid w:val="00212120"/>
    <w:rsid w:val="002129F5"/>
    <w:rsid w:val="00212A5B"/>
    <w:rsid w:val="00212C90"/>
    <w:rsid w:val="00212E52"/>
    <w:rsid w:val="002156BF"/>
    <w:rsid w:val="00215A18"/>
    <w:rsid w:val="00215FF2"/>
    <w:rsid w:val="002162B2"/>
    <w:rsid w:val="002167E9"/>
    <w:rsid w:val="0021683A"/>
    <w:rsid w:val="00216927"/>
    <w:rsid w:val="00216E31"/>
    <w:rsid w:val="00217180"/>
    <w:rsid w:val="0021741D"/>
    <w:rsid w:val="002176A3"/>
    <w:rsid w:val="002178FF"/>
    <w:rsid w:val="00217C0D"/>
    <w:rsid w:val="00220276"/>
    <w:rsid w:val="002208B2"/>
    <w:rsid w:val="0022092E"/>
    <w:rsid w:val="00220EE8"/>
    <w:rsid w:val="00221325"/>
    <w:rsid w:val="00221F4B"/>
    <w:rsid w:val="00223499"/>
    <w:rsid w:val="002234F5"/>
    <w:rsid w:val="00224BCA"/>
    <w:rsid w:val="00224D0F"/>
    <w:rsid w:val="00224D33"/>
    <w:rsid w:val="002251BC"/>
    <w:rsid w:val="00225661"/>
    <w:rsid w:val="00225806"/>
    <w:rsid w:val="00227316"/>
    <w:rsid w:val="0022771E"/>
    <w:rsid w:val="00227743"/>
    <w:rsid w:val="00227CE8"/>
    <w:rsid w:val="00227ECB"/>
    <w:rsid w:val="002318F1"/>
    <w:rsid w:val="002322BD"/>
    <w:rsid w:val="00232B3B"/>
    <w:rsid w:val="00232D10"/>
    <w:rsid w:val="002330EF"/>
    <w:rsid w:val="002335C3"/>
    <w:rsid w:val="00233625"/>
    <w:rsid w:val="00234414"/>
    <w:rsid w:val="0023546F"/>
    <w:rsid w:val="00236764"/>
    <w:rsid w:val="00236C10"/>
    <w:rsid w:val="00236F16"/>
    <w:rsid w:val="00237B29"/>
    <w:rsid w:val="00240292"/>
    <w:rsid w:val="00240886"/>
    <w:rsid w:val="00240F07"/>
    <w:rsid w:val="00241899"/>
    <w:rsid w:val="00242BB7"/>
    <w:rsid w:val="00242D40"/>
    <w:rsid w:val="00242EF4"/>
    <w:rsid w:val="0024323F"/>
    <w:rsid w:val="00243551"/>
    <w:rsid w:val="00243895"/>
    <w:rsid w:val="00243948"/>
    <w:rsid w:val="00243991"/>
    <w:rsid w:val="00245937"/>
    <w:rsid w:val="00245D5A"/>
    <w:rsid w:val="00245EE5"/>
    <w:rsid w:val="00246E25"/>
    <w:rsid w:val="00247A70"/>
    <w:rsid w:val="00247CB0"/>
    <w:rsid w:val="00250088"/>
    <w:rsid w:val="00250486"/>
    <w:rsid w:val="0025073F"/>
    <w:rsid w:val="00250A5F"/>
    <w:rsid w:val="0025169D"/>
    <w:rsid w:val="00252B77"/>
    <w:rsid w:val="00252D34"/>
    <w:rsid w:val="00253593"/>
    <w:rsid w:val="00253D2E"/>
    <w:rsid w:val="00254313"/>
    <w:rsid w:val="0025527E"/>
    <w:rsid w:val="002555A3"/>
    <w:rsid w:val="00255A81"/>
    <w:rsid w:val="00255B9D"/>
    <w:rsid w:val="00255F7F"/>
    <w:rsid w:val="00255F9E"/>
    <w:rsid w:val="00255FBF"/>
    <w:rsid w:val="002563C7"/>
    <w:rsid w:val="00257DFA"/>
    <w:rsid w:val="00257F00"/>
    <w:rsid w:val="00257FEC"/>
    <w:rsid w:val="0026030F"/>
    <w:rsid w:val="00260BBE"/>
    <w:rsid w:val="00261C45"/>
    <w:rsid w:val="0026215B"/>
    <w:rsid w:val="00262D69"/>
    <w:rsid w:val="00264275"/>
    <w:rsid w:val="00264AB9"/>
    <w:rsid w:val="00264CF9"/>
    <w:rsid w:val="0026539A"/>
    <w:rsid w:val="00265985"/>
    <w:rsid w:val="002661A2"/>
    <w:rsid w:val="002665F3"/>
    <w:rsid w:val="002666EA"/>
    <w:rsid w:val="002668CC"/>
    <w:rsid w:val="00266ABD"/>
    <w:rsid w:val="00266B4D"/>
    <w:rsid w:val="00266C0D"/>
    <w:rsid w:val="00266E18"/>
    <w:rsid w:val="0026710E"/>
    <w:rsid w:val="0026786A"/>
    <w:rsid w:val="002678D6"/>
    <w:rsid w:val="00267BB4"/>
    <w:rsid w:val="00270931"/>
    <w:rsid w:val="00270F00"/>
    <w:rsid w:val="0027110D"/>
    <w:rsid w:val="00271131"/>
    <w:rsid w:val="00272066"/>
    <w:rsid w:val="00274154"/>
    <w:rsid w:val="00274F79"/>
    <w:rsid w:val="002751C7"/>
    <w:rsid w:val="00275912"/>
    <w:rsid w:val="00276901"/>
    <w:rsid w:val="00276A77"/>
    <w:rsid w:val="00276D48"/>
    <w:rsid w:val="002774D4"/>
    <w:rsid w:val="00277DE1"/>
    <w:rsid w:val="00280CFE"/>
    <w:rsid w:val="002810D4"/>
    <w:rsid w:val="00281F32"/>
    <w:rsid w:val="00282FAA"/>
    <w:rsid w:val="00283198"/>
    <w:rsid w:val="0028325D"/>
    <w:rsid w:val="00283380"/>
    <w:rsid w:val="0028354A"/>
    <w:rsid w:val="002835B8"/>
    <w:rsid w:val="00284A46"/>
    <w:rsid w:val="00284C34"/>
    <w:rsid w:val="00284F97"/>
    <w:rsid w:val="0028630C"/>
    <w:rsid w:val="002864BD"/>
    <w:rsid w:val="00286550"/>
    <w:rsid w:val="00286772"/>
    <w:rsid w:val="00286A7B"/>
    <w:rsid w:val="00290384"/>
    <w:rsid w:val="00290877"/>
    <w:rsid w:val="00291A0F"/>
    <w:rsid w:val="0029263C"/>
    <w:rsid w:val="00293993"/>
    <w:rsid w:val="002940EB"/>
    <w:rsid w:val="00294D7C"/>
    <w:rsid w:val="00294F3A"/>
    <w:rsid w:val="002959B6"/>
    <w:rsid w:val="00295CE6"/>
    <w:rsid w:val="00295F8C"/>
    <w:rsid w:val="0029633C"/>
    <w:rsid w:val="00296500"/>
    <w:rsid w:val="00296A77"/>
    <w:rsid w:val="00296A7F"/>
    <w:rsid w:val="002A07D1"/>
    <w:rsid w:val="002A0CAD"/>
    <w:rsid w:val="002A1022"/>
    <w:rsid w:val="002A120C"/>
    <w:rsid w:val="002A1420"/>
    <w:rsid w:val="002A28AA"/>
    <w:rsid w:val="002A308F"/>
    <w:rsid w:val="002A31C3"/>
    <w:rsid w:val="002A31FF"/>
    <w:rsid w:val="002A35E2"/>
    <w:rsid w:val="002A3758"/>
    <w:rsid w:val="002A3BAB"/>
    <w:rsid w:val="002A3BF3"/>
    <w:rsid w:val="002A4911"/>
    <w:rsid w:val="002A546F"/>
    <w:rsid w:val="002A582A"/>
    <w:rsid w:val="002A61D0"/>
    <w:rsid w:val="002A62F2"/>
    <w:rsid w:val="002A6749"/>
    <w:rsid w:val="002A78DF"/>
    <w:rsid w:val="002B052D"/>
    <w:rsid w:val="002B058B"/>
    <w:rsid w:val="002B0988"/>
    <w:rsid w:val="002B0B4B"/>
    <w:rsid w:val="002B10A3"/>
    <w:rsid w:val="002B10E4"/>
    <w:rsid w:val="002B1198"/>
    <w:rsid w:val="002B17B3"/>
    <w:rsid w:val="002B21B9"/>
    <w:rsid w:val="002B2734"/>
    <w:rsid w:val="002B32DF"/>
    <w:rsid w:val="002B3ACA"/>
    <w:rsid w:val="002B3D21"/>
    <w:rsid w:val="002B4FB7"/>
    <w:rsid w:val="002B5D88"/>
    <w:rsid w:val="002B5F46"/>
    <w:rsid w:val="002B7809"/>
    <w:rsid w:val="002B7A3D"/>
    <w:rsid w:val="002C0354"/>
    <w:rsid w:val="002C07A8"/>
    <w:rsid w:val="002C0833"/>
    <w:rsid w:val="002C101E"/>
    <w:rsid w:val="002C17EE"/>
    <w:rsid w:val="002C1E0E"/>
    <w:rsid w:val="002C22EF"/>
    <w:rsid w:val="002C2314"/>
    <w:rsid w:val="002C23CD"/>
    <w:rsid w:val="002C3124"/>
    <w:rsid w:val="002C494D"/>
    <w:rsid w:val="002C4D36"/>
    <w:rsid w:val="002C4D8D"/>
    <w:rsid w:val="002C5ABD"/>
    <w:rsid w:val="002C5F0F"/>
    <w:rsid w:val="002C6356"/>
    <w:rsid w:val="002C6419"/>
    <w:rsid w:val="002C6C47"/>
    <w:rsid w:val="002D0928"/>
    <w:rsid w:val="002D0B31"/>
    <w:rsid w:val="002D0B84"/>
    <w:rsid w:val="002D11A4"/>
    <w:rsid w:val="002D1746"/>
    <w:rsid w:val="002D1915"/>
    <w:rsid w:val="002D1B5A"/>
    <w:rsid w:val="002D204F"/>
    <w:rsid w:val="002D2139"/>
    <w:rsid w:val="002D2709"/>
    <w:rsid w:val="002D39CB"/>
    <w:rsid w:val="002D49D4"/>
    <w:rsid w:val="002D4AB9"/>
    <w:rsid w:val="002D51CE"/>
    <w:rsid w:val="002D540A"/>
    <w:rsid w:val="002D5695"/>
    <w:rsid w:val="002D5E59"/>
    <w:rsid w:val="002D5F1F"/>
    <w:rsid w:val="002D5F4E"/>
    <w:rsid w:val="002D6388"/>
    <w:rsid w:val="002D6B88"/>
    <w:rsid w:val="002D71FD"/>
    <w:rsid w:val="002D7205"/>
    <w:rsid w:val="002D7493"/>
    <w:rsid w:val="002D751B"/>
    <w:rsid w:val="002D757A"/>
    <w:rsid w:val="002D764D"/>
    <w:rsid w:val="002E0749"/>
    <w:rsid w:val="002E1ED3"/>
    <w:rsid w:val="002E21D3"/>
    <w:rsid w:val="002E2CA7"/>
    <w:rsid w:val="002E2F3F"/>
    <w:rsid w:val="002E30A0"/>
    <w:rsid w:val="002E354A"/>
    <w:rsid w:val="002E3AD7"/>
    <w:rsid w:val="002E425A"/>
    <w:rsid w:val="002E4811"/>
    <w:rsid w:val="002E4A57"/>
    <w:rsid w:val="002E4CE6"/>
    <w:rsid w:val="002E4F8B"/>
    <w:rsid w:val="002E52D8"/>
    <w:rsid w:val="002E536B"/>
    <w:rsid w:val="002E6097"/>
    <w:rsid w:val="002E6A98"/>
    <w:rsid w:val="002E6ACB"/>
    <w:rsid w:val="002E72FB"/>
    <w:rsid w:val="002E7504"/>
    <w:rsid w:val="002E75CE"/>
    <w:rsid w:val="002E78AA"/>
    <w:rsid w:val="002E7AF7"/>
    <w:rsid w:val="002F0179"/>
    <w:rsid w:val="002F0539"/>
    <w:rsid w:val="002F0574"/>
    <w:rsid w:val="002F0A64"/>
    <w:rsid w:val="002F1AA7"/>
    <w:rsid w:val="002F1B76"/>
    <w:rsid w:val="002F2000"/>
    <w:rsid w:val="002F2030"/>
    <w:rsid w:val="002F2E44"/>
    <w:rsid w:val="002F3354"/>
    <w:rsid w:val="002F3831"/>
    <w:rsid w:val="002F38A3"/>
    <w:rsid w:val="002F3EE8"/>
    <w:rsid w:val="002F48E9"/>
    <w:rsid w:val="002F5735"/>
    <w:rsid w:val="002F5F91"/>
    <w:rsid w:val="002F7416"/>
    <w:rsid w:val="002F7748"/>
    <w:rsid w:val="0030043F"/>
    <w:rsid w:val="00300D28"/>
    <w:rsid w:val="00300E27"/>
    <w:rsid w:val="00301025"/>
    <w:rsid w:val="0030104C"/>
    <w:rsid w:val="0030109B"/>
    <w:rsid w:val="00301670"/>
    <w:rsid w:val="00302099"/>
    <w:rsid w:val="003020AC"/>
    <w:rsid w:val="00303258"/>
    <w:rsid w:val="003037D2"/>
    <w:rsid w:val="00303CE4"/>
    <w:rsid w:val="0030494C"/>
    <w:rsid w:val="0030517D"/>
    <w:rsid w:val="003052C0"/>
    <w:rsid w:val="003058E4"/>
    <w:rsid w:val="0030599F"/>
    <w:rsid w:val="003060FA"/>
    <w:rsid w:val="00306297"/>
    <w:rsid w:val="003068A6"/>
    <w:rsid w:val="003074DA"/>
    <w:rsid w:val="00307A63"/>
    <w:rsid w:val="00310038"/>
    <w:rsid w:val="003103E2"/>
    <w:rsid w:val="0031062F"/>
    <w:rsid w:val="00311575"/>
    <w:rsid w:val="00311661"/>
    <w:rsid w:val="00312479"/>
    <w:rsid w:val="0031265F"/>
    <w:rsid w:val="00312670"/>
    <w:rsid w:val="0031272C"/>
    <w:rsid w:val="003133BF"/>
    <w:rsid w:val="00313BA2"/>
    <w:rsid w:val="00315287"/>
    <w:rsid w:val="00315687"/>
    <w:rsid w:val="0031579F"/>
    <w:rsid w:val="00315A71"/>
    <w:rsid w:val="00315C67"/>
    <w:rsid w:val="00315D82"/>
    <w:rsid w:val="00315D9B"/>
    <w:rsid w:val="00316721"/>
    <w:rsid w:val="003174B2"/>
    <w:rsid w:val="00317AC2"/>
    <w:rsid w:val="00317BBD"/>
    <w:rsid w:val="003215D7"/>
    <w:rsid w:val="00321A02"/>
    <w:rsid w:val="00321A1F"/>
    <w:rsid w:val="0032208B"/>
    <w:rsid w:val="003224C7"/>
    <w:rsid w:val="0032269F"/>
    <w:rsid w:val="00322864"/>
    <w:rsid w:val="00322A6B"/>
    <w:rsid w:val="00324054"/>
    <w:rsid w:val="00324313"/>
    <w:rsid w:val="003252AD"/>
    <w:rsid w:val="00325353"/>
    <w:rsid w:val="00325392"/>
    <w:rsid w:val="00325530"/>
    <w:rsid w:val="003258DD"/>
    <w:rsid w:val="003264EA"/>
    <w:rsid w:val="0032683F"/>
    <w:rsid w:val="0032684A"/>
    <w:rsid w:val="00326D66"/>
    <w:rsid w:val="00326E27"/>
    <w:rsid w:val="0032758B"/>
    <w:rsid w:val="003277FB"/>
    <w:rsid w:val="0033001D"/>
    <w:rsid w:val="00330A5E"/>
    <w:rsid w:val="00330CCE"/>
    <w:rsid w:val="00331521"/>
    <w:rsid w:val="00332916"/>
    <w:rsid w:val="00332F43"/>
    <w:rsid w:val="00333A3B"/>
    <w:rsid w:val="00333F40"/>
    <w:rsid w:val="00335A8D"/>
    <w:rsid w:val="00336E3A"/>
    <w:rsid w:val="0033753C"/>
    <w:rsid w:val="0033793D"/>
    <w:rsid w:val="003400C3"/>
    <w:rsid w:val="003401FC"/>
    <w:rsid w:val="00340364"/>
    <w:rsid w:val="00340422"/>
    <w:rsid w:val="00340C19"/>
    <w:rsid w:val="003419BC"/>
    <w:rsid w:val="00341E61"/>
    <w:rsid w:val="00341F87"/>
    <w:rsid w:val="0034222F"/>
    <w:rsid w:val="003423C7"/>
    <w:rsid w:val="0034277A"/>
    <w:rsid w:val="003427B9"/>
    <w:rsid w:val="003427C0"/>
    <w:rsid w:val="003429A5"/>
    <w:rsid w:val="00343428"/>
    <w:rsid w:val="003434D9"/>
    <w:rsid w:val="00344BAA"/>
    <w:rsid w:val="00345296"/>
    <w:rsid w:val="00345425"/>
    <w:rsid w:val="003454FD"/>
    <w:rsid w:val="00345804"/>
    <w:rsid w:val="003459A5"/>
    <w:rsid w:val="00345C59"/>
    <w:rsid w:val="0034630E"/>
    <w:rsid w:val="003463F2"/>
    <w:rsid w:val="00347D59"/>
    <w:rsid w:val="00350014"/>
    <w:rsid w:val="003501CB"/>
    <w:rsid w:val="003503EA"/>
    <w:rsid w:val="00350467"/>
    <w:rsid w:val="00351872"/>
    <w:rsid w:val="0035222D"/>
    <w:rsid w:val="00352726"/>
    <w:rsid w:val="00352A1F"/>
    <w:rsid w:val="00352A2E"/>
    <w:rsid w:val="00352DB9"/>
    <w:rsid w:val="00352DCB"/>
    <w:rsid w:val="003532C2"/>
    <w:rsid w:val="00353A0D"/>
    <w:rsid w:val="00353D45"/>
    <w:rsid w:val="003558E4"/>
    <w:rsid w:val="00355F79"/>
    <w:rsid w:val="003562A1"/>
    <w:rsid w:val="0035638F"/>
    <w:rsid w:val="00356AEA"/>
    <w:rsid w:val="003572DD"/>
    <w:rsid w:val="003574B8"/>
    <w:rsid w:val="0035783E"/>
    <w:rsid w:val="00357B9D"/>
    <w:rsid w:val="00357F43"/>
    <w:rsid w:val="003600DB"/>
    <w:rsid w:val="003609B6"/>
    <w:rsid w:val="00360C9B"/>
    <w:rsid w:val="00360FFD"/>
    <w:rsid w:val="00361186"/>
    <w:rsid w:val="00361954"/>
    <w:rsid w:val="00362508"/>
    <w:rsid w:val="0036294D"/>
    <w:rsid w:val="00362FEC"/>
    <w:rsid w:val="0036304C"/>
    <w:rsid w:val="0036361A"/>
    <w:rsid w:val="003638DE"/>
    <w:rsid w:val="0036392A"/>
    <w:rsid w:val="0036403D"/>
    <w:rsid w:val="0036408F"/>
    <w:rsid w:val="003640C6"/>
    <w:rsid w:val="003644E2"/>
    <w:rsid w:val="00364558"/>
    <w:rsid w:val="0036500D"/>
    <w:rsid w:val="00365075"/>
    <w:rsid w:val="00365C5F"/>
    <w:rsid w:val="0036645E"/>
    <w:rsid w:val="00366561"/>
    <w:rsid w:val="00366708"/>
    <w:rsid w:val="00366CC1"/>
    <w:rsid w:val="00366F80"/>
    <w:rsid w:val="003674DC"/>
    <w:rsid w:val="003678A9"/>
    <w:rsid w:val="003700F8"/>
    <w:rsid w:val="003702D2"/>
    <w:rsid w:val="003703DC"/>
    <w:rsid w:val="00370946"/>
    <w:rsid w:val="00371B99"/>
    <w:rsid w:val="00372226"/>
    <w:rsid w:val="00372732"/>
    <w:rsid w:val="003728D5"/>
    <w:rsid w:val="003729C2"/>
    <w:rsid w:val="00372A5E"/>
    <w:rsid w:val="00372C60"/>
    <w:rsid w:val="003733C9"/>
    <w:rsid w:val="003736B8"/>
    <w:rsid w:val="00373986"/>
    <w:rsid w:val="00373E65"/>
    <w:rsid w:val="003743C5"/>
    <w:rsid w:val="00374949"/>
    <w:rsid w:val="00374A10"/>
    <w:rsid w:val="00374A15"/>
    <w:rsid w:val="00374C5D"/>
    <w:rsid w:val="00374D13"/>
    <w:rsid w:val="0037587C"/>
    <w:rsid w:val="00376257"/>
    <w:rsid w:val="00376434"/>
    <w:rsid w:val="003765BA"/>
    <w:rsid w:val="0037757F"/>
    <w:rsid w:val="0038018E"/>
    <w:rsid w:val="00380291"/>
    <w:rsid w:val="00380505"/>
    <w:rsid w:val="0038079E"/>
    <w:rsid w:val="00381D37"/>
    <w:rsid w:val="0038260F"/>
    <w:rsid w:val="0038263F"/>
    <w:rsid w:val="00382E26"/>
    <w:rsid w:val="00383105"/>
    <w:rsid w:val="003831FE"/>
    <w:rsid w:val="003833EA"/>
    <w:rsid w:val="003835CF"/>
    <w:rsid w:val="00383CC3"/>
    <w:rsid w:val="003846E6"/>
    <w:rsid w:val="00384A85"/>
    <w:rsid w:val="00384AB9"/>
    <w:rsid w:val="0038512C"/>
    <w:rsid w:val="00385A90"/>
    <w:rsid w:val="00385E58"/>
    <w:rsid w:val="00386821"/>
    <w:rsid w:val="003868A8"/>
    <w:rsid w:val="003875D2"/>
    <w:rsid w:val="00387B8D"/>
    <w:rsid w:val="00387DC3"/>
    <w:rsid w:val="00387FB4"/>
    <w:rsid w:val="003900ED"/>
    <w:rsid w:val="00390980"/>
    <w:rsid w:val="00390F7F"/>
    <w:rsid w:val="00391584"/>
    <w:rsid w:val="00391E74"/>
    <w:rsid w:val="00391F34"/>
    <w:rsid w:val="00392010"/>
    <w:rsid w:val="0039225A"/>
    <w:rsid w:val="003927BA"/>
    <w:rsid w:val="00392BA5"/>
    <w:rsid w:val="00392CD2"/>
    <w:rsid w:val="00392F64"/>
    <w:rsid w:val="0039340D"/>
    <w:rsid w:val="00393700"/>
    <w:rsid w:val="00393954"/>
    <w:rsid w:val="00393AC2"/>
    <w:rsid w:val="00395BC8"/>
    <w:rsid w:val="00395F3A"/>
    <w:rsid w:val="003962CE"/>
    <w:rsid w:val="003965CE"/>
    <w:rsid w:val="00396798"/>
    <w:rsid w:val="003969F9"/>
    <w:rsid w:val="00397BC7"/>
    <w:rsid w:val="00397E9B"/>
    <w:rsid w:val="003A001B"/>
    <w:rsid w:val="003A040B"/>
    <w:rsid w:val="003A08A5"/>
    <w:rsid w:val="003A10F6"/>
    <w:rsid w:val="003A10F8"/>
    <w:rsid w:val="003A2215"/>
    <w:rsid w:val="003A2AE6"/>
    <w:rsid w:val="003A2EFF"/>
    <w:rsid w:val="003A3098"/>
    <w:rsid w:val="003A3B57"/>
    <w:rsid w:val="003A40A5"/>
    <w:rsid w:val="003A41FB"/>
    <w:rsid w:val="003A440D"/>
    <w:rsid w:val="003A4A8C"/>
    <w:rsid w:val="003A4E4E"/>
    <w:rsid w:val="003A5837"/>
    <w:rsid w:val="003A66A3"/>
    <w:rsid w:val="003A727C"/>
    <w:rsid w:val="003A731A"/>
    <w:rsid w:val="003A7439"/>
    <w:rsid w:val="003A7C21"/>
    <w:rsid w:val="003B00C7"/>
    <w:rsid w:val="003B019C"/>
    <w:rsid w:val="003B045C"/>
    <w:rsid w:val="003B04E9"/>
    <w:rsid w:val="003B05F4"/>
    <w:rsid w:val="003B0AAB"/>
    <w:rsid w:val="003B0F72"/>
    <w:rsid w:val="003B13ED"/>
    <w:rsid w:val="003B1965"/>
    <w:rsid w:val="003B1D88"/>
    <w:rsid w:val="003B21EB"/>
    <w:rsid w:val="003B243F"/>
    <w:rsid w:val="003B3963"/>
    <w:rsid w:val="003B3E14"/>
    <w:rsid w:val="003B41FC"/>
    <w:rsid w:val="003B42A9"/>
    <w:rsid w:val="003B4F7C"/>
    <w:rsid w:val="003B6127"/>
    <w:rsid w:val="003B614E"/>
    <w:rsid w:val="003B63B7"/>
    <w:rsid w:val="003B6F45"/>
    <w:rsid w:val="003B71F1"/>
    <w:rsid w:val="003B7F35"/>
    <w:rsid w:val="003C0252"/>
    <w:rsid w:val="003C05B5"/>
    <w:rsid w:val="003C064D"/>
    <w:rsid w:val="003C0864"/>
    <w:rsid w:val="003C0DBD"/>
    <w:rsid w:val="003C1885"/>
    <w:rsid w:val="003C21B5"/>
    <w:rsid w:val="003C242F"/>
    <w:rsid w:val="003C2C59"/>
    <w:rsid w:val="003C40C7"/>
    <w:rsid w:val="003C463E"/>
    <w:rsid w:val="003C562C"/>
    <w:rsid w:val="003C61DD"/>
    <w:rsid w:val="003C6D17"/>
    <w:rsid w:val="003C6FD4"/>
    <w:rsid w:val="003C76E7"/>
    <w:rsid w:val="003C7AC7"/>
    <w:rsid w:val="003C7DB7"/>
    <w:rsid w:val="003C7F56"/>
    <w:rsid w:val="003D08F3"/>
    <w:rsid w:val="003D1402"/>
    <w:rsid w:val="003D172C"/>
    <w:rsid w:val="003D1945"/>
    <w:rsid w:val="003D200C"/>
    <w:rsid w:val="003D28D1"/>
    <w:rsid w:val="003D3634"/>
    <w:rsid w:val="003D4087"/>
    <w:rsid w:val="003D5072"/>
    <w:rsid w:val="003D53F3"/>
    <w:rsid w:val="003D5F19"/>
    <w:rsid w:val="003D60C6"/>
    <w:rsid w:val="003D63C5"/>
    <w:rsid w:val="003D7028"/>
    <w:rsid w:val="003D7676"/>
    <w:rsid w:val="003E02BC"/>
    <w:rsid w:val="003E0475"/>
    <w:rsid w:val="003E080F"/>
    <w:rsid w:val="003E2DEB"/>
    <w:rsid w:val="003E2DF8"/>
    <w:rsid w:val="003E39C2"/>
    <w:rsid w:val="003E4085"/>
    <w:rsid w:val="003E4362"/>
    <w:rsid w:val="003E496C"/>
    <w:rsid w:val="003E4A11"/>
    <w:rsid w:val="003E4A57"/>
    <w:rsid w:val="003E4A58"/>
    <w:rsid w:val="003E4EB2"/>
    <w:rsid w:val="003E51A0"/>
    <w:rsid w:val="003E5ED8"/>
    <w:rsid w:val="003E60EF"/>
    <w:rsid w:val="003E6336"/>
    <w:rsid w:val="003E6DD7"/>
    <w:rsid w:val="003E7307"/>
    <w:rsid w:val="003E738F"/>
    <w:rsid w:val="003F0DF7"/>
    <w:rsid w:val="003F37D2"/>
    <w:rsid w:val="003F39EB"/>
    <w:rsid w:val="003F3F6C"/>
    <w:rsid w:val="003F40BE"/>
    <w:rsid w:val="003F46D1"/>
    <w:rsid w:val="003F4EB6"/>
    <w:rsid w:val="003F5778"/>
    <w:rsid w:val="003F58C1"/>
    <w:rsid w:val="003F591D"/>
    <w:rsid w:val="003F5EC6"/>
    <w:rsid w:val="003F635F"/>
    <w:rsid w:val="003F70A9"/>
    <w:rsid w:val="003F790B"/>
    <w:rsid w:val="003F7A78"/>
    <w:rsid w:val="003F7E3C"/>
    <w:rsid w:val="0040177F"/>
    <w:rsid w:val="00402885"/>
    <w:rsid w:val="004036B9"/>
    <w:rsid w:val="00403869"/>
    <w:rsid w:val="004045EF"/>
    <w:rsid w:val="004048FB"/>
    <w:rsid w:val="004049E5"/>
    <w:rsid w:val="00404A12"/>
    <w:rsid w:val="00405B8A"/>
    <w:rsid w:val="00406165"/>
    <w:rsid w:val="004061D6"/>
    <w:rsid w:val="00406471"/>
    <w:rsid w:val="00406616"/>
    <w:rsid w:val="0040666E"/>
    <w:rsid w:val="00406D63"/>
    <w:rsid w:val="00406D84"/>
    <w:rsid w:val="004076F7"/>
    <w:rsid w:val="004079EC"/>
    <w:rsid w:val="004103AA"/>
    <w:rsid w:val="00410F87"/>
    <w:rsid w:val="00411609"/>
    <w:rsid w:val="00411A36"/>
    <w:rsid w:val="00412403"/>
    <w:rsid w:val="004125D1"/>
    <w:rsid w:val="00412FD5"/>
    <w:rsid w:val="00413B0C"/>
    <w:rsid w:val="00414428"/>
    <w:rsid w:val="00414485"/>
    <w:rsid w:val="004147E1"/>
    <w:rsid w:val="00415135"/>
    <w:rsid w:val="00416541"/>
    <w:rsid w:val="00417494"/>
    <w:rsid w:val="0041761A"/>
    <w:rsid w:val="00417867"/>
    <w:rsid w:val="0041798D"/>
    <w:rsid w:val="00417BBD"/>
    <w:rsid w:val="00417ECA"/>
    <w:rsid w:val="00420383"/>
    <w:rsid w:val="00420730"/>
    <w:rsid w:val="0042162A"/>
    <w:rsid w:val="00422876"/>
    <w:rsid w:val="004229B0"/>
    <w:rsid w:val="0042311F"/>
    <w:rsid w:val="004233C6"/>
    <w:rsid w:val="0042385F"/>
    <w:rsid w:val="00424AA4"/>
    <w:rsid w:val="00424AB7"/>
    <w:rsid w:val="00424D73"/>
    <w:rsid w:val="00425365"/>
    <w:rsid w:val="00425603"/>
    <w:rsid w:val="004257F6"/>
    <w:rsid w:val="00425F62"/>
    <w:rsid w:val="00425FAB"/>
    <w:rsid w:val="004262C6"/>
    <w:rsid w:val="00426AFD"/>
    <w:rsid w:val="004272A1"/>
    <w:rsid w:val="00427833"/>
    <w:rsid w:val="00431E8A"/>
    <w:rsid w:val="004320FA"/>
    <w:rsid w:val="0043272F"/>
    <w:rsid w:val="00432ED7"/>
    <w:rsid w:val="00433448"/>
    <w:rsid w:val="00433529"/>
    <w:rsid w:val="00433910"/>
    <w:rsid w:val="0043457B"/>
    <w:rsid w:val="00436200"/>
    <w:rsid w:val="004362E3"/>
    <w:rsid w:val="00436307"/>
    <w:rsid w:val="00436336"/>
    <w:rsid w:val="004366B7"/>
    <w:rsid w:val="004367D9"/>
    <w:rsid w:val="00436C22"/>
    <w:rsid w:val="00436E13"/>
    <w:rsid w:val="004375B8"/>
    <w:rsid w:val="00437F61"/>
    <w:rsid w:val="00440174"/>
    <w:rsid w:val="004403DF"/>
    <w:rsid w:val="004405A3"/>
    <w:rsid w:val="004417E1"/>
    <w:rsid w:val="00441AE1"/>
    <w:rsid w:val="00441B47"/>
    <w:rsid w:val="004429C4"/>
    <w:rsid w:val="00443543"/>
    <w:rsid w:val="004440FA"/>
    <w:rsid w:val="00444204"/>
    <w:rsid w:val="004447EE"/>
    <w:rsid w:val="0044486B"/>
    <w:rsid w:val="00444C57"/>
    <w:rsid w:val="00444D95"/>
    <w:rsid w:val="00445325"/>
    <w:rsid w:val="00445439"/>
    <w:rsid w:val="00446405"/>
    <w:rsid w:val="00446663"/>
    <w:rsid w:val="004472C7"/>
    <w:rsid w:val="004476D0"/>
    <w:rsid w:val="00447AD1"/>
    <w:rsid w:val="00447C33"/>
    <w:rsid w:val="00447EBD"/>
    <w:rsid w:val="00450A0C"/>
    <w:rsid w:val="00450D31"/>
    <w:rsid w:val="00451467"/>
    <w:rsid w:val="004525DC"/>
    <w:rsid w:val="004526AC"/>
    <w:rsid w:val="0045293E"/>
    <w:rsid w:val="00452993"/>
    <w:rsid w:val="00453C4D"/>
    <w:rsid w:val="00453CFB"/>
    <w:rsid w:val="00454373"/>
    <w:rsid w:val="0045555C"/>
    <w:rsid w:val="00456126"/>
    <w:rsid w:val="0045665E"/>
    <w:rsid w:val="0045679E"/>
    <w:rsid w:val="00456804"/>
    <w:rsid w:val="00460045"/>
    <w:rsid w:val="00460906"/>
    <w:rsid w:val="004609D0"/>
    <w:rsid w:val="00460AF6"/>
    <w:rsid w:val="004616FC"/>
    <w:rsid w:val="00462CE4"/>
    <w:rsid w:val="0046339E"/>
    <w:rsid w:val="004634BD"/>
    <w:rsid w:val="00463A49"/>
    <w:rsid w:val="00463C46"/>
    <w:rsid w:val="00463F06"/>
    <w:rsid w:val="0046412C"/>
    <w:rsid w:val="00464BCE"/>
    <w:rsid w:val="004656D9"/>
    <w:rsid w:val="00465CE9"/>
    <w:rsid w:val="00465E28"/>
    <w:rsid w:val="00466FAA"/>
    <w:rsid w:val="00467550"/>
    <w:rsid w:val="004703E5"/>
    <w:rsid w:val="004712B0"/>
    <w:rsid w:val="0047133E"/>
    <w:rsid w:val="00472519"/>
    <w:rsid w:val="00472865"/>
    <w:rsid w:val="00472CC2"/>
    <w:rsid w:val="00473CCB"/>
    <w:rsid w:val="004748D7"/>
    <w:rsid w:val="0047521F"/>
    <w:rsid w:val="00475268"/>
    <w:rsid w:val="0047655B"/>
    <w:rsid w:val="00476B63"/>
    <w:rsid w:val="00476B74"/>
    <w:rsid w:val="00477058"/>
    <w:rsid w:val="004771D9"/>
    <w:rsid w:val="00477A4A"/>
    <w:rsid w:val="004803F3"/>
    <w:rsid w:val="004815B7"/>
    <w:rsid w:val="004815EF"/>
    <w:rsid w:val="004825C0"/>
    <w:rsid w:val="00483354"/>
    <w:rsid w:val="00483650"/>
    <w:rsid w:val="00483E2B"/>
    <w:rsid w:val="00484315"/>
    <w:rsid w:val="00484494"/>
    <w:rsid w:val="00484969"/>
    <w:rsid w:val="00485585"/>
    <w:rsid w:val="0048570B"/>
    <w:rsid w:val="004857BA"/>
    <w:rsid w:val="00485C5F"/>
    <w:rsid w:val="0048675B"/>
    <w:rsid w:val="004867C2"/>
    <w:rsid w:val="004877AD"/>
    <w:rsid w:val="00487AD2"/>
    <w:rsid w:val="00487BA9"/>
    <w:rsid w:val="004901BC"/>
    <w:rsid w:val="00490595"/>
    <w:rsid w:val="00490E8C"/>
    <w:rsid w:val="0049101B"/>
    <w:rsid w:val="00491E60"/>
    <w:rsid w:val="004935BE"/>
    <w:rsid w:val="0049385F"/>
    <w:rsid w:val="00493EE3"/>
    <w:rsid w:val="00493F28"/>
    <w:rsid w:val="00494557"/>
    <w:rsid w:val="00495E4C"/>
    <w:rsid w:val="00495E4F"/>
    <w:rsid w:val="00495F56"/>
    <w:rsid w:val="00496ADB"/>
    <w:rsid w:val="00496E48"/>
    <w:rsid w:val="0049720C"/>
    <w:rsid w:val="004973B2"/>
    <w:rsid w:val="004A014A"/>
    <w:rsid w:val="004A06B3"/>
    <w:rsid w:val="004A0B50"/>
    <w:rsid w:val="004A0C2B"/>
    <w:rsid w:val="004A0FDC"/>
    <w:rsid w:val="004A11A6"/>
    <w:rsid w:val="004A1E29"/>
    <w:rsid w:val="004A1E3D"/>
    <w:rsid w:val="004A2C03"/>
    <w:rsid w:val="004A307D"/>
    <w:rsid w:val="004A3794"/>
    <w:rsid w:val="004A3BF7"/>
    <w:rsid w:val="004A412D"/>
    <w:rsid w:val="004A4673"/>
    <w:rsid w:val="004A5500"/>
    <w:rsid w:val="004A5F72"/>
    <w:rsid w:val="004A628A"/>
    <w:rsid w:val="004A62B2"/>
    <w:rsid w:val="004A632F"/>
    <w:rsid w:val="004A66E0"/>
    <w:rsid w:val="004A6EAD"/>
    <w:rsid w:val="004A70E7"/>
    <w:rsid w:val="004A744B"/>
    <w:rsid w:val="004A772C"/>
    <w:rsid w:val="004A778E"/>
    <w:rsid w:val="004A7974"/>
    <w:rsid w:val="004B0027"/>
    <w:rsid w:val="004B022C"/>
    <w:rsid w:val="004B0496"/>
    <w:rsid w:val="004B08E0"/>
    <w:rsid w:val="004B0D1E"/>
    <w:rsid w:val="004B2E6F"/>
    <w:rsid w:val="004B3A5C"/>
    <w:rsid w:val="004B3B43"/>
    <w:rsid w:val="004B4427"/>
    <w:rsid w:val="004B4835"/>
    <w:rsid w:val="004B56C7"/>
    <w:rsid w:val="004B6066"/>
    <w:rsid w:val="004B6902"/>
    <w:rsid w:val="004B695B"/>
    <w:rsid w:val="004B6B12"/>
    <w:rsid w:val="004B7065"/>
    <w:rsid w:val="004B7391"/>
    <w:rsid w:val="004C070A"/>
    <w:rsid w:val="004C0716"/>
    <w:rsid w:val="004C0750"/>
    <w:rsid w:val="004C0CD0"/>
    <w:rsid w:val="004C2400"/>
    <w:rsid w:val="004C2DEB"/>
    <w:rsid w:val="004C31FB"/>
    <w:rsid w:val="004C3883"/>
    <w:rsid w:val="004C3E51"/>
    <w:rsid w:val="004C4BF5"/>
    <w:rsid w:val="004C4ED6"/>
    <w:rsid w:val="004C5153"/>
    <w:rsid w:val="004C572C"/>
    <w:rsid w:val="004C70BB"/>
    <w:rsid w:val="004C7565"/>
    <w:rsid w:val="004D0313"/>
    <w:rsid w:val="004D04BB"/>
    <w:rsid w:val="004D0621"/>
    <w:rsid w:val="004D0AFD"/>
    <w:rsid w:val="004D0B25"/>
    <w:rsid w:val="004D0D3E"/>
    <w:rsid w:val="004D1572"/>
    <w:rsid w:val="004D1F9A"/>
    <w:rsid w:val="004D256B"/>
    <w:rsid w:val="004D2F52"/>
    <w:rsid w:val="004D3129"/>
    <w:rsid w:val="004D35A7"/>
    <w:rsid w:val="004D38A3"/>
    <w:rsid w:val="004D4410"/>
    <w:rsid w:val="004D4A50"/>
    <w:rsid w:val="004D4D13"/>
    <w:rsid w:val="004D5242"/>
    <w:rsid w:val="004D64A3"/>
    <w:rsid w:val="004D6B1B"/>
    <w:rsid w:val="004D7555"/>
    <w:rsid w:val="004D759B"/>
    <w:rsid w:val="004D764A"/>
    <w:rsid w:val="004E04F3"/>
    <w:rsid w:val="004E08D1"/>
    <w:rsid w:val="004E17D7"/>
    <w:rsid w:val="004E1C29"/>
    <w:rsid w:val="004E2176"/>
    <w:rsid w:val="004E25B0"/>
    <w:rsid w:val="004E2990"/>
    <w:rsid w:val="004E2BB4"/>
    <w:rsid w:val="004E397B"/>
    <w:rsid w:val="004E3B07"/>
    <w:rsid w:val="004E49E7"/>
    <w:rsid w:val="004E5B6B"/>
    <w:rsid w:val="004E6AF4"/>
    <w:rsid w:val="004E6ED3"/>
    <w:rsid w:val="004E7D4E"/>
    <w:rsid w:val="004F02C1"/>
    <w:rsid w:val="004F02D0"/>
    <w:rsid w:val="004F0350"/>
    <w:rsid w:val="004F0D2F"/>
    <w:rsid w:val="004F1297"/>
    <w:rsid w:val="004F293F"/>
    <w:rsid w:val="004F2DDF"/>
    <w:rsid w:val="004F2DE5"/>
    <w:rsid w:val="004F300F"/>
    <w:rsid w:val="004F3091"/>
    <w:rsid w:val="004F31BE"/>
    <w:rsid w:val="004F3501"/>
    <w:rsid w:val="004F36C8"/>
    <w:rsid w:val="004F38CD"/>
    <w:rsid w:val="004F3D65"/>
    <w:rsid w:val="004F41CB"/>
    <w:rsid w:val="004F4BFF"/>
    <w:rsid w:val="004F4F60"/>
    <w:rsid w:val="004F5C07"/>
    <w:rsid w:val="004F5C63"/>
    <w:rsid w:val="004F7066"/>
    <w:rsid w:val="004F77F7"/>
    <w:rsid w:val="0050007E"/>
    <w:rsid w:val="00500380"/>
    <w:rsid w:val="00501B23"/>
    <w:rsid w:val="00501FFB"/>
    <w:rsid w:val="0050213C"/>
    <w:rsid w:val="00502558"/>
    <w:rsid w:val="00502EC0"/>
    <w:rsid w:val="00503334"/>
    <w:rsid w:val="00503356"/>
    <w:rsid w:val="005035D0"/>
    <w:rsid w:val="00505278"/>
    <w:rsid w:val="00505B0C"/>
    <w:rsid w:val="00505C99"/>
    <w:rsid w:val="0050637D"/>
    <w:rsid w:val="00506452"/>
    <w:rsid w:val="0050754B"/>
    <w:rsid w:val="00507B02"/>
    <w:rsid w:val="00510CD6"/>
    <w:rsid w:val="00511950"/>
    <w:rsid w:val="00511A17"/>
    <w:rsid w:val="00511CB8"/>
    <w:rsid w:val="00511FC6"/>
    <w:rsid w:val="00511FD1"/>
    <w:rsid w:val="00512720"/>
    <w:rsid w:val="00513889"/>
    <w:rsid w:val="00513B32"/>
    <w:rsid w:val="00513C48"/>
    <w:rsid w:val="00513D44"/>
    <w:rsid w:val="00513FDE"/>
    <w:rsid w:val="005141F6"/>
    <w:rsid w:val="00514343"/>
    <w:rsid w:val="005147DF"/>
    <w:rsid w:val="00516949"/>
    <w:rsid w:val="00517557"/>
    <w:rsid w:val="00517DAC"/>
    <w:rsid w:val="00520242"/>
    <w:rsid w:val="00520273"/>
    <w:rsid w:val="005216BA"/>
    <w:rsid w:val="00522DBC"/>
    <w:rsid w:val="00522E57"/>
    <w:rsid w:val="005231C7"/>
    <w:rsid w:val="005232A4"/>
    <w:rsid w:val="00524424"/>
    <w:rsid w:val="00524C48"/>
    <w:rsid w:val="00524FA3"/>
    <w:rsid w:val="00525585"/>
    <w:rsid w:val="00526111"/>
    <w:rsid w:val="005265B2"/>
    <w:rsid w:val="005265D1"/>
    <w:rsid w:val="00526871"/>
    <w:rsid w:val="00526D46"/>
    <w:rsid w:val="0052706F"/>
    <w:rsid w:val="005270CE"/>
    <w:rsid w:val="00527796"/>
    <w:rsid w:val="005277F7"/>
    <w:rsid w:val="00530255"/>
    <w:rsid w:val="005317B9"/>
    <w:rsid w:val="00532389"/>
    <w:rsid w:val="00533A63"/>
    <w:rsid w:val="00534380"/>
    <w:rsid w:val="00534960"/>
    <w:rsid w:val="0053515F"/>
    <w:rsid w:val="00535B9F"/>
    <w:rsid w:val="00535E1B"/>
    <w:rsid w:val="00535F6F"/>
    <w:rsid w:val="00536930"/>
    <w:rsid w:val="00536ED2"/>
    <w:rsid w:val="005370BC"/>
    <w:rsid w:val="005372A8"/>
    <w:rsid w:val="00537425"/>
    <w:rsid w:val="005374A0"/>
    <w:rsid w:val="005403D4"/>
    <w:rsid w:val="00540C76"/>
    <w:rsid w:val="00540F2D"/>
    <w:rsid w:val="00541D62"/>
    <w:rsid w:val="00541FF6"/>
    <w:rsid w:val="005420AA"/>
    <w:rsid w:val="005421F5"/>
    <w:rsid w:val="0054255C"/>
    <w:rsid w:val="00542A43"/>
    <w:rsid w:val="00542C6F"/>
    <w:rsid w:val="0054307D"/>
    <w:rsid w:val="0054333A"/>
    <w:rsid w:val="005437AD"/>
    <w:rsid w:val="00543EC5"/>
    <w:rsid w:val="00544209"/>
    <w:rsid w:val="005448F3"/>
    <w:rsid w:val="00545584"/>
    <w:rsid w:val="00545A79"/>
    <w:rsid w:val="00545CA8"/>
    <w:rsid w:val="005463A5"/>
    <w:rsid w:val="00546450"/>
    <w:rsid w:val="00546F6C"/>
    <w:rsid w:val="00546FEF"/>
    <w:rsid w:val="0054754B"/>
    <w:rsid w:val="00547E61"/>
    <w:rsid w:val="00550DE7"/>
    <w:rsid w:val="00551040"/>
    <w:rsid w:val="00551248"/>
    <w:rsid w:val="005513A4"/>
    <w:rsid w:val="00552509"/>
    <w:rsid w:val="00552602"/>
    <w:rsid w:val="005528CF"/>
    <w:rsid w:val="0055293A"/>
    <w:rsid w:val="0055374D"/>
    <w:rsid w:val="0055422B"/>
    <w:rsid w:val="00554300"/>
    <w:rsid w:val="00554589"/>
    <w:rsid w:val="0055466C"/>
    <w:rsid w:val="00555031"/>
    <w:rsid w:val="00556592"/>
    <w:rsid w:val="00556644"/>
    <w:rsid w:val="0055705E"/>
    <w:rsid w:val="005571DE"/>
    <w:rsid w:val="005571E9"/>
    <w:rsid w:val="005579F7"/>
    <w:rsid w:val="005604A5"/>
    <w:rsid w:val="005606C7"/>
    <w:rsid w:val="00560AD6"/>
    <w:rsid w:val="00560E69"/>
    <w:rsid w:val="00561FEB"/>
    <w:rsid w:val="0056206C"/>
    <w:rsid w:val="00562279"/>
    <w:rsid w:val="0056228A"/>
    <w:rsid w:val="00562435"/>
    <w:rsid w:val="00562767"/>
    <w:rsid w:val="0056312D"/>
    <w:rsid w:val="0056382A"/>
    <w:rsid w:val="00564F7E"/>
    <w:rsid w:val="00565373"/>
    <w:rsid w:val="00565689"/>
    <w:rsid w:val="00565933"/>
    <w:rsid w:val="00565A16"/>
    <w:rsid w:val="00566935"/>
    <w:rsid w:val="005672B6"/>
    <w:rsid w:val="00567A62"/>
    <w:rsid w:val="005702A7"/>
    <w:rsid w:val="00570A89"/>
    <w:rsid w:val="00570D8F"/>
    <w:rsid w:val="005710F6"/>
    <w:rsid w:val="00571201"/>
    <w:rsid w:val="00571466"/>
    <w:rsid w:val="005714B6"/>
    <w:rsid w:val="0057159A"/>
    <w:rsid w:val="005715E6"/>
    <w:rsid w:val="0057178A"/>
    <w:rsid w:val="0057194F"/>
    <w:rsid w:val="00571B6E"/>
    <w:rsid w:val="00572580"/>
    <w:rsid w:val="00573C49"/>
    <w:rsid w:val="00574597"/>
    <w:rsid w:val="00574F60"/>
    <w:rsid w:val="00575259"/>
    <w:rsid w:val="0057542A"/>
    <w:rsid w:val="0057572A"/>
    <w:rsid w:val="00575C79"/>
    <w:rsid w:val="00576D0A"/>
    <w:rsid w:val="00576EAF"/>
    <w:rsid w:val="005770FA"/>
    <w:rsid w:val="00577D09"/>
    <w:rsid w:val="00577D20"/>
    <w:rsid w:val="00577F3B"/>
    <w:rsid w:val="00577F98"/>
    <w:rsid w:val="00580183"/>
    <w:rsid w:val="00580426"/>
    <w:rsid w:val="00580613"/>
    <w:rsid w:val="005806AB"/>
    <w:rsid w:val="00580B83"/>
    <w:rsid w:val="00580C59"/>
    <w:rsid w:val="00582886"/>
    <w:rsid w:val="00582A73"/>
    <w:rsid w:val="00582B28"/>
    <w:rsid w:val="005838C2"/>
    <w:rsid w:val="00583B10"/>
    <w:rsid w:val="00583B3F"/>
    <w:rsid w:val="00583D2F"/>
    <w:rsid w:val="00583DDE"/>
    <w:rsid w:val="00584056"/>
    <w:rsid w:val="0058439E"/>
    <w:rsid w:val="005862ED"/>
    <w:rsid w:val="0058643F"/>
    <w:rsid w:val="005866D0"/>
    <w:rsid w:val="00586B22"/>
    <w:rsid w:val="00587288"/>
    <w:rsid w:val="005873EE"/>
    <w:rsid w:val="005875F0"/>
    <w:rsid w:val="00587B50"/>
    <w:rsid w:val="00587E35"/>
    <w:rsid w:val="00590A8F"/>
    <w:rsid w:val="00590D7C"/>
    <w:rsid w:val="00591796"/>
    <w:rsid w:val="00591C2F"/>
    <w:rsid w:val="00592C1F"/>
    <w:rsid w:val="00592F68"/>
    <w:rsid w:val="0059329F"/>
    <w:rsid w:val="0059379D"/>
    <w:rsid w:val="005939C0"/>
    <w:rsid w:val="0059458F"/>
    <w:rsid w:val="00594FFD"/>
    <w:rsid w:val="00595027"/>
    <w:rsid w:val="00595BF3"/>
    <w:rsid w:val="00595C3B"/>
    <w:rsid w:val="00595E0D"/>
    <w:rsid w:val="0059638A"/>
    <w:rsid w:val="00596458"/>
    <w:rsid w:val="00596954"/>
    <w:rsid w:val="00597085"/>
    <w:rsid w:val="005974E0"/>
    <w:rsid w:val="00597504"/>
    <w:rsid w:val="005979F3"/>
    <w:rsid w:val="00597CC3"/>
    <w:rsid w:val="005A0D2D"/>
    <w:rsid w:val="005A10A0"/>
    <w:rsid w:val="005A1182"/>
    <w:rsid w:val="005A15B4"/>
    <w:rsid w:val="005A1F73"/>
    <w:rsid w:val="005A224F"/>
    <w:rsid w:val="005A245E"/>
    <w:rsid w:val="005A289B"/>
    <w:rsid w:val="005A29C2"/>
    <w:rsid w:val="005A29F5"/>
    <w:rsid w:val="005A2E40"/>
    <w:rsid w:val="005A3EBF"/>
    <w:rsid w:val="005A4116"/>
    <w:rsid w:val="005A489B"/>
    <w:rsid w:val="005A4A60"/>
    <w:rsid w:val="005A4B36"/>
    <w:rsid w:val="005A5224"/>
    <w:rsid w:val="005A55C0"/>
    <w:rsid w:val="005A5F7F"/>
    <w:rsid w:val="005A607D"/>
    <w:rsid w:val="005A6284"/>
    <w:rsid w:val="005A718A"/>
    <w:rsid w:val="005A71B2"/>
    <w:rsid w:val="005A785B"/>
    <w:rsid w:val="005B0085"/>
    <w:rsid w:val="005B1331"/>
    <w:rsid w:val="005B1375"/>
    <w:rsid w:val="005B13DA"/>
    <w:rsid w:val="005B18F1"/>
    <w:rsid w:val="005B1A72"/>
    <w:rsid w:val="005B1D4B"/>
    <w:rsid w:val="005B4359"/>
    <w:rsid w:val="005B5334"/>
    <w:rsid w:val="005B5A4E"/>
    <w:rsid w:val="005B649D"/>
    <w:rsid w:val="005B79D3"/>
    <w:rsid w:val="005B7AD3"/>
    <w:rsid w:val="005B7CEC"/>
    <w:rsid w:val="005C03E2"/>
    <w:rsid w:val="005C0B5B"/>
    <w:rsid w:val="005C0CA6"/>
    <w:rsid w:val="005C0E3D"/>
    <w:rsid w:val="005C1621"/>
    <w:rsid w:val="005C1FAA"/>
    <w:rsid w:val="005C26D6"/>
    <w:rsid w:val="005C2D0C"/>
    <w:rsid w:val="005C2F2A"/>
    <w:rsid w:val="005C3291"/>
    <w:rsid w:val="005C35DB"/>
    <w:rsid w:val="005C3771"/>
    <w:rsid w:val="005C3959"/>
    <w:rsid w:val="005C4157"/>
    <w:rsid w:val="005C43FD"/>
    <w:rsid w:val="005C44FD"/>
    <w:rsid w:val="005C46B2"/>
    <w:rsid w:val="005C5051"/>
    <w:rsid w:val="005C5062"/>
    <w:rsid w:val="005C52B7"/>
    <w:rsid w:val="005C5C54"/>
    <w:rsid w:val="005C732C"/>
    <w:rsid w:val="005C7A24"/>
    <w:rsid w:val="005C7DC8"/>
    <w:rsid w:val="005D0093"/>
    <w:rsid w:val="005D0875"/>
    <w:rsid w:val="005D0EDC"/>
    <w:rsid w:val="005D1B80"/>
    <w:rsid w:val="005D1D0E"/>
    <w:rsid w:val="005D20AB"/>
    <w:rsid w:val="005D2718"/>
    <w:rsid w:val="005D2757"/>
    <w:rsid w:val="005D2C26"/>
    <w:rsid w:val="005D32E0"/>
    <w:rsid w:val="005D373D"/>
    <w:rsid w:val="005D3A3A"/>
    <w:rsid w:val="005D3BA2"/>
    <w:rsid w:val="005D3CFD"/>
    <w:rsid w:val="005D400C"/>
    <w:rsid w:val="005D4416"/>
    <w:rsid w:val="005D4465"/>
    <w:rsid w:val="005D46E0"/>
    <w:rsid w:val="005D46E3"/>
    <w:rsid w:val="005D5C1B"/>
    <w:rsid w:val="005D62D6"/>
    <w:rsid w:val="005D62F1"/>
    <w:rsid w:val="005D6B72"/>
    <w:rsid w:val="005E0B80"/>
    <w:rsid w:val="005E0C78"/>
    <w:rsid w:val="005E0D41"/>
    <w:rsid w:val="005E1C34"/>
    <w:rsid w:val="005E1D71"/>
    <w:rsid w:val="005E1E01"/>
    <w:rsid w:val="005E2118"/>
    <w:rsid w:val="005E2264"/>
    <w:rsid w:val="005E2BB9"/>
    <w:rsid w:val="005E2F74"/>
    <w:rsid w:val="005E348D"/>
    <w:rsid w:val="005E37CD"/>
    <w:rsid w:val="005E4119"/>
    <w:rsid w:val="005E4BF2"/>
    <w:rsid w:val="005E4C45"/>
    <w:rsid w:val="005E4F9E"/>
    <w:rsid w:val="005E5420"/>
    <w:rsid w:val="005E54B6"/>
    <w:rsid w:val="005E6E49"/>
    <w:rsid w:val="005E6F52"/>
    <w:rsid w:val="005E744F"/>
    <w:rsid w:val="005E7D18"/>
    <w:rsid w:val="005E7F3A"/>
    <w:rsid w:val="005E7F9D"/>
    <w:rsid w:val="005F0DC8"/>
    <w:rsid w:val="005F106D"/>
    <w:rsid w:val="005F1088"/>
    <w:rsid w:val="005F1973"/>
    <w:rsid w:val="005F20BC"/>
    <w:rsid w:val="005F273B"/>
    <w:rsid w:val="005F475B"/>
    <w:rsid w:val="005F4764"/>
    <w:rsid w:val="005F494E"/>
    <w:rsid w:val="005F497B"/>
    <w:rsid w:val="005F4F2D"/>
    <w:rsid w:val="005F4F9C"/>
    <w:rsid w:val="005F50B1"/>
    <w:rsid w:val="005F5245"/>
    <w:rsid w:val="005F52F7"/>
    <w:rsid w:val="005F6383"/>
    <w:rsid w:val="005F68B2"/>
    <w:rsid w:val="005F6952"/>
    <w:rsid w:val="005F69B5"/>
    <w:rsid w:val="005F6B2D"/>
    <w:rsid w:val="005F7185"/>
    <w:rsid w:val="005F7939"/>
    <w:rsid w:val="005F79A8"/>
    <w:rsid w:val="005F7D40"/>
    <w:rsid w:val="005F7DDC"/>
    <w:rsid w:val="006003AD"/>
    <w:rsid w:val="006005E3"/>
    <w:rsid w:val="00600609"/>
    <w:rsid w:val="0060072D"/>
    <w:rsid w:val="006017F2"/>
    <w:rsid w:val="00601B97"/>
    <w:rsid w:val="0060223B"/>
    <w:rsid w:val="006029EE"/>
    <w:rsid w:val="00602FD5"/>
    <w:rsid w:val="00603672"/>
    <w:rsid w:val="00604151"/>
    <w:rsid w:val="0060455A"/>
    <w:rsid w:val="00604A25"/>
    <w:rsid w:val="00604B21"/>
    <w:rsid w:val="0060524F"/>
    <w:rsid w:val="00605AC0"/>
    <w:rsid w:val="006060C0"/>
    <w:rsid w:val="00607565"/>
    <w:rsid w:val="0060761F"/>
    <w:rsid w:val="00610501"/>
    <w:rsid w:val="006105DF"/>
    <w:rsid w:val="006118A7"/>
    <w:rsid w:val="00611B3A"/>
    <w:rsid w:val="00611EDD"/>
    <w:rsid w:val="006126AF"/>
    <w:rsid w:val="00612C74"/>
    <w:rsid w:val="00613DE8"/>
    <w:rsid w:val="00614355"/>
    <w:rsid w:val="0061487A"/>
    <w:rsid w:val="00615048"/>
    <w:rsid w:val="00616BF6"/>
    <w:rsid w:val="0061799C"/>
    <w:rsid w:val="00617E4C"/>
    <w:rsid w:val="00617F97"/>
    <w:rsid w:val="006205B0"/>
    <w:rsid w:val="0062106A"/>
    <w:rsid w:val="00621AB7"/>
    <w:rsid w:val="00621E7B"/>
    <w:rsid w:val="006221E3"/>
    <w:rsid w:val="00623B66"/>
    <w:rsid w:val="00624131"/>
    <w:rsid w:val="006249FD"/>
    <w:rsid w:val="006269D7"/>
    <w:rsid w:val="00626D49"/>
    <w:rsid w:val="00627413"/>
    <w:rsid w:val="006275ED"/>
    <w:rsid w:val="00627CF9"/>
    <w:rsid w:val="00630648"/>
    <w:rsid w:val="006307CA"/>
    <w:rsid w:val="00630F30"/>
    <w:rsid w:val="006314FD"/>
    <w:rsid w:val="006316E0"/>
    <w:rsid w:val="00631C01"/>
    <w:rsid w:val="00631C67"/>
    <w:rsid w:val="00632206"/>
    <w:rsid w:val="00632414"/>
    <w:rsid w:val="0063275B"/>
    <w:rsid w:val="00632C28"/>
    <w:rsid w:val="00632EF6"/>
    <w:rsid w:val="0063392A"/>
    <w:rsid w:val="00633B79"/>
    <w:rsid w:val="00633FA3"/>
    <w:rsid w:val="00634385"/>
    <w:rsid w:val="006347E0"/>
    <w:rsid w:val="0063510D"/>
    <w:rsid w:val="006357CF"/>
    <w:rsid w:val="0063623A"/>
    <w:rsid w:val="00636B91"/>
    <w:rsid w:val="00637158"/>
    <w:rsid w:val="00637F5D"/>
    <w:rsid w:val="00640188"/>
    <w:rsid w:val="006405E5"/>
    <w:rsid w:val="00640689"/>
    <w:rsid w:val="00640D7E"/>
    <w:rsid w:val="00640F85"/>
    <w:rsid w:val="00642041"/>
    <w:rsid w:val="006427C6"/>
    <w:rsid w:val="00642956"/>
    <w:rsid w:val="00642C6C"/>
    <w:rsid w:val="00642F03"/>
    <w:rsid w:val="00643375"/>
    <w:rsid w:val="0064444B"/>
    <w:rsid w:val="00644888"/>
    <w:rsid w:val="006455D3"/>
    <w:rsid w:val="00645773"/>
    <w:rsid w:val="0064579D"/>
    <w:rsid w:val="00645B47"/>
    <w:rsid w:val="00645D3C"/>
    <w:rsid w:val="00646DED"/>
    <w:rsid w:val="006470A8"/>
    <w:rsid w:val="0064773E"/>
    <w:rsid w:val="00647CF3"/>
    <w:rsid w:val="006515A4"/>
    <w:rsid w:val="00651636"/>
    <w:rsid w:val="00651D45"/>
    <w:rsid w:val="00652024"/>
    <w:rsid w:val="006522AC"/>
    <w:rsid w:val="006524B4"/>
    <w:rsid w:val="00653610"/>
    <w:rsid w:val="0065376F"/>
    <w:rsid w:val="00653C66"/>
    <w:rsid w:val="00653DA2"/>
    <w:rsid w:val="0065417A"/>
    <w:rsid w:val="006542A0"/>
    <w:rsid w:val="00654606"/>
    <w:rsid w:val="0065474F"/>
    <w:rsid w:val="00654767"/>
    <w:rsid w:val="006560C1"/>
    <w:rsid w:val="00656C28"/>
    <w:rsid w:val="00656E56"/>
    <w:rsid w:val="00656F5E"/>
    <w:rsid w:val="00657CC1"/>
    <w:rsid w:val="00660193"/>
    <w:rsid w:val="00660A6E"/>
    <w:rsid w:val="0066111A"/>
    <w:rsid w:val="006615E7"/>
    <w:rsid w:val="00661A10"/>
    <w:rsid w:val="006629DF"/>
    <w:rsid w:val="00662D1A"/>
    <w:rsid w:val="00663A88"/>
    <w:rsid w:val="00663AC3"/>
    <w:rsid w:val="00663AF7"/>
    <w:rsid w:val="00663C89"/>
    <w:rsid w:val="00663F67"/>
    <w:rsid w:val="0066415B"/>
    <w:rsid w:val="006643EC"/>
    <w:rsid w:val="00664B2A"/>
    <w:rsid w:val="00664F03"/>
    <w:rsid w:val="0066510D"/>
    <w:rsid w:val="0066560E"/>
    <w:rsid w:val="006656C5"/>
    <w:rsid w:val="0066589D"/>
    <w:rsid w:val="00665B41"/>
    <w:rsid w:val="00665FD2"/>
    <w:rsid w:val="00666AE4"/>
    <w:rsid w:val="00667630"/>
    <w:rsid w:val="00667B99"/>
    <w:rsid w:val="00670355"/>
    <w:rsid w:val="00670EA2"/>
    <w:rsid w:val="00671272"/>
    <w:rsid w:val="006726F0"/>
    <w:rsid w:val="0067357C"/>
    <w:rsid w:val="00673AB0"/>
    <w:rsid w:val="00674155"/>
    <w:rsid w:val="0067505F"/>
    <w:rsid w:val="0067537A"/>
    <w:rsid w:val="0067580C"/>
    <w:rsid w:val="006759AF"/>
    <w:rsid w:val="006761FC"/>
    <w:rsid w:val="006769CA"/>
    <w:rsid w:val="006770AA"/>
    <w:rsid w:val="00677259"/>
    <w:rsid w:val="006775E3"/>
    <w:rsid w:val="006777A3"/>
    <w:rsid w:val="00677FA8"/>
    <w:rsid w:val="00680047"/>
    <w:rsid w:val="00680FE6"/>
    <w:rsid w:val="0068110F"/>
    <w:rsid w:val="0068146A"/>
    <w:rsid w:val="006834EF"/>
    <w:rsid w:val="006844F2"/>
    <w:rsid w:val="00684996"/>
    <w:rsid w:val="00685EF8"/>
    <w:rsid w:val="00686467"/>
    <w:rsid w:val="00686D10"/>
    <w:rsid w:val="00686D3A"/>
    <w:rsid w:val="0068759A"/>
    <w:rsid w:val="006877C0"/>
    <w:rsid w:val="00687CA1"/>
    <w:rsid w:val="006904B9"/>
    <w:rsid w:val="00691472"/>
    <w:rsid w:val="0069174B"/>
    <w:rsid w:val="006930C5"/>
    <w:rsid w:val="00693106"/>
    <w:rsid w:val="0069363A"/>
    <w:rsid w:val="00693DDC"/>
    <w:rsid w:val="00694B88"/>
    <w:rsid w:val="00694D02"/>
    <w:rsid w:val="00695376"/>
    <w:rsid w:val="00695478"/>
    <w:rsid w:val="00695B19"/>
    <w:rsid w:val="00695CF8"/>
    <w:rsid w:val="006960B6"/>
    <w:rsid w:val="00696EFD"/>
    <w:rsid w:val="0069720D"/>
    <w:rsid w:val="00697618"/>
    <w:rsid w:val="006A0DF1"/>
    <w:rsid w:val="006A1A7F"/>
    <w:rsid w:val="006A1E04"/>
    <w:rsid w:val="006A2024"/>
    <w:rsid w:val="006A2101"/>
    <w:rsid w:val="006A24D7"/>
    <w:rsid w:val="006A2907"/>
    <w:rsid w:val="006A2BC3"/>
    <w:rsid w:val="006A2FA2"/>
    <w:rsid w:val="006A38AB"/>
    <w:rsid w:val="006A3A8D"/>
    <w:rsid w:val="006A3B0D"/>
    <w:rsid w:val="006A475A"/>
    <w:rsid w:val="006A4A8D"/>
    <w:rsid w:val="006A54D8"/>
    <w:rsid w:val="006A5573"/>
    <w:rsid w:val="006A5BB2"/>
    <w:rsid w:val="006A6B56"/>
    <w:rsid w:val="006A6D64"/>
    <w:rsid w:val="006A6F5A"/>
    <w:rsid w:val="006A789A"/>
    <w:rsid w:val="006B009E"/>
    <w:rsid w:val="006B0234"/>
    <w:rsid w:val="006B1419"/>
    <w:rsid w:val="006B31EC"/>
    <w:rsid w:val="006B3C36"/>
    <w:rsid w:val="006B3DBA"/>
    <w:rsid w:val="006B3E93"/>
    <w:rsid w:val="006B40DC"/>
    <w:rsid w:val="006B495C"/>
    <w:rsid w:val="006B5372"/>
    <w:rsid w:val="006B79BA"/>
    <w:rsid w:val="006B7A02"/>
    <w:rsid w:val="006C021A"/>
    <w:rsid w:val="006C0755"/>
    <w:rsid w:val="006C089D"/>
    <w:rsid w:val="006C0EB7"/>
    <w:rsid w:val="006C0FDD"/>
    <w:rsid w:val="006C14A5"/>
    <w:rsid w:val="006C1903"/>
    <w:rsid w:val="006C194E"/>
    <w:rsid w:val="006C1BB0"/>
    <w:rsid w:val="006C1D59"/>
    <w:rsid w:val="006C219D"/>
    <w:rsid w:val="006C45EE"/>
    <w:rsid w:val="006C5CF1"/>
    <w:rsid w:val="006C631A"/>
    <w:rsid w:val="006C6777"/>
    <w:rsid w:val="006C6B95"/>
    <w:rsid w:val="006D00E2"/>
    <w:rsid w:val="006D0267"/>
    <w:rsid w:val="006D0388"/>
    <w:rsid w:val="006D0567"/>
    <w:rsid w:val="006D15C2"/>
    <w:rsid w:val="006D16D7"/>
    <w:rsid w:val="006D1BA5"/>
    <w:rsid w:val="006D2970"/>
    <w:rsid w:val="006D2D07"/>
    <w:rsid w:val="006D34B8"/>
    <w:rsid w:val="006D3D5F"/>
    <w:rsid w:val="006D422B"/>
    <w:rsid w:val="006D43E0"/>
    <w:rsid w:val="006D6166"/>
    <w:rsid w:val="006D64D9"/>
    <w:rsid w:val="006D665D"/>
    <w:rsid w:val="006D67AE"/>
    <w:rsid w:val="006D6AEE"/>
    <w:rsid w:val="006D6B21"/>
    <w:rsid w:val="006D6CCC"/>
    <w:rsid w:val="006D704B"/>
    <w:rsid w:val="006D725E"/>
    <w:rsid w:val="006D7311"/>
    <w:rsid w:val="006D744C"/>
    <w:rsid w:val="006E024B"/>
    <w:rsid w:val="006E0976"/>
    <w:rsid w:val="006E0A2E"/>
    <w:rsid w:val="006E0DB2"/>
    <w:rsid w:val="006E0FCD"/>
    <w:rsid w:val="006E1061"/>
    <w:rsid w:val="006E151E"/>
    <w:rsid w:val="006E198D"/>
    <w:rsid w:val="006E20B8"/>
    <w:rsid w:val="006E3342"/>
    <w:rsid w:val="006E336D"/>
    <w:rsid w:val="006E348F"/>
    <w:rsid w:val="006E3586"/>
    <w:rsid w:val="006E427A"/>
    <w:rsid w:val="006E466E"/>
    <w:rsid w:val="006E49B5"/>
    <w:rsid w:val="006E4B3A"/>
    <w:rsid w:val="006E4BAE"/>
    <w:rsid w:val="006E4F9D"/>
    <w:rsid w:val="006E513A"/>
    <w:rsid w:val="006E5B2E"/>
    <w:rsid w:val="006E631C"/>
    <w:rsid w:val="006E6DEC"/>
    <w:rsid w:val="006E771E"/>
    <w:rsid w:val="006F0DE9"/>
    <w:rsid w:val="006F17E7"/>
    <w:rsid w:val="006F236F"/>
    <w:rsid w:val="006F26B2"/>
    <w:rsid w:val="006F342F"/>
    <w:rsid w:val="006F3C77"/>
    <w:rsid w:val="006F3F72"/>
    <w:rsid w:val="006F58F9"/>
    <w:rsid w:val="006F5A1B"/>
    <w:rsid w:val="006F5BA4"/>
    <w:rsid w:val="006F67BF"/>
    <w:rsid w:val="006F6C3B"/>
    <w:rsid w:val="006F7487"/>
    <w:rsid w:val="00700322"/>
    <w:rsid w:val="007006A2"/>
    <w:rsid w:val="007008DA"/>
    <w:rsid w:val="00700A46"/>
    <w:rsid w:val="00700FA3"/>
    <w:rsid w:val="0070111B"/>
    <w:rsid w:val="0070192C"/>
    <w:rsid w:val="00701C51"/>
    <w:rsid w:val="00701F86"/>
    <w:rsid w:val="00703613"/>
    <w:rsid w:val="00703E3C"/>
    <w:rsid w:val="0070438A"/>
    <w:rsid w:val="00704A35"/>
    <w:rsid w:val="00704CEB"/>
    <w:rsid w:val="00704F9E"/>
    <w:rsid w:val="007067FA"/>
    <w:rsid w:val="00706E6B"/>
    <w:rsid w:val="00706E72"/>
    <w:rsid w:val="00706FC8"/>
    <w:rsid w:val="007076E7"/>
    <w:rsid w:val="00710428"/>
    <w:rsid w:val="0071045C"/>
    <w:rsid w:val="00710716"/>
    <w:rsid w:val="00710D45"/>
    <w:rsid w:val="007112EA"/>
    <w:rsid w:val="007114A6"/>
    <w:rsid w:val="00711CB1"/>
    <w:rsid w:val="00711E1A"/>
    <w:rsid w:val="00711EC4"/>
    <w:rsid w:val="00712E0A"/>
    <w:rsid w:val="0071340F"/>
    <w:rsid w:val="0071418B"/>
    <w:rsid w:val="0071463B"/>
    <w:rsid w:val="007148B2"/>
    <w:rsid w:val="00714AF7"/>
    <w:rsid w:val="00714C0A"/>
    <w:rsid w:val="0071540B"/>
    <w:rsid w:val="00716429"/>
    <w:rsid w:val="007165FD"/>
    <w:rsid w:val="00716DFC"/>
    <w:rsid w:val="007200E0"/>
    <w:rsid w:val="007203C3"/>
    <w:rsid w:val="00720CF8"/>
    <w:rsid w:val="00722A07"/>
    <w:rsid w:val="00722B0E"/>
    <w:rsid w:val="00722C54"/>
    <w:rsid w:val="00722C6A"/>
    <w:rsid w:val="00722D75"/>
    <w:rsid w:val="00723024"/>
    <w:rsid w:val="0072316B"/>
    <w:rsid w:val="007247F3"/>
    <w:rsid w:val="00724B4C"/>
    <w:rsid w:val="00725BF7"/>
    <w:rsid w:val="0072613A"/>
    <w:rsid w:val="007267BA"/>
    <w:rsid w:val="00726A0A"/>
    <w:rsid w:val="00726BFB"/>
    <w:rsid w:val="00726F31"/>
    <w:rsid w:val="007314CB"/>
    <w:rsid w:val="007321C4"/>
    <w:rsid w:val="007322D0"/>
    <w:rsid w:val="0073230E"/>
    <w:rsid w:val="00732669"/>
    <w:rsid w:val="007330DF"/>
    <w:rsid w:val="007333A0"/>
    <w:rsid w:val="007334E0"/>
    <w:rsid w:val="00734A97"/>
    <w:rsid w:val="00734D01"/>
    <w:rsid w:val="007367BC"/>
    <w:rsid w:val="0073713A"/>
    <w:rsid w:val="00737A05"/>
    <w:rsid w:val="00740126"/>
    <w:rsid w:val="007401B7"/>
    <w:rsid w:val="007407CD"/>
    <w:rsid w:val="00741276"/>
    <w:rsid w:val="0074133A"/>
    <w:rsid w:val="00741746"/>
    <w:rsid w:val="007424C2"/>
    <w:rsid w:val="00742EB4"/>
    <w:rsid w:val="007432E3"/>
    <w:rsid w:val="007452B7"/>
    <w:rsid w:val="00745B0F"/>
    <w:rsid w:val="007466C7"/>
    <w:rsid w:val="0074693D"/>
    <w:rsid w:val="00747266"/>
    <w:rsid w:val="00747300"/>
    <w:rsid w:val="00747772"/>
    <w:rsid w:val="00750D24"/>
    <w:rsid w:val="00751336"/>
    <w:rsid w:val="00751347"/>
    <w:rsid w:val="00752756"/>
    <w:rsid w:val="0075371B"/>
    <w:rsid w:val="007537EA"/>
    <w:rsid w:val="00753803"/>
    <w:rsid w:val="007545D1"/>
    <w:rsid w:val="0075474F"/>
    <w:rsid w:val="0075512F"/>
    <w:rsid w:val="00755BEB"/>
    <w:rsid w:val="00755EB5"/>
    <w:rsid w:val="00756F95"/>
    <w:rsid w:val="007579F1"/>
    <w:rsid w:val="007603B7"/>
    <w:rsid w:val="007603F7"/>
    <w:rsid w:val="00760F7D"/>
    <w:rsid w:val="00760F91"/>
    <w:rsid w:val="007626FD"/>
    <w:rsid w:val="00762B17"/>
    <w:rsid w:val="00763046"/>
    <w:rsid w:val="0076348A"/>
    <w:rsid w:val="007639C4"/>
    <w:rsid w:val="007639EC"/>
    <w:rsid w:val="007646B5"/>
    <w:rsid w:val="00764CA7"/>
    <w:rsid w:val="00765687"/>
    <w:rsid w:val="007662EA"/>
    <w:rsid w:val="007665AF"/>
    <w:rsid w:val="007669F0"/>
    <w:rsid w:val="007676E2"/>
    <w:rsid w:val="0077041D"/>
    <w:rsid w:val="00770477"/>
    <w:rsid w:val="007704AD"/>
    <w:rsid w:val="007716B1"/>
    <w:rsid w:val="00771C18"/>
    <w:rsid w:val="00772596"/>
    <w:rsid w:val="007735DC"/>
    <w:rsid w:val="00773D78"/>
    <w:rsid w:val="0077570C"/>
    <w:rsid w:val="00775FE9"/>
    <w:rsid w:val="007768BC"/>
    <w:rsid w:val="00777178"/>
    <w:rsid w:val="00777925"/>
    <w:rsid w:val="00777F96"/>
    <w:rsid w:val="00780105"/>
    <w:rsid w:val="00780B99"/>
    <w:rsid w:val="00780D72"/>
    <w:rsid w:val="00780DF0"/>
    <w:rsid w:val="00781163"/>
    <w:rsid w:val="0078178C"/>
    <w:rsid w:val="0078180D"/>
    <w:rsid w:val="00781E6E"/>
    <w:rsid w:val="00783195"/>
    <w:rsid w:val="0078331A"/>
    <w:rsid w:val="007834FE"/>
    <w:rsid w:val="00783CB8"/>
    <w:rsid w:val="00783E09"/>
    <w:rsid w:val="00784058"/>
    <w:rsid w:val="007845E6"/>
    <w:rsid w:val="00784697"/>
    <w:rsid w:val="00784AA7"/>
    <w:rsid w:val="00784D76"/>
    <w:rsid w:val="007864C6"/>
    <w:rsid w:val="00786582"/>
    <w:rsid w:val="00786740"/>
    <w:rsid w:val="00786D30"/>
    <w:rsid w:val="00787D3C"/>
    <w:rsid w:val="00790066"/>
    <w:rsid w:val="007902C6"/>
    <w:rsid w:val="0079040F"/>
    <w:rsid w:val="007909E1"/>
    <w:rsid w:val="00792F12"/>
    <w:rsid w:val="007938B9"/>
    <w:rsid w:val="00793AC9"/>
    <w:rsid w:val="00793C62"/>
    <w:rsid w:val="0079405F"/>
    <w:rsid w:val="007943F9"/>
    <w:rsid w:val="0079551D"/>
    <w:rsid w:val="00795893"/>
    <w:rsid w:val="00795AC2"/>
    <w:rsid w:val="00795F1B"/>
    <w:rsid w:val="00796EFB"/>
    <w:rsid w:val="007970FB"/>
    <w:rsid w:val="00797233"/>
    <w:rsid w:val="007974FA"/>
    <w:rsid w:val="007978B7"/>
    <w:rsid w:val="00797933"/>
    <w:rsid w:val="00797FB2"/>
    <w:rsid w:val="007A00DA"/>
    <w:rsid w:val="007A1255"/>
    <w:rsid w:val="007A1AFF"/>
    <w:rsid w:val="007A1F4F"/>
    <w:rsid w:val="007A2ED2"/>
    <w:rsid w:val="007A2FD1"/>
    <w:rsid w:val="007A3174"/>
    <w:rsid w:val="007A31C8"/>
    <w:rsid w:val="007A3227"/>
    <w:rsid w:val="007A3263"/>
    <w:rsid w:val="007A3A83"/>
    <w:rsid w:val="007A3FF5"/>
    <w:rsid w:val="007A447F"/>
    <w:rsid w:val="007A4A93"/>
    <w:rsid w:val="007A4F95"/>
    <w:rsid w:val="007A511B"/>
    <w:rsid w:val="007A56D2"/>
    <w:rsid w:val="007A5A76"/>
    <w:rsid w:val="007A5DAD"/>
    <w:rsid w:val="007A65E0"/>
    <w:rsid w:val="007A6DB3"/>
    <w:rsid w:val="007A6EEB"/>
    <w:rsid w:val="007A71BA"/>
    <w:rsid w:val="007A73B0"/>
    <w:rsid w:val="007A77F7"/>
    <w:rsid w:val="007B0134"/>
    <w:rsid w:val="007B0A22"/>
    <w:rsid w:val="007B0ACF"/>
    <w:rsid w:val="007B1E64"/>
    <w:rsid w:val="007B1E88"/>
    <w:rsid w:val="007B1F7A"/>
    <w:rsid w:val="007B21D1"/>
    <w:rsid w:val="007B3629"/>
    <w:rsid w:val="007B4C74"/>
    <w:rsid w:val="007B5124"/>
    <w:rsid w:val="007B579B"/>
    <w:rsid w:val="007B5892"/>
    <w:rsid w:val="007B6256"/>
    <w:rsid w:val="007B6573"/>
    <w:rsid w:val="007B6D3E"/>
    <w:rsid w:val="007B6E05"/>
    <w:rsid w:val="007B7634"/>
    <w:rsid w:val="007C0316"/>
    <w:rsid w:val="007C066A"/>
    <w:rsid w:val="007C0B9B"/>
    <w:rsid w:val="007C0E09"/>
    <w:rsid w:val="007C0F95"/>
    <w:rsid w:val="007C1842"/>
    <w:rsid w:val="007C1984"/>
    <w:rsid w:val="007C1E65"/>
    <w:rsid w:val="007C2284"/>
    <w:rsid w:val="007C2BD9"/>
    <w:rsid w:val="007C3054"/>
    <w:rsid w:val="007C4057"/>
    <w:rsid w:val="007C4350"/>
    <w:rsid w:val="007C48DE"/>
    <w:rsid w:val="007C4E79"/>
    <w:rsid w:val="007C5B0B"/>
    <w:rsid w:val="007C695F"/>
    <w:rsid w:val="007C74EA"/>
    <w:rsid w:val="007C76AC"/>
    <w:rsid w:val="007C7C75"/>
    <w:rsid w:val="007C7E11"/>
    <w:rsid w:val="007C7EE0"/>
    <w:rsid w:val="007D05D5"/>
    <w:rsid w:val="007D27D0"/>
    <w:rsid w:val="007D2910"/>
    <w:rsid w:val="007D2DF9"/>
    <w:rsid w:val="007D3510"/>
    <w:rsid w:val="007D3592"/>
    <w:rsid w:val="007D3912"/>
    <w:rsid w:val="007D39EE"/>
    <w:rsid w:val="007D3C70"/>
    <w:rsid w:val="007D55A7"/>
    <w:rsid w:val="007D5663"/>
    <w:rsid w:val="007D5A1C"/>
    <w:rsid w:val="007D5BF8"/>
    <w:rsid w:val="007D721C"/>
    <w:rsid w:val="007E0AE2"/>
    <w:rsid w:val="007E0DE6"/>
    <w:rsid w:val="007E11F3"/>
    <w:rsid w:val="007E14B8"/>
    <w:rsid w:val="007E1F67"/>
    <w:rsid w:val="007E21D8"/>
    <w:rsid w:val="007E3597"/>
    <w:rsid w:val="007E3A0D"/>
    <w:rsid w:val="007E4257"/>
    <w:rsid w:val="007E4474"/>
    <w:rsid w:val="007E5D75"/>
    <w:rsid w:val="007E5DFD"/>
    <w:rsid w:val="007E6EA0"/>
    <w:rsid w:val="007E7320"/>
    <w:rsid w:val="007E746F"/>
    <w:rsid w:val="007E7B49"/>
    <w:rsid w:val="007F0794"/>
    <w:rsid w:val="007F0BEB"/>
    <w:rsid w:val="007F0BFA"/>
    <w:rsid w:val="007F0FD8"/>
    <w:rsid w:val="007F1497"/>
    <w:rsid w:val="007F1C32"/>
    <w:rsid w:val="007F236F"/>
    <w:rsid w:val="007F2611"/>
    <w:rsid w:val="007F36FF"/>
    <w:rsid w:val="007F3F1C"/>
    <w:rsid w:val="007F4A03"/>
    <w:rsid w:val="007F61CC"/>
    <w:rsid w:val="007F65C9"/>
    <w:rsid w:val="007F7292"/>
    <w:rsid w:val="007F7352"/>
    <w:rsid w:val="007F73E2"/>
    <w:rsid w:val="008012F2"/>
    <w:rsid w:val="0080157C"/>
    <w:rsid w:val="008026E1"/>
    <w:rsid w:val="00803A61"/>
    <w:rsid w:val="00804109"/>
    <w:rsid w:val="00804371"/>
    <w:rsid w:val="008043B6"/>
    <w:rsid w:val="008043DF"/>
    <w:rsid w:val="00804566"/>
    <w:rsid w:val="00804EF6"/>
    <w:rsid w:val="008057EC"/>
    <w:rsid w:val="00805BE0"/>
    <w:rsid w:val="0080625B"/>
    <w:rsid w:val="00806290"/>
    <w:rsid w:val="008064CD"/>
    <w:rsid w:val="00806650"/>
    <w:rsid w:val="00806BA2"/>
    <w:rsid w:val="00806F66"/>
    <w:rsid w:val="00807449"/>
    <w:rsid w:val="008074C4"/>
    <w:rsid w:val="00807E7B"/>
    <w:rsid w:val="00807ECA"/>
    <w:rsid w:val="008101AD"/>
    <w:rsid w:val="00811AE3"/>
    <w:rsid w:val="008123E6"/>
    <w:rsid w:val="0081390A"/>
    <w:rsid w:val="008147EB"/>
    <w:rsid w:val="00814D06"/>
    <w:rsid w:val="00815C62"/>
    <w:rsid w:val="00815F5B"/>
    <w:rsid w:val="00816116"/>
    <w:rsid w:val="0081655F"/>
    <w:rsid w:val="00816564"/>
    <w:rsid w:val="0081700C"/>
    <w:rsid w:val="00817510"/>
    <w:rsid w:val="00817792"/>
    <w:rsid w:val="00817974"/>
    <w:rsid w:val="00817C0C"/>
    <w:rsid w:val="00817E80"/>
    <w:rsid w:val="00817ECD"/>
    <w:rsid w:val="00817F67"/>
    <w:rsid w:val="0082022B"/>
    <w:rsid w:val="00820374"/>
    <w:rsid w:val="00821761"/>
    <w:rsid w:val="00821C05"/>
    <w:rsid w:val="00822754"/>
    <w:rsid w:val="00822764"/>
    <w:rsid w:val="0082282A"/>
    <w:rsid w:val="00822A51"/>
    <w:rsid w:val="00823790"/>
    <w:rsid w:val="0082384D"/>
    <w:rsid w:val="0082387F"/>
    <w:rsid w:val="00823AB1"/>
    <w:rsid w:val="00823CA1"/>
    <w:rsid w:val="00823CF6"/>
    <w:rsid w:val="00824493"/>
    <w:rsid w:val="00824825"/>
    <w:rsid w:val="0082483D"/>
    <w:rsid w:val="00824F69"/>
    <w:rsid w:val="008258F4"/>
    <w:rsid w:val="0082645D"/>
    <w:rsid w:val="008266DE"/>
    <w:rsid w:val="00826DD3"/>
    <w:rsid w:val="00827470"/>
    <w:rsid w:val="008275CC"/>
    <w:rsid w:val="00827CB3"/>
    <w:rsid w:val="0083001D"/>
    <w:rsid w:val="00830866"/>
    <w:rsid w:val="00830E21"/>
    <w:rsid w:val="008314FE"/>
    <w:rsid w:val="00831763"/>
    <w:rsid w:val="00831B57"/>
    <w:rsid w:val="00832495"/>
    <w:rsid w:val="008325CC"/>
    <w:rsid w:val="00832B74"/>
    <w:rsid w:val="00832F05"/>
    <w:rsid w:val="00833382"/>
    <w:rsid w:val="008335FD"/>
    <w:rsid w:val="00833DD4"/>
    <w:rsid w:val="00834A10"/>
    <w:rsid w:val="00834ABA"/>
    <w:rsid w:val="0083579C"/>
    <w:rsid w:val="00835DDC"/>
    <w:rsid w:val="0083622A"/>
    <w:rsid w:val="00836279"/>
    <w:rsid w:val="00836E95"/>
    <w:rsid w:val="00837763"/>
    <w:rsid w:val="008377C2"/>
    <w:rsid w:val="00840116"/>
    <w:rsid w:val="00840253"/>
    <w:rsid w:val="008409A5"/>
    <w:rsid w:val="00840D4F"/>
    <w:rsid w:val="00840E15"/>
    <w:rsid w:val="008418E6"/>
    <w:rsid w:val="00841D3A"/>
    <w:rsid w:val="00841F3E"/>
    <w:rsid w:val="00842142"/>
    <w:rsid w:val="00842240"/>
    <w:rsid w:val="00843242"/>
    <w:rsid w:val="00843CAB"/>
    <w:rsid w:val="00844A5F"/>
    <w:rsid w:val="00844CA5"/>
    <w:rsid w:val="00845334"/>
    <w:rsid w:val="00845498"/>
    <w:rsid w:val="00845EDE"/>
    <w:rsid w:val="0084651A"/>
    <w:rsid w:val="0084698D"/>
    <w:rsid w:val="0084758B"/>
    <w:rsid w:val="00847C99"/>
    <w:rsid w:val="0085029E"/>
    <w:rsid w:val="00851A44"/>
    <w:rsid w:val="008520C3"/>
    <w:rsid w:val="00852746"/>
    <w:rsid w:val="00852B4F"/>
    <w:rsid w:val="0085321C"/>
    <w:rsid w:val="0085334A"/>
    <w:rsid w:val="00853386"/>
    <w:rsid w:val="008533F8"/>
    <w:rsid w:val="00853D5A"/>
    <w:rsid w:val="00853D79"/>
    <w:rsid w:val="00854095"/>
    <w:rsid w:val="00854A31"/>
    <w:rsid w:val="008550B3"/>
    <w:rsid w:val="00856B85"/>
    <w:rsid w:val="00857535"/>
    <w:rsid w:val="008579F0"/>
    <w:rsid w:val="008602F0"/>
    <w:rsid w:val="00860421"/>
    <w:rsid w:val="008609AA"/>
    <w:rsid w:val="00861156"/>
    <w:rsid w:val="008614CF"/>
    <w:rsid w:val="00862416"/>
    <w:rsid w:val="0086260E"/>
    <w:rsid w:val="0086306D"/>
    <w:rsid w:val="008639F9"/>
    <w:rsid w:val="00863DC9"/>
    <w:rsid w:val="0086498D"/>
    <w:rsid w:val="008649DC"/>
    <w:rsid w:val="008649E5"/>
    <w:rsid w:val="00864C66"/>
    <w:rsid w:val="008655B7"/>
    <w:rsid w:val="00865618"/>
    <w:rsid w:val="0086561D"/>
    <w:rsid w:val="00865E3B"/>
    <w:rsid w:val="0086632F"/>
    <w:rsid w:val="008673BA"/>
    <w:rsid w:val="00867A37"/>
    <w:rsid w:val="00867D27"/>
    <w:rsid w:val="00867DD9"/>
    <w:rsid w:val="008702C1"/>
    <w:rsid w:val="00870A51"/>
    <w:rsid w:val="00871757"/>
    <w:rsid w:val="00871D96"/>
    <w:rsid w:val="00871EAF"/>
    <w:rsid w:val="00872161"/>
    <w:rsid w:val="008722DF"/>
    <w:rsid w:val="0087252D"/>
    <w:rsid w:val="00872680"/>
    <w:rsid w:val="00872979"/>
    <w:rsid w:val="00872F72"/>
    <w:rsid w:val="00872FF0"/>
    <w:rsid w:val="008735FE"/>
    <w:rsid w:val="00874386"/>
    <w:rsid w:val="008746C0"/>
    <w:rsid w:val="008749D2"/>
    <w:rsid w:val="00874BA8"/>
    <w:rsid w:val="00874BC6"/>
    <w:rsid w:val="00874E1E"/>
    <w:rsid w:val="00875A5A"/>
    <w:rsid w:val="00875E26"/>
    <w:rsid w:val="00876128"/>
    <w:rsid w:val="00876638"/>
    <w:rsid w:val="008806CE"/>
    <w:rsid w:val="00880986"/>
    <w:rsid w:val="00880F5E"/>
    <w:rsid w:val="00881282"/>
    <w:rsid w:val="008815B6"/>
    <w:rsid w:val="00881A81"/>
    <w:rsid w:val="00881B92"/>
    <w:rsid w:val="00881E60"/>
    <w:rsid w:val="00881E83"/>
    <w:rsid w:val="00883A46"/>
    <w:rsid w:val="00883CE5"/>
    <w:rsid w:val="0088428E"/>
    <w:rsid w:val="00884B65"/>
    <w:rsid w:val="00885459"/>
    <w:rsid w:val="008855CF"/>
    <w:rsid w:val="00885AFE"/>
    <w:rsid w:val="00885E32"/>
    <w:rsid w:val="008863FB"/>
    <w:rsid w:val="0088725B"/>
    <w:rsid w:val="00887882"/>
    <w:rsid w:val="008900AB"/>
    <w:rsid w:val="0089037A"/>
    <w:rsid w:val="00890FE0"/>
    <w:rsid w:val="0089105F"/>
    <w:rsid w:val="00891C62"/>
    <w:rsid w:val="0089238C"/>
    <w:rsid w:val="00892752"/>
    <w:rsid w:val="008936D1"/>
    <w:rsid w:val="0089382B"/>
    <w:rsid w:val="008938C8"/>
    <w:rsid w:val="0089398B"/>
    <w:rsid w:val="00893EF9"/>
    <w:rsid w:val="0089409C"/>
    <w:rsid w:val="008947B0"/>
    <w:rsid w:val="00894AF9"/>
    <w:rsid w:val="008955A6"/>
    <w:rsid w:val="00896486"/>
    <w:rsid w:val="00896E35"/>
    <w:rsid w:val="00896E71"/>
    <w:rsid w:val="00896EA7"/>
    <w:rsid w:val="00897748"/>
    <w:rsid w:val="0089780D"/>
    <w:rsid w:val="00897DAD"/>
    <w:rsid w:val="008A09C5"/>
    <w:rsid w:val="008A1B5D"/>
    <w:rsid w:val="008A1C81"/>
    <w:rsid w:val="008A1CDE"/>
    <w:rsid w:val="008A2A9F"/>
    <w:rsid w:val="008A2C1D"/>
    <w:rsid w:val="008A34B4"/>
    <w:rsid w:val="008A3710"/>
    <w:rsid w:val="008A373B"/>
    <w:rsid w:val="008A3C28"/>
    <w:rsid w:val="008A4403"/>
    <w:rsid w:val="008A4602"/>
    <w:rsid w:val="008A460C"/>
    <w:rsid w:val="008A4BCB"/>
    <w:rsid w:val="008A4CF0"/>
    <w:rsid w:val="008A4D14"/>
    <w:rsid w:val="008A55EF"/>
    <w:rsid w:val="008A595B"/>
    <w:rsid w:val="008A5C40"/>
    <w:rsid w:val="008A5EA5"/>
    <w:rsid w:val="008A6600"/>
    <w:rsid w:val="008A671A"/>
    <w:rsid w:val="008A710E"/>
    <w:rsid w:val="008B0BCA"/>
    <w:rsid w:val="008B0D28"/>
    <w:rsid w:val="008B0EF3"/>
    <w:rsid w:val="008B1768"/>
    <w:rsid w:val="008B25A9"/>
    <w:rsid w:val="008B2BC5"/>
    <w:rsid w:val="008B40AA"/>
    <w:rsid w:val="008B43A4"/>
    <w:rsid w:val="008B48D3"/>
    <w:rsid w:val="008B580F"/>
    <w:rsid w:val="008B5DAD"/>
    <w:rsid w:val="008B6115"/>
    <w:rsid w:val="008B6D4A"/>
    <w:rsid w:val="008B6D4F"/>
    <w:rsid w:val="008B6F82"/>
    <w:rsid w:val="008B7311"/>
    <w:rsid w:val="008B7810"/>
    <w:rsid w:val="008C02EE"/>
    <w:rsid w:val="008C0462"/>
    <w:rsid w:val="008C10A8"/>
    <w:rsid w:val="008C1112"/>
    <w:rsid w:val="008C2E73"/>
    <w:rsid w:val="008C2EEE"/>
    <w:rsid w:val="008C2F3F"/>
    <w:rsid w:val="008C2F5A"/>
    <w:rsid w:val="008C3E5E"/>
    <w:rsid w:val="008C4C41"/>
    <w:rsid w:val="008C593E"/>
    <w:rsid w:val="008C5B70"/>
    <w:rsid w:val="008C5DC9"/>
    <w:rsid w:val="008C6DA4"/>
    <w:rsid w:val="008C78E5"/>
    <w:rsid w:val="008C7ADF"/>
    <w:rsid w:val="008C7EF3"/>
    <w:rsid w:val="008C7F71"/>
    <w:rsid w:val="008D0539"/>
    <w:rsid w:val="008D0EB0"/>
    <w:rsid w:val="008D113C"/>
    <w:rsid w:val="008D114A"/>
    <w:rsid w:val="008D1B23"/>
    <w:rsid w:val="008D1FF8"/>
    <w:rsid w:val="008D2260"/>
    <w:rsid w:val="008D295C"/>
    <w:rsid w:val="008D3CD8"/>
    <w:rsid w:val="008D3D44"/>
    <w:rsid w:val="008D4D59"/>
    <w:rsid w:val="008D514E"/>
    <w:rsid w:val="008D5172"/>
    <w:rsid w:val="008D534B"/>
    <w:rsid w:val="008D570A"/>
    <w:rsid w:val="008D63C6"/>
    <w:rsid w:val="008D668D"/>
    <w:rsid w:val="008D6C3A"/>
    <w:rsid w:val="008D774C"/>
    <w:rsid w:val="008E0E54"/>
    <w:rsid w:val="008E180E"/>
    <w:rsid w:val="008E20FC"/>
    <w:rsid w:val="008E2748"/>
    <w:rsid w:val="008E2B10"/>
    <w:rsid w:val="008E3477"/>
    <w:rsid w:val="008E43BE"/>
    <w:rsid w:val="008E45F4"/>
    <w:rsid w:val="008E6837"/>
    <w:rsid w:val="008E6A93"/>
    <w:rsid w:val="008E6DE4"/>
    <w:rsid w:val="008E7246"/>
    <w:rsid w:val="008E72D6"/>
    <w:rsid w:val="008E7B22"/>
    <w:rsid w:val="008F0097"/>
    <w:rsid w:val="008F033C"/>
    <w:rsid w:val="008F0698"/>
    <w:rsid w:val="008F16CD"/>
    <w:rsid w:val="008F1E29"/>
    <w:rsid w:val="008F1E67"/>
    <w:rsid w:val="008F22DD"/>
    <w:rsid w:val="008F275B"/>
    <w:rsid w:val="008F2F97"/>
    <w:rsid w:val="008F3A29"/>
    <w:rsid w:val="008F46F8"/>
    <w:rsid w:val="008F5BD4"/>
    <w:rsid w:val="008F5CA1"/>
    <w:rsid w:val="008F5DAA"/>
    <w:rsid w:val="008F67B5"/>
    <w:rsid w:val="008F779E"/>
    <w:rsid w:val="008F7A0A"/>
    <w:rsid w:val="008F7C54"/>
    <w:rsid w:val="00900DB4"/>
    <w:rsid w:val="0090218F"/>
    <w:rsid w:val="00902723"/>
    <w:rsid w:val="00902B6A"/>
    <w:rsid w:val="0090348F"/>
    <w:rsid w:val="00903570"/>
    <w:rsid w:val="009036F0"/>
    <w:rsid w:val="009044E5"/>
    <w:rsid w:val="00904570"/>
    <w:rsid w:val="00905786"/>
    <w:rsid w:val="00906961"/>
    <w:rsid w:val="00906987"/>
    <w:rsid w:val="009071DD"/>
    <w:rsid w:val="00910782"/>
    <w:rsid w:val="009107FB"/>
    <w:rsid w:val="00911637"/>
    <w:rsid w:val="009125F7"/>
    <w:rsid w:val="00912E41"/>
    <w:rsid w:val="009137F4"/>
    <w:rsid w:val="00913FFB"/>
    <w:rsid w:val="00914446"/>
    <w:rsid w:val="009145E6"/>
    <w:rsid w:val="00914ED5"/>
    <w:rsid w:val="009164AA"/>
    <w:rsid w:val="00916723"/>
    <w:rsid w:val="00916FA7"/>
    <w:rsid w:val="00917AB0"/>
    <w:rsid w:val="009201A1"/>
    <w:rsid w:val="0092041B"/>
    <w:rsid w:val="0092079E"/>
    <w:rsid w:val="00920B23"/>
    <w:rsid w:val="00920BD2"/>
    <w:rsid w:val="00920E35"/>
    <w:rsid w:val="00921138"/>
    <w:rsid w:val="009213F1"/>
    <w:rsid w:val="009215E7"/>
    <w:rsid w:val="00921729"/>
    <w:rsid w:val="009217DD"/>
    <w:rsid w:val="00921D35"/>
    <w:rsid w:val="009227D2"/>
    <w:rsid w:val="009229CC"/>
    <w:rsid w:val="00924201"/>
    <w:rsid w:val="00924671"/>
    <w:rsid w:val="009250F8"/>
    <w:rsid w:val="00925480"/>
    <w:rsid w:val="0092595F"/>
    <w:rsid w:val="00926B20"/>
    <w:rsid w:val="00926DFC"/>
    <w:rsid w:val="00926E6F"/>
    <w:rsid w:val="009270AC"/>
    <w:rsid w:val="0092712F"/>
    <w:rsid w:val="009274F4"/>
    <w:rsid w:val="0092782C"/>
    <w:rsid w:val="00927E3A"/>
    <w:rsid w:val="00930255"/>
    <w:rsid w:val="009307AF"/>
    <w:rsid w:val="009308BD"/>
    <w:rsid w:val="009313B2"/>
    <w:rsid w:val="00931BC7"/>
    <w:rsid w:val="0093291B"/>
    <w:rsid w:val="00932AB3"/>
    <w:rsid w:val="00932F10"/>
    <w:rsid w:val="0093338F"/>
    <w:rsid w:val="00933AA0"/>
    <w:rsid w:val="00933DCD"/>
    <w:rsid w:val="00933E59"/>
    <w:rsid w:val="009340CA"/>
    <w:rsid w:val="00934170"/>
    <w:rsid w:val="009343B2"/>
    <w:rsid w:val="00934731"/>
    <w:rsid w:val="009348AD"/>
    <w:rsid w:val="00936456"/>
    <w:rsid w:val="0093664B"/>
    <w:rsid w:val="009367A6"/>
    <w:rsid w:val="00936A8A"/>
    <w:rsid w:val="0093739C"/>
    <w:rsid w:val="0093775C"/>
    <w:rsid w:val="00937B5F"/>
    <w:rsid w:val="00937C25"/>
    <w:rsid w:val="0094033B"/>
    <w:rsid w:val="0094100E"/>
    <w:rsid w:val="00941136"/>
    <w:rsid w:val="00942079"/>
    <w:rsid w:val="00942102"/>
    <w:rsid w:val="00942365"/>
    <w:rsid w:val="009426D1"/>
    <w:rsid w:val="00942D1C"/>
    <w:rsid w:val="00942D45"/>
    <w:rsid w:val="00942FE4"/>
    <w:rsid w:val="00943496"/>
    <w:rsid w:val="0094351D"/>
    <w:rsid w:val="009454F7"/>
    <w:rsid w:val="00945633"/>
    <w:rsid w:val="009456D4"/>
    <w:rsid w:val="00945CE1"/>
    <w:rsid w:val="0094648C"/>
    <w:rsid w:val="00946806"/>
    <w:rsid w:val="00946BDA"/>
    <w:rsid w:val="009470F3"/>
    <w:rsid w:val="00947AF9"/>
    <w:rsid w:val="00947CB5"/>
    <w:rsid w:val="0095018A"/>
    <w:rsid w:val="00950B33"/>
    <w:rsid w:val="00950D2A"/>
    <w:rsid w:val="00951F07"/>
    <w:rsid w:val="00952307"/>
    <w:rsid w:val="00952B38"/>
    <w:rsid w:val="009538CA"/>
    <w:rsid w:val="0095515A"/>
    <w:rsid w:val="0095530F"/>
    <w:rsid w:val="0095560E"/>
    <w:rsid w:val="009556F4"/>
    <w:rsid w:val="00955CF2"/>
    <w:rsid w:val="00955DA9"/>
    <w:rsid w:val="009562C7"/>
    <w:rsid w:val="00956671"/>
    <w:rsid w:val="009570BA"/>
    <w:rsid w:val="00957124"/>
    <w:rsid w:val="00957459"/>
    <w:rsid w:val="00957B7E"/>
    <w:rsid w:val="00957BFC"/>
    <w:rsid w:val="0096024C"/>
    <w:rsid w:val="00960A3D"/>
    <w:rsid w:val="00961407"/>
    <w:rsid w:val="00962434"/>
    <w:rsid w:val="00962C77"/>
    <w:rsid w:val="0096346F"/>
    <w:rsid w:val="00963D52"/>
    <w:rsid w:val="00964438"/>
    <w:rsid w:val="00964BD7"/>
    <w:rsid w:val="009656C8"/>
    <w:rsid w:val="009657B6"/>
    <w:rsid w:val="00965A4B"/>
    <w:rsid w:val="00965CCB"/>
    <w:rsid w:val="00965CFA"/>
    <w:rsid w:val="009662B1"/>
    <w:rsid w:val="0096687C"/>
    <w:rsid w:val="00966D77"/>
    <w:rsid w:val="0096705F"/>
    <w:rsid w:val="009672DF"/>
    <w:rsid w:val="0096761F"/>
    <w:rsid w:val="00967B71"/>
    <w:rsid w:val="00967B78"/>
    <w:rsid w:val="00967C33"/>
    <w:rsid w:val="009703A7"/>
    <w:rsid w:val="009703F0"/>
    <w:rsid w:val="00970D78"/>
    <w:rsid w:val="00970DAC"/>
    <w:rsid w:val="009710EE"/>
    <w:rsid w:val="00971250"/>
    <w:rsid w:val="0097180E"/>
    <w:rsid w:val="00971834"/>
    <w:rsid w:val="00971BA3"/>
    <w:rsid w:val="009728FC"/>
    <w:rsid w:val="00972C13"/>
    <w:rsid w:val="00974031"/>
    <w:rsid w:val="00974C43"/>
    <w:rsid w:val="00975252"/>
    <w:rsid w:val="009752B4"/>
    <w:rsid w:val="00975E41"/>
    <w:rsid w:val="00975FDC"/>
    <w:rsid w:val="0097699E"/>
    <w:rsid w:val="00976B12"/>
    <w:rsid w:val="00976DEF"/>
    <w:rsid w:val="00977BEE"/>
    <w:rsid w:val="0098016D"/>
    <w:rsid w:val="009809BF"/>
    <w:rsid w:val="0098162B"/>
    <w:rsid w:val="009821AD"/>
    <w:rsid w:val="00982740"/>
    <w:rsid w:val="00982815"/>
    <w:rsid w:val="00982B6F"/>
    <w:rsid w:val="009839D5"/>
    <w:rsid w:val="00983DD3"/>
    <w:rsid w:val="00983EE5"/>
    <w:rsid w:val="00984B64"/>
    <w:rsid w:val="00984E0C"/>
    <w:rsid w:val="009854A8"/>
    <w:rsid w:val="00985804"/>
    <w:rsid w:val="00985819"/>
    <w:rsid w:val="00985A9C"/>
    <w:rsid w:val="00985C59"/>
    <w:rsid w:val="00985EBA"/>
    <w:rsid w:val="00985ECB"/>
    <w:rsid w:val="0098643D"/>
    <w:rsid w:val="00986448"/>
    <w:rsid w:val="00986730"/>
    <w:rsid w:val="00986C10"/>
    <w:rsid w:val="009874F2"/>
    <w:rsid w:val="009875E3"/>
    <w:rsid w:val="0098764F"/>
    <w:rsid w:val="00990826"/>
    <w:rsid w:val="00990D25"/>
    <w:rsid w:val="00990D8C"/>
    <w:rsid w:val="009913C2"/>
    <w:rsid w:val="009913EC"/>
    <w:rsid w:val="00991774"/>
    <w:rsid w:val="00991DD6"/>
    <w:rsid w:val="009935A4"/>
    <w:rsid w:val="00993F76"/>
    <w:rsid w:val="009942D4"/>
    <w:rsid w:val="00994366"/>
    <w:rsid w:val="00994415"/>
    <w:rsid w:val="009947E8"/>
    <w:rsid w:val="00995137"/>
    <w:rsid w:val="00995F03"/>
    <w:rsid w:val="00996946"/>
    <w:rsid w:val="00996C4C"/>
    <w:rsid w:val="009974AD"/>
    <w:rsid w:val="00997887"/>
    <w:rsid w:val="00997D26"/>
    <w:rsid w:val="00997EA8"/>
    <w:rsid w:val="009A00C1"/>
    <w:rsid w:val="009A0858"/>
    <w:rsid w:val="009A10D3"/>
    <w:rsid w:val="009A1DFA"/>
    <w:rsid w:val="009A20B4"/>
    <w:rsid w:val="009A21E9"/>
    <w:rsid w:val="009A255A"/>
    <w:rsid w:val="009A26FE"/>
    <w:rsid w:val="009A2818"/>
    <w:rsid w:val="009A3009"/>
    <w:rsid w:val="009A37FA"/>
    <w:rsid w:val="009A3961"/>
    <w:rsid w:val="009A3A90"/>
    <w:rsid w:val="009A3E3E"/>
    <w:rsid w:val="009A43C8"/>
    <w:rsid w:val="009A58A6"/>
    <w:rsid w:val="009A59E0"/>
    <w:rsid w:val="009A5A6A"/>
    <w:rsid w:val="009A60BC"/>
    <w:rsid w:val="009A640D"/>
    <w:rsid w:val="009A6EA1"/>
    <w:rsid w:val="009A71A7"/>
    <w:rsid w:val="009A743A"/>
    <w:rsid w:val="009A7E92"/>
    <w:rsid w:val="009B08B2"/>
    <w:rsid w:val="009B0BC0"/>
    <w:rsid w:val="009B133F"/>
    <w:rsid w:val="009B155E"/>
    <w:rsid w:val="009B20FA"/>
    <w:rsid w:val="009B2B86"/>
    <w:rsid w:val="009B3E10"/>
    <w:rsid w:val="009B44A8"/>
    <w:rsid w:val="009B451E"/>
    <w:rsid w:val="009B492B"/>
    <w:rsid w:val="009B4930"/>
    <w:rsid w:val="009B506E"/>
    <w:rsid w:val="009B5145"/>
    <w:rsid w:val="009B5438"/>
    <w:rsid w:val="009B58F0"/>
    <w:rsid w:val="009B5BBC"/>
    <w:rsid w:val="009B5E7C"/>
    <w:rsid w:val="009B6CDE"/>
    <w:rsid w:val="009B73C9"/>
    <w:rsid w:val="009B73FF"/>
    <w:rsid w:val="009C0375"/>
    <w:rsid w:val="009C0ED0"/>
    <w:rsid w:val="009C159E"/>
    <w:rsid w:val="009C1ED5"/>
    <w:rsid w:val="009C1FDA"/>
    <w:rsid w:val="009C212A"/>
    <w:rsid w:val="009C29EE"/>
    <w:rsid w:val="009C409F"/>
    <w:rsid w:val="009C40DD"/>
    <w:rsid w:val="009C41F1"/>
    <w:rsid w:val="009C42D4"/>
    <w:rsid w:val="009C4C03"/>
    <w:rsid w:val="009C5273"/>
    <w:rsid w:val="009C5630"/>
    <w:rsid w:val="009C617D"/>
    <w:rsid w:val="009C6570"/>
    <w:rsid w:val="009C6DFF"/>
    <w:rsid w:val="009C729F"/>
    <w:rsid w:val="009C7367"/>
    <w:rsid w:val="009C785F"/>
    <w:rsid w:val="009C7925"/>
    <w:rsid w:val="009D07A4"/>
    <w:rsid w:val="009D0C49"/>
    <w:rsid w:val="009D1C8F"/>
    <w:rsid w:val="009D219D"/>
    <w:rsid w:val="009D273E"/>
    <w:rsid w:val="009D274A"/>
    <w:rsid w:val="009D276E"/>
    <w:rsid w:val="009D28DF"/>
    <w:rsid w:val="009D2CF6"/>
    <w:rsid w:val="009D3324"/>
    <w:rsid w:val="009D33BC"/>
    <w:rsid w:val="009D391E"/>
    <w:rsid w:val="009D3EC2"/>
    <w:rsid w:val="009D4489"/>
    <w:rsid w:val="009D4B71"/>
    <w:rsid w:val="009D4E2B"/>
    <w:rsid w:val="009D5198"/>
    <w:rsid w:val="009D54E3"/>
    <w:rsid w:val="009D5A7A"/>
    <w:rsid w:val="009D5D2C"/>
    <w:rsid w:val="009D61EE"/>
    <w:rsid w:val="009D70B7"/>
    <w:rsid w:val="009D7549"/>
    <w:rsid w:val="009D7DD4"/>
    <w:rsid w:val="009D7EDE"/>
    <w:rsid w:val="009E008E"/>
    <w:rsid w:val="009E08A6"/>
    <w:rsid w:val="009E0A93"/>
    <w:rsid w:val="009E0E63"/>
    <w:rsid w:val="009E1428"/>
    <w:rsid w:val="009E1700"/>
    <w:rsid w:val="009E1A70"/>
    <w:rsid w:val="009E2F28"/>
    <w:rsid w:val="009E3218"/>
    <w:rsid w:val="009E34DF"/>
    <w:rsid w:val="009E406D"/>
    <w:rsid w:val="009E463A"/>
    <w:rsid w:val="009E49D8"/>
    <w:rsid w:val="009E4A11"/>
    <w:rsid w:val="009E4B2E"/>
    <w:rsid w:val="009E56F9"/>
    <w:rsid w:val="009E5762"/>
    <w:rsid w:val="009E6CFE"/>
    <w:rsid w:val="009E74E9"/>
    <w:rsid w:val="009E76FD"/>
    <w:rsid w:val="009E7B00"/>
    <w:rsid w:val="009E7E49"/>
    <w:rsid w:val="009E7F3D"/>
    <w:rsid w:val="009F0329"/>
    <w:rsid w:val="009F0BED"/>
    <w:rsid w:val="009F2672"/>
    <w:rsid w:val="009F28FD"/>
    <w:rsid w:val="009F2CA8"/>
    <w:rsid w:val="009F30CC"/>
    <w:rsid w:val="009F3783"/>
    <w:rsid w:val="009F407F"/>
    <w:rsid w:val="009F43E7"/>
    <w:rsid w:val="009F4F67"/>
    <w:rsid w:val="009F528A"/>
    <w:rsid w:val="009F56C8"/>
    <w:rsid w:val="009F60A7"/>
    <w:rsid w:val="009F6B93"/>
    <w:rsid w:val="009F6F7B"/>
    <w:rsid w:val="00A004AD"/>
    <w:rsid w:val="00A00B70"/>
    <w:rsid w:val="00A01171"/>
    <w:rsid w:val="00A01791"/>
    <w:rsid w:val="00A01945"/>
    <w:rsid w:val="00A01D0C"/>
    <w:rsid w:val="00A02108"/>
    <w:rsid w:val="00A02370"/>
    <w:rsid w:val="00A02985"/>
    <w:rsid w:val="00A029D9"/>
    <w:rsid w:val="00A029E7"/>
    <w:rsid w:val="00A02DAF"/>
    <w:rsid w:val="00A031AF"/>
    <w:rsid w:val="00A03240"/>
    <w:rsid w:val="00A0346B"/>
    <w:rsid w:val="00A036C2"/>
    <w:rsid w:val="00A03C82"/>
    <w:rsid w:val="00A04D0F"/>
    <w:rsid w:val="00A051E2"/>
    <w:rsid w:val="00A05A8C"/>
    <w:rsid w:val="00A05EFB"/>
    <w:rsid w:val="00A05F56"/>
    <w:rsid w:val="00A0612C"/>
    <w:rsid w:val="00A06797"/>
    <w:rsid w:val="00A06963"/>
    <w:rsid w:val="00A073A5"/>
    <w:rsid w:val="00A104AA"/>
    <w:rsid w:val="00A105D0"/>
    <w:rsid w:val="00A10EC7"/>
    <w:rsid w:val="00A11AA1"/>
    <w:rsid w:val="00A11B0C"/>
    <w:rsid w:val="00A11C06"/>
    <w:rsid w:val="00A120D8"/>
    <w:rsid w:val="00A135E4"/>
    <w:rsid w:val="00A13C46"/>
    <w:rsid w:val="00A14101"/>
    <w:rsid w:val="00A14212"/>
    <w:rsid w:val="00A14964"/>
    <w:rsid w:val="00A14F42"/>
    <w:rsid w:val="00A15209"/>
    <w:rsid w:val="00A16097"/>
    <w:rsid w:val="00A16574"/>
    <w:rsid w:val="00A16BA8"/>
    <w:rsid w:val="00A17091"/>
    <w:rsid w:val="00A1727C"/>
    <w:rsid w:val="00A175CC"/>
    <w:rsid w:val="00A216D9"/>
    <w:rsid w:val="00A21AEF"/>
    <w:rsid w:val="00A22043"/>
    <w:rsid w:val="00A220E6"/>
    <w:rsid w:val="00A22D2C"/>
    <w:rsid w:val="00A238B2"/>
    <w:rsid w:val="00A23BB0"/>
    <w:rsid w:val="00A241B4"/>
    <w:rsid w:val="00A24796"/>
    <w:rsid w:val="00A24BD4"/>
    <w:rsid w:val="00A24FA3"/>
    <w:rsid w:val="00A253B5"/>
    <w:rsid w:val="00A2581E"/>
    <w:rsid w:val="00A25844"/>
    <w:rsid w:val="00A26787"/>
    <w:rsid w:val="00A26889"/>
    <w:rsid w:val="00A26C6B"/>
    <w:rsid w:val="00A2702F"/>
    <w:rsid w:val="00A27036"/>
    <w:rsid w:val="00A27CEF"/>
    <w:rsid w:val="00A30278"/>
    <w:rsid w:val="00A3045D"/>
    <w:rsid w:val="00A305AB"/>
    <w:rsid w:val="00A30DD0"/>
    <w:rsid w:val="00A31C36"/>
    <w:rsid w:val="00A320B6"/>
    <w:rsid w:val="00A324FB"/>
    <w:rsid w:val="00A32606"/>
    <w:rsid w:val="00A32C3F"/>
    <w:rsid w:val="00A32D27"/>
    <w:rsid w:val="00A33D41"/>
    <w:rsid w:val="00A340DD"/>
    <w:rsid w:val="00A3484C"/>
    <w:rsid w:val="00A35856"/>
    <w:rsid w:val="00A35918"/>
    <w:rsid w:val="00A35D55"/>
    <w:rsid w:val="00A36042"/>
    <w:rsid w:val="00A360A6"/>
    <w:rsid w:val="00A36150"/>
    <w:rsid w:val="00A372E6"/>
    <w:rsid w:val="00A37628"/>
    <w:rsid w:val="00A37745"/>
    <w:rsid w:val="00A3796F"/>
    <w:rsid w:val="00A37DCC"/>
    <w:rsid w:val="00A40A58"/>
    <w:rsid w:val="00A40E48"/>
    <w:rsid w:val="00A41244"/>
    <w:rsid w:val="00A41841"/>
    <w:rsid w:val="00A41CE0"/>
    <w:rsid w:val="00A41EA4"/>
    <w:rsid w:val="00A4237D"/>
    <w:rsid w:val="00A42B4C"/>
    <w:rsid w:val="00A4317D"/>
    <w:rsid w:val="00A43521"/>
    <w:rsid w:val="00A445DD"/>
    <w:rsid w:val="00A454BE"/>
    <w:rsid w:val="00A454EF"/>
    <w:rsid w:val="00A4572D"/>
    <w:rsid w:val="00A45778"/>
    <w:rsid w:val="00A458CF"/>
    <w:rsid w:val="00A45E88"/>
    <w:rsid w:val="00A46AFC"/>
    <w:rsid w:val="00A46D5F"/>
    <w:rsid w:val="00A47515"/>
    <w:rsid w:val="00A47626"/>
    <w:rsid w:val="00A479A9"/>
    <w:rsid w:val="00A47B48"/>
    <w:rsid w:val="00A47FA1"/>
    <w:rsid w:val="00A50203"/>
    <w:rsid w:val="00A5024D"/>
    <w:rsid w:val="00A5043C"/>
    <w:rsid w:val="00A506F3"/>
    <w:rsid w:val="00A50A1C"/>
    <w:rsid w:val="00A50B9F"/>
    <w:rsid w:val="00A516B5"/>
    <w:rsid w:val="00A5254C"/>
    <w:rsid w:val="00A52773"/>
    <w:rsid w:val="00A5279E"/>
    <w:rsid w:val="00A52F26"/>
    <w:rsid w:val="00A53149"/>
    <w:rsid w:val="00A53537"/>
    <w:rsid w:val="00A5362B"/>
    <w:rsid w:val="00A53C0A"/>
    <w:rsid w:val="00A53C77"/>
    <w:rsid w:val="00A53CFC"/>
    <w:rsid w:val="00A54B7F"/>
    <w:rsid w:val="00A54F25"/>
    <w:rsid w:val="00A55529"/>
    <w:rsid w:val="00A5594B"/>
    <w:rsid w:val="00A559ED"/>
    <w:rsid w:val="00A55B32"/>
    <w:rsid w:val="00A55FD2"/>
    <w:rsid w:val="00A567A9"/>
    <w:rsid w:val="00A5724F"/>
    <w:rsid w:val="00A5786D"/>
    <w:rsid w:val="00A5799B"/>
    <w:rsid w:val="00A57B01"/>
    <w:rsid w:val="00A602C5"/>
    <w:rsid w:val="00A60369"/>
    <w:rsid w:val="00A603AF"/>
    <w:rsid w:val="00A60C18"/>
    <w:rsid w:val="00A60EC4"/>
    <w:rsid w:val="00A612B2"/>
    <w:rsid w:val="00A61492"/>
    <w:rsid w:val="00A61CC5"/>
    <w:rsid w:val="00A620C9"/>
    <w:rsid w:val="00A625F8"/>
    <w:rsid w:val="00A62C2A"/>
    <w:rsid w:val="00A62E9A"/>
    <w:rsid w:val="00A63633"/>
    <w:rsid w:val="00A63B8C"/>
    <w:rsid w:val="00A63D42"/>
    <w:rsid w:val="00A6407B"/>
    <w:rsid w:val="00A6421F"/>
    <w:rsid w:val="00A6427B"/>
    <w:rsid w:val="00A64829"/>
    <w:rsid w:val="00A64C43"/>
    <w:rsid w:val="00A65744"/>
    <w:rsid w:val="00A65D8C"/>
    <w:rsid w:val="00A65F28"/>
    <w:rsid w:val="00A66163"/>
    <w:rsid w:val="00A667C9"/>
    <w:rsid w:val="00A67439"/>
    <w:rsid w:val="00A6761C"/>
    <w:rsid w:val="00A70129"/>
    <w:rsid w:val="00A70A37"/>
    <w:rsid w:val="00A70C32"/>
    <w:rsid w:val="00A70C52"/>
    <w:rsid w:val="00A72A6B"/>
    <w:rsid w:val="00A72E73"/>
    <w:rsid w:val="00A73E5E"/>
    <w:rsid w:val="00A7489D"/>
    <w:rsid w:val="00A74B04"/>
    <w:rsid w:val="00A753A3"/>
    <w:rsid w:val="00A753B4"/>
    <w:rsid w:val="00A754BB"/>
    <w:rsid w:val="00A75790"/>
    <w:rsid w:val="00A75C10"/>
    <w:rsid w:val="00A76210"/>
    <w:rsid w:val="00A77971"/>
    <w:rsid w:val="00A77ABD"/>
    <w:rsid w:val="00A80465"/>
    <w:rsid w:val="00A80809"/>
    <w:rsid w:val="00A80D03"/>
    <w:rsid w:val="00A81765"/>
    <w:rsid w:val="00A81878"/>
    <w:rsid w:val="00A819D4"/>
    <w:rsid w:val="00A8221F"/>
    <w:rsid w:val="00A82666"/>
    <w:rsid w:val="00A82F10"/>
    <w:rsid w:val="00A83021"/>
    <w:rsid w:val="00A8345B"/>
    <w:rsid w:val="00A83860"/>
    <w:rsid w:val="00A84975"/>
    <w:rsid w:val="00A84A34"/>
    <w:rsid w:val="00A84D89"/>
    <w:rsid w:val="00A85552"/>
    <w:rsid w:val="00A85AE7"/>
    <w:rsid w:val="00A8684F"/>
    <w:rsid w:val="00A868D4"/>
    <w:rsid w:val="00A86A8D"/>
    <w:rsid w:val="00A86B13"/>
    <w:rsid w:val="00A87030"/>
    <w:rsid w:val="00A90AAF"/>
    <w:rsid w:val="00A90B13"/>
    <w:rsid w:val="00A90B9E"/>
    <w:rsid w:val="00A9299B"/>
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   <w:rsid w:val="00A96153"/>
    <w:rsid w:val="00A96A31"/>
    <w:rsid w:val="00A96CB1"/>
    <w:rsid w:val="00A96E6A"/>
    <w:rsid w:val="00A97027"/>
    <w:rsid w:val="00A9732F"/>
    <w:rsid w:val="00A977FA"/>
    <w:rsid w:val="00A97D84"/>
    <w:rsid w:val="00A97EA7"/>
    <w:rsid w:val="00AA090A"/>
    <w:rsid w:val="00AA0C3A"/>
    <w:rsid w:val="00AA152C"/>
    <w:rsid w:val="00AA19F3"/>
    <w:rsid w:val="00AA20E7"/>
    <w:rsid w:val="00AA23BA"/>
    <w:rsid w:val="00AA276A"/>
    <w:rsid w:val="00AA2942"/>
    <w:rsid w:val="00AA2BF9"/>
    <w:rsid w:val="00AA38E2"/>
    <w:rsid w:val="00AA3A8A"/>
    <w:rsid w:val="00AA42B1"/>
    <w:rsid w:val="00AA438E"/>
    <w:rsid w:val="00AA4877"/>
    <w:rsid w:val="00AA4A5C"/>
    <w:rsid w:val="00AA4D20"/>
    <w:rsid w:val="00AA4F6A"/>
    <w:rsid w:val="00AA55BE"/>
    <w:rsid w:val="00AA615E"/>
    <w:rsid w:val="00AA6474"/>
    <w:rsid w:val="00AA7933"/>
    <w:rsid w:val="00AA79EA"/>
    <w:rsid w:val="00AA7B92"/>
    <w:rsid w:val="00AB00A0"/>
    <w:rsid w:val="00AB0651"/>
    <w:rsid w:val="00AB0B0A"/>
    <w:rsid w:val="00AB0C43"/>
    <w:rsid w:val="00AB0DB9"/>
    <w:rsid w:val="00AB0E49"/>
    <w:rsid w:val="00AB0E91"/>
    <w:rsid w:val="00AB0F28"/>
    <w:rsid w:val="00AB0FE8"/>
    <w:rsid w:val="00AB1011"/>
    <w:rsid w:val="00AB182D"/>
    <w:rsid w:val="00AB188C"/>
    <w:rsid w:val="00AB19DF"/>
    <w:rsid w:val="00AB2E6B"/>
    <w:rsid w:val="00AB30BA"/>
    <w:rsid w:val="00AB32EC"/>
    <w:rsid w:val="00AB36FC"/>
    <w:rsid w:val="00AB3A22"/>
    <w:rsid w:val="00AB523F"/>
    <w:rsid w:val="00AB628B"/>
    <w:rsid w:val="00AB71B6"/>
    <w:rsid w:val="00AB73C5"/>
    <w:rsid w:val="00AB7587"/>
    <w:rsid w:val="00AB7816"/>
    <w:rsid w:val="00AC0801"/>
    <w:rsid w:val="00AC11C6"/>
    <w:rsid w:val="00AC1BBF"/>
    <w:rsid w:val="00AC2041"/>
    <w:rsid w:val="00AC21E3"/>
    <w:rsid w:val="00AC2287"/>
    <w:rsid w:val="00AC34D4"/>
    <w:rsid w:val="00AC363E"/>
    <w:rsid w:val="00AC3EA5"/>
    <w:rsid w:val="00AC468D"/>
    <w:rsid w:val="00AC4779"/>
    <w:rsid w:val="00AC4C2D"/>
    <w:rsid w:val="00AC4F4B"/>
    <w:rsid w:val="00AC5051"/>
    <w:rsid w:val="00AC5063"/>
    <w:rsid w:val="00AC5112"/>
    <w:rsid w:val="00AC5490"/>
    <w:rsid w:val="00AC5A93"/>
    <w:rsid w:val="00AC5F88"/>
    <w:rsid w:val="00AC617F"/>
    <w:rsid w:val="00AC6678"/>
    <w:rsid w:val="00AC682B"/>
    <w:rsid w:val="00AC6C47"/>
    <w:rsid w:val="00AC730F"/>
    <w:rsid w:val="00AD0CE1"/>
    <w:rsid w:val="00AD15CB"/>
    <w:rsid w:val="00AD170A"/>
    <w:rsid w:val="00AD1808"/>
    <w:rsid w:val="00AD2808"/>
    <w:rsid w:val="00AD297E"/>
    <w:rsid w:val="00AD2C37"/>
    <w:rsid w:val="00AD2EDA"/>
    <w:rsid w:val="00AD3ADC"/>
    <w:rsid w:val="00AD3C4D"/>
    <w:rsid w:val="00AD3E43"/>
    <w:rsid w:val="00AD444C"/>
    <w:rsid w:val="00AD524B"/>
    <w:rsid w:val="00AD53B1"/>
    <w:rsid w:val="00AD5D68"/>
    <w:rsid w:val="00AD5F5C"/>
    <w:rsid w:val="00AD67B5"/>
    <w:rsid w:val="00AD6C11"/>
    <w:rsid w:val="00AD6D73"/>
    <w:rsid w:val="00AD7332"/>
    <w:rsid w:val="00AD74DF"/>
    <w:rsid w:val="00AD7530"/>
    <w:rsid w:val="00AE05C1"/>
    <w:rsid w:val="00AE0DDF"/>
    <w:rsid w:val="00AE11BA"/>
    <w:rsid w:val="00AE1E92"/>
    <w:rsid w:val="00AE220F"/>
    <w:rsid w:val="00AE23B2"/>
    <w:rsid w:val="00AE27B4"/>
    <w:rsid w:val="00AE3CED"/>
    <w:rsid w:val="00AE3D6C"/>
    <w:rsid w:val="00AE3E72"/>
    <w:rsid w:val="00AE4C2D"/>
    <w:rsid w:val="00AE6759"/>
    <w:rsid w:val="00AE6761"/>
    <w:rsid w:val="00AE73E7"/>
    <w:rsid w:val="00AF043C"/>
    <w:rsid w:val="00AF08B4"/>
    <w:rsid w:val="00AF18B0"/>
    <w:rsid w:val="00AF1BCD"/>
    <w:rsid w:val="00AF2F45"/>
    <w:rsid w:val="00AF3375"/>
    <w:rsid w:val="00AF3416"/>
    <w:rsid w:val="00AF36BA"/>
    <w:rsid w:val="00AF3B64"/>
    <w:rsid w:val="00AF4746"/>
    <w:rsid w:val="00AF4B6B"/>
    <w:rsid w:val="00AF5575"/>
    <w:rsid w:val="00AF6C0D"/>
    <w:rsid w:val="00AF713C"/>
    <w:rsid w:val="00AF75CA"/>
    <w:rsid w:val="00AF78D6"/>
    <w:rsid w:val="00AF7AAD"/>
    <w:rsid w:val="00AF7B7B"/>
    <w:rsid w:val="00AF7B86"/>
    <w:rsid w:val="00B00072"/>
    <w:rsid w:val="00B00118"/>
    <w:rsid w:val="00B005EF"/>
    <w:rsid w:val="00B007E4"/>
    <w:rsid w:val="00B00B8F"/>
    <w:rsid w:val="00B02EE6"/>
    <w:rsid w:val="00B031B9"/>
    <w:rsid w:val="00B03D90"/>
    <w:rsid w:val="00B0423B"/>
    <w:rsid w:val="00B04F96"/>
    <w:rsid w:val="00B055E4"/>
    <w:rsid w:val="00B05863"/>
    <w:rsid w:val="00B05C81"/>
    <w:rsid w:val="00B064ED"/>
    <w:rsid w:val="00B06CBE"/>
    <w:rsid w:val="00B06F00"/>
    <w:rsid w:val="00B072AE"/>
    <w:rsid w:val="00B07CBB"/>
    <w:rsid w:val="00B1018C"/>
    <w:rsid w:val="00B105D0"/>
    <w:rsid w:val="00B10951"/>
    <w:rsid w:val="00B10C3B"/>
    <w:rsid w:val="00B12545"/>
    <w:rsid w:val="00B135D2"/>
    <w:rsid w:val="00B13F70"/>
    <w:rsid w:val="00B144A9"/>
    <w:rsid w:val="00B148D9"/>
    <w:rsid w:val="00B14B71"/>
    <w:rsid w:val="00B1547D"/>
    <w:rsid w:val="00B15837"/>
    <w:rsid w:val="00B1584A"/>
    <w:rsid w:val="00B16795"/>
    <w:rsid w:val="00B16F46"/>
    <w:rsid w:val="00B17117"/>
    <w:rsid w:val="00B1737C"/>
    <w:rsid w:val="00B176B4"/>
    <w:rsid w:val="00B2040B"/>
    <w:rsid w:val="00B204BA"/>
    <w:rsid w:val="00B211F5"/>
    <w:rsid w:val="00B213E6"/>
    <w:rsid w:val="00B22352"/>
    <w:rsid w:val="00B22BFE"/>
    <w:rsid w:val="00B22E23"/>
    <w:rsid w:val="00B22F84"/>
    <w:rsid w:val="00B232EE"/>
    <w:rsid w:val="00B23641"/>
    <w:rsid w:val="00B2478B"/>
    <w:rsid w:val="00B260EA"/>
    <w:rsid w:val="00B264EF"/>
    <w:rsid w:val="00B26B13"/>
    <w:rsid w:val="00B27129"/>
    <w:rsid w:val="00B2788F"/>
    <w:rsid w:val="00B278F4"/>
    <w:rsid w:val="00B30332"/>
    <w:rsid w:val="00B304BE"/>
    <w:rsid w:val="00B30EC8"/>
    <w:rsid w:val="00B310E2"/>
    <w:rsid w:val="00B319B9"/>
    <w:rsid w:val="00B326BC"/>
    <w:rsid w:val="00B3274C"/>
    <w:rsid w:val="00B32988"/>
    <w:rsid w:val="00B32D0C"/>
    <w:rsid w:val="00B32D6B"/>
    <w:rsid w:val="00B3310B"/>
    <w:rsid w:val="00B349F7"/>
    <w:rsid w:val="00B34E21"/>
    <w:rsid w:val="00B352A9"/>
    <w:rsid w:val="00B353C6"/>
    <w:rsid w:val="00B35563"/>
    <w:rsid w:val="00B35B9B"/>
    <w:rsid w:val="00B35D26"/>
    <w:rsid w:val="00B36158"/>
    <w:rsid w:val="00B36CD9"/>
    <w:rsid w:val="00B36DFB"/>
    <w:rsid w:val="00B37A03"/>
    <w:rsid w:val="00B40300"/>
    <w:rsid w:val="00B4061E"/>
    <w:rsid w:val="00B409B7"/>
    <w:rsid w:val="00B41512"/>
    <w:rsid w:val="00B43442"/>
    <w:rsid w:val="00B438C1"/>
    <w:rsid w:val="00B43996"/>
    <w:rsid w:val="00B439C8"/>
    <w:rsid w:val="00B43FA2"/>
    <w:rsid w:val="00B441BB"/>
    <w:rsid w:val="00B444F2"/>
    <w:rsid w:val="00B4468B"/>
    <w:rsid w:val="00B44A9A"/>
    <w:rsid w:val="00B44E61"/>
    <w:rsid w:val="00B455A3"/>
    <w:rsid w:val="00B46FBA"/>
    <w:rsid w:val="00B4737F"/>
    <w:rsid w:val="00B505EC"/>
    <w:rsid w:val="00B512A6"/>
    <w:rsid w:val="00B513AF"/>
    <w:rsid w:val="00B5170A"/>
    <w:rsid w:val="00B519CB"/>
    <w:rsid w:val="00B519F5"/>
    <w:rsid w:val="00B53654"/>
    <w:rsid w:val="00B53BDF"/>
    <w:rsid w:val="00B5426B"/>
    <w:rsid w:val="00B54359"/>
    <w:rsid w:val="00B54494"/>
    <w:rsid w:val="00B5464E"/>
    <w:rsid w:val="00B546A2"/>
    <w:rsid w:val="00B54843"/>
    <w:rsid w:val="00B54962"/>
    <w:rsid w:val="00B552A5"/>
    <w:rsid w:val="00B55748"/>
    <w:rsid w:val="00B56472"/>
    <w:rsid w:val="00B57457"/>
    <w:rsid w:val="00B57C76"/>
    <w:rsid w:val="00B60448"/>
    <w:rsid w:val="00B60A5F"/>
    <w:rsid w:val="00B614D0"/>
    <w:rsid w:val="00B61871"/>
    <w:rsid w:val="00B62082"/>
    <w:rsid w:val="00B6296E"/>
    <w:rsid w:val="00B62A27"/>
    <w:rsid w:val="00B63969"/>
    <w:rsid w:val="00B63B26"/>
    <w:rsid w:val="00B642F5"/>
    <w:rsid w:val="00B646BB"/>
    <w:rsid w:val="00B64795"/>
    <w:rsid w:val="00B652FA"/>
    <w:rsid w:val="00B65607"/>
    <w:rsid w:val="00B660C1"/>
    <w:rsid w:val="00B663D4"/>
    <w:rsid w:val="00B66797"/>
    <w:rsid w:val="00B66CBA"/>
    <w:rsid w:val="00B67993"/>
    <w:rsid w:val="00B67F3C"/>
    <w:rsid w:val="00B7078E"/>
    <w:rsid w:val="00B7079E"/>
    <w:rsid w:val="00B70BCD"/>
    <w:rsid w:val="00B713DB"/>
    <w:rsid w:val="00B71C6A"/>
    <w:rsid w:val="00B724DE"/>
    <w:rsid w:val="00B72810"/>
    <w:rsid w:val="00B72CA3"/>
    <w:rsid w:val="00B72D36"/>
    <w:rsid w:val="00B7317F"/>
    <w:rsid w:val="00B73DA8"/>
    <w:rsid w:val="00B75649"/>
    <w:rsid w:val="00B7598B"/>
    <w:rsid w:val="00B75AE8"/>
    <w:rsid w:val="00B7608A"/>
    <w:rsid w:val="00B76DC7"/>
    <w:rsid w:val="00B77ACA"/>
    <w:rsid w:val="00B77D0F"/>
    <w:rsid w:val="00B80039"/>
    <w:rsid w:val="00B8043B"/>
    <w:rsid w:val="00B82501"/>
    <w:rsid w:val="00B8258D"/>
    <w:rsid w:val="00B828D9"/>
    <w:rsid w:val="00B82B5B"/>
    <w:rsid w:val="00B82DBF"/>
    <w:rsid w:val="00B83475"/>
    <w:rsid w:val="00B835D6"/>
    <w:rsid w:val="00B83D44"/>
    <w:rsid w:val="00B8434C"/>
    <w:rsid w:val="00B849DD"/>
    <w:rsid w:val="00B849F1"/>
    <w:rsid w:val="00B84AB0"/>
    <w:rsid w:val="00B84C49"/>
    <w:rsid w:val="00B84E76"/>
    <w:rsid w:val="00B85B0E"/>
    <w:rsid w:val="00B85BFF"/>
    <w:rsid w:val="00B85E80"/>
    <w:rsid w:val="00B86299"/>
    <w:rsid w:val="00B866DE"/>
    <w:rsid w:val="00B876B5"/>
    <w:rsid w:val="00B87888"/>
    <w:rsid w:val="00B87FA9"/>
    <w:rsid w:val="00B90137"/>
    <w:rsid w:val="00B90C2C"/>
    <w:rsid w:val="00B90CBE"/>
    <w:rsid w:val="00B91F01"/>
    <w:rsid w:val="00B920F4"/>
    <w:rsid w:val="00B92C8C"/>
    <w:rsid w:val="00B92E0B"/>
    <w:rsid w:val="00B93062"/>
    <w:rsid w:val="00B93863"/>
    <w:rsid w:val="00B94463"/>
    <w:rsid w:val="00B94E4E"/>
    <w:rsid w:val="00B957FD"/>
    <w:rsid w:val="00B961CF"/>
    <w:rsid w:val="00B97158"/>
    <w:rsid w:val="00B97F40"/>
    <w:rsid w:val="00BA101F"/>
    <w:rsid w:val="00BA1076"/>
    <w:rsid w:val="00BA23D1"/>
    <w:rsid w:val="00BA259A"/>
    <w:rsid w:val="00BA25C2"/>
    <w:rsid w:val="00BA2B7B"/>
    <w:rsid w:val="00BA2C71"/>
    <w:rsid w:val="00BA33A5"/>
    <w:rsid w:val="00BA3526"/>
    <w:rsid w:val="00BA376C"/>
    <w:rsid w:val="00BA37E1"/>
    <w:rsid w:val="00BA38B3"/>
    <w:rsid w:val="00BA3E29"/>
    <w:rsid w:val="00BA40EE"/>
    <w:rsid w:val="00BA4D55"/>
    <w:rsid w:val="00BA56EB"/>
    <w:rsid w:val="00BA5A88"/>
    <w:rsid w:val="00BA5DFB"/>
    <w:rsid w:val="00BA5F15"/>
    <w:rsid w:val="00BA63D2"/>
    <w:rsid w:val="00BA6FA1"/>
    <w:rsid w:val="00BA6FEF"/>
    <w:rsid w:val="00BA75D9"/>
    <w:rsid w:val="00BA76C6"/>
    <w:rsid w:val="00BB07DB"/>
    <w:rsid w:val="00BB09C7"/>
    <w:rsid w:val="00BB0C1C"/>
    <w:rsid w:val="00BB3B55"/>
    <w:rsid w:val="00BB496B"/>
    <w:rsid w:val="00BB4C3D"/>
    <w:rsid w:val="00BB4CD4"/>
    <w:rsid w:val="00BB50FC"/>
    <w:rsid w:val="00BB5532"/>
    <w:rsid w:val="00BB57DA"/>
    <w:rsid w:val="00BB63D7"/>
    <w:rsid w:val="00BB6628"/>
    <w:rsid w:val="00BB696B"/>
    <w:rsid w:val="00BB6C48"/>
    <w:rsid w:val="00BB6C8C"/>
    <w:rsid w:val="00BB73E4"/>
    <w:rsid w:val="00BC0980"/>
    <w:rsid w:val="00BC0C09"/>
    <w:rsid w:val="00BC1707"/>
    <w:rsid w:val="00BC1DBE"/>
    <w:rsid w:val="00BC1DE3"/>
    <w:rsid w:val="00BC2061"/>
    <w:rsid w:val="00BC2875"/>
    <w:rsid w:val="00BC293B"/>
    <w:rsid w:val="00BC3996"/>
    <w:rsid w:val="00BC409A"/>
    <w:rsid w:val="00BC40A9"/>
    <w:rsid w:val="00BC412B"/>
    <w:rsid w:val="00BC4512"/>
    <w:rsid w:val="00BC46BF"/>
    <w:rsid w:val="00BC4EAC"/>
    <w:rsid w:val="00BC4F1D"/>
    <w:rsid w:val="00BC4F3B"/>
    <w:rsid w:val="00BC54A0"/>
    <w:rsid w:val="00BC567E"/>
    <w:rsid w:val="00BC6541"/>
    <w:rsid w:val="00BC6912"/>
    <w:rsid w:val="00BC6E7D"/>
    <w:rsid w:val="00BC6EEF"/>
    <w:rsid w:val="00BC79CA"/>
    <w:rsid w:val="00BC7FFB"/>
    <w:rsid w:val="00BD0019"/>
    <w:rsid w:val="00BD0A5B"/>
    <w:rsid w:val="00BD110C"/>
    <w:rsid w:val="00BD124A"/>
    <w:rsid w:val="00BD14A5"/>
    <w:rsid w:val="00BD1BC0"/>
    <w:rsid w:val="00BD1C01"/>
    <w:rsid w:val="00BD1E46"/>
    <w:rsid w:val="00BD22E6"/>
    <w:rsid w:val="00BD2C93"/>
    <w:rsid w:val="00BD2CD5"/>
    <w:rsid w:val="00BD3269"/>
    <w:rsid w:val="00BD46EA"/>
    <w:rsid w:val="00BD47C3"/>
    <w:rsid w:val="00BD4DA1"/>
    <w:rsid w:val="00BD4F5C"/>
    <w:rsid w:val="00BD5058"/>
    <w:rsid w:val="00BD539C"/>
    <w:rsid w:val="00BD53C9"/>
    <w:rsid w:val="00BD5762"/>
    <w:rsid w:val="00BD5C0F"/>
    <w:rsid w:val="00BD5F56"/>
    <w:rsid w:val="00BD68DD"/>
    <w:rsid w:val="00BD6BCC"/>
    <w:rsid w:val="00BD718E"/>
    <w:rsid w:val="00BE00E4"/>
    <w:rsid w:val="00BE05C0"/>
    <w:rsid w:val="00BE0FAD"/>
    <w:rsid w:val="00BE2081"/>
    <w:rsid w:val="00BE225D"/>
    <w:rsid w:val="00BE2CDA"/>
    <w:rsid w:val="00BE3301"/>
    <w:rsid w:val="00BE6453"/>
    <w:rsid w:val="00BE6951"/>
    <w:rsid w:val="00BE7288"/>
    <w:rsid w:val="00BE7979"/>
    <w:rsid w:val="00BF0866"/>
    <w:rsid w:val="00BF0883"/>
    <w:rsid w:val="00BF0A39"/>
    <w:rsid w:val="00BF0B68"/>
    <w:rsid w:val="00BF1B82"/>
    <w:rsid w:val="00BF2DA2"/>
    <w:rsid w:val="00BF31DA"/>
    <w:rsid w:val="00BF35B3"/>
    <w:rsid w:val="00BF403C"/>
    <w:rsid w:val="00BF4919"/>
    <w:rsid w:val="00BF4A7D"/>
    <w:rsid w:val="00BF6238"/>
    <w:rsid w:val="00BF62DD"/>
    <w:rsid w:val="00BF6674"/>
    <w:rsid w:val="00BF7138"/>
    <w:rsid w:val="00BF7995"/>
    <w:rsid w:val="00BF7D1E"/>
    <w:rsid w:val="00C01598"/>
    <w:rsid w:val="00C01CEB"/>
    <w:rsid w:val="00C01EBC"/>
    <w:rsid w:val="00C022B4"/>
    <w:rsid w:val="00C026A3"/>
    <w:rsid w:val="00C02C77"/>
    <w:rsid w:val="00C02C8C"/>
    <w:rsid w:val="00C0338C"/>
    <w:rsid w:val="00C03594"/>
    <w:rsid w:val="00C04D5A"/>
    <w:rsid w:val="00C04F5B"/>
    <w:rsid w:val="00C059A3"/>
    <w:rsid w:val="00C05B6B"/>
    <w:rsid w:val="00C06437"/>
    <w:rsid w:val="00C07AD4"/>
    <w:rsid w:val="00C07E3A"/>
    <w:rsid w:val="00C1039E"/>
    <w:rsid w:val="00C10CB5"/>
    <w:rsid w:val="00C11674"/>
    <w:rsid w:val="00C12320"/>
    <w:rsid w:val="00C12677"/>
    <w:rsid w:val="00C12707"/>
    <w:rsid w:val="00C128D3"/>
    <w:rsid w:val="00C132CB"/>
    <w:rsid w:val="00C1373F"/>
    <w:rsid w:val="00C13C25"/>
    <w:rsid w:val="00C13E1D"/>
    <w:rsid w:val="00C14244"/>
    <w:rsid w:val="00C14369"/>
    <w:rsid w:val="00C14B72"/>
    <w:rsid w:val="00C14E47"/>
    <w:rsid w:val="00C14ED7"/>
    <w:rsid w:val="00C151C2"/>
    <w:rsid w:val="00C1552D"/>
    <w:rsid w:val="00C16A4C"/>
    <w:rsid w:val="00C1706F"/>
    <w:rsid w:val="00C17088"/>
    <w:rsid w:val="00C1765A"/>
    <w:rsid w:val="00C20720"/>
    <w:rsid w:val="00C2088A"/>
    <w:rsid w:val="00C20944"/>
    <w:rsid w:val="00C20E42"/>
    <w:rsid w:val="00C20E47"/>
    <w:rsid w:val="00C212D9"/>
    <w:rsid w:val="00C21C3C"/>
    <w:rsid w:val="00C2403F"/>
    <w:rsid w:val="00C240FE"/>
    <w:rsid w:val="00C25B3A"/>
    <w:rsid w:val="00C26C93"/>
    <w:rsid w:val="00C27483"/>
    <w:rsid w:val="00C3085B"/>
    <w:rsid w:val="00C30EFE"/>
    <w:rsid w:val="00C3147B"/>
    <w:rsid w:val="00C31815"/>
    <w:rsid w:val="00C31C34"/>
    <w:rsid w:val="00C31F4F"/>
    <w:rsid w:val="00C323E1"/>
    <w:rsid w:val="00C32A03"/>
    <w:rsid w:val="00C32F0F"/>
    <w:rsid w:val="00C33BC7"/>
    <w:rsid w:val="00C34B68"/>
    <w:rsid w:val="00C3575C"/>
    <w:rsid w:val="00C35C4A"/>
    <w:rsid w:val="00C35F03"/>
    <w:rsid w:val="00C35FE3"/>
    <w:rsid w:val="00C36479"/>
    <w:rsid w:val="00C37302"/>
    <w:rsid w:val="00C3742D"/>
    <w:rsid w:val="00C37AD0"/>
    <w:rsid w:val="00C412B8"/>
    <w:rsid w:val="00C41779"/>
    <w:rsid w:val="00C41F67"/>
    <w:rsid w:val="00C42318"/>
    <w:rsid w:val="00C4241A"/>
    <w:rsid w:val="00C42536"/>
    <w:rsid w:val="00C42E21"/>
    <w:rsid w:val="00C430D2"/>
    <w:rsid w:val="00C44C0D"/>
    <w:rsid w:val="00C4557F"/>
    <w:rsid w:val="00C4559B"/>
    <w:rsid w:val="00C46771"/>
    <w:rsid w:val="00C47CA0"/>
    <w:rsid w:val="00C50586"/>
    <w:rsid w:val="00C50867"/>
    <w:rsid w:val="00C50EDD"/>
    <w:rsid w:val="00C50F28"/>
    <w:rsid w:val="00C51BC0"/>
    <w:rsid w:val="00C52464"/>
    <w:rsid w:val="00C52515"/>
    <w:rsid w:val="00C5269E"/>
    <w:rsid w:val="00C52DA6"/>
    <w:rsid w:val="00C52F65"/>
    <w:rsid w:val="00C533FB"/>
    <w:rsid w:val="00C542BC"/>
    <w:rsid w:val="00C5437F"/>
    <w:rsid w:val="00C54F2E"/>
    <w:rsid w:val="00C553CD"/>
    <w:rsid w:val="00C5597B"/>
    <w:rsid w:val="00C55D87"/>
    <w:rsid w:val="00C57AE7"/>
    <w:rsid w:val="00C603D8"/>
    <w:rsid w:val="00C6121D"/>
    <w:rsid w:val="00C61438"/>
    <w:rsid w:val="00C61678"/>
    <w:rsid w:val="00C61A0A"/>
    <w:rsid w:val="00C61ACA"/>
    <w:rsid w:val="00C61E43"/>
    <w:rsid w:val="00C63296"/>
    <w:rsid w:val="00C63703"/>
    <w:rsid w:val="00C6384E"/>
    <w:rsid w:val="00C6416C"/>
    <w:rsid w:val="00C642F2"/>
    <w:rsid w:val="00C64512"/>
    <w:rsid w:val="00C6461A"/>
    <w:rsid w:val="00C64A83"/>
    <w:rsid w:val="00C64C16"/>
    <w:rsid w:val="00C654FE"/>
    <w:rsid w:val="00C65700"/>
    <w:rsid w:val="00C66B82"/>
    <w:rsid w:val="00C66BDD"/>
    <w:rsid w:val="00C66D94"/>
    <w:rsid w:val="00C67730"/>
    <w:rsid w:val="00C679B1"/>
    <w:rsid w:val="00C701C6"/>
    <w:rsid w:val="00C70A2D"/>
    <w:rsid w:val="00C70C90"/>
    <w:rsid w:val="00C70D3B"/>
    <w:rsid w:val="00C7321D"/>
    <w:rsid w:val="00C735A9"/>
    <w:rsid w:val="00C7391F"/>
    <w:rsid w:val="00C73AF5"/>
    <w:rsid w:val="00C73D4A"/>
    <w:rsid w:val="00C7413A"/>
    <w:rsid w:val="00C74B99"/>
    <w:rsid w:val="00C74EE7"/>
    <w:rsid w:val="00C74F0A"/>
    <w:rsid w:val="00C74FFA"/>
    <w:rsid w:val="00C750DE"/>
    <w:rsid w:val="00C7547D"/>
    <w:rsid w:val="00C7553F"/>
    <w:rsid w:val="00C75CA9"/>
    <w:rsid w:val="00C75ED8"/>
    <w:rsid w:val="00C76313"/>
    <w:rsid w:val="00C7749B"/>
    <w:rsid w:val="00C801F4"/>
    <w:rsid w:val="00C80599"/>
    <w:rsid w:val="00C80810"/>
    <w:rsid w:val="00C80A8F"/>
    <w:rsid w:val="00C80AC7"/>
    <w:rsid w:val="00C81457"/>
    <w:rsid w:val="00C81D96"/>
    <w:rsid w:val="00C821E6"/>
    <w:rsid w:val="00C8226C"/>
    <w:rsid w:val="00C82470"/>
    <w:rsid w:val="00C82533"/>
    <w:rsid w:val="00C83197"/>
    <w:rsid w:val="00C83B0D"/>
    <w:rsid w:val="00C84279"/>
    <w:rsid w:val="00C84A15"/>
    <w:rsid w:val="00C85817"/>
    <w:rsid w:val="00C85D23"/>
    <w:rsid w:val="00C86125"/>
    <w:rsid w:val="00C86193"/>
    <w:rsid w:val="00C86A41"/>
    <w:rsid w:val="00C86A60"/>
    <w:rsid w:val="00C86B62"/>
    <w:rsid w:val="00C86CAC"/>
    <w:rsid w:val="00C87B58"/>
    <w:rsid w:val="00C87E9B"/>
    <w:rsid w:val="00C90384"/>
    <w:rsid w:val="00C9043B"/>
    <w:rsid w:val="00C90977"/>
    <w:rsid w:val="00C90B16"/>
    <w:rsid w:val="00C91301"/>
    <w:rsid w:val="00C91913"/>
    <w:rsid w:val="00C91B1A"/>
    <w:rsid w:val="00C91BD4"/>
    <w:rsid w:val="00C9347A"/>
    <w:rsid w:val="00C9368F"/>
    <w:rsid w:val="00C936A5"/>
    <w:rsid w:val="00C93C37"/>
    <w:rsid w:val="00C940C5"/>
    <w:rsid w:val="00C95A4D"/>
    <w:rsid w:val="00C95E6B"/>
    <w:rsid w:val="00C966D5"/>
    <w:rsid w:val="00C96941"/>
    <w:rsid w:val="00C974C1"/>
    <w:rsid w:val="00CA2825"/>
    <w:rsid w:val="00CA2F0F"/>
    <w:rsid w:val="00CA3528"/>
    <w:rsid w:val="00CA390F"/>
    <w:rsid w:val="00CA3E0F"/>
    <w:rsid w:val="00CA3E8E"/>
    <w:rsid w:val="00CA40AC"/>
    <w:rsid w:val="00CA4128"/>
    <w:rsid w:val="00CA4539"/>
    <w:rsid w:val="00CA5343"/>
    <w:rsid w:val="00CA5A40"/>
    <w:rsid w:val="00CA6276"/>
    <w:rsid w:val="00CA6FCB"/>
    <w:rsid w:val="00CB03A7"/>
    <w:rsid w:val="00CB0558"/>
    <w:rsid w:val="00CB0DE7"/>
    <w:rsid w:val="00CB298B"/>
    <w:rsid w:val="00CB2A06"/>
    <w:rsid w:val="00CB2C8A"/>
    <w:rsid w:val="00CB3C42"/>
    <w:rsid w:val="00CB4B06"/>
    <w:rsid w:val="00CB4DB3"/>
    <w:rsid w:val="00CB4FF3"/>
    <w:rsid w:val="00CB545D"/>
    <w:rsid w:val="00CB5D15"/>
    <w:rsid w:val="00CB5DF5"/>
    <w:rsid w:val="00CB6AF7"/>
    <w:rsid w:val="00CB6F7B"/>
    <w:rsid w:val="00CB75FC"/>
    <w:rsid w:val="00CC0721"/>
    <w:rsid w:val="00CC0768"/>
    <w:rsid w:val="00CC0A42"/>
    <w:rsid w:val="00CC0AB5"/>
    <w:rsid w:val="00CC0DA1"/>
    <w:rsid w:val="00CC0DF8"/>
    <w:rsid w:val="00CC10AA"/>
    <w:rsid w:val="00CC10C3"/>
    <w:rsid w:val="00CC1CFB"/>
    <w:rsid w:val="00CC1D32"/>
    <w:rsid w:val="00CC2483"/>
    <w:rsid w:val="00CC24A9"/>
    <w:rsid w:val="00CC2518"/>
    <w:rsid w:val="00CC2E22"/>
    <w:rsid w:val="00CC32E6"/>
    <w:rsid w:val="00CC3473"/>
    <w:rsid w:val="00CC3929"/>
    <w:rsid w:val="00CC3B35"/>
    <w:rsid w:val="00CC43D4"/>
    <w:rsid w:val="00CC546B"/>
    <w:rsid w:val="00CC583F"/>
    <w:rsid w:val="00CC69E2"/>
    <w:rsid w:val="00CC6B9B"/>
    <w:rsid w:val="00CC6BF5"/>
    <w:rsid w:val="00CC726B"/>
    <w:rsid w:val="00CC77F3"/>
    <w:rsid w:val="00CD06AC"/>
    <w:rsid w:val="00CD0B53"/>
    <w:rsid w:val="00CD15CB"/>
    <w:rsid w:val="00CD15EA"/>
    <w:rsid w:val="00CD20EA"/>
    <w:rsid w:val="00CD299E"/>
    <w:rsid w:val="00CD3159"/>
    <w:rsid w:val="00CD3225"/>
    <w:rsid w:val="00CD3677"/>
    <w:rsid w:val="00CD3DD1"/>
    <w:rsid w:val="00CD44B1"/>
    <w:rsid w:val="00CD46F3"/>
    <w:rsid w:val="00CD481F"/>
    <w:rsid w:val="00CD4CDC"/>
    <w:rsid w:val="00CD4D2D"/>
    <w:rsid w:val="00CD519A"/>
    <w:rsid w:val="00CD5604"/>
    <w:rsid w:val="00CD5C7A"/>
    <w:rsid w:val="00CD66B4"/>
    <w:rsid w:val="00CD67A8"/>
    <w:rsid w:val="00CD6CC9"/>
    <w:rsid w:val="00CD7B58"/>
    <w:rsid w:val="00CD7E45"/>
    <w:rsid w:val="00CE0130"/>
    <w:rsid w:val="00CE0ADA"/>
    <w:rsid w:val="00CE0AF1"/>
    <w:rsid w:val="00CE1541"/>
    <w:rsid w:val="00CE1633"/>
    <w:rsid w:val="00CE212A"/>
    <w:rsid w:val="00CE22F5"/>
    <w:rsid w:val="00CE2852"/>
    <w:rsid w:val="00CE353E"/>
    <w:rsid w:val="00CE3681"/>
    <w:rsid w:val="00CE3B3B"/>
    <w:rsid w:val="00CE3D3A"/>
    <w:rsid w:val="00CE3D84"/>
    <w:rsid w:val="00CE4001"/>
    <w:rsid w:val="00CE488B"/>
    <w:rsid w:val="00CE4CEB"/>
    <w:rsid w:val="00CE4EC7"/>
    <w:rsid w:val="00CE5042"/>
    <w:rsid w:val="00CE6140"/>
    <w:rsid w:val="00CE61ED"/>
    <w:rsid w:val="00CE6475"/>
    <w:rsid w:val="00CE67A1"/>
    <w:rsid w:val="00CE6C77"/>
    <w:rsid w:val="00CE7CDC"/>
    <w:rsid w:val="00CF11B5"/>
    <w:rsid w:val="00CF1CC8"/>
    <w:rsid w:val="00CF1CFD"/>
    <w:rsid w:val="00CF1E7B"/>
    <w:rsid w:val="00CF21CE"/>
    <w:rsid w:val="00CF21DA"/>
    <w:rsid w:val="00CF25E5"/>
    <w:rsid w:val="00CF3589"/>
    <w:rsid w:val="00CF3A8A"/>
    <w:rsid w:val="00CF3DC2"/>
    <w:rsid w:val="00CF3E75"/>
    <w:rsid w:val="00CF3E8D"/>
    <w:rsid w:val="00CF4E22"/>
    <w:rsid w:val="00CF5E66"/>
    <w:rsid w:val="00CF5E8B"/>
    <w:rsid w:val="00CF6CAB"/>
    <w:rsid w:val="00CF722C"/>
    <w:rsid w:val="00CF780F"/>
    <w:rsid w:val="00CF79B1"/>
    <w:rsid w:val="00CF7DF5"/>
    <w:rsid w:val="00D00660"/>
    <w:rsid w:val="00D01B64"/>
    <w:rsid w:val="00D01BB6"/>
    <w:rsid w:val="00D0218F"/>
    <w:rsid w:val="00D024EC"/>
    <w:rsid w:val="00D0280C"/>
    <w:rsid w:val="00D02C4A"/>
    <w:rsid w:val="00D02E99"/>
    <w:rsid w:val="00D02ECE"/>
    <w:rsid w:val="00D038FD"/>
    <w:rsid w:val="00D03900"/>
    <w:rsid w:val="00D04665"/>
    <w:rsid w:val="00D04D46"/>
    <w:rsid w:val="00D05069"/>
    <w:rsid w:val="00D0524D"/>
    <w:rsid w:val="00D058DA"/>
    <w:rsid w:val="00D059DF"/>
    <w:rsid w:val="00D06DBB"/>
    <w:rsid w:val="00D07A0F"/>
    <w:rsid w:val="00D101AF"/>
    <w:rsid w:val="00D10272"/>
    <w:rsid w:val="00D10793"/>
    <w:rsid w:val="00D10795"/>
    <w:rsid w:val="00D112D0"/>
    <w:rsid w:val="00D11549"/>
    <w:rsid w:val="00D11ABF"/>
    <w:rsid w:val="00D12002"/>
    <w:rsid w:val="00D12207"/>
    <w:rsid w:val="00D122B5"/>
    <w:rsid w:val="00D124FE"/>
    <w:rsid w:val="00D129F0"/>
    <w:rsid w:val="00D12C31"/>
    <w:rsid w:val="00D12F43"/>
    <w:rsid w:val="00D12F5A"/>
    <w:rsid w:val="00D1346A"/>
    <w:rsid w:val="00D14164"/>
    <w:rsid w:val="00D14A14"/>
    <w:rsid w:val="00D14B59"/>
    <w:rsid w:val="00D15333"/>
    <w:rsid w:val="00D154D8"/>
    <w:rsid w:val="00D1590E"/>
    <w:rsid w:val="00D15E23"/>
    <w:rsid w:val="00D16482"/>
    <w:rsid w:val="00D171F5"/>
    <w:rsid w:val="00D17309"/>
    <w:rsid w:val="00D17AC0"/>
    <w:rsid w:val="00D17CE1"/>
    <w:rsid w:val="00D206C4"/>
    <w:rsid w:val="00D20BFA"/>
    <w:rsid w:val="00D2135D"/>
    <w:rsid w:val="00D215AE"/>
    <w:rsid w:val="00D21D06"/>
    <w:rsid w:val="00D21E5C"/>
    <w:rsid w:val="00D21E7B"/>
    <w:rsid w:val="00D22BD5"/>
    <w:rsid w:val="00D232B0"/>
    <w:rsid w:val="00D232DB"/>
    <w:rsid w:val="00D2364B"/>
    <w:rsid w:val="00D23B73"/>
    <w:rsid w:val="00D24024"/>
    <w:rsid w:val="00D246BF"/>
    <w:rsid w:val="00D2482B"/>
    <w:rsid w:val="00D250FA"/>
    <w:rsid w:val="00D255F6"/>
    <w:rsid w:val="00D26F21"/>
    <w:rsid w:val="00D272B1"/>
    <w:rsid w:val="00D2758C"/>
    <w:rsid w:val="00D27756"/>
    <w:rsid w:val="00D27AAA"/>
    <w:rsid w:val="00D27C10"/>
    <w:rsid w:val="00D27F05"/>
    <w:rsid w:val="00D27F73"/>
    <w:rsid w:val="00D30D91"/>
    <w:rsid w:val="00D30EDD"/>
    <w:rsid w:val="00D31A56"/>
    <w:rsid w:val="00D3283B"/>
    <w:rsid w:val="00D32C09"/>
    <w:rsid w:val="00D3395B"/>
    <w:rsid w:val="00D34610"/>
    <w:rsid w:val="00D350AE"/>
    <w:rsid w:val="00D35381"/>
    <w:rsid w:val="00D3588C"/>
    <w:rsid w:val="00D3596A"/>
    <w:rsid w:val="00D35A18"/>
    <w:rsid w:val="00D35FA4"/>
    <w:rsid w:val="00D3613F"/>
    <w:rsid w:val="00D365E6"/>
    <w:rsid w:val="00D367C6"/>
    <w:rsid w:val="00D37233"/>
    <w:rsid w:val="00D37986"/>
    <w:rsid w:val="00D37DFE"/>
    <w:rsid w:val="00D37FCA"/>
    <w:rsid w:val="00D409ED"/>
    <w:rsid w:val="00D40F99"/>
    <w:rsid w:val="00D419B6"/>
    <w:rsid w:val="00D41C8C"/>
    <w:rsid w:val="00D42666"/>
    <w:rsid w:val="00D42EBC"/>
    <w:rsid w:val="00D43391"/>
    <w:rsid w:val="00D43A07"/>
    <w:rsid w:val="00D43EA3"/>
    <w:rsid w:val="00D441BE"/>
    <w:rsid w:val="00D4436A"/>
    <w:rsid w:val="00D444C5"/>
    <w:rsid w:val="00D44669"/>
    <w:rsid w:val="00D44AF9"/>
    <w:rsid w:val="00D45440"/>
    <w:rsid w:val="00D457AE"/>
    <w:rsid w:val="00D45DC8"/>
    <w:rsid w:val="00D45DD1"/>
    <w:rsid w:val="00D45E3C"/>
    <w:rsid w:val="00D45FD1"/>
    <w:rsid w:val="00D46384"/>
    <w:rsid w:val="00D467F8"/>
    <w:rsid w:val="00D46AC8"/>
    <w:rsid w:val="00D46EF1"/>
    <w:rsid w:val="00D46F6F"/>
    <w:rsid w:val="00D47D67"/>
    <w:rsid w:val="00D506A0"/>
    <w:rsid w:val="00D50C5D"/>
    <w:rsid w:val="00D5115B"/>
    <w:rsid w:val="00D5155D"/>
    <w:rsid w:val="00D51A49"/>
    <w:rsid w:val="00D51A65"/>
    <w:rsid w:val="00D531DE"/>
    <w:rsid w:val="00D53F57"/>
    <w:rsid w:val="00D54779"/>
    <w:rsid w:val="00D54892"/>
    <w:rsid w:val="00D54F52"/>
    <w:rsid w:val="00D5501C"/>
    <w:rsid w:val="00D558F4"/>
    <w:rsid w:val="00D55901"/>
    <w:rsid w:val="00D5595B"/>
    <w:rsid w:val="00D562CF"/>
    <w:rsid w:val="00D56599"/>
    <w:rsid w:val="00D56C88"/>
    <w:rsid w:val="00D57B6C"/>
    <w:rsid w:val="00D60D8F"/>
    <w:rsid w:val="00D611D8"/>
    <w:rsid w:val="00D614D7"/>
    <w:rsid w:val="00D61887"/>
    <w:rsid w:val="00D619FF"/>
    <w:rsid w:val="00D61AE4"/>
    <w:rsid w:val="00D622DE"/>
    <w:rsid w:val="00D625C3"/>
    <w:rsid w:val="00D627B1"/>
    <w:rsid w:val="00D628D8"/>
    <w:rsid w:val="00D628E4"/>
    <w:rsid w:val="00D63CC0"/>
    <w:rsid w:val="00D6476F"/>
    <w:rsid w:val="00D647D7"/>
    <w:rsid w:val="00D65002"/>
    <w:rsid w:val="00D652B0"/>
    <w:rsid w:val="00D65FF5"/>
    <w:rsid w:val="00D662C4"/>
    <w:rsid w:val="00D664D1"/>
    <w:rsid w:val="00D66B2E"/>
    <w:rsid w:val="00D70026"/>
    <w:rsid w:val="00D702FD"/>
    <w:rsid w:val="00D709ED"/>
    <w:rsid w:val="00D70B88"/>
    <w:rsid w:val="00D7152A"/>
    <w:rsid w:val="00D722DE"/>
    <w:rsid w:val="00D72CD4"/>
    <w:rsid w:val="00D73283"/>
    <w:rsid w:val="00D73EEB"/>
    <w:rsid w:val="00D73F53"/>
    <w:rsid w:val="00D74370"/>
    <w:rsid w:val="00D749FF"/>
    <w:rsid w:val="00D74C34"/>
    <w:rsid w:val="00D74F3A"/>
    <w:rsid w:val="00D754A9"/>
    <w:rsid w:val="00D755DB"/>
    <w:rsid w:val="00D75621"/>
    <w:rsid w:val="00D756BD"/>
    <w:rsid w:val="00D75AEE"/>
    <w:rsid w:val="00D7614E"/>
    <w:rsid w:val="00D77467"/>
    <w:rsid w:val="00D77890"/>
    <w:rsid w:val="00D8082D"/>
    <w:rsid w:val="00D80A2E"/>
    <w:rsid w:val="00D81528"/>
    <w:rsid w:val="00D81D89"/>
    <w:rsid w:val="00D81DE1"/>
    <w:rsid w:val="00D82345"/>
    <w:rsid w:val="00D823D4"/>
    <w:rsid w:val="00D8241E"/>
    <w:rsid w:val="00D82CF1"/>
    <w:rsid w:val="00D82EB7"/>
    <w:rsid w:val="00D8316B"/>
    <w:rsid w:val="00D83385"/>
    <w:rsid w:val="00D83402"/>
    <w:rsid w:val="00D8344D"/>
    <w:rsid w:val="00D836AC"/>
    <w:rsid w:val="00D84083"/>
    <w:rsid w:val="00D872A7"/>
    <w:rsid w:val="00D90E56"/>
    <w:rsid w:val="00D91383"/>
    <w:rsid w:val="00D91887"/>
    <w:rsid w:val="00D91937"/>
    <w:rsid w:val="00D91AA8"/>
    <w:rsid w:val="00D922BC"/>
    <w:rsid w:val="00D92A27"/>
    <w:rsid w:val="00D9348F"/>
    <w:rsid w:val="00D948D4"/>
    <w:rsid w:val="00D94F99"/>
    <w:rsid w:val="00D94FA0"/>
    <w:rsid w:val="00D9531D"/>
    <w:rsid w:val="00D95349"/>
    <w:rsid w:val="00D9554B"/>
    <w:rsid w:val="00D95660"/>
    <w:rsid w:val="00D956B9"/>
    <w:rsid w:val="00D96A03"/>
    <w:rsid w:val="00D97205"/>
    <w:rsid w:val="00D972EC"/>
    <w:rsid w:val="00D97569"/>
    <w:rsid w:val="00D97E42"/>
    <w:rsid w:val="00DA1F27"/>
    <w:rsid w:val="00DA29AD"/>
    <w:rsid w:val="00DA2B14"/>
    <w:rsid w:val="00DA2EA7"/>
    <w:rsid w:val="00DA3393"/>
    <w:rsid w:val="00DA3727"/>
    <w:rsid w:val="00DA4521"/>
    <w:rsid w:val="00DA467D"/>
    <w:rsid w:val="00DA4CC5"/>
    <w:rsid w:val="00DA5D84"/>
    <w:rsid w:val="00DA602D"/>
    <w:rsid w:val="00DA6271"/>
    <w:rsid w:val="00DA6375"/>
    <w:rsid w:val="00DB18E3"/>
    <w:rsid w:val="00DB2329"/>
    <w:rsid w:val="00DB2524"/>
    <w:rsid w:val="00DB2A02"/>
    <w:rsid w:val="00DB3468"/>
    <w:rsid w:val="00DB3892"/>
    <w:rsid w:val="00DB415C"/>
    <w:rsid w:val="00DB47E2"/>
    <w:rsid w:val="00DB4C49"/>
    <w:rsid w:val="00DB4E98"/>
    <w:rsid w:val="00DB5183"/>
    <w:rsid w:val="00DB53E3"/>
    <w:rsid w:val="00DB5F94"/>
    <w:rsid w:val="00DB6060"/>
    <w:rsid w:val="00DB606E"/>
    <w:rsid w:val="00DB655E"/>
    <w:rsid w:val="00DC0186"/>
    <w:rsid w:val="00DC0BEA"/>
    <w:rsid w:val="00DC0D92"/>
    <w:rsid w:val="00DC0F5C"/>
    <w:rsid w:val="00DC1036"/>
    <w:rsid w:val="00DC13F1"/>
    <w:rsid w:val="00DC1B69"/>
    <w:rsid w:val="00DC30E7"/>
    <w:rsid w:val="00DC36C6"/>
    <w:rsid w:val="00DC3A92"/>
    <w:rsid w:val="00DC3CB7"/>
    <w:rsid w:val="00DC3D24"/>
    <w:rsid w:val="00DC4222"/>
    <w:rsid w:val="00DC462E"/>
    <w:rsid w:val="00DC4D74"/>
    <w:rsid w:val="00DC55BF"/>
    <w:rsid w:val="00DC5C70"/>
    <w:rsid w:val="00DC5FA5"/>
    <w:rsid w:val="00DC63AC"/>
    <w:rsid w:val="00DC67E1"/>
    <w:rsid w:val="00DC70B0"/>
    <w:rsid w:val="00DC763D"/>
    <w:rsid w:val="00DC78C9"/>
    <w:rsid w:val="00DC7925"/>
    <w:rsid w:val="00DC7C21"/>
    <w:rsid w:val="00DC7E4B"/>
    <w:rsid w:val="00DD0729"/>
    <w:rsid w:val="00DD0826"/>
    <w:rsid w:val="00DD159D"/>
    <w:rsid w:val="00DD26E4"/>
    <w:rsid w:val="00DD2891"/>
    <w:rsid w:val="00DD3700"/>
    <w:rsid w:val="00DD378D"/>
    <w:rsid w:val="00DD391F"/>
    <w:rsid w:val="00DD39A7"/>
    <w:rsid w:val="00DD592B"/>
    <w:rsid w:val="00DD5BB3"/>
    <w:rsid w:val="00DD60AC"/>
    <w:rsid w:val="00DD637F"/>
    <w:rsid w:val="00DD73B9"/>
    <w:rsid w:val="00DD7967"/>
    <w:rsid w:val="00DD79B0"/>
    <w:rsid w:val="00DE05EA"/>
    <w:rsid w:val="00DE079A"/>
    <w:rsid w:val="00DE07B3"/>
    <w:rsid w:val="00DE14B7"/>
    <w:rsid w:val="00DE17CB"/>
    <w:rsid w:val="00DE1B52"/>
    <w:rsid w:val="00DE308E"/>
    <w:rsid w:val="00DE3857"/>
    <w:rsid w:val="00DE3AA4"/>
    <w:rsid w:val="00DE5C48"/>
    <w:rsid w:val="00DE6BF3"/>
    <w:rsid w:val="00DE6FEA"/>
    <w:rsid w:val="00DE7C24"/>
    <w:rsid w:val="00DF063C"/>
    <w:rsid w:val="00DF069E"/>
    <w:rsid w:val="00DF06D5"/>
    <w:rsid w:val="00DF122F"/>
    <w:rsid w:val="00DF17C2"/>
    <w:rsid w:val="00DF1E3E"/>
    <w:rsid w:val="00DF1F2F"/>
    <w:rsid w:val="00DF2256"/>
    <w:rsid w:val="00DF28B4"/>
    <w:rsid w:val="00DF2BA2"/>
    <w:rsid w:val="00DF339A"/>
    <w:rsid w:val="00DF65C8"/>
    <w:rsid w:val="00DF6F24"/>
    <w:rsid w:val="00DF7472"/>
    <w:rsid w:val="00DF74CB"/>
    <w:rsid w:val="00DF7550"/>
    <w:rsid w:val="00DF7ED0"/>
    <w:rsid w:val="00E000BF"/>
    <w:rsid w:val="00E00476"/>
    <w:rsid w:val="00E00BC9"/>
    <w:rsid w:val="00E017AB"/>
    <w:rsid w:val="00E01D6A"/>
    <w:rsid w:val="00E01DAB"/>
    <w:rsid w:val="00E0232B"/>
    <w:rsid w:val="00E02780"/>
    <w:rsid w:val="00E03160"/>
    <w:rsid w:val="00E039E0"/>
    <w:rsid w:val="00E04281"/>
    <w:rsid w:val="00E046EE"/>
    <w:rsid w:val="00E04816"/>
    <w:rsid w:val="00E04A04"/>
    <w:rsid w:val="00E04CC1"/>
    <w:rsid w:val="00E05F31"/>
    <w:rsid w:val="00E06349"/>
    <w:rsid w:val="00E064C7"/>
    <w:rsid w:val="00E06F49"/>
    <w:rsid w:val="00E0792D"/>
    <w:rsid w:val="00E10096"/>
    <w:rsid w:val="00E106E0"/>
    <w:rsid w:val="00E11BAA"/>
    <w:rsid w:val="00E12592"/>
    <w:rsid w:val="00E12E3D"/>
    <w:rsid w:val="00E13195"/>
    <w:rsid w:val="00E13556"/>
    <w:rsid w:val="00E14658"/>
    <w:rsid w:val="00E14C35"/>
    <w:rsid w:val="00E1580B"/>
    <w:rsid w:val="00E166F2"/>
    <w:rsid w:val="00E16B29"/>
    <w:rsid w:val="00E16BD4"/>
    <w:rsid w:val="00E16E03"/>
    <w:rsid w:val="00E175D4"/>
    <w:rsid w:val="00E200B1"/>
    <w:rsid w:val="00E20A2B"/>
    <w:rsid w:val="00E20AB0"/>
    <w:rsid w:val="00E211A9"/>
    <w:rsid w:val="00E219DC"/>
    <w:rsid w:val="00E223FC"/>
    <w:rsid w:val="00E226BE"/>
    <w:rsid w:val="00E23B48"/>
    <w:rsid w:val="00E23E63"/>
    <w:rsid w:val="00E24420"/>
    <w:rsid w:val="00E24481"/>
    <w:rsid w:val="00E24B1F"/>
    <w:rsid w:val="00E24BD7"/>
    <w:rsid w:val="00E25537"/>
    <w:rsid w:val="00E257BD"/>
    <w:rsid w:val="00E272B9"/>
    <w:rsid w:val="00E2732C"/>
    <w:rsid w:val="00E27365"/>
    <w:rsid w:val="00E313C7"/>
    <w:rsid w:val="00E313DA"/>
    <w:rsid w:val="00E317AF"/>
    <w:rsid w:val="00E31D31"/>
    <w:rsid w:val="00E31E8F"/>
    <w:rsid w:val="00E324C7"/>
    <w:rsid w:val="00E329F8"/>
    <w:rsid w:val="00E32E5E"/>
    <w:rsid w:val="00E32FF4"/>
    <w:rsid w:val="00E33359"/>
    <w:rsid w:val="00E33EE6"/>
    <w:rsid w:val="00E35188"/>
    <w:rsid w:val="00E369C9"/>
    <w:rsid w:val="00E36D82"/>
    <w:rsid w:val="00E37877"/>
    <w:rsid w:val="00E37B13"/>
    <w:rsid w:val="00E37BBE"/>
    <w:rsid w:val="00E40A1A"/>
    <w:rsid w:val="00E41E1D"/>
    <w:rsid w:val="00E420A1"/>
    <w:rsid w:val="00E4242F"/>
    <w:rsid w:val="00E42A58"/>
    <w:rsid w:val="00E42AEF"/>
    <w:rsid w:val="00E43935"/>
    <w:rsid w:val="00E44008"/>
    <w:rsid w:val="00E45404"/>
    <w:rsid w:val="00E45850"/>
    <w:rsid w:val="00E46572"/>
    <w:rsid w:val="00E470ED"/>
    <w:rsid w:val="00E47612"/>
    <w:rsid w:val="00E477A7"/>
    <w:rsid w:val="00E5106D"/>
    <w:rsid w:val="00E51273"/>
    <w:rsid w:val="00E51983"/>
    <w:rsid w:val="00E536DE"/>
    <w:rsid w:val="00E53802"/>
    <w:rsid w:val="00E539D4"/>
    <w:rsid w:val="00E53EFE"/>
    <w:rsid w:val="00E54099"/>
    <w:rsid w:val="00E551B6"/>
    <w:rsid w:val="00E5594D"/>
    <w:rsid w:val="00E55D26"/>
    <w:rsid w:val="00E57F3A"/>
    <w:rsid w:val="00E6010E"/>
    <w:rsid w:val="00E618BF"/>
    <w:rsid w:val="00E620B1"/>
    <w:rsid w:val="00E621E4"/>
    <w:rsid w:val="00E62D55"/>
    <w:rsid w:val="00E62ED3"/>
    <w:rsid w:val="00E62F29"/>
    <w:rsid w:val="00E6384C"/>
    <w:rsid w:val="00E6391F"/>
    <w:rsid w:val="00E63BF3"/>
    <w:rsid w:val="00E64658"/>
    <w:rsid w:val="00E65D68"/>
    <w:rsid w:val="00E66A6A"/>
    <w:rsid w:val="00E66B2A"/>
    <w:rsid w:val="00E66C9D"/>
    <w:rsid w:val="00E66CCA"/>
    <w:rsid w:val="00E66F65"/>
    <w:rsid w:val="00E67F54"/>
    <w:rsid w:val="00E70073"/>
    <w:rsid w:val="00E7008C"/>
    <w:rsid w:val="00E70728"/>
    <w:rsid w:val="00E733CF"/>
    <w:rsid w:val="00E7378B"/>
    <w:rsid w:val="00E73FFC"/>
    <w:rsid w:val="00E7455E"/>
    <w:rsid w:val="00E751D9"/>
    <w:rsid w:val="00E757D0"/>
    <w:rsid w:val="00E75AB0"/>
    <w:rsid w:val="00E75D18"/>
    <w:rsid w:val="00E75D95"/>
    <w:rsid w:val="00E7695C"/>
    <w:rsid w:val="00E76BB0"/>
    <w:rsid w:val="00E770D6"/>
    <w:rsid w:val="00E77E0A"/>
    <w:rsid w:val="00E80EED"/>
    <w:rsid w:val="00E813F8"/>
    <w:rsid w:val="00E8175D"/>
    <w:rsid w:val="00E8187B"/>
    <w:rsid w:val="00E82399"/>
    <w:rsid w:val="00E82426"/>
    <w:rsid w:val="00E828D3"/>
    <w:rsid w:val="00E82EE0"/>
    <w:rsid w:val="00E82F9D"/>
    <w:rsid w:val="00E834AA"/>
    <w:rsid w:val="00E83695"/>
    <w:rsid w:val="00E84093"/>
    <w:rsid w:val="00E843DD"/>
    <w:rsid w:val="00E8491E"/>
    <w:rsid w:val="00E85375"/>
    <w:rsid w:val="00E855D5"/>
    <w:rsid w:val="00E8599A"/>
    <w:rsid w:val="00E85F38"/>
    <w:rsid w:val="00E86D6B"/>
    <w:rsid w:val="00E8710A"/>
    <w:rsid w:val="00E902F3"/>
    <w:rsid w:val="00E908A0"/>
    <w:rsid w:val="00E90A27"/>
    <w:rsid w:val="00E91007"/>
    <w:rsid w:val="00E918C8"/>
    <w:rsid w:val="00E923BD"/>
    <w:rsid w:val="00E92491"/>
    <w:rsid w:val="00E92B66"/>
    <w:rsid w:val="00E93ABF"/>
    <w:rsid w:val="00E93EDC"/>
    <w:rsid w:val="00E942D4"/>
    <w:rsid w:val="00E94924"/>
    <w:rsid w:val="00E94B8B"/>
    <w:rsid w:val="00E94F28"/>
    <w:rsid w:val="00E95299"/>
    <w:rsid w:val="00E9529A"/>
    <w:rsid w:val="00E95A55"/>
    <w:rsid w:val="00E96874"/>
    <w:rsid w:val="00E96B67"/>
    <w:rsid w:val="00E97097"/>
    <w:rsid w:val="00E97617"/>
    <w:rsid w:val="00E9768A"/>
    <w:rsid w:val="00EA0649"/>
    <w:rsid w:val="00EA0DAC"/>
    <w:rsid w:val="00EA1396"/>
    <w:rsid w:val="00EA1AA6"/>
    <w:rsid w:val="00EA2705"/>
    <w:rsid w:val="00EA2792"/>
    <w:rsid w:val="00EA2BA1"/>
    <w:rsid w:val="00EA3103"/>
    <w:rsid w:val="00EA3B2C"/>
    <w:rsid w:val="00EA3C69"/>
    <w:rsid w:val="00EA4241"/>
    <w:rsid w:val="00EA4427"/>
    <w:rsid w:val="00EA446B"/>
    <w:rsid w:val="00EA44F0"/>
    <w:rsid w:val="00EA45FC"/>
    <w:rsid w:val="00EA47FA"/>
    <w:rsid w:val="00EA4BD6"/>
    <w:rsid w:val="00EA55B3"/>
    <w:rsid w:val="00EA56AC"/>
    <w:rsid w:val="00EA5CA8"/>
    <w:rsid w:val="00EA63A9"/>
    <w:rsid w:val="00EA716D"/>
    <w:rsid w:val="00EB0660"/>
    <w:rsid w:val="00EB1164"/>
    <w:rsid w:val="00EB168C"/>
    <w:rsid w:val="00EB1B2E"/>
    <w:rsid w:val="00EB206F"/>
    <w:rsid w:val="00EB26B5"/>
    <w:rsid w:val="00EB27B7"/>
    <w:rsid w:val="00EB3370"/>
    <w:rsid w:val="00EB34E3"/>
    <w:rsid w:val="00EB35F9"/>
    <w:rsid w:val="00EB36FD"/>
    <w:rsid w:val="00EB3CD4"/>
    <w:rsid w:val="00EB3E4F"/>
    <w:rsid w:val="00EB3F68"/>
    <w:rsid w:val="00EB4442"/>
    <w:rsid w:val="00EB47A2"/>
    <w:rsid w:val="00EB505E"/>
    <w:rsid w:val="00EB5E4C"/>
    <w:rsid w:val="00EB69B3"/>
    <w:rsid w:val="00EB74B2"/>
    <w:rsid w:val="00EB7FB5"/>
    <w:rsid w:val="00EB7FBE"/>
    <w:rsid w:val="00EC07E9"/>
    <w:rsid w:val="00EC0AA4"/>
    <w:rsid w:val="00EC0B8C"/>
    <w:rsid w:val="00EC1106"/>
    <w:rsid w:val="00EC128A"/>
    <w:rsid w:val="00EC155D"/>
    <w:rsid w:val="00EC19AD"/>
    <w:rsid w:val="00EC1F4D"/>
    <w:rsid w:val="00EC211D"/>
    <w:rsid w:val="00EC268C"/>
    <w:rsid w:val="00EC280E"/>
    <w:rsid w:val="00EC2879"/>
    <w:rsid w:val="00EC2E20"/>
    <w:rsid w:val="00EC44F1"/>
    <w:rsid w:val="00EC4B21"/>
    <w:rsid w:val="00EC50E2"/>
    <w:rsid w:val="00EC5931"/>
    <w:rsid w:val="00EC5CDC"/>
    <w:rsid w:val="00EC69F8"/>
    <w:rsid w:val="00EC6CD4"/>
    <w:rsid w:val="00EC6E2A"/>
    <w:rsid w:val="00EC707F"/>
    <w:rsid w:val="00EC7B1E"/>
    <w:rsid w:val="00ED03AA"/>
    <w:rsid w:val="00ED0761"/>
    <w:rsid w:val="00ED0BC5"/>
    <w:rsid w:val="00ED16E9"/>
    <w:rsid w:val="00ED1A36"/>
    <w:rsid w:val="00ED1EF3"/>
    <w:rsid w:val="00ED2116"/>
    <w:rsid w:val="00ED2758"/>
    <w:rsid w:val="00ED2B85"/>
    <w:rsid w:val="00ED3258"/>
    <w:rsid w:val="00ED3273"/>
    <w:rsid w:val="00ED3758"/>
    <w:rsid w:val="00ED3930"/>
    <w:rsid w:val="00ED414F"/>
    <w:rsid w:val="00ED444C"/>
    <w:rsid w:val="00ED47B4"/>
    <w:rsid w:val="00ED49F2"/>
    <w:rsid w:val="00ED4F48"/>
    <w:rsid w:val="00ED54AE"/>
    <w:rsid w:val="00ED5671"/>
    <w:rsid w:val="00ED573C"/>
    <w:rsid w:val="00ED5C29"/>
    <w:rsid w:val="00ED6A4B"/>
    <w:rsid w:val="00ED756E"/>
    <w:rsid w:val="00ED7694"/>
    <w:rsid w:val="00ED7A4F"/>
    <w:rsid w:val="00EE06BC"/>
    <w:rsid w:val="00EE11A2"/>
    <w:rsid w:val="00EE11F9"/>
    <w:rsid w:val="00EE18F8"/>
    <w:rsid w:val="00EE1960"/>
    <w:rsid w:val="00EE1C91"/>
    <w:rsid w:val="00EE22BA"/>
    <w:rsid w:val="00EE3548"/>
    <w:rsid w:val="00EE3869"/>
    <w:rsid w:val="00EE4868"/>
    <w:rsid w:val="00EE48B3"/>
    <w:rsid w:val="00EE49DE"/>
    <w:rsid w:val="00EE4C59"/>
    <w:rsid w:val="00EE6684"/>
    <w:rsid w:val="00EE7F14"/>
    <w:rsid w:val="00EF08DF"/>
    <w:rsid w:val="00EF0F84"/>
    <w:rsid w:val="00EF26D0"/>
    <w:rsid w:val="00EF291D"/>
    <w:rsid w:val="00EF35D2"/>
    <w:rsid w:val="00EF380E"/>
    <w:rsid w:val="00EF38F6"/>
    <w:rsid w:val="00EF3A9C"/>
    <w:rsid w:val="00EF3CFD"/>
    <w:rsid w:val="00EF3FF3"/>
    <w:rsid w:val="00EF4A76"/>
    <w:rsid w:val="00EF4B16"/>
    <w:rsid w:val="00EF53E8"/>
    <w:rsid w:val="00EF5AF8"/>
    <w:rsid w:val="00EF5C57"/>
    <w:rsid w:val="00EF64D3"/>
    <w:rsid w:val="00EF6F84"/>
    <w:rsid w:val="00EF6FBE"/>
    <w:rsid w:val="00EF7D15"/>
    <w:rsid w:val="00F0068F"/>
    <w:rsid w:val="00F006B3"/>
    <w:rsid w:val="00F00D0C"/>
    <w:rsid w:val="00F0108C"/>
    <w:rsid w:val="00F017A0"/>
    <w:rsid w:val="00F02CA2"/>
    <w:rsid w:val="00F02FA9"/>
    <w:rsid w:val="00F03833"/>
    <w:rsid w:val="00F03A43"/>
    <w:rsid w:val="00F03B8E"/>
    <w:rsid w:val="00F045A7"/>
    <w:rsid w:val="00F05091"/>
    <w:rsid w:val="00F05EAB"/>
    <w:rsid w:val="00F06315"/>
    <w:rsid w:val="00F0685C"/>
    <w:rsid w:val="00F06E87"/>
    <w:rsid w:val="00F07C7B"/>
    <w:rsid w:val="00F10002"/>
    <w:rsid w:val="00F102C7"/>
    <w:rsid w:val="00F1035F"/>
    <w:rsid w:val="00F10765"/>
    <w:rsid w:val="00F108C3"/>
    <w:rsid w:val="00F109D1"/>
    <w:rsid w:val="00F112B0"/>
    <w:rsid w:val="00F112F7"/>
    <w:rsid w:val="00F1181C"/>
    <w:rsid w:val="00F1217F"/>
    <w:rsid w:val="00F12A1F"/>
    <w:rsid w:val="00F12C10"/>
    <w:rsid w:val="00F13006"/>
    <w:rsid w:val="00F13303"/>
    <w:rsid w:val="00F13438"/>
    <w:rsid w:val="00F13697"/>
    <w:rsid w:val="00F13A15"/>
    <w:rsid w:val="00F1425D"/>
    <w:rsid w:val="00F15223"/>
    <w:rsid w:val="00F16359"/>
    <w:rsid w:val="00F171AD"/>
    <w:rsid w:val="00F173EB"/>
    <w:rsid w:val="00F17644"/>
    <w:rsid w:val="00F17CC8"/>
    <w:rsid w:val="00F17D91"/>
    <w:rsid w:val="00F20035"/>
    <w:rsid w:val="00F202ED"/>
    <w:rsid w:val="00F217B0"/>
    <w:rsid w:val="00F22761"/>
    <w:rsid w:val="00F22BE9"/>
    <w:rsid w:val="00F23538"/>
    <w:rsid w:val="00F235DD"/>
    <w:rsid w:val="00F241C0"/>
    <w:rsid w:val="00F244E9"/>
    <w:rsid w:val="00F254EC"/>
    <w:rsid w:val="00F25704"/>
    <w:rsid w:val="00F25A81"/>
    <w:rsid w:val="00F264CF"/>
    <w:rsid w:val="00F26A92"/>
    <w:rsid w:val="00F26AE9"/>
    <w:rsid w:val="00F27516"/>
    <w:rsid w:val="00F27B84"/>
    <w:rsid w:val="00F27BEE"/>
    <w:rsid w:val="00F27C57"/>
    <w:rsid w:val="00F27E2C"/>
    <w:rsid w:val="00F27EF4"/>
    <w:rsid w:val="00F30436"/>
    <w:rsid w:val="00F30578"/>
    <w:rsid w:val="00F32654"/>
    <w:rsid w:val="00F32A3D"/>
    <w:rsid w:val="00F32A45"/>
    <w:rsid w:val="00F3391E"/>
    <w:rsid w:val="00F33994"/>
    <w:rsid w:val="00F33C29"/>
    <w:rsid w:val="00F33FE7"/>
    <w:rsid w:val="00F343B7"/>
    <w:rsid w:val="00F356F2"/>
    <w:rsid w:val="00F36189"/>
    <w:rsid w:val="00F3639E"/>
    <w:rsid w:val="00F36791"/>
    <w:rsid w:val="00F36816"/>
    <w:rsid w:val="00F36C7F"/>
    <w:rsid w:val="00F3773F"/>
    <w:rsid w:val="00F37D29"/>
    <w:rsid w:val="00F414AE"/>
    <w:rsid w:val="00F417D3"/>
    <w:rsid w:val="00F41F53"/>
    <w:rsid w:val="00F41FC6"/>
    <w:rsid w:val="00F42152"/>
    <w:rsid w:val="00F430CF"/>
    <w:rsid w:val="00F43743"/>
    <w:rsid w:val="00F44BA6"/>
    <w:rsid w:val="00F45144"/>
    <w:rsid w:val="00F4595E"/>
    <w:rsid w:val="00F468EB"/>
    <w:rsid w:val="00F4790A"/>
    <w:rsid w:val="00F47941"/>
    <w:rsid w:val="00F50384"/>
    <w:rsid w:val="00F503B7"/>
    <w:rsid w:val="00F51232"/>
    <w:rsid w:val="00F5137E"/>
    <w:rsid w:val="00F520CC"/>
    <w:rsid w:val="00F537C6"/>
    <w:rsid w:val="00F53CED"/>
    <w:rsid w:val="00F53FDE"/>
    <w:rsid w:val="00F54488"/>
    <w:rsid w:val="00F54B1E"/>
    <w:rsid w:val="00F552C2"/>
    <w:rsid w:val="00F557F5"/>
    <w:rsid w:val="00F55EC4"/>
    <w:rsid w:val="00F55FB0"/>
    <w:rsid w:val="00F5604E"/>
    <w:rsid w:val="00F5654A"/>
    <w:rsid w:val="00F565B0"/>
    <w:rsid w:val="00F56C7B"/>
    <w:rsid w:val="00F57A30"/>
    <w:rsid w:val="00F6005C"/>
    <w:rsid w:val="00F604C5"/>
    <w:rsid w:val="00F6066F"/>
    <w:rsid w:val="00F62230"/>
    <w:rsid w:val="00F62385"/>
    <w:rsid w:val="00F6295D"/>
    <w:rsid w:val="00F63185"/>
    <w:rsid w:val="00F63C48"/>
    <w:rsid w:val="00F64295"/>
    <w:rsid w:val="00F647D4"/>
    <w:rsid w:val="00F649D8"/>
    <w:rsid w:val="00F64F8E"/>
    <w:rsid w:val="00F66026"/>
    <w:rsid w:val="00F66039"/>
    <w:rsid w:val="00F662AF"/>
    <w:rsid w:val="00F665D1"/>
    <w:rsid w:val="00F66636"/>
    <w:rsid w:val="00F671C9"/>
    <w:rsid w:val="00F67699"/>
    <w:rsid w:val="00F67C6B"/>
    <w:rsid w:val="00F70721"/>
    <w:rsid w:val="00F70854"/>
    <w:rsid w:val="00F70A91"/>
    <w:rsid w:val="00F70AD5"/>
    <w:rsid w:val="00F70F62"/>
    <w:rsid w:val="00F71007"/>
    <w:rsid w:val="00F7113B"/>
    <w:rsid w:val="00F712FB"/>
    <w:rsid w:val="00F72065"/>
    <w:rsid w:val="00F7247F"/>
    <w:rsid w:val="00F72BE0"/>
    <w:rsid w:val="00F72E6C"/>
    <w:rsid w:val="00F73247"/>
    <w:rsid w:val="00F734FA"/>
    <w:rsid w:val="00F73571"/>
    <w:rsid w:val="00F74204"/>
    <w:rsid w:val="00F743B6"/>
    <w:rsid w:val="00F747FE"/>
    <w:rsid w:val="00F74938"/>
    <w:rsid w:val="00F75641"/>
    <w:rsid w:val="00F75862"/>
    <w:rsid w:val="00F75B68"/>
    <w:rsid w:val="00F7663B"/>
    <w:rsid w:val="00F76AA4"/>
    <w:rsid w:val="00F77112"/>
    <w:rsid w:val="00F775EC"/>
    <w:rsid w:val="00F801A9"/>
    <w:rsid w:val="00F809DA"/>
    <w:rsid w:val="00F80B19"/>
    <w:rsid w:val="00F80F3C"/>
    <w:rsid w:val="00F818AC"/>
    <w:rsid w:val="00F827ED"/>
    <w:rsid w:val="00F830A9"/>
    <w:rsid w:val="00F84419"/>
    <w:rsid w:val="00F845AD"/>
    <w:rsid w:val="00F852B0"/>
    <w:rsid w:val="00F85596"/>
    <w:rsid w:val="00F8566C"/>
    <w:rsid w:val="00F85D36"/>
    <w:rsid w:val="00F85D7F"/>
    <w:rsid w:val="00F85EDD"/>
    <w:rsid w:val="00F86A67"/>
    <w:rsid w:val="00F87832"/>
    <w:rsid w:val="00F87A41"/>
    <w:rsid w:val="00F87E05"/>
    <w:rsid w:val="00F9010C"/>
    <w:rsid w:val="00F9011D"/>
    <w:rsid w:val="00F9052D"/>
    <w:rsid w:val="00F90FB2"/>
    <w:rsid w:val="00F91BAB"/>
    <w:rsid w:val="00F93E9E"/>
    <w:rsid w:val="00F94937"/>
    <w:rsid w:val="00F94C4E"/>
    <w:rsid w:val="00F955C4"/>
    <w:rsid w:val="00F955EC"/>
    <w:rsid w:val="00F95ED1"/>
    <w:rsid w:val="00F95FE2"/>
    <w:rsid w:val="00F96034"/>
    <w:rsid w:val="00F9646C"/>
    <w:rsid w:val="00F964A4"/>
    <w:rsid w:val="00F96DAB"/>
    <w:rsid w:val="00F96FF8"/>
    <w:rsid w:val="00F97DFB"/>
    <w:rsid w:val="00F97ED0"/>
    <w:rsid w:val="00FA05D2"/>
    <w:rsid w:val="00FA086D"/>
    <w:rsid w:val="00FA1216"/>
    <w:rsid w:val="00FA14DA"/>
    <w:rsid w:val="00FA1905"/>
    <w:rsid w:val="00FA1B3B"/>
    <w:rsid w:val="00FA232E"/>
    <w:rsid w:val="00FA2D8F"/>
    <w:rsid w:val="00FA3196"/>
    <w:rsid w:val="00FA3587"/>
    <w:rsid w:val="00FA364B"/>
    <w:rsid w:val="00FA36E3"/>
    <w:rsid w:val="00FA3A9A"/>
    <w:rsid w:val="00FA479D"/>
    <w:rsid w:val="00FA4E8A"/>
    <w:rsid w:val="00FA5B29"/>
    <w:rsid w:val="00FA5B6A"/>
    <w:rsid w:val="00FA5C52"/>
    <w:rsid w:val="00FA7272"/>
    <w:rsid w:val="00FA7915"/>
    <w:rsid w:val="00FA79A6"/>
    <w:rsid w:val="00FB060B"/>
    <w:rsid w:val="00FB1822"/>
    <w:rsid w:val="00FB227C"/>
    <w:rsid w:val="00FB236B"/>
    <w:rsid w:val="00FB2464"/>
    <w:rsid w:val="00FB2BF7"/>
    <w:rsid w:val="00FB2D11"/>
    <w:rsid w:val="00FB2F62"/>
    <w:rsid w:val="00FB2F7A"/>
    <w:rsid w:val="00FB37ED"/>
    <w:rsid w:val="00FB4A18"/>
    <w:rsid w:val="00FB4A3B"/>
    <w:rsid w:val="00FB52B1"/>
    <w:rsid w:val="00FB6029"/>
    <w:rsid w:val="00FB63F2"/>
    <w:rsid w:val="00FB683F"/>
    <w:rsid w:val="00FB68E6"/>
    <w:rsid w:val="00FB7441"/>
    <w:rsid w:val="00FB76F4"/>
    <w:rsid w:val="00FB7EBE"/>
    <w:rsid w:val="00FC0105"/>
    <w:rsid w:val="00FC051F"/>
    <w:rsid w:val="00FC0BF7"/>
    <w:rsid w:val="00FC178B"/>
    <w:rsid w:val="00FC2379"/>
    <w:rsid w:val="00FC2A05"/>
    <w:rsid w:val="00FC2BE2"/>
    <w:rsid w:val="00FC3073"/>
    <w:rsid w:val="00FC3686"/>
    <w:rsid w:val="00FC3A7D"/>
    <w:rsid w:val="00FC3C18"/>
    <w:rsid w:val="00FC4055"/>
    <w:rsid w:val="00FC40AA"/>
    <w:rsid w:val="00FC40B2"/>
    <w:rsid w:val="00FC47F5"/>
    <w:rsid w:val="00FC47FF"/>
    <w:rsid w:val="00FC60AE"/>
    <w:rsid w:val="00FC61F3"/>
    <w:rsid w:val="00FC6D63"/>
    <w:rsid w:val="00FC74B0"/>
    <w:rsid w:val="00FD00B6"/>
    <w:rsid w:val="00FD0C9F"/>
    <w:rsid w:val="00FD0D4F"/>
    <w:rsid w:val="00FD1700"/>
    <w:rsid w:val="00FD18CF"/>
    <w:rsid w:val="00FD2580"/>
    <w:rsid w:val="00FD3B98"/>
    <w:rsid w:val="00FD3EA6"/>
    <w:rsid w:val="00FD4193"/>
    <w:rsid w:val="00FD4B18"/>
    <w:rsid w:val="00FD5727"/>
    <w:rsid w:val="00FD5A12"/>
    <w:rsid w:val="00FD5AEB"/>
    <w:rsid w:val="00FD62C8"/>
    <w:rsid w:val="00FD66E9"/>
    <w:rsid w:val="00FD7D26"/>
    <w:rsid w:val="00FE0300"/>
    <w:rsid w:val="00FE093F"/>
    <w:rsid w:val="00FE1124"/>
    <w:rsid w:val="00FE11CE"/>
    <w:rsid w:val="00FE146C"/>
    <w:rsid w:val="00FE1C4A"/>
    <w:rsid w:val="00FE1EB9"/>
    <w:rsid w:val="00FE23AC"/>
    <w:rsid w:val="00FE2848"/>
    <w:rsid w:val="00FE2EC6"/>
    <w:rsid w:val="00FE3631"/>
    <w:rsid w:val="00FE39E3"/>
    <w:rsid w:val="00FE3AD9"/>
    <w:rsid w:val="00FE47DD"/>
    <w:rsid w:val="00FE5950"/>
    <w:rsid w:val="00FE60A1"/>
    <w:rsid w:val="00FE60F9"/>
    <w:rsid w:val="00FE65B2"/>
    <w:rsid w:val="00FE69AE"/>
    <w:rsid w:val="00FE7486"/>
    <w:rsid w:val="00FE76A3"/>
    <w:rsid w:val="00FE7848"/>
    <w:rsid w:val="00FE7981"/>
    <w:rsid w:val="00FF17D7"/>
    <w:rsid w:val="00FF185D"/>
    <w:rsid w:val="00FF1B97"/>
    <w:rsid w:val="00FF1BE1"/>
    <w:rsid w:val="00FF2812"/>
    <w:rsid w:val="00FF3008"/>
    <w:rsid w:val="00FF319E"/>
    <w:rsid w:val="00FF3298"/>
    <w:rsid w:val="00FF3980"/>
    <w:rsid w:val="00FF40E1"/>
    <w:rsid w:val="00FF451B"/>
    <w:rsid w:val="00FF4D46"/>
    <w:rsid w:val="00FF582A"/>
    <w:rsid w:val="00FF6203"/>
    <w:rsid w:val="00FF6841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5A22F"/>
  <w15:docId w15:val="{58934D40-28FD-4CA4-AA3E-5875987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729"/>
    <w:pPr>
      <w:spacing w:after="12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947E8"/>
    <w:pPr>
      <w:keepNext/>
      <w:overflowPunct w:val="0"/>
      <w:autoSpaceDE w:val="0"/>
      <w:autoSpaceDN w:val="0"/>
      <w:adjustRightInd w:val="0"/>
      <w:spacing w:after="0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37FCA"/>
    <w:pPr>
      <w:keepNext/>
      <w:numPr>
        <w:numId w:val="18"/>
      </w:numPr>
      <w:outlineLvl w:val="1"/>
    </w:pPr>
    <w:rPr>
      <w:rFonts w:cs="Arial"/>
      <w:b/>
      <w:i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DBA"/>
    <w:pPr>
      <w:keepNext/>
      <w:keepLines/>
      <w:outlineLvl w:val="2"/>
    </w:pPr>
    <w:rPr>
      <w:rFonts w:eastAsiaTheme="majorEastAsia" w:cstheme="majorBidi"/>
      <w:b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3A4A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A4A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A4A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A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4A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3A4A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uiPriority w:val="99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2F7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4CF9"/>
    <w:rPr>
      <w:rFonts w:asciiTheme="minorHAnsi" w:eastAsiaTheme="majorEastAsia" w:hAnsiTheme="minorHAnsi" w:cstheme="majorBidi"/>
      <w:b/>
      <w:i/>
      <w:sz w:val="24"/>
      <w:szCs w:val="24"/>
      <w:lang w:eastAsia="en-US"/>
    </w:rPr>
  </w:style>
  <w:style w:type="paragraph" w:customStyle="1" w:styleId="Nzevtabulka">
    <w:name w:val="Název tabulka"/>
    <w:basedOn w:val="Normln"/>
    <w:next w:val="Normln"/>
    <w:link w:val="NzevtabulkaChar"/>
    <w:qFormat/>
    <w:rsid w:val="00C5437F"/>
    <w:pPr>
      <w:numPr>
        <w:numId w:val="2"/>
      </w:numPr>
      <w:spacing w:after="0"/>
      <w:ind w:left="1247" w:hanging="1247"/>
    </w:pPr>
    <w:rPr>
      <w:rFonts w:cstheme="minorHAnsi"/>
    </w:rPr>
  </w:style>
  <w:style w:type="paragraph" w:customStyle="1" w:styleId="Zdrojtabulka">
    <w:name w:val="Zdroj tabulka"/>
    <w:basedOn w:val="Normln"/>
    <w:link w:val="ZdrojtabulkaChar"/>
    <w:qFormat/>
    <w:rsid w:val="006B79BA"/>
    <w:pPr>
      <w:keepNext/>
      <w:spacing w:after="0"/>
    </w:pPr>
    <w:rPr>
      <w:rFonts w:cstheme="minorHAnsi"/>
      <w:sz w:val="20"/>
    </w:rPr>
  </w:style>
  <w:style w:type="character" w:customStyle="1" w:styleId="NzevtabulkaChar">
    <w:name w:val="Název tabulka Char"/>
    <w:basedOn w:val="Standardnpsmoodstavce"/>
    <w:link w:val="Nzevtabulka"/>
    <w:rsid w:val="00C5437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ZdrojtabulkaChar">
    <w:name w:val="Zdroj tabulka Char"/>
    <w:basedOn w:val="Standardnpsmoodstavce"/>
    <w:link w:val="Zdrojtabulka"/>
    <w:rsid w:val="006B79BA"/>
    <w:rPr>
      <w:rFonts w:asciiTheme="minorHAnsi" w:hAnsiTheme="minorHAnsi" w:cs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A4A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3A4A8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3A4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A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4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sid w:val="003A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Zdroj">
    <w:name w:val="Zdroj"/>
    <w:basedOn w:val="Normln"/>
    <w:next w:val="Normln"/>
    <w:link w:val="ZdrojChar"/>
    <w:rsid w:val="00F747FE"/>
    <w:rPr>
      <w:rFonts w:cstheme="minorHAnsi"/>
      <w:b/>
      <w:sz w:val="20"/>
    </w:rPr>
  </w:style>
  <w:style w:type="character" w:customStyle="1" w:styleId="ZdrojChar">
    <w:name w:val="Zdroj Char"/>
    <w:basedOn w:val="NzevtabulkaChar"/>
    <w:link w:val="Zdroj"/>
    <w:rsid w:val="00F747FE"/>
    <w:rPr>
      <w:rFonts w:asciiTheme="minorHAnsi" w:hAnsiTheme="minorHAnsi" w:cstheme="minorHAnsi"/>
      <w:b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F7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Char Char,Char Char Char Char,Font: Geneva 9,Footnote,Fußnotentextf,Geneva 9,Podrozdzia3,Podrozdział,Schriftart: 10 pt,Schriftart: 8 pt,Schriftart: 9 pt,Text pozn. pod čarou times,Text poznámky pod čiarou 007,fn,ft,pozn. pod čarou"/>
    <w:basedOn w:val="Normln"/>
    <w:link w:val="TextpoznpodarouChar"/>
    <w:uiPriority w:val="99"/>
    <w:unhideWhenUsed/>
    <w:qFormat/>
    <w:rsid w:val="00F7324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Char Char Char,Char Char Char Char Char,Font: Geneva 9 Char,Footnote Char,Fußnotentextf Char,Geneva 9 Char,Podrozdzia3 Char,Podrozdział Char,Schriftart: 10 pt Char,Schriftart: 8 pt Char,Schriftart: 9 pt Char,fn Char,ft Char"/>
    <w:basedOn w:val="Standardnpsmoodstavce"/>
    <w:link w:val="Textpoznpodarou"/>
    <w:uiPriority w:val="99"/>
    <w:rsid w:val="00F73247"/>
    <w:rPr>
      <w:rFonts w:asciiTheme="minorHAnsi" w:hAnsiTheme="minorHAnsi"/>
      <w:lang w:eastAsia="en-US"/>
    </w:rPr>
  </w:style>
  <w:style w:type="character" w:styleId="Znakapoznpodarou">
    <w:name w:val="footnote reference"/>
    <w:aliases w:val="12 b.,Appel note de bas de p,Appel note de bas de page,BVI fnr,Char Car Car Car Car,Footnote Reference Superscript,Footnote call,Footnote reference number,PGI Fußnote Ziffer,PGI Fußnote Ziffer + Times New Roman,Zúžené o ...,number"/>
    <w:basedOn w:val="Standardnpsmoodstavce"/>
    <w:link w:val="BVIfnrCharChar"/>
    <w:uiPriority w:val="99"/>
    <w:unhideWhenUsed/>
    <w:qFormat/>
    <w:rsid w:val="00F73247"/>
    <w:rPr>
      <w:vertAlign w:val="superscript"/>
    </w:rPr>
  </w:style>
  <w:style w:type="paragraph" w:styleId="Odstavecseseznamem">
    <w:name w:val="List Paragraph"/>
    <w:aliases w:val="List Paragraph1,List Paragraph2,List Paragraph_0,List Paragraph_0_0,List Paragraph_0_0_0,Nad,Nad1,Nad2,Nadpis pro KZ,Odstavec cíl se seznamem,Odstavec se seznamem1,Odstavec se seznamem2,Odstavec_muj,Odstavec_muj1,Odstavec_muj10"/>
    <w:basedOn w:val="Normln"/>
    <w:link w:val="OdstavecseseznamemChar"/>
    <w:uiPriority w:val="34"/>
    <w:qFormat/>
    <w:rsid w:val="00286550"/>
    <w:pPr>
      <w:ind w:left="720"/>
      <w:contextualSpacing/>
    </w:pPr>
  </w:style>
  <w:style w:type="paragraph" w:customStyle="1" w:styleId="Nzevgraf">
    <w:name w:val="Název graf"/>
    <w:basedOn w:val="Normln"/>
    <w:next w:val="Normln"/>
    <w:link w:val="NzevgrafChar"/>
    <w:qFormat/>
    <w:rsid w:val="00E618BF"/>
    <w:pPr>
      <w:numPr>
        <w:numId w:val="3"/>
      </w:numPr>
      <w:ind w:left="964" w:hanging="964"/>
    </w:pPr>
    <w:rPr>
      <w:lang w:eastAsia="cs-CZ"/>
    </w:rPr>
  </w:style>
  <w:style w:type="character" w:customStyle="1" w:styleId="NzevgrafChar">
    <w:name w:val="Název graf Char"/>
    <w:basedOn w:val="NzevtabulkaChar"/>
    <w:link w:val="Nzevgraf"/>
    <w:rsid w:val="00E618B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OdstavecseseznamemChar">
    <w:name w:val="Odstavec se seznamem Char"/>
    <w:aliases w:val="List Paragraph1 Char,List Paragraph2 Char,List Paragraph_0 Char,List Paragraph_0_0 Char,List Paragraph_0_0_0 Char,Nad Char,Nad1 Char,Nad2 Char,Nadpis pro KZ Char,Odstavec cíl se seznamem Char,Odstavec se seznamem1 Char"/>
    <w:basedOn w:val="Standardnpsmoodstavce"/>
    <w:link w:val="Odstavecseseznamem"/>
    <w:uiPriority w:val="34"/>
    <w:rsid w:val="00343428"/>
    <w:rPr>
      <w:rFonts w:asciiTheme="minorHAnsi" w:hAnsiTheme="minorHAns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B6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65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655E"/>
    <w:rPr>
      <w:rFonts w:asciiTheme="minorHAnsi" w:hAnsiTheme="minorHAns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55E"/>
    <w:rPr>
      <w:rFonts w:asciiTheme="minorHAnsi" w:hAnsiTheme="minorHAnsi"/>
      <w:b/>
      <w:bCs/>
      <w:lang w:eastAsia="en-US"/>
    </w:rPr>
  </w:style>
  <w:style w:type="table" w:customStyle="1" w:styleId="TableGrid">
    <w:name w:val="TableGrid"/>
    <w:rsid w:val="00EC44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translate">
    <w:name w:val="notranslate"/>
    <w:basedOn w:val="Standardnpsmoodstavce"/>
    <w:rsid w:val="00C86A41"/>
  </w:style>
  <w:style w:type="character" w:customStyle="1" w:styleId="ZhlavChar">
    <w:name w:val="Záhlaví Char"/>
    <w:basedOn w:val="Standardnpsmoodstavce"/>
    <w:link w:val="Zhlav"/>
    <w:uiPriority w:val="99"/>
    <w:rsid w:val="00B84C49"/>
    <w:rPr>
      <w:rFonts w:asciiTheme="minorHAnsi" w:hAnsiTheme="minorHAnsi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806F66"/>
    <w:rPr>
      <w:rFonts w:asciiTheme="minorHAnsi" w:hAnsiTheme="minorHAnsi"/>
      <w:sz w:val="24"/>
      <w:szCs w:val="24"/>
      <w:lang w:eastAsia="en-US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806F66"/>
    <w:pPr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eastAsia="cs-CZ"/>
    </w:rPr>
  </w:style>
  <w:style w:type="paragraph" w:customStyle="1" w:styleId="rozkazy">
    <w:name w:val="_rozkazy"/>
    <w:basedOn w:val="Normln"/>
    <w:link w:val="rozkazyChar"/>
    <w:rsid w:val="00532389"/>
    <w:pPr>
      <w:ind w:firstLine="567"/>
    </w:pPr>
    <w:rPr>
      <w:rFonts w:ascii="Times New Roman" w:hAnsi="Times New Roman"/>
      <w:szCs w:val="20"/>
      <w:lang w:eastAsia="cs-CZ"/>
    </w:rPr>
  </w:style>
  <w:style w:type="character" w:customStyle="1" w:styleId="rozkazyChar">
    <w:name w:val="_rozkazy Char"/>
    <w:link w:val="rozkazy"/>
    <w:locked/>
    <w:rsid w:val="00532389"/>
    <w:rPr>
      <w:sz w:val="24"/>
    </w:rPr>
  </w:style>
  <w:style w:type="paragraph" w:customStyle="1" w:styleId="l3">
    <w:name w:val="l3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paragraph" w:customStyle="1" w:styleId="l4">
    <w:name w:val="l4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7F71"/>
    <w:rPr>
      <w:i/>
      <w:iCs/>
    </w:rPr>
  </w:style>
  <w:style w:type="paragraph" w:customStyle="1" w:styleId="l5">
    <w:name w:val="l5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paragraph" w:styleId="Seznamsodrkami">
    <w:name w:val="List Bullet"/>
    <w:basedOn w:val="Normln"/>
    <w:uiPriority w:val="99"/>
    <w:unhideWhenUsed/>
    <w:rsid w:val="00B54359"/>
    <w:pPr>
      <w:numPr>
        <w:numId w:val="4"/>
      </w:numPr>
      <w:contextualSpacing/>
    </w:pPr>
  </w:style>
  <w:style w:type="character" w:customStyle="1" w:styleId="Nadpis1Char">
    <w:name w:val="Nadpis 1 Char"/>
    <w:basedOn w:val="Standardnpsmoodstavce"/>
    <w:link w:val="Nadpis1"/>
    <w:rsid w:val="009947E8"/>
    <w:rPr>
      <w:rFonts w:asciiTheme="minorHAnsi" w:hAnsiTheme="minorHAnsi"/>
      <w:b/>
      <w:bCs/>
      <w:sz w:val="24"/>
    </w:rPr>
  </w:style>
  <w:style w:type="paragraph" w:customStyle="1" w:styleId="erven">
    <w:name w:val="Červená"/>
    <w:basedOn w:val="Normln"/>
    <w:link w:val="ervenChar"/>
    <w:rsid w:val="00A02108"/>
    <w:pPr>
      <w:spacing w:before="240"/>
    </w:pPr>
    <w:rPr>
      <w:i/>
      <w:color w:val="C00000"/>
    </w:rPr>
  </w:style>
  <w:style w:type="character" w:customStyle="1" w:styleId="ervenChar">
    <w:name w:val="Červená Char"/>
    <w:basedOn w:val="Standardnpsmoodstavce"/>
    <w:link w:val="erven"/>
    <w:rsid w:val="00A02108"/>
    <w:rPr>
      <w:rFonts w:asciiTheme="minorHAnsi" w:hAnsiTheme="minorHAnsi"/>
      <w:i/>
      <w:color w:val="C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D37FCA"/>
    <w:rPr>
      <w:rFonts w:asciiTheme="minorHAnsi" w:hAnsiTheme="minorHAnsi" w:cs="Arial"/>
      <w:b/>
      <w:i/>
      <w:sz w:val="24"/>
      <w:szCs w:val="24"/>
      <w:lang w:eastAsia="en-US"/>
    </w:rPr>
  </w:style>
  <w:style w:type="paragraph" w:customStyle="1" w:styleId="Default">
    <w:name w:val="Default"/>
    <w:rsid w:val="009434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erven"/>
    <w:link w:val="Styl1Char"/>
    <w:autoRedefine/>
    <w:qFormat/>
    <w:rsid w:val="00737A05"/>
    <w:pPr>
      <w:spacing w:before="0"/>
    </w:pPr>
    <w:rPr>
      <w:sz w:val="18"/>
    </w:rPr>
  </w:style>
  <w:style w:type="character" w:customStyle="1" w:styleId="Styl1Char">
    <w:name w:val="Styl1 Char"/>
    <w:basedOn w:val="ervenChar"/>
    <w:link w:val="Styl1"/>
    <w:rsid w:val="00737A05"/>
    <w:rPr>
      <w:rFonts w:asciiTheme="minorHAnsi" w:hAnsiTheme="minorHAnsi"/>
      <w:i/>
      <w:color w:val="C00000"/>
      <w:sz w:val="18"/>
      <w:szCs w:val="24"/>
      <w:lang w:eastAsia="en-US"/>
    </w:rPr>
  </w:style>
  <w:style w:type="paragraph" w:customStyle="1" w:styleId="Stylnaceldokument">
    <w:name w:val="Styl na celý dokument"/>
    <w:rsid w:val="000A3A2F"/>
    <w:pPr>
      <w:keepNext/>
      <w:suppressAutoHyphens/>
      <w:spacing w:line="288" w:lineRule="auto"/>
      <w:jc w:val="both"/>
    </w:pPr>
    <w:rPr>
      <w:sz w:val="30"/>
    </w:rPr>
  </w:style>
  <w:style w:type="paragraph" w:customStyle="1" w:styleId="VYHODNOCEN">
    <w:name w:val="VYHODNOCENÍ"/>
    <w:basedOn w:val="Normln"/>
    <w:link w:val="VYHODNOCENChar"/>
    <w:qFormat/>
    <w:rsid w:val="00E65D68"/>
    <w:rPr>
      <w:b/>
    </w:rPr>
  </w:style>
  <w:style w:type="character" w:customStyle="1" w:styleId="VYHODNOCENChar">
    <w:name w:val="VYHODNOCENÍ Char"/>
    <w:basedOn w:val="Standardnpsmoodstavce"/>
    <w:link w:val="VYHODNOCEN"/>
    <w:rsid w:val="00E65D68"/>
    <w:rPr>
      <w:rFonts w:asciiTheme="minorHAnsi" w:hAnsiTheme="minorHAnsi"/>
      <w:b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A01CD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01C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kladntextodsazen31">
    <w:name w:val="Základní text odsazený 31"/>
    <w:basedOn w:val="Normln"/>
    <w:rsid w:val="00986448"/>
    <w:pPr>
      <w:tabs>
        <w:tab w:val="left" w:pos="16588"/>
        <w:tab w:val="left" w:pos="17155"/>
        <w:tab w:val="center" w:pos="19848"/>
        <w:tab w:val="right" w:pos="24384"/>
      </w:tabs>
      <w:suppressAutoHyphens/>
      <w:spacing w:after="0"/>
      <w:ind w:left="1276"/>
    </w:pPr>
    <w:rPr>
      <w:rFonts w:ascii="Arial" w:hAnsi="Arial"/>
      <w:szCs w:val="20"/>
      <w:lang w:val="fr-BE" w:eastAsia="ar-SA"/>
    </w:rPr>
  </w:style>
  <w:style w:type="character" w:customStyle="1" w:styleId="WW8Num26z2">
    <w:name w:val="WW8Num26z2"/>
    <w:uiPriority w:val="99"/>
    <w:rsid w:val="00986448"/>
    <w:rPr>
      <w:rFonts w:ascii="Wingdings" w:hAnsi="Wingdings"/>
    </w:rPr>
  </w:style>
  <w:style w:type="paragraph" w:customStyle="1" w:styleId="Bn">
    <w:name w:val="Běžný"/>
    <w:basedOn w:val="Normln"/>
    <w:qFormat/>
    <w:rsid w:val="001676C8"/>
    <w:pPr>
      <w:spacing w:before="40" w:after="0" w:line="276" w:lineRule="auto"/>
      <w:ind w:firstLine="284"/>
    </w:pPr>
    <w:rPr>
      <w:rFonts w:ascii="Palatino Linotype" w:eastAsia="Calibri" w:hAnsi="Palatino Linotype"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676C8"/>
    <w:pPr>
      <w:ind w:left="283"/>
      <w:jc w:val="left"/>
    </w:pPr>
    <w:rPr>
      <w:rFonts w:ascii="Arial" w:hAnsi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676C8"/>
    <w:rPr>
      <w:rFonts w:ascii="Arial" w:hAnsi="Arial"/>
      <w:sz w:val="24"/>
      <w:szCs w:val="24"/>
    </w:rPr>
  </w:style>
  <w:style w:type="paragraph" w:customStyle="1" w:styleId="Zkladn">
    <w:name w:val="Základní"/>
    <w:basedOn w:val="Normln"/>
    <w:rsid w:val="001676C8"/>
    <w:pPr>
      <w:spacing w:before="120" w:after="0"/>
    </w:pPr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qFormat/>
    <w:rsid w:val="001676C8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Arial" w:hAnsi="Arial"/>
      <w:b/>
      <w:bCs/>
      <w:i/>
      <w:iCs/>
      <w:color w:val="4F81BD"/>
      <w:lang w:eastAsia="cs-CZ"/>
    </w:rPr>
  </w:style>
  <w:style w:type="character" w:customStyle="1" w:styleId="VrazncittChar">
    <w:name w:val="Výrazný citát Char"/>
    <w:basedOn w:val="Standardnpsmoodstavce"/>
    <w:link w:val="Vrazncitt"/>
    <w:rsid w:val="001676C8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rsid w:val="001676C8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1676C8"/>
    <w:rPr>
      <w:b/>
      <w:bCs/>
      <w:i/>
      <w:iCs/>
      <w:color w:val="4F81BD"/>
    </w:rPr>
  </w:style>
  <w:style w:type="paragraph" w:styleId="Zkladntext3">
    <w:name w:val="Body Text 3"/>
    <w:basedOn w:val="Normln"/>
    <w:link w:val="Zkladntext3Char"/>
    <w:unhideWhenUsed/>
    <w:rsid w:val="001676C8"/>
    <w:pPr>
      <w:jc w:val="left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676C8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1676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76C8"/>
    <w:rPr>
      <w:rFonts w:ascii="Arial" w:hAnsi="Arial" w:cs="Arial"/>
      <w:i/>
      <w:sz w:val="22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6C8"/>
    <w:pPr>
      <w:ind w:left="283"/>
      <w:jc w:val="left"/>
    </w:pPr>
    <w:rPr>
      <w:rFonts w:ascii="Arial" w:hAnsi="Arial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6C8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1676C8"/>
  </w:style>
  <w:style w:type="paragraph" w:styleId="Zkladntext2">
    <w:name w:val="Body Text 2"/>
    <w:basedOn w:val="Normln"/>
    <w:link w:val="Zkladntext2Char"/>
    <w:uiPriority w:val="99"/>
    <w:semiHidden/>
    <w:unhideWhenUsed/>
    <w:rsid w:val="001676C8"/>
    <w:pPr>
      <w:spacing w:line="480" w:lineRule="auto"/>
      <w:jc w:val="left"/>
    </w:pPr>
    <w:rPr>
      <w:rFonts w:ascii="Arial" w:hAnsi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76C8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1676C8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/>
    </w:rPr>
  </w:style>
  <w:style w:type="table" w:customStyle="1" w:styleId="Mkatabulky10">
    <w:name w:val="Mřížka tabulky10"/>
    <w:basedOn w:val="Normlntabulka"/>
    <w:next w:val="Mkatabulky"/>
    <w:uiPriority w:val="59"/>
    <w:rsid w:val="001676C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676C8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1676C8"/>
  </w:style>
  <w:style w:type="character" w:styleId="Siln">
    <w:name w:val="Strong"/>
    <w:basedOn w:val="Standardnpsmoodstavce"/>
    <w:uiPriority w:val="22"/>
    <w:qFormat/>
    <w:rsid w:val="001676C8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76C8"/>
    <w:pPr>
      <w:spacing w:after="0"/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76C8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1676C8"/>
    <w:rPr>
      <w:vertAlign w:val="superscript"/>
    </w:rPr>
  </w:style>
  <w:style w:type="character" w:customStyle="1" w:styleId="A0">
    <w:name w:val="A0"/>
    <w:uiPriority w:val="99"/>
    <w:rsid w:val="001676C8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1676C8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1676C8"/>
  </w:style>
  <w:style w:type="character" w:customStyle="1" w:styleId="tgc">
    <w:name w:val="_tgc"/>
    <w:basedOn w:val="Standardnpsmoodstavce"/>
    <w:rsid w:val="001676C8"/>
  </w:style>
  <w:style w:type="paragraph" w:styleId="Nzev">
    <w:name w:val="Title"/>
    <w:basedOn w:val="Normln"/>
    <w:link w:val="NzevChar"/>
    <w:qFormat/>
    <w:rsid w:val="001676C8"/>
    <w:pPr>
      <w:spacing w:after="0"/>
      <w:jc w:val="center"/>
    </w:pPr>
    <w:rPr>
      <w:rFonts w:ascii="Times New Roman" w:hAnsi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1676C8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4">
    <w:name w:val="A14"/>
    <w:uiPriority w:val="99"/>
    <w:rsid w:val="001676C8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1676C8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paragraph" w:customStyle="1" w:styleId="Pa6">
    <w:name w:val="Pa6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2">
    <w:name w:val="A12"/>
    <w:uiPriority w:val="99"/>
    <w:rsid w:val="001676C8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3">
    <w:name w:val="A13"/>
    <w:uiPriority w:val="99"/>
    <w:rsid w:val="001676C8"/>
    <w:rPr>
      <w:rFonts w:ascii="Arial" w:hAnsi="Arial" w:cs="Arial"/>
      <w:b/>
      <w:bCs/>
      <w:color w:val="000000"/>
      <w:sz w:val="19"/>
      <w:szCs w:val="19"/>
    </w:rPr>
  </w:style>
  <w:style w:type="paragraph" w:styleId="Titulek">
    <w:name w:val="caption"/>
    <w:basedOn w:val="Normln"/>
    <w:next w:val="Normln"/>
    <w:uiPriority w:val="35"/>
    <w:unhideWhenUsed/>
    <w:qFormat/>
    <w:rsid w:val="001676C8"/>
    <w:pPr>
      <w:spacing w:after="200"/>
      <w:jc w:val="left"/>
    </w:pPr>
    <w:rPr>
      <w:rFonts w:ascii="Times New Roman" w:hAnsi="Times New Roman"/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ln"/>
    <w:rsid w:val="001676C8"/>
    <w:pPr>
      <w:spacing w:before="120" w:after="0"/>
      <w:ind w:firstLine="709"/>
    </w:pPr>
    <w:rPr>
      <w:rFonts w:ascii="Times New Roman" w:hAnsi="Times New Roman"/>
      <w:szCs w:val="20"/>
      <w:lang w:eastAsia="cs-CZ"/>
    </w:rPr>
  </w:style>
  <w:style w:type="paragraph" w:customStyle="1" w:styleId="l2">
    <w:name w:val="l2"/>
    <w:basedOn w:val="Normln"/>
    <w:rsid w:val="001676C8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1676C8"/>
    <w:rPr>
      <w:b/>
      <w:bCs/>
      <w:i w:val="0"/>
      <w:iCs w:val="0"/>
    </w:rPr>
  </w:style>
  <w:style w:type="paragraph" w:customStyle="1" w:styleId="l1">
    <w:name w:val="l1"/>
    <w:basedOn w:val="Normln"/>
    <w:rsid w:val="001676C8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ural">
    <w:name w:val="aural"/>
    <w:basedOn w:val="Standardnpsmoodstavce"/>
    <w:rsid w:val="001676C8"/>
  </w:style>
  <w:style w:type="numbering" w:customStyle="1" w:styleId="Bezseznamu1">
    <w:name w:val="Bez seznamu1"/>
    <w:next w:val="Bezseznamu"/>
    <w:uiPriority w:val="99"/>
    <w:semiHidden/>
    <w:unhideWhenUsed/>
    <w:rsid w:val="001676C8"/>
  </w:style>
  <w:style w:type="table" w:customStyle="1" w:styleId="Mkatabulky2">
    <w:name w:val="Mřížka tabulky2"/>
    <w:basedOn w:val="Normlntabulka"/>
    <w:next w:val="Mkatabulky"/>
    <w:uiPriority w:val="39"/>
    <w:rsid w:val="001676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676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6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6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tunuprosted">
    <w:name w:val="větší tučné uprostřed"/>
    <w:basedOn w:val="Normln"/>
    <w:rsid w:val="00554300"/>
    <w:pPr>
      <w:spacing w:after="0"/>
      <w:jc w:val="center"/>
    </w:pPr>
    <w:rPr>
      <w:rFonts w:ascii="Times New Roman" w:hAnsi="Times New Roman"/>
      <w:b/>
      <w:bCs/>
      <w:sz w:val="28"/>
      <w:lang w:eastAsia="cs-CZ"/>
    </w:rPr>
  </w:style>
  <w:style w:type="paragraph" w:customStyle="1" w:styleId="StylZarovnatdoblokuPrvndek125cmPed12bdko">
    <w:name w:val="Styl Zarovnat do bloku První řádek:  125 cm Před:  12 b. Řádko..."/>
    <w:basedOn w:val="Normln"/>
    <w:rsid w:val="00554300"/>
    <w:pPr>
      <w:spacing w:before="120" w:after="0" w:line="400" w:lineRule="atLeast"/>
      <w:ind w:firstLine="709"/>
    </w:pPr>
    <w:rPr>
      <w:rFonts w:ascii="Arial" w:hAnsi="Arial" w:cs="Arial"/>
      <w:sz w:val="22"/>
      <w:szCs w:val="22"/>
      <w:lang w:eastAsia="cs-CZ"/>
    </w:rPr>
  </w:style>
  <w:style w:type="paragraph" w:customStyle="1" w:styleId="articleperex">
    <w:name w:val="article_perex"/>
    <w:basedOn w:val="Normln"/>
    <w:rsid w:val="005265B2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4">
    <w:name w:val="A4"/>
    <w:uiPriority w:val="99"/>
    <w:rsid w:val="003C064D"/>
    <w:rPr>
      <w:color w:val="000000"/>
      <w:sz w:val="60"/>
      <w:szCs w:val="60"/>
    </w:rPr>
  </w:style>
  <w:style w:type="character" w:customStyle="1" w:styleId="Styl1-1Char">
    <w:name w:val="Styl1 - 1. Char"/>
    <w:link w:val="Styl1-1"/>
    <w:locked/>
    <w:rsid w:val="00F108C3"/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F108C3"/>
    <w:pPr>
      <w:numPr>
        <w:numId w:val="35"/>
      </w:numPr>
      <w:overflowPunct w:val="0"/>
      <w:autoSpaceDE w:val="0"/>
      <w:autoSpaceDN w:val="0"/>
      <w:adjustRightInd w:val="0"/>
      <w:spacing w:before="120" w:after="240"/>
      <w:ind w:left="357" w:hanging="357"/>
    </w:pPr>
    <w:rPr>
      <w:rFonts w:ascii="Arial" w:hAnsi="Arial" w:cs="Arial"/>
      <w:sz w:val="22"/>
      <w:szCs w:val="22"/>
      <w:lang w:eastAsia="cs-CZ"/>
    </w:rPr>
  </w:style>
  <w:style w:type="character" w:customStyle="1" w:styleId="cf01">
    <w:name w:val="cf01"/>
    <w:basedOn w:val="Standardnpsmoodstavce"/>
    <w:rsid w:val="00A11B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65472173121203E-2"/>
          <c:y val="0.1495337560611712"/>
          <c:w val="0.85194065027585841"/>
          <c:h val="0.61071083477489596"/>
        </c:manualLayout>
      </c:layout>
      <c:areaChart>
        <c:grouping val="stacked"/>
        <c:varyColors val="0"/>
        <c:ser>
          <c:idx val="0"/>
          <c:order val="0"/>
          <c:tx>
            <c:strRef>
              <c:f>List1!$H$17</c:f>
              <c:strCache>
                <c:ptCount val="1"/>
                <c:pt idx="0">
                  <c:v>MO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cat>
            <c:numRef>
              <c:f>List1!$G$18:$G$25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List1!$H$18:$H$25</c:f>
              <c:numCache>
                <c:formatCode>General</c:formatCode>
                <c:ptCount val="8"/>
                <c:pt idx="0">
                  <c:v>17.185089999999999</c:v>
                </c:pt>
                <c:pt idx="1">
                  <c:v>19.623619999999999</c:v>
                </c:pt>
                <c:pt idx="2">
                  <c:v>21.66198</c:v>
                </c:pt>
                <c:pt idx="3">
                  <c:v>16.771789999999999</c:v>
                </c:pt>
                <c:pt idx="4">
                  <c:v>19.66788</c:v>
                </c:pt>
                <c:pt idx="5">
                  <c:v>21.76163</c:v>
                </c:pt>
                <c:pt idx="6">
                  <c:v>24.82873</c:v>
                </c:pt>
                <c:pt idx="7">
                  <c:v>32.065820000000002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1-48D4-91A8-0F52C1A89C46}"/>
            </c:ext>
          </c:extLst>
        </c:ser>
        <c:ser>
          <c:idx val="1"/>
          <c:order val="1"/>
          <c:tx>
            <c:strRef>
              <c:f>List1!$I$17</c:f>
              <c:strCache>
                <c:ptCount val="1"/>
                <c:pt idx="0">
                  <c:v> Armádní Servisní, p. o.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cat>
            <c:numRef>
              <c:f>List1!$G$18:$G$25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List1!$I$18:$I$25</c:f>
              <c:numCache>
                <c:formatCode>General</c:formatCode>
                <c:ptCount val="8"/>
                <c:pt idx="0">
                  <c:v>28.050830000000001</c:v>
                </c:pt>
                <c:pt idx="1">
                  <c:v>33.84572</c:v>
                </c:pt>
                <c:pt idx="2">
                  <c:v>28.291630000000001</c:v>
                </c:pt>
                <c:pt idx="3">
                  <c:v>37.067129999999999</c:v>
                </c:pt>
                <c:pt idx="4">
                  <c:v>37.740730000000006</c:v>
                </c:pt>
                <c:pt idx="5">
                  <c:v>40.586690000000004</c:v>
                </c:pt>
                <c:pt idx="6">
                  <c:v>45.328980000000001</c:v>
                </c:pt>
                <c:pt idx="7">
                  <c:v>45.890769999999996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1-48D4-91A8-0F52C1A89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1171535"/>
        <c:axId val="815951631"/>
      </c:areaChart>
      <c:catAx>
        <c:axId val="801171535"/>
        <c:scaling>
          <c:orientation val="minMax"/>
        </c:scaling>
        <c:delete val="0"/>
        <c:axPos val="b"/>
        <c:title>
          <c:tx>
            <c:rich>
              <a:bodyPr rot="0" spcFirstLastPara="1" vertOverflow="clip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clip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15951631"/>
        <c:crosses val="autoZero"/>
        <c:auto val="1"/>
        <c:lblAlgn val="ctr"/>
        <c:lblOffset val="100"/>
        <c:noMultiLvlLbl val="0"/>
      </c:catAx>
      <c:valAx>
        <c:axId val="815951631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V mil.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0117153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60252238277496"/>
          <c:y val="4.1748691884314508E-2"/>
          <c:w val="0.40223912053819827"/>
          <c:h val="8.0607203774713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List1!$H$59</c:f>
              <c:strCache>
                <c:ptCount val="1"/>
                <c:pt idx="0">
                  <c:v>mil. Kč</c:v>
                </c:pt>
              </c:strCache>
            </c:strRef>
          </c:tx>
          <c:spPr>
            <a:ln w="25400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4595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7.5657896043270752E-3"/>
                  <c:y val="-8.607321225421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43-4788-B87C-660360039253}"/>
                </c:ext>
              </c:extLst>
            </c:dLbl>
            <c:dLbl>
              <c:idx val="1"/>
              <c:layout>
                <c:manualLayout>
                  <c:x val="-1.0087719472436148E-2"/>
                  <c:y val="-6.5579590288927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43-4788-B87C-660360039253}"/>
                </c:ext>
              </c:extLst>
            </c:dLbl>
            <c:dLbl>
              <c:idx val="2"/>
              <c:layout>
                <c:manualLayout>
                  <c:x val="-1.2609649340545126E-2"/>
                  <c:y val="-7.787576346810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43-4788-B87C-660360039253}"/>
                </c:ext>
              </c:extLst>
            </c:dLbl>
            <c:dLbl>
              <c:idx val="3"/>
              <c:layout>
                <c:manualLayout>
                  <c:x val="5.0438597362179576E-3"/>
                  <c:y val="-9.8369385433391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43-4788-B87C-660360039253}"/>
                </c:ext>
              </c:extLst>
            </c:dLbl>
            <c:dLbl>
              <c:idx val="4"/>
              <c:layout>
                <c:manualLayout>
                  <c:x val="3.5511517079963695E-2"/>
                  <c:y val="1.9416389205766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43-4788-B87C-66036003925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List1!$G$60:$G$66</c:f>
              <c:numCache>
                <c:formatCode>General</c:formatCode>
                <c:ptCount val="7"/>
                <c:pt idx="0">
                  <c:v>2005</c:v>
                </c:pt>
                <c:pt idx="1">
                  <c:v>2008</c:v>
                </c:pt>
                <c:pt idx="2">
                  <c:v>2015</c:v>
                </c:pt>
                <c:pt idx="3">
                  <c:v>2016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xVal>
          <c:yVal>
            <c:numRef>
              <c:f>List1!$H$60:$H$66</c:f>
              <c:numCache>
                <c:formatCode>General</c:formatCode>
                <c:ptCount val="7"/>
                <c:pt idx="0">
                  <c:v>104</c:v>
                </c:pt>
                <c:pt idx="1">
                  <c:v>117</c:v>
                </c:pt>
                <c:pt idx="2">
                  <c:v>134</c:v>
                </c:pt>
                <c:pt idx="3">
                  <c:v>160</c:v>
                </c:pt>
                <c:pt idx="4">
                  <c:v>257</c:v>
                </c:pt>
                <c:pt idx="5">
                  <c:v>343</c:v>
                </c:pt>
                <c:pt idx="6">
                  <c:v>587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643-4788-B87C-660360039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2845087"/>
        <c:axId val="1625776175"/>
      </c:scatterChart>
      <c:valAx>
        <c:axId val="1612845087"/>
        <c:scaling>
          <c:orientation val="minMax"/>
        </c:scaling>
        <c:delete val="0"/>
        <c:axPos val="b"/>
        <c:title>
          <c:tx>
            <c:rich>
              <a:bodyPr rot="0" spcFirstLastPara="1" vertOverflow="clip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Rok</a:t>
                </a:r>
              </a:p>
            </c:rich>
          </c:tx>
          <c:layout>
            <c:manualLayout>
              <c:xMode val="edge"/>
              <c:yMode val="edge"/>
              <c:x val="0.50995534774267071"/>
              <c:y val="0.904056460057231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clip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25776175"/>
        <c:crosses val="autoZero"/>
        <c:crossBetween val="midCat"/>
      </c:valAx>
      <c:valAx>
        <c:axId val="1625776175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V mil. Kč</a:t>
                </a:r>
              </a:p>
            </c:rich>
          </c:tx>
          <c:layout>
            <c:manualLayout>
              <c:xMode val="edge"/>
              <c:yMode val="edge"/>
              <c:x val="1.147710317915758E-2"/>
              <c:y val="0.333345303752537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28450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D62416F34FA448CE2DCEBB9BA8E4A" ma:contentTypeVersion="1" ma:contentTypeDescription="Vytvořit nový dokument" ma:contentTypeScope="" ma:versionID="026a016d2859dd6e50cfeffad4de2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1a4e749239e1ccdfbcf9c2f5bdf9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29FB-3693-4455-A54D-8496B3EF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EBD6F-D369-4AD2-AE63-7BDFBF11908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7D1255-20A2-42E1-8CEF-F2D12B2BD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881BA-D4BE-4209-A989-1DCCD07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7767</Words>
  <Characters>45832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23/03 - Peněžní prostředky státního rozpočtu vynaložené Ministerstvem obrany na radiační, chemickou a biologickou ochranu</vt:lpstr>
    </vt:vector>
  </TitlesOfParts>
  <Company>NKU</Company>
  <LinksUpToDate>false</LinksUpToDate>
  <CharactersWithSpaces>53493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23/03 - Peněžní prostředky státního rozpočtu vynaložené Ministerstvem obrany na radiační, chemickou a biologickou ochranu</dc:title>
  <dc:subject>Kontrolní závěr z kontrolní akce NKÚ č. 23/03 - Peněžní prostředky státního rozpočtu vynaložené Ministerstvem obrany na radiační, chemickou a biologickou ochranu</dc:subject>
  <dc:creator>nku@NKU.cz</dc:creator>
  <cp:keywords>kontrolní závěr; radiační ochrana; chemická ochrana; biologická ochrana</cp:keywords>
  <dc:description/>
  <cp:lastModifiedBy>KOKRDA Daniel</cp:lastModifiedBy>
  <cp:revision>3</cp:revision>
  <cp:lastPrinted>2023-11-24T06:22:00Z</cp:lastPrinted>
  <dcterms:created xsi:type="dcterms:W3CDTF">2023-11-24T06:19:00Z</dcterms:created>
  <dcterms:modified xsi:type="dcterms:W3CDTF">2023-11-24T06:22:00Z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23/03-NKU30/781/23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510/224/22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0x010100E50D62416F34FA448CE2DCEBB9BA8E4A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25.9.2023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&lt;TABLE&gt;&lt;TR&gt;&lt;TD&gt;Č.j.:&lt;/TD&gt;&lt;TD&gt;23/03-NKU30/781/23&lt;/TD&gt;&lt;/TR&gt;&lt;TR&gt;&lt;TD&gt;&lt;/TD&gt;&lt;TD&gt;&lt;/TD&gt;&lt;/TR&gt;&lt;/TABLE&gt;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23-12455/NKU</vt:lpwstr>
  </property>
  <property fmtid="{D5CDD505-2E9C-101B-9397-08002B2CF9AE}" pid="20" name="Key_BarCode_Pisemnost">
    <vt:lpwstr>*B000456081*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23-12455/NKU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23/03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z KA č. 23/03 do PŘ </vt:lpwstr>
  </property>
  <property fmtid="{D5CDD505-2E9C-101B-9397-08002B2CF9AE}" pid="42" name="Zkratka_SpisovyUzel_PoziceZodpo_Pisemnost">
    <vt:lpwstr>30</vt:lpwstr>
  </property>
</Properties>
</file>